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5.xml" ContentType="application/vnd.openxmlformats-officedocument.wordprocessingml.foot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DAC10" w14:textId="1DDA8445" w:rsidR="00E47457" w:rsidRPr="00CB0607" w:rsidRDefault="004B4779" w:rsidP="00401C2A">
      <w:pPr>
        <w:pStyle w:val="Heading1"/>
      </w:pPr>
      <w:r>
        <w:t>Brockton</w:t>
      </w:r>
      <w:r w:rsidR="00CE0FF0" w:rsidRPr="00CB0607">
        <w:t xml:space="preserve"> Public </w:t>
      </w:r>
      <w:r w:rsidR="00CE0FF0" w:rsidRPr="00401C2A">
        <w:t>Schools</w:t>
      </w:r>
    </w:p>
    <w:p w14:paraId="7F1243B7" w14:textId="65C69561" w:rsidR="008E314D" w:rsidRPr="00CB0607" w:rsidRDefault="00FD0F0A" w:rsidP="00401C2A">
      <w:pPr>
        <w:pStyle w:val="Titlepagesubheading"/>
      </w:pPr>
      <w:bookmarkStart w:id="0" w:name="_Hlk101983091"/>
      <w:r w:rsidRPr="00CB0607">
        <w:t xml:space="preserve">Comprehensive </w:t>
      </w:r>
      <w:r w:rsidR="008E314D" w:rsidRPr="00CB0607">
        <w:t xml:space="preserve">District Review </w:t>
      </w:r>
      <w:r w:rsidR="008E314D" w:rsidRPr="00401C2A">
        <w:t>Report</w:t>
      </w:r>
      <w:bookmarkEnd w:id="0"/>
    </w:p>
    <w:p w14:paraId="3575704A" w14:textId="1A72E3FC" w:rsidR="008E314D" w:rsidRPr="00CB0607" w:rsidRDefault="0079770B" w:rsidP="00401C2A">
      <w:pPr>
        <w:pStyle w:val="Titlepagedate"/>
      </w:pPr>
      <w:r>
        <w:t>March</w:t>
      </w:r>
      <w:r w:rsidR="00471960">
        <w:t xml:space="preserve"> </w:t>
      </w:r>
      <w:r w:rsidR="00D84CF0" w:rsidRPr="00401C2A">
        <w:t>20</w:t>
      </w:r>
      <w:r w:rsidR="001707CD" w:rsidRPr="00401C2A">
        <w:t>2</w:t>
      </w:r>
      <w:r w:rsidR="004B4779" w:rsidRPr="00401C2A">
        <w:t>6</w:t>
      </w:r>
    </w:p>
    <w:p w14:paraId="7377D20A" w14:textId="389E5A06" w:rsidR="4DF0ADFC" w:rsidRPr="00CB0607" w:rsidRDefault="4DF0ADFC" w:rsidP="00416393">
      <w:pPr>
        <w:pStyle w:val="Titlepageorganization"/>
        <w:spacing w:before="1440"/>
      </w:pPr>
      <w:r w:rsidRPr="00CB0607">
        <w:t xml:space="preserve">Massachusetts Department of Elementary and </w:t>
      </w:r>
      <w:r w:rsidRPr="00401C2A">
        <w:t>Secondary</w:t>
      </w:r>
      <w:r w:rsidRPr="00CB0607">
        <w:t xml:space="preserve"> Education</w:t>
      </w:r>
    </w:p>
    <w:p w14:paraId="7AB2F13C" w14:textId="0DB8189D" w:rsidR="14BBBE3B" w:rsidRPr="00401C2A" w:rsidRDefault="14BBBE3B" w:rsidP="00401C2A">
      <w:pPr>
        <w:pStyle w:val="Titlepagetext14pt"/>
      </w:pPr>
      <w:r w:rsidRPr="00CB0607">
        <w:t>Office of District Reviews and Monitoring</w:t>
      </w:r>
    </w:p>
    <w:p w14:paraId="5DC820FA" w14:textId="5046D58B" w:rsidR="26918BE0" w:rsidRPr="00401C2A" w:rsidRDefault="00E34155" w:rsidP="00401C2A">
      <w:pPr>
        <w:pStyle w:val="Titlepagetext10pt"/>
      </w:pPr>
      <w:r>
        <w:t>135 Santilli Highway</w:t>
      </w:r>
    </w:p>
    <w:p w14:paraId="6DA8D26D" w14:textId="3BBEE20E" w:rsidR="26918BE0" w:rsidRPr="00401C2A" w:rsidRDefault="00E34155" w:rsidP="00401C2A">
      <w:pPr>
        <w:pStyle w:val="Titlepagetext10pt"/>
      </w:pPr>
      <w:r>
        <w:t>Everett</w:t>
      </w:r>
      <w:r w:rsidR="26918BE0" w:rsidRPr="00CB0607">
        <w:t xml:space="preserve">, MA </w:t>
      </w:r>
      <w:r w:rsidR="001B2E5F">
        <w:t>02149</w:t>
      </w:r>
    </w:p>
    <w:p w14:paraId="7CA72F40" w14:textId="4A091369" w:rsidR="26918BE0" w:rsidRPr="00401C2A" w:rsidRDefault="26918BE0" w:rsidP="00401C2A">
      <w:pPr>
        <w:pStyle w:val="Titlepagetext10pt"/>
      </w:pPr>
      <w:r w:rsidRPr="00CB0607">
        <w:t>781-338-3000</w:t>
      </w:r>
    </w:p>
    <w:p w14:paraId="33E67B60" w14:textId="5E6B9174" w:rsidR="26918BE0" w:rsidRPr="00401C2A" w:rsidRDefault="003E564C" w:rsidP="00401C2A">
      <w:pPr>
        <w:pStyle w:val="Titlepagetext10pt"/>
      </w:pPr>
      <w:hyperlink r:id="rId11" w:history="1">
        <w:r w:rsidRPr="00576725">
          <w:rPr>
            <w:rStyle w:val="Hyperlink"/>
          </w:rPr>
          <w:t>www.doe.mass.edu</w:t>
        </w:r>
      </w:hyperlink>
    </w:p>
    <w:p w14:paraId="6A94FEA6" w14:textId="057E381B" w:rsidR="00E64C7A" w:rsidRPr="00CB0607" w:rsidRDefault="00E64C7A" w:rsidP="00FF5047">
      <w:pPr>
        <w:pStyle w:val="Titlepageorganization"/>
        <w:spacing w:before="480"/>
      </w:pPr>
      <w:r w:rsidRPr="00CB0607">
        <w:t>American Institutes for Research</w:t>
      </w:r>
    </w:p>
    <w:p w14:paraId="7AF9AAE1" w14:textId="21F06D2A" w:rsidR="00D67779" w:rsidRPr="00CB0607" w:rsidRDefault="00D67779" w:rsidP="00457876">
      <w:pPr>
        <w:pStyle w:val="Titlepagetext14pt"/>
      </w:pPr>
      <w:r w:rsidRPr="00CB0607">
        <w:t>Education Systems and Policy</w:t>
      </w:r>
    </w:p>
    <w:p w14:paraId="41659AE4" w14:textId="77777777" w:rsidR="003E564C" w:rsidRDefault="008415C9" w:rsidP="00457876">
      <w:pPr>
        <w:pStyle w:val="Titlepagetext10pt"/>
        <w:rPr>
          <w:shd w:val="clear" w:color="auto" w:fill="FFFFFF"/>
        </w:rPr>
      </w:pPr>
      <w:r w:rsidRPr="00CB0607">
        <w:rPr>
          <w:shd w:val="clear" w:color="auto" w:fill="FFFFFF"/>
        </w:rPr>
        <w:t>201 Jones Road, Suite 100</w:t>
      </w:r>
    </w:p>
    <w:p w14:paraId="75CD3090" w14:textId="39BD739A" w:rsidR="008415C9" w:rsidRPr="00CB0607" w:rsidRDefault="008415C9" w:rsidP="00457876">
      <w:pPr>
        <w:pStyle w:val="Titlepagetext10pt"/>
      </w:pPr>
      <w:r w:rsidRPr="00CB0607">
        <w:rPr>
          <w:shd w:val="clear" w:color="auto" w:fill="FFFFFF"/>
        </w:rPr>
        <w:t>Waltham, MA 02451</w:t>
      </w:r>
    </w:p>
    <w:p w14:paraId="2A326DCB" w14:textId="3408A44D" w:rsidR="00144555" w:rsidRPr="00CB0607" w:rsidRDefault="00144555" w:rsidP="00457876">
      <w:pPr>
        <w:pStyle w:val="Titlepagetext10pt"/>
      </w:pPr>
      <w:r w:rsidRPr="00CB0607">
        <w:t>202</w:t>
      </w:r>
      <w:r w:rsidR="006D04CC">
        <w:t>-</w:t>
      </w:r>
      <w:r w:rsidRPr="00CB0607">
        <w:t>403-5000</w:t>
      </w:r>
    </w:p>
    <w:p w14:paraId="5CEDCF71" w14:textId="446BE90E" w:rsidR="002025EB" w:rsidRDefault="002025EB" w:rsidP="00D90E0E">
      <w:pPr>
        <w:pStyle w:val="Titlepagetext10pt"/>
        <w:spacing w:after="4320"/>
      </w:pPr>
      <w:hyperlink r:id="rId12" w:history="1">
        <w:r w:rsidRPr="00543D06">
          <w:rPr>
            <w:rStyle w:val="Hyperlink"/>
          </w:rPr>
          <w:t>www.air.org</w:t>
        </w:r>
      </w:hyperlink>
    </w:p>
    <w:p w14:paraId="569E3084" w14:textId="25EB038D" w:rsidR="00E64C7A" w:rsidRPr="00CB0607" w:rsidRDefault="002025EB" w:rsidP="00457876">
      <w:pPr>
        <w:tabs>
          <w:tab w:val="right" w:pos="9090"/>
        </w:tabs>
        <w:ind w:right="90"/>
        <w:rPr>
          <w:b/>
          <w:bCs/>
          <w:sz w:val="28"/>
          <w:szCs w:val="28"/>
        </w:rPr>
      </w:pPr>
      <w:r>
        <w:rPr>
          <w:noProof/>
        </w:rPr>
        <w:drawing>
          <wp:inline distT="0" distB="0" distL="0" distR="0" wp14:anchorId="019F55E8" wp14:editId="485DB141">
            <wp:extent cx="1806042" cy="731520"/>
            <wp:effectExtent l="0" t="0" r="3810" b="0"/>
            <wp:docPr id="3" name="Picture 3" descr="dese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e logo&#10;&#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7774"/>
                    <a:stretch/>
                  </pic:blipFill>
                  <pic:spPr bwMode="auto">
                    <a:xfrm>
                      <a:off x="0" y="0"/>
                      <a:ext cx="1806042" cy="731520"/>
                    </a:xfrm>
                    <a:prstGeom prst="rect">
                      <a:avLst/>
                    </a:prstGeom>
                    <a:noFill/>
                    <a:ln>
                      <a:noFill/>
                    </a:ln>
                    <a:extLst>
                      <a:ext uri="{53640926-AAD7-44D8-BBD7-CCE9431645EC}">
                        <a14:shadowObscured xmlns:a14="http://schemas.microsoft.com/office/drawing/2010/main"/>
                      </a:ext>
                    </a:extLst>
                  </pic:spPr>
                </pic:pic>
              </a:graphicData>
            </a:graphic>
          </wp:inline>
        </w:drawing>
      </w:r>
      <w:r w:rsidR="00457876">
        <w:rPr>
          <w:b/>
          <w:bCs/>
          <w:sz w:val="28"/>
          <w:szCs w:val="28"/>
        </w:rPr>
        <w:tab/>
      </w:r>
      <w:r w:rsidR="00457876">
        <w:rPr>
          <w:rFonts w:eastAsia="Calibri" w:cs="Arial"/>
          <w:noProof/>
        </w:rPr>
        <w:drawing>
          <wp:inline distT="0" distB="0" distL="0" distR="0" wp14:anchorId="43F3FAE9" wp14:editId="42E0368D">
            <wp:extent cx="1873332" cy="548640"/>
            <wp:effectExtent l="0" t="0" r="0" b="3810"/>
            <wp:docPr id="8" name="Picture 8" descr="American Institutes for Research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merican Institutes for Research Logo&#10;&#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3332" cy="548640"/>
                    </a:xfrm>
                    <a:prstGeom prst="rect">
                      <a:avLst/>
                    </a:prstGeom>
                    <a:noFill/>
                  </pic:spPr>
                </pic:pic>
              </a:graphicData>
            </a:graphic>
          </wp:inline>
        </w:drawing>
      </w:r>
      <w:r w:rsidR="005304F8" w:rsidRPr="00CB0607">
        <w:rPr>
          <w:b/>
          <w:bCs/>
          <w:sz w:val="28"/>
          <w:szCs w:val="28"/>
        </w:rPr>
        <w:br w:type="page"/>
      </w:r>
    </w:p>
    <w:p w14:paraId="224357F6" w14:textId="26DBFA6B" w:rsidR="008E314D" w:rsidRPr="00CB0607" w:rsidRDefault="00D84CF0" w:rsidP="00915844">
      <w:pPr>
        <w:pStyle w:val="TOCHeading"/>
      </w:pPr>
      <w:r w:rsidRPr="00915844">
        <w:lastRenderedPageBreak/>
        <w:t>Contents</w:t>
      </w:r>
    </w:p>
    <w:p w14:paraId="4B1E9E51" w14:textId="727F3559" w:rsidR="006B2DA2" w:rsidRDefault="002E7525">
      <w:pPr>
        <w:pStyle w:val="TOC1"/>
        <w:tabs>
          <w:tab w:val="right" w:leader="dot" w:pos="9350"/>
        </w:tabs>
        <w:rPr>
          <w:rFonts w:eastAsiaTheme="minorEastAsia"/>
          <w:noProof/>
          <w:kern w:val="2"/>
          <w:sz w:val="24"/>
          <w:szCs w:val="24"/>
          <w14:ligatures w14:val="standardContextual"/>
        </w:rPr>
      </w:pPr>
      <w:r w:rsidRPr="00CB0607">
        <w:rPr>
          <w:sz w:val="20"/>
          <w:szCs w:val="20"/>
        </w:rPr>
        <w:fldChar w:fldCharType="begin"/>
      </w:r>
      <w:r w:rsidRPr="00CB0607">
        <w:rPr>
          <w:sz w:val="20"/>
          <w:szCs w:val="20"/>
        </w:rPr>
        <w:instrText xml:space="preserve"> TOC \h \z \t "Heading 2,1" </w:instrText>
      </w:r>
      <w:r w:rsidRPr="00CB0607">
        <w:rPr>
          <w:sz w:val="20"/>
          <w:szCs w:val="20"/>
        </w:rPr>
        <w:fldChar w:fldCharType="separate"/>
      </w:r>
      <w:hyperlink w:anchor="_Toc235104448" w:history="1">
        <w:r w:rsidR="006B2DA2" w:rsidRPr="00744679">
          <w:rPr>
            <w:rStyle w:val="Hyperlink"/>
            <w:noProof/>
          </w:rPr>
          <w:t>Executive Summary</w:t>
        </w:r>
        <w:r w:rsidR="006B2DA2">
          <w:rPr>
            <w:noProof/>
            <w:webHidden/>
          </w:rPr>
          <w:tab/>
        </w:r>
        <w:r w:rsidR="006B2DA2">
          <w:rPr>
            <w:noProof/>
            <w:webHidden/>
          </w:rPr>
          <w:fldChar w:fldCharType="begin"/>
        </w:r>
        <w:r w:rsidR="006B2DA2">
          <w:rPr>
            <w:noProof/>
            <w:webHidden/>
          </w:rPr>
          <w:instrText xml:space="preserve"> PAGEREF _Toc235104448 \h </w:instrText>
        </w:r>
        <w:r w:rsidR="006B2DA2">
          <w:rPr>
            <w:noProof/>
            <w:webHidden/>
          </w:rPr>
        </w:r>
        <w:r w:rsidR="006B2DA2">
          <w:rPr>
            <w:noProof/>
            <w:webHidden/>
          </w:rPr>
          <w:fldChar w:fldCharType="separate"/>
        </w:r>
        <w:r w:rsidR="006B2DA2">
          <w:rPr>
            <w:noProof/>
            <w:webHidden/>
          </w:rPr>
          <w:t>4</w:t>
        </w:r>
        <w:r w:rsidR="006B2DA2">
          <w:rPr>
            <w:noProof/>
            <w:webHidden/>
          </w:rPr>
          <w:fldChar w:fldCharType="end"/>
        </w:r>
      </w:hyperlink>
    </w:p>
    <w:p w14:paraId="70AC698E" w14:textId="35BD886F" w:rsidR="006B2DA2" w:rsidRDefault="006B2DA2">
      <w:pPr>
        <w:pStyle w:val="TOC1"/>
        <w:tabs>
          <w:tab w:val="right" w:leader="dot" w:pos="9350"/>
        </w:tabs>
        <w:rPr>
          <w:rFonts w:eastAsiaTheme="minorEastAsia"/>
          <w:noProof/>
          <w:kern w:val="2"/>
          <w:sz w:val="24"/>
          <w:szCs w:val="24"/>
          <w14:ligatures w14:val="standardContextual"/>
        </w:rPr>
      </w:pPr>
      <w:hyperlink w:anchor="_Toc235104449" w:history="1">
        <w:r w:rsidRPr="00744679">
          <w:rPr>
            <w:rStyle w:val="Hyperlink"/>
            <w:noProof/>
          </w:rPr>
          <w:t>Brockton Public Schools: District Review Overview</w:t>
        </w:r>
        <w:r>
          <w:rPr>
            <w:noProof/>
            <w:webHidden/>
          </w:rPr>
          <w:tab/>
        </w:r>
        <w:r>
          <w:rPr>
            <w:noProof/>
            <w:webHidden/>
          </w:rPr>
          <w:fldChar w:fldCharType="begin"/>
        </w:r>
        <w:r>
          <w:rPr>
            <w:noProof/>
            <w:webHidden/>
          </w:rPr>
          <w:instrText xml:space="preserve"> PAGEREF _Toc235104449 \h </w:instrText>
        </w:r>
        <w:r>
          <w:rPr>
            <w:noProof/>
            <w:webHidden/>
          </w:rPr>
        </w:r>
        <w:r>
          <w:rPr>
            <w:noProof/>
            <w:webHidden/>
          </w:rPr>
          <w:fldChar w:fldCharType="separate"/>
        </w:r>
        <w:r>
          <w:rPr>
            <w:noProof/>
            <w:webHidden/>
          </w:rPr>
          <w:t>10</w:t>
        </w:r>
        <w:r>
          <w:rPr>
            <w:noProof/>
            <w:webHidden/>
          </w:rPr>
          <w:fldChar w:fldCharType="end"/>
        </w:r>
      </w:hyperlink>
    </w:p>
    <w:p w14:paraId="215A6E84" w14:textId="6AC263F0" w:rsidR="006B2DA2" w:rsidRDefault="006B2DA2">
      <w:pPr>
        <w:pStyle w:val="TOC1"/>
        <w:tabs>
          <w:tab w:val="right" w:leader="dot" w:pos="9350"/>
        </w:tabs>
        <w:rPr>
          <w:rFonts w:eastAsiaTheme="minorEastAsia"/>
          <w:noProof/>
          <w:kern w:val="2"/>
          <w:sz w:val="24"/>
          <w:szCs w:val="24"/>
          <w14:ligatures w14:val="standardContextual"/>
        </w:rPr>
      </w:pPr>
      <w:hyperlink w:anchor="_Toc235104450" w:history="1">
        <w:r w:rsidRPr="00744679">
          <w:rPr>
            <w:rStyle w:val="Hyperlink"/>
            <w:noProof/>
          </w:rPr>
          <w:t>Leadership and Governance</w:t>
        </w:r>
        <w:r>
          <w:rPr>
            <w:noProof/>
            <w:webHidden/>
          </w:rPr>
          <w:tab/>
        </w:r>
        <w:r>
          <w:rPr>
            <w:noProof/>
            <w:webHidden/>
          </w:rPr>
          <w:fldChar w:fldCharType="begin"/>
        </w:r>
        <w:r>
          <w:rPr>
            <w:noProof/>
            <w:webHidden/>
          </w:rPr>
          <w:instrText xml:space="preserve"> PAGEREF _Toc235104450 \h </w:instrText>
        </w:r>
        <w:r>
          <w:rPr>
            <w:noProof/>
            <w:webHidden/>
          </w:rPr>
        </w:r>
        <w:r>
          <w:rPr>
            <w:noProof/>
            <w:webHidden/>
          </w:rPr>
          <w:fldChar w:fldCharType="separate"/>
        </w:r>
        <w:r>
          <w:rPr>
            <w:noProof/>
            <w:webHidden/>
          </w:rPr>
          <w:t>17</w:t>
        </w:r>
        <w:r>
          <w:rPr>
            <w:noProof/>
            <w:webHidden/>
          </w:rPr>
          <w:fldChar w:fldCharType="end"/>
        </w:r>
      </w:hyperlink>
    </w:p>
    <w:p w14:paraId="254E703B" w14:textId="7201729C" w:rsidR="006B2DA2" w:rsidRDefault="006B2DA2">
      <w:pPr>
        <w:pStyle w:val="TOC1"/>
        <w:tabs>
          <w:tab w:val="right" w:leader="dot" w:pos="9350"/>
        </w:tabs>
        <w:rPr>
          <w:rFonts w:eastAsiaTheme="minorEastAsia"/>
          <w:noProof/>
          <w:kern w:val="2"/>
          <w:sz w:val="24"/>
          <w:szCs w:val="24"/>
          <w14:ligatures w14:val="standardContextual"/>
        </w:rPr>
      </w:pPr>
      <w:hyperlink w:anchor="_Toc235104451" w:history="1">
        <w:r w:rsidRPr="00744679">
          <w:rPr>
            <w:rStyle w:val="Hyperlink"/>
            <w:noProof/>
          </w:rPr>
          <w:t>Curriculum and Instruction</w:t>
        </w:r>
        <w:r>
          <w:rPr>
            <w:noProof/>
            <w:webHidden/>
          </w:rPr>
          <w:tab/>
        </w:r>
        <w:r>
          <w:rPr>
            <w:noProof/>
            <w:webHidden/>
          </w:rPr>
          <w:fldChar w:fldCharType="begin"/>
        </w:r>
        <w:r>
          <w:rPr>
            <w:noProof/>
            <w:webHidden/>
          </w:rPr>
          <w:instrText xml:space="preserve"> PAGEREF _Toc235104451 \h </w:instrText>
        </w:r>
        <w:r>
          <w:rPr>
            <w:noProof/>
            <w:webHidden/>
          </w:rPr>
        </w:r>
        <w:r>
          <w:rPr>
            <w:noProof/>
            <w:webHidden/>
          </w:rPr>
          <w:fldChar w:fldCharType="separate"/>
        </w:r>
        <w:r>
          <w:rPr>
            <w:noProof/>
            <w:webHidden/>
          </w:rPr>
          <w:t>26</w:t>
        </w:r>
        <w:r>
          <w:rPr>
            <w:noProof/>
            <w:webHidden/>
          </w:rPr>
          <w:fldChar w:fldCharType="end"/>
        </w:r>
      </w:hyperlink>
    </w:p>
    <w:p w14:paraId="4D345CB4" w14:textId="00AC9CA5" w:rsidR="006B2DA2" w:rsidRDefault="006B2DA2">
      <w:pPr>
        <w:pStyle w:val="TOC1"/>
        <w:tabs>
          <w:tab w:val="right" w:leader="dot" w:pos="9350"/>
        </w:tabs>
        <w:rPr>
          <w:rFonts w:eastAsiaTheme="minorEastAsia"/>
          <w:noProof/>
          <w:kern w:val="2"/>
          <w:sz w:val="24"/>
          <w:szCs w:val="24"/>
          <w14:ligatures w14:val="standardContextual"/>
        </w:rPr>
      </w:pPr>
      <w:hyperlink w:anchor="_Toc235104452" w:history="1">
        <w:r w:rsidRPr="00744679">
          <w:rPr>
            <w:rStyle w:val="Hyperlink"/>
            <w:noProof/>
          </w:rPr>
          <w:t>Assessment</w:t>
        </w:r>
        <w:r>
          <w:rPr>
            <w:noProof/>
            <w:webHidden/>
          </w:rPr>
          <w:tab/>
        </w:r>
        <w:r>
          <w:rPr>
            <w:noProof/>
            <w:webHidden/>
          </w:rPr>
          <w:fldChar w:fldCharType="begin"/>
        </w:r>
        <w:r>
          <w:rPr>
            <w:noProof/>
            <w:webHidden/>
          </w:rPr>
          <w:instrText xml:space="preserve"> PAGEREF _Toc235104452 \h </w:instrText>
        </w:r>
        <w:r>
          <w:rPr>
            <w:noProof/>
            <w:webHidden/>
          </w:rPr>
        </w:r>
        <w:r>
          <w:rPr>
            <w:noProof/>
            <w:webHidden/>
          </w:rPr>
          <w:fldChar w:fldCharType="separate"/>
        </w:r>
        <w:r>
          <w:rPr>
            <w:noProof/>
            <w:webHidden/>
          </w:rPr>
          <w:t>36</w:t>
        </w:r>
        <w:r>
          <w:rPr>
            <w:noProof/>
            <w:webHidden/>
          </w:rPr>
          <w:fldChar w:fldCharType="end"/>
        </w:r>
      </w:hyperlink>
    </w:p>
    <w:p w14:paraId="6CD533FD" w14:textId="609E8F28" w:rsidR="006B2DA2" w:rsidRDefault="006B2DA2">
      <w:pPr>
        <w:pStyle w:val="TOC1"/>
        <w:tabs>
          <w:tab w:val="right" w:leader="dot" w:pos="9350"/>
        </w:tabs>
        <w:rPr>
          <w:rFonts w:eastAsiaTheme="minorEastAsia"/>
          <w:noProof/>
          <w:kern w:val="2"/>
          <w:sz w:val="24"/>
          <w:szCs w:val="24"/>
          <w14:ligatures w14:val="standardContextual"/>
        </w:rPr>
      </w:pPr>
      <w:hyperlink w:anchor="_Toc235104453" w:history="1">
        <w:r w:rsidRPr="00744679">
          <w:rPr>
            <w:rStyle w:val="Hyperlink"/>
            <w:noProof/>
          </w:rPr>
          <w:t>Human Resources and Professional Development</w:t>
        </w:r>
        <w:r>
          <w:rPr>
            <w:noProof/>
            <w:webHidden/>
          </w:rPr>
          <w:tab/>
        </w:r>
        <w:r>
          <w:rPr>
            <w:noProof/>
            <w:webHidden/>
          </w:rPr>
          <w:fldChar w:fldCharType="begin"/>
        </w:r>
        <w:r>
          <w:rPr>
            <w:noProof/>
            <w:webHidden/>
          </w:rPr>
          <w:instrText xml:space="preserve"> PAGEREF _Toc235104453 \h </w:instrText>
        </w:r>
        <w:r>
          <w:rPr>
            <w:noProof/>
            <w:webHidden/>
          </w:rPr>
        </w:r>
        <w:r>
          <w:rPr>
            <w:noProof/>
            <w:webHidden/>
          </w:rPr>
          <w:fldChar w:fldCharType="separate"/>
        </w:r>
        <w:r>
          <w:rPr>
            <w:noProof/>
            <w:webHidden/>
          </w:rPr>
          <w:t>43</w:t>
        </w:r>
        <w:r>
          <w:rPr>
            <w:noProof/>
            <w:webHidden/>
          </w:rPr>
          <w:fldChar w:fldCharType="end"/>
        </w:r>
      </w:hyperlink>
    </w:p>
    <w:p w14:paraId="4A385F81" w14:textId="59E6CF40" w:rsidR="006B2DA2" w:rsidRDefault="006B2DA2">
      <w:pPr>
        <w:pStyle w:val="TOC1"/>
        <w:tabs>
          <w:tab w:val="right" w:leader="dot" w:pos="9350"/>
        </w:tabs>
        <w:rPr>
          <w:rFonts w:eastAsiaTheme="minorEastAsia"/>
          <w:noProof/>
          <w:kern w:val="2"/>
          <w:sz w:val="24"/>
          <w:szCs w:val="24"/>
          <w14:ligatures w14:val="standardContextual"/>
        </w:rPr>
      </w:pPr>
      <w:hyperlink w:anchor="_Toc235104454" w:history="1">
        <w:r w:rsidRPr="00744679">
          <w:rPr>
            <w:rStyle w:val="Hyperlink"/>
            <w:noProof/>
          </w:rPr>
          <w:t>Student Support</w:t>
        </w:r>
        <w:r>
          <w:rPr>
            <w:noProof/>
            <w:webHidden/>
          </w:rPr>
          <w:tab/>
        </w:r>
        <w:r>
          <w:rPr>
            <w:noProof/>
            <w:webHidden/>
          </w:rPr>
          <w:fldChar w:fldCharType="begin"/>
        </w:r>
        <w:r>
          <w:rPr>
            <w:noProof/>
            <w:webHidden/>
          </w:rPr>
          <w:instrText xml:space="preserve"> PAGEREF _Toc235104454 \h </w:instrText>
        </w:r>
        <w:r>
          <w:rPr>
            <w:noProof/>
            <w:webHidden/>
          </w:rPr>
        </w:r>
        <w:r>
          <w:rPr>
            <w:noProof/>
            <w:webHidden/>
          </w:rPr>
          <w:fldChar w:fldCharType="separate"/>
        </w:r>
        <w:r>
          <w:rPr>
            <w:noProof/>
            <w:webHidden/>
          </w:rPr>
          <w:t>53</w:t>
        </w:r>
        <w:r>
          <w:rPr>
            <w:noProof/>
            <w:webHidden/>
          </w:rPr>
          <w:fldChar w:fldCharType="end"/>
        </w:r>
      </w:hyperlink>
    </w:p>
    <w:p w14:paraId="6FB4B599" w14:textId="39196936" w:rsidR="006B2DA2" w:rsidRDefault="006B2DA2">
      <w:pPr>
        <w:pStyle w:val="TOC1"/>
        <w:tabs>
          <w:tab w:val="right" w:leader="dot" w:pos="9350"/>
        </w:tabs>
        <w:rPr>
          <w:rFonts w:eastAsiaTheme="minorEastAsia"/>
          <w:noProof/>
          <w:kern w:val="2"/>
          <w:sz w:val="24"/>
          <w:szCs w:val="24"/>
          <w14:ligatures w14:val="standardContextual"/>
        </w:rPr>
      </w:pPr>
      <w:hyperlink w:anchor="_Toc235104455" w:history="1">
        <w:r w:rsidRPr="00744679">
          <w:rPr>
            <w:rStyle w:val="Hyperlink"/>
            <w:noProof/>
          </w:rPr>
          <w:t>Financial and Asset Management</w:t>
        </w:r>
        <w:r>
          <w:rPr>
            <w:noProof/>
            <w:webHidden/>
          </w:rPr>
          <w:tab/>
        </w:r>
        <w:r>
          <w:rPr>
            <w:noProof/>
            <w:webHidden/>
          </w:rPr>
          <w:fldChar w:fldCharType="begin"/>
        </w:r>
        <w:r>
          <w:rPr>
            <w:noProof/>
            <w:webHidden/>
          </w:rPr>
          <w:instrText xml:space="preserve"> PAGEREF _Toc235104455 \h </w:instrText>
        </w:r>
        <w:r>
          <w:rPr>
            <w:noProof/>
            <w:webHidden/>
          </w:rPr>
        </w:r>
        <w:r>
          <w:rPr>
            <w:noProof/>
            <w:webHidden/>
          </w:rPr>
          <w:fldChar w:fldCharType="separate"/>
        </w:r>
        <w:r>
          <w:rPr>
            <w:noProof/>
            <w:webHidden/>
          </w:rPr>
          <w:t>60</w:t>
        </w:r>
        <w:r>
          <w:rPr>
            <w:noProof/>
            <w:webHidden/>
          </w:rPr>
          <w:fldChar w:fldCharType="end"/>
        </w:r>
      </w:hyperlink>
    </w:p>
    <w:p w14:paraId="02A79157" w14:textId="36273651" w:rsidR="006B2DA2" w:rsidRDefault="006B2DA2">
      <w:pPr>
        <w:pStyle w:val="TOC1"/>
        <w:tabs>
          <w:tab w:val="right" w:leader="dot" w:pos="9350"/>
        </w:tabs>
        <w:rPr>
          <w:rFonts w:eastAsiaTheme="minorEastAsia"/>
          <w:noProof/>
          <w:kern w:val="2"/>
          <w:sz w:val="24"/>
          <w:szCs w:val="24"/>
          <w14:ligatures w14:val="standardContextual"/>
        </w:rPr>
      </w:pPr>
      <w:hyperlink w:anchor="_Toc235104456" w:history="1">
        <w:r w:rsidRPr="00744679">
          <w:rPr>
            <w:rStyle w:val="Hyperlink"/>
            <w:noProof/>
          </w:rPr>
          <w:t>Appendix A. Summary of Site Visit Activities</w:t>
        </w:r>
        <w:r>
          <w:rPr>
            <w:noProof/>
            <w:webHidden/>
          </w:rPr>
          <w:tab/>
          <w:t>A-</w:t>
        </w:r>
        <w:r>
          <w:rPr>
            <w:noProof/>
            <w:webHidden/>
          </w:rPr>
          <w:fldChar w:fldCharType="begin"/>
        </w:r>
        <w:r>
          <w:rPr>
            <w:noProof/>
            <w:webHidden/>
          </w:rPr>
          <w:instrText xml:space="preserve"> PAGEREF _Toc235104456 \h </w:instrText>
        </w:r>
        <w:r>
          <w:rPr>
            <w:noProof/>
            <w:webHidden/>
          </w:rPr>
        </w:r>
        <w:r>
          <w:rPr>
            <w:noProof/>
            <w:webHidden/>
          </w:rPr>
          <w:fldChar w:fldCharType="separate"/>
        </w:r>
        <w:r>
          <w:rPr>
            <w:noProof/>
            <w:webHidden/>
          </w:rPr>
          <w:t>1</w:t>
        </w:r>
        <w:r>
          <w:rPr>
            <w:noProof/>
            <w:webHidden/>
          </w:rPr>
          <w:fldChar w:fldCharType="end"/>
        </w:r>
      </w:hyperlink>
    </w:p>
    <w:p w14:paraId="717F79AA" w14:textId="6B1E08D6" w:rsidR="006B2DA2" w:rsidRDefault="006B2DA2">
      <w:pPr>
        <w:pStyle w:val="TOC1"/>
        <w:tabs>
          <w:tab w:val="right" w:leader="dot" w:pos="9350"/>
        </w:tabs>
        <w:rPr>
          <w:rFonts w:eastAsiaTheme="minorEastAsia"/>
          <w:noProof/>
          <w:kern w:val="2"/>
          <w:sz w:val="24"/>
          <w:szCs w:val="24"/>
          <w14:ligatures w14:val="standardContextual"/>
        </w:rPr>
      </w:pPr>
      <w:hyperlink w:anchor="_Toc235104457" w:history="1">
        <w:r w:rsidRPr="00744679">
          <w:rPr>
            <w:rStyle w:val="Hyperlink"/>
            <w:noProof/>
          </w:rPr>
          <w:t>Appendix B. Districtwide Instructional Observation Report</w:t>
        </w:r>
        <w:r>
          <w:rPr>
            <w:noProof/>
            <w:webHidden/>
          </w:rPr>
          <w:tab/>
          <w:t>B-</w:t>
        </w:r>
        <w:r>
          <w:rPr>
            <w:noProof/>
            <w:webHidden/>
          </w:rPr>
          <w:fldChar w:fldCharType="begin"/>
        </w:r>
        <w:r>
          <w:rPr>
            <w:noProof/>
            <w:webHidden/>
          </w:rPr>
          <w:instrText xml:space="preserve"> PAGEREF _Toc235104457 \h </w:instrText>
        </w:r>
        <w:r>
          <w:rPr>
            <w:noProof/>
            <w:webHidden/>
          </w:rPr>
        </w:r>
        <w:r>
          <w:rPr>
            <w:noProof/>
            <w:webHidden/>
          </w:rPr>
          <w:fldChar w:fldCharType="separate"/>
        </w:r>
        <w:r>
          <w:rPr>
            <w:noProof/>
            <w:webHidden/>
          </w:rPr>
          <w:t>1</w:t>
        </w:r>
        <w:r>
          <w:rPr>
            <w:noProof/>
            <w:webHidden/>
          </w:rPr>
          <w:fldChar w:fldCharType="end"/>
        </w:r>
      </w:hyperlink>
    </w:p>
    <w:p w14:paraId="426B5E67" w14:textId="68FD1162" w:rsidR="006B2DA2" w:rsidRDefault="006B2DA2">
      <w:pPr>
        <w:pStyle w:val="TOC1"/>
        <w:tabs>
          <w:tab w:val="right" w:leader="dot" w:pos="9350"/>
        </w:tabs>
        <w:rPr>
          <w:rFonts w:eastAsiaTheme="minorEastAsia"/>
          <w:noProof/>
          <w:kern w:val="2"/>
          <w:sz w:val="24"/>
          <w:szCs w:val="24"/>
          <w14:ligatures w14:val="standardContextual"/>
        </w:rPr>
      </w:pPr>
      <w:hyperlink w:anchor="_Toc235104458" w:history="1">
        <w:r w:rsidRPr="00744679">
          <w:rPr>
            <w:rStyle w:val="Hyperlink"/>
            <w:noProof/>
          </w:rPr>
          <w:t>Appendix C. Resources to Support Implementation of DESE’s District Standards and Indicators</w:t>
        </w:r>
        <w:r>
          <w:rPr>
            <w:noProof/>
            <w:webHidden/>
          </w:rPr>
          <w:tab/>
          <w:t>C-</w:t>
        </w:r>
        <w:r>
          <w:rPr>
            <w:noProof/>
            <w:webHidden/>
          </w:rPr>
          <w:fldChar w:fldCharType="begin"/>
        </w:r>
        <w:r>
          <w:rPr>
            <w:noProof/>
            <w:webHidden/>
          </w:rPr>
          <w:instrText xml:space="preserve"> PAGEREF _Toc235104458 \h </w:instrText>
        </w:r>
        <w:r>
          <w:rPr>
            <w:noProof/>
            <w:webHidden/>
          </w:rPr>
        </w:r>
        <w:r>
          <w:rPr>
            <w:noProof/>
            <w:webHidden/>
          </w:rPr>
          <w:fldChar w:fldCharType="separate"/>
        </w:r>
        <w:r>
          <w:rPr>
            <w:noProof/>
            <w:webHidden/>
          </w:rPr>
          <w:t>1</w:t>
        </w:r>
        <w:r>
          <w:rPr>
            <w:noProof/>
            <w:webHidden/>
          </w:rPr>
          <w:fldChar w:fldCharType="end"/>
        </w:r>
      </w:hyperlink>
    </w:p>
    <w:p w14:paraId="2C1178B3" w14:textId="020F2C8C" w:rsidR="006B2DA2" w:rsidRDefault="006B2DA2">
      <w:pPr>
        <w:pStyle w:val="TOC1"/>
        <w:tabs>
          <w:tab w:val="right" w:leader="dot" w:pos="9350"/>
        </w:tabs>
        <w:rPr>
          <w:rFonts w:eastAsiaTheme="minorEastAsia"/>
          <w:noProof/>
          <w:kern w:val="2"/>
          <w:sz w:val="24"/>
          <w:szCs w:val="24"/>
          <w14:ligatures w14:val="standardContextual"/>
        </w:rPr>
      </w:pPr>
      <w:hyperlink w:anchor="_Toc235104459" w:history="1">
        <w:r w:rsidRPr="00744679">
          <w:rPr>
            <w:rStyle w:val="Hyperlink"/>
            <w:noProof/>
          </w:rPr>
          <w:t>Appendix D. Enrollment, Attendance, Expenditures</w:t>
        </w:r>
        <w:r>
          <w:rPr>
            <w:noProof/>
            <w:webHidden/>
          </w:rPr>
          <w:tab/>
          <w:t>D-</w:t>
        </w:r>
        <w:r>
          <w:rPr>
            <w:noProof/>
            <w:webHidden/>
          </w:rPr>
          <w:fldChar w:fldCharType="begin"/>
        </w:r>
        <w:r>
          <w:rPr>
            <w:noProof/>
            <w:webHidden/>
          </w:rPr>
          <w:instrText xml:space="preserve"> PAGEREF _Toc235104459 \h </w:instrText>
        </w:r>
        <w:r>
          <w:rPr>
            <w:noProof/>
            <w:webHidden/>
          </w:rPr>
        </w:r>
        <w:r>
          <w:rPr>
            <w:noProof/>
            <w:webHidden/>
          </w:rPr>
          <w:fldChar w:fldCharType="separate"/>
        </w:r>
        <w:r>
          <w:rPr>
            <w:noProof/>
            <w:webHidden/>
          </w:rPr>
          <w:t>1</w:t>
        </w:r>
        <w:r>
          <w:rPr>
            <w:noProof/>
            <w:webHidden/>
          </w:rPr>
          <w:fldChar w:fldCharType="end"/>
        </w:r>
      </w:hyperlink>
    </w:p>
    <w:p w14:paraId="3550385B" w14:textId="1D55A27C" w:rsidR="006B2DA2" w:rsidRDefault="006B2DA2">
      <w:pPr>
        <w:pStyle w:val="TOC1"/>
        <w:tabs>
          <w:tab w:val="right" w:leader="dot" w:pos="9350"/>
        </w:tabs>
        <w:rPr>
          <w:rFonts w:eastAsiaTheme="minorEastAsia"/>
          <w:noProof/>
          <w:kern w:val="2"/>
          <w:sz w:val="24"/>
          <w:szCs w:val="24"/>
          <w14:ligatures w14:val="standardContextual"/>
        </w:rPr>
      </w:pPr>
      <w:hyperlink w:anchor="_Toc235104460" w:history="1">
        <w:r w:rsidRPr="00744679">
          <w:rPr>
            <w:rStyle w:val="Hyperlink"/>
            <w:noProof/>
          </w:rPr>
          <w:t>Appendix E. Brockton Public Schools: Student Performance Data</w:t>
        </w:r>
        <w:r>
          <w:rPr>
            <w:noProof/>
            <w:webHidden/>
          </w:rPr>
          <w:tab/>
          <w:t>E-</w:t>
        </w:r>
        <w:r>
          <w:rPr>
            <w:noProof/>
            <w:webHidden/>
          </w:rPr>
          <w:fldChar w:fldCharType="begin"/>
        </w:r>
        <w:r>
          <w:rPr>
            <w:noProof/>
            <w:webHidden/>
          </w:rPr>
          <w:instrText xml:space="preserve"> PAGEREF _Toc235104460 \h </w:instrText>
        </w:r>
        <w:r>
          <w:rPr>
            <w:noProof/>
            <w:webHidden/>
          </w:rPr>
        </w:r>
        <w:r>
          <w:rPr>
            <w:noProof/>
            <w:webHidden/>
          </w:rPr>
          <w:fldChar w:fldCharType="separate"/>
        </w:r>
        <w:r>
          <w:rPr>
            <w:noProof/>
            <w:webHidden/>
          </w:rPr>
          <w:t>1</w:t>
        </w:r>
        <w:r>
          <w:rPr>
            <w:noProof/>
            <w:webHidden/>
          </w:rPr>
          <w:fldChar w:fldCharType="end"/>
        </w:r>
      </w:hyperlink>
    </w:p>
    <w:p w14:paraId="47E28774" w14:textId="618EBFEA" w:rsidR="008E314D" w:rsidRPr="00CB0607" w:rsidRDefault="002E7525" w:rsidP="00915844">
      <w:pPr>
        <w:pStyle w:val="BodyText"/>
      </w:pPr>
      <w:r w:rsidRPr="00CB0607">
        <w:fldChar w:fldCharType="end"/>
      </w:r>
      <w:r w:rsidR="008E314D" w:rsidRPr="00CB0607">
        <w:br w:type="page"/>
      </w:r>
    </w:p>
    <w:p w14:paraId="58733E23" w14:textId="4B0C8D8E" w:rsidR="008E314D" w:rsidRPr="00CB0607" w:rsidRDefault="002A28B1" w:rsidP="0066116F">
      <w:pPr>
        <w:tabs>
          <w:tab w:val="right" w:pos="9360"/>
        </w:tabs>
      </w:pPr>
      <w:r>
        <w:rPr>
          <w:noProof/>
        </w:rPr>
        <w:lastRenderedPageBreak/>
        <w:drawing>
          <wp:inline distT="0" distB="0" distL="0" distR="0" wp14:anchorId="7B796C6B" wp14:editId="0082A09B">
            <wp:extent cx="2375064" cy="1416699"/>
            <wp:effectExtent l="0" t="0" r="6350" b="0"/>
            <wp:docPr id="1" name="Picture 1" descr="dese logo; Massachusetts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e logo; Massachusetts Department of Elementary and Secondary Educ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1174" cy="1450168"/>
                    </a:xfrm>
                    <a:prstGeom prst="rect">
                      <a:avLst/>
                    </a:prstGeom>
                    <a:noFill/>
                    <a:ln>
                      <a:noFill/>
                    </a:ln>
                  </pic:spPr>
                </pic:pic>
              </a:graphicData>
            </a:graphic>
          </wp:inline>
        </w:drawing>
      </w:r>
      <w:r w:rsidR="0066116F">
        <w:tab/>
      </w:r>
      <w:r w:rsidR="00457876">
        <w:rPr>
          <w:noProof/>
        </w:rPr>
        <w:drawing>
          <wp:inline distT="0" distB="0" distL="0" distR="0" wp14:anchorId="700AC5DB" wp14:editId="2D29091D">
            <wp:extent cx="2585085" cy="1291590"/>
            <wp:effectExtent l="0" t="0" r="5715" b="3810"/>
            <wp:docPr id="9" name="Picture 9" descr="American Institutes for Research Logo. Advancing Evidence. Improving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merican Institutes for Research Logo. Advancing Evidence. Improving Li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5085" cy="1291590"/>
                    </a:xfrm>
                    <a:prstGeom prst="rect">
                      <a:avLst/>
                    </a:prstGeom>
                    <a:noFill/>
                    <a:ln>
                      <a:noFill/>
                    </a:ln>
                  </pic:spPr>
                </pic:pic>
              </a:graphicData>
            </a:graphic>
          </wp:inline>
        </w:drawing>
      </w:r>
    </w:p>
    <w:p w14:paraId="4CA558EE" w14:textId="77777777" w:rsidR="005E5520" w:rsidRPr="00CB0607" w:rsidRDefault="005E5520" w:rsidP="005E5520">
      <w:pPr>
        <w:pStyle w:val="BodyText"/>
        <w:jc w:val="center"/>
      </w:pPr>
      <w:r w:rsidRPr="00CB0607">
        <w:t>This document was prepared by the American Institutes for Research, in collaboration with the</w:t>
      </w:r>
      <w:r w:rsidRPr="00CB0607">
        <w:br/>
        <w:t>Massachusetts Department of Elementary and Secondary Education</w:t>
      </w:r>
    </w:p>
    <w:p w14:paraId="7E519207" w14:textId="77777777" w:rsidR="005E5520" w:rsidRPr="00CB0607" w:rsidRDefault="005E5520" w:rsidP="005E5520">
      <w:pPr>
        <w:tabs>
          <w:tab w:val="left" w:pos="360"/>
          <w:tab w:val="left" w:pos="720"/>
          <w:tab w:val="left" w:pos="1080"/>
          <w:tab w:val="left" w:pos="1440"/>
          <w:tab w:val="left" w:pos="1800"/>
          <w:tab w:val="left" w:pos="2160"/>
          <w:tab w:val="left" w:pos="2520"/>
          <w:tab w:val="left" w:pos="2880"/>
        </w:tabs>
        <w:spacing w:before="240" w:line="240" w:lineRule="auto"/>
        <w:jc w:val="center"/>
      </w:pPr>
      <w:r>
        <w:t>Pedro Martinez</w:t>
      </w:r>
    </w:p>
    <w:p w14:paraId="1A5C0225" w14:textId="77777777" w:rsidR="005E5520" w:rsidRPr="00CB0607" w:rsidRDefault="005E5520" w:rsidP="005E5520">
      <w:pPr>
        <w:tabs>
          <w:tab w:val="left" w:pos="360"/>
          <w:tab w:val="left" w:pos="720"/>
          <w:tab w:val="left" w:pos="1080"/>
          <w:tab w:val="left" w:pos="1440"/>
          <w:tab w:val="left" w:pos="1800"/>
          <w:tab w:val="left" w:pos="2160"/>
          <w:tab w:val="left" w:pos="2520"/>
          <w:tab w:val="left" w:pos="2880"/>
        </w:tabs>
        <w:spacing w:line="240" w:lineRule="auto"/>
        <w:jc w:val="center"/>
      </w:pPr>
      <w:r>
        <w:t>Commissioner</w:t>
      </w:r>
    </w:p>
    <w:p w14:paraId="56CAF29F" w14:textId="28085BB6" w:rsidR="005E5520" w:rsidRPr="00C501A2" w:rsidRDefault="005E5520" w:rsidP="005E5520">
      <w:pPr>
        <w:tabs>
          <w:tab w:val="left" w:pos="360"/>
          <w:tab w:val="left" w:pos="720"/>
          <w:tab w:val="left" w:pos="1080"/>
          <w:tab w:val="left" w:pos="1440"/>
          <w:tab w:val="left" w:pos="1800"/>
          <w:tab w:val="left" w:pos="2160"/>
          <w:tab w:val="left" w:pos="2520"/>
          <w:tab w:val="left" w:pos="2880"/>
        </w:tabs>
        <w:spacing w:after="240"/>
        <w:jc w:val="center"/>
        <w:rPr>
          <w:rStyle w:val="bold"/>
          <w:highlight w:val="yellow"/>
        </w:rPr>
      </w:pPr>
      <w:r w:rsidRPr="00A61930">
        <w:rPr>
          <w:rStyle w:val="bold"/>
        </w:rPr>
        <w:t xml:space="preserve">Published </w:t>
      </w:r>
      <w:r w:rsidR="00FD55EB">
        <w:rPr>
          <w:rStyle w:val="bold"/>
        </w:rPr>
        <w:t>August</w:t>
      </w:r>
      <w:r w:rsidRPr="00A61930">
        <w:rPr>
          <w:rStyle w:val="bold"/>
        </w:rPr>
        <w:t xml:space="preserve"> </w:t>
      </w:r>
      <w:r w:rsidR="00423558" w:rsidRPr="00A61930">
        <w:rPr>
          <w:rStyle w:val="bold"/>
        </w:rPr>
        <w:t>202</w:t>
      </w:r>
      <w:r w:rsidR="00423558" w:rsidRPr="00423558">
        <w:rPr>
          <w:rStyle w:val="bold"/>
        </w:rPr>
        <w:t>6</w:t>
      </w:r>
    </w:p>
    <w:p w14:paraId="42CAABE8" w14:textId="77777777" w:rsidR="005E5520" w:rsidRPr="00CB0607" w:rsidRDefault="005E5520" w:rsidP="005E5520">
      <w:pPr>
        <w:pStyle w:val="BodyText"/>
        <w:jc w:val="center"/>
      </w:pPr>
      <w:r w:rsidRPr="00CB0607">
        <w:t xml:space="preserve">The Massachusetts Department of Elementary and Secondary Education, an affirmative action employer, is committed to ensuring that all of its programs and facilities are accessible to all members of the public. We do not discriminate on the basis of age, color, disability, national origin, race, religion, sex, gender identity, or sexual orientation. Inquiries regarding the Department’s compliance with Title IX and other civil rights laws may be directed to the Human Resources Director, </w:t>
      </w:r>
      <w:r>
        <w:rPr>
          <w:snapToGrid w:val="0"/>
        </w:rPr>
        <w:t>135 Santilli Highway</w:t>
      </w:r>
      <w:r w:rsidRPr="00CB0607">
        <w:t xml:space="preserve">, </w:t>
      </w:r>
      <w:r>
        <w:t>Everett</w:t>
      </w:r>
      <w:r w:rsidRPr="00CB0607">
        <w:t>, MA 0214</w:t>
      </w:r>
      <w:r>
        <w:t>9</w:t>
      </w:r>
      <w:r w:rsidRPr="00CB0607">
        <w:t>. Phone: 781-338-6105.</w:t>
      </w:r>
    </w:p>
    <w:p w14:paraId="7431BD91" w14:textId="7D91523B" w:rsidR="005E5520" w:rsidRPr="00CB0607" w:rsidRDefault="005E5520" w:rsidP="005E5520">
      <w:pPr>
        <w:pStyle w:val="BodyText"/>
        <w:jc w:val="center"/>
      </w:pPr>
      <w:r w:rsidRPr="00CB0607">
        <w:t>© 202</w:t>
      </w:r>
      <w:r>
        <w:t>6</w:t>
      </w:r>
      <w:r w:rsidRPr="00CB0607">
        <w:t xml:space="preserve"> Massachusetts Department of Elementary and Secondary Education</w:t>
      </w:r>
    </w:p>
    <w:p w14:paraId="33425F29" w14:textId="77777777" w:rsidR="005E5520" w:rsidRPr="0066116F" w:rsidRDefault="005E5520" w:rsidP="005E5520">
      <w:pPr>
        <w:pStyle w:val="BodyTextposthead"/>
        <w:spacing w:before="240"/>
        <w:jc w:val="center"/>
        <w:rPr>
          <w:i/>
          <w:iCs/>
          <w:spacing w:val="-4"/>
        </w:rPr>
      </w:pPr>
      <w:r w:rsidRPr="0066116F">
        <w:rPr>
          <w:i/>
          <w:iCs/>
          <w:spacing w:val="-4"/>
        </w:rPr>
        <w:t>Permission is hereby granted to copy any or all parts of this document for non-commercial educational</w:t>
      </w:r>
      <w:r>
        <w:rPr>
          <w:i/>
          <w:iCs/>
          <w:spacing w:val="-4"/>
        </w:rPr>
        <w:t> </w:t>
      </w:r>
      <w:r w:rsidRPr="0066116F">
        <w:rPr>
          <w:i/>
          <w:iCs/>
          <w:spacing w:val="-4"/>
        </w:rPr>
        <w:t>purposes. Please credit the “Massachusetts Department of Elementary and Secondary</w:t>
      </w:r>
      <w:r>
        <w:rPr>
          <w:i/>
          <w:iCs/>
          <w:spacing w:val="-4"/>
        </w:rPr>
        <w:t> </w:t>
      </w:r>
      <w:r w:rsidRPr="0066116F">
        <w:rPr>
          <w:i/>
          <w:iCs/>
          <w:spacing w:val="-4"/>
        </w:rPr>
        <w:t>Education.”</w:t>
      </w:r>
    </w:p>
    <w:p w14:paraId="09993608" w14:textId="61868EA3" w:rsidR="008E314D" w:rsidRPr="00CB0607" w:rsidRDefault="008E314D" w:rsidP="008E314D">
      <w:pPr>
        <w:tabs>
          <w:tab w:val="left" w:pos="360"/>
          <w:tab w:val="left" w:pos="720"/>
          <w:tab w:val="left" w:pos="1080"/>
          <w:tab w:val="left" w:pos="1440"/>
          <w:tab w:val="left" w:pos="1800"/>
          <w:tab w:val="left" w:pos="2160"/>
          <w:tab w:val="left" w:pos="2520"/>
          <w:tab w:val="left" w:pos="2880"/>
        </w:tabs>
        <w:jc w:val="center"/>
        <w:sectPr w:rsidR="008E314D" w:rsidRPr="00CB0607" w:rsidSect="00D67AD2">
          <w:headerReference w:type="default" r:id="rId17"/>
          <w:footerReference w:type="default" r:id="rId18"/>
          <w:footerReference w:type="first" r:id="rId19"/>
          <w:endnotePr>
            <w:numFmt w:val="decimal"/>
          </w:endnotePr>
          <w:pgSz w:w="12240" w:h="15840"/>
          <w:pgMar w:top="1440" w:right="1440" w:bottom="1440" w:left="1440" w:header="1440" w:footer="720" w:gutter="0"/>
          <w:pgNumType w:start="1"/>
          <w:cols w:space="720"/>
          <w:noEndnote/>
          <w:titlePg/>
          <w:docGrid w:linePitch="326"/>
        </w:sectPr>
      </w:pPr>
    </w:p>
    <w:p w14:paraId="0B641F30" w14:textId="77777777" w:rsidR="008D6102" w:rsidRPr="00CB0607" w:rsidRDefault="008D6102" w:rsidP="0046023A">
      <w:pPr>
        <w:pStyle w:val="Heading2"/>
      </w:pPr>
      <w:bookmarkStart w:id="1" w:name="_Toc101446225"/>
      <w:bookmarkStart w:id="2" w:name="_Toc235104373"/>
      <w:bookmarkStart w:id="3" w:name="_Toc235104448"/>
      <w:bookmarkStart w:id="4" w:name="_Toc350870260"/>
      <w:bookmarkStart w:id="5" w:name="_Toc273777167"/>
      <w:bookmarkStart w:id="6" w:name="_Toc277066425"/>
      <w:bookmarkStart w:id="7" w:name="_Toc337817149"/>
      <w:bookmarkStart w:id="8" w:name="_Toc101878649"/>
      <w:r w:rsidRPr="00CB0607">
        <w:lastRenderedPageBreak/>
        <w:t xml:space="preserve">Executive </w:t>
      </w:r>
      <w:r w:rsidRPr="0046023A">
        <w:t>Summary</w:t>
      </w:r>
      <w:bookmarkEnd w:id="1"/>
      <w:bookmarkEnd w:id="2"/>
      <w:bookmarkEnd w:id="3"/>
    </w:p>
    <w:p w14:paraId="0C1D0C0A" w14:textId="635BCBE6" w:rsidR="007B718B" w:rsidRPr="007B718B" w:rsidRDefault="000B1DD2" w:rsidP="007319AA">
      <w:pPr>
        <w:pStyle w:val="BodyTextposthead"/>
      </w:pPr>
      <w:bookmarkStart w:id="9" w:name="_Hlk40937737"/>
      <w:bookmarkStart w:id="10" w:name="_Toc104552856"/>
      <w:bookmarkEnd w:id="4"/>
      <w:r w:rsidRPr="00CB0607">
        <w:t xml:space="preserve">In accordance with Massachusetts state law, the Massachusetts Department of Elementary and Secondary Education (DESE) contracted with </w:t>
      </w:r>
      <w:r w:rsidR="0054101D" w:rsidRPr="00CB0607">
        <w:t xml:space="preserve">the </w:t>
      </w:r>
      <w:r w:rsidRPr="00CB0607">
        <w:t>American Institutes for Research</w:t>
      </w:r>
      <w:r w:rsidR="0054101D" w:rsidRPr="00CB0607">
        <w:rPr>
          <w:rFonts w:ascii="Franklin Gothic Book" w:hAnsi="Franklin Gothic Book" w:cs="Calibri"/>
          <w:vertAlign w:val="superscript"/>
        </w:rPr>
        <w:t>®</w:t>
      </w:r>
      <w:r w:rsidRPr="00CB0607">
        <w:t xml:space="preserve"> (AIR</w:t>
      </w:r>
      <w:r w:rsidR="0054101D" w:rsidRPr="00CB0607">
        <w:rPr>
          <w:rFonts w:ascii="Franklin Gothic Book" w:hAnsi="Franklin Gothic Book" w:cs="Calibri"/>
          <w:vertAlign w:val="superscript"/>
        </w:rPr>
        <w:t>®</w:t>
      </w:r>
      <w:r w:rsidRPr="00CB0607">
        <w:t xml:space="preserve">) to conduct a comprehensive review of </w:t>
      </w:r>
      <w:r w:rsidR="00F043E1">
        <w:t>Brockton</w:t>
      </w:r>
      <w:r w:rsidR="00B454E6">
        <w:t xml:space="preserve"> Public Schools</w:t>
      </w:r>
      <w:r w:rsidRPr="00CB0607">
        <w:t xml:space="preserve"> (</w:t>
      </w:r>
      <w:r w:rsidR="0054101D" w:rsidRPr="00CB0607">
        <w:t xml:space="preserve">hereafter, </w:t>
      </w:r>
      <w:r w:rsidR="00B454E6">
        <w:t>Brockton</w:t>
      </w:r>
      <w:r w:rsidRPr="00CB0607">
        <w:t xml:space="preserve">) in </w:t>
      </w:r>
      <w:r w:rsidR="00F043E1">
        <w:t>March</w:t>
      </w:r>
      <w:r w:rsidRPr="00CB0607">
        <w:t xml:space="preserve"> 20</w:t>
      </w:r>
      <w:r w:rsidR="003F28AA" w:rsidRPr="003F28AA">
        <w:t>2</w:t>
      </w:r>
      <w:r w:rsidR="00F043E1">
        <w:t>6</w:t>
      </w:r>
      <w:r w:rsidRPr="00CB0607">
        <w:t xml:space="preserve">. Data collection activities associated with the review </w:t>
      </w:r>
      <w:r w:rsidR="02F46E2F" w:rsidRPr="168806D2">
        <w:rPr>
          <w:rFonts w:ascii="Franklin Gothic Book" w:eastAsia="Franklin Gothic Book" w:hAnsi="Franklin Gothic Book" w:cs="Franklin Gothic Book"/>
        </w:rPr>
        <w:t>included interviews, focus groups, and document reviews and were</w:t>
      </w:r>
      <w:r w:rsidR="02F46E2F" w:rsidRPr="168806D2">
        <w:t xml:space="preserve"> </w:t>
      </w:r>
      <w:r w:rsidR="00DE09E1">
        <w:t>designed to understand</w:t>
      </w:r>
      <w:r w:rsidRPr="00CB0607">
        <w:t xml:space="preserve"> how </w:t>
      </w:r>
      <w:r w:rsidR="00B47B03">
        <w:t>districts</w:t>
      </w:r>
      <w:r w:rsidRPr="00CB0607">
        <w:t xml:space="preserve"> operate in support of continuous improvement efforts. The review focused on the six standards (and </w:t>
      </w:r>
      <w:r w:rsidRPr="007319AA">
        <w:t>related</w:t>
      </w:r>
      <w:r w:rsidRPr="00CB0607">
        <w:t xml:space="preserve"> indicators) that DESE has identified as being important components of district effectiveness.</w:t>
      </w:r>
      <w:r w:rsidR="007B718B">
        <w:t xml:space="preserve"> The resulting report </w:t>
      </w:r>
      <w:r w:rsidR="007B718B" w:rsidRPr="007B718B">
        <w:t>provide</w:t>
      </w:r>
      <w:r w:rsidR="002F7904">
        <w:t>s</w:t>
      </w:r>
      <w:r w:rsidR="007E4538">
        <w:t xml:space="preserve"> an in-depth look at district </w:t>
      </w:r>
      <w:r w:rsidR="00D97DA0">
        <w:t xml:space="preserve">systems, </w:t>
      </w:r>
      <w:r w:rsidR="00C612B4">
        <w:t>policies</w:t>
      </w:r>
      <w:r w:rsidR="00D97DA0">
        <w:t xml:space="preserve">, and practices and includes </w:t>
      </w:r>
      <w:r w:rsidR="00D97DA0" w:rsidRPr="007B718B">
        <w:t>recommendations</w:t>
      </w:r>
      <w:r w:rsidR="007B718B" w:rsidRPr="007B718B">
        <w:t xml:space="preserve"> </w:t>
      </w:r>
      <w:r w:rsidR="002F7904">
        <w:t>to</w:t>
      </w:r>
      <w:r w:rsidR="007B718B" w:rsidRPr="007B718B">
        <w:t xml:space="preserve"> promote systemic improvements and advance equitable student outcomes and experiences.</w:t>
      </w:r>
      <w:r w:rsidR="0011663D">
        <w:rPr>
          <w:rStyle w:val="FootnoteReference"/>
        </w:rPr>
        <w:footnoteReference w:id="2"/>
      </w:r>
    </w:p>
    <w:p w14:paraId="43370417" w14:textId="24559C83" w:rsidR="0046023A" w:rsidRDefault="18845F70" w:rsidP="007319AA">
      <w:pPr>
        <w:pStyle w:val="BodyText"/>
      </w:pPr>
      <w:r w:rsidRPr="168806D2">
        <w:rPr>
          <w:rFonts w:ascii="Franklin Gothic Book" w:eastAsia="Franklin Gothic Book" w:hAnsi="Franklin Gothic Book" w:cs="Franklin Gothic Book"/>
        </w:rPr>
        <w:t xml:space="preserve">In addition, </w:t>
      </w:r>
      <w:r w:rsidR="004F1506">
        <w:rPr>
          <w:rFonts w:ascii="Franklin Gothic Book" w:eastAsia="Franklin Gothic Book" w:hAnsi="Franklin Gothic Book" w:cs="Franklin Gothic Book"/>
        </w:rPr>
        <w:t>seven</w:t>
      </w:r>
      <w:r w:rsidR="008672D4" w:rsidRPr="00CB0607">
        <w:t xml:space="preserve"> observers</w:t>
      </w:r>
      <w:r w:rsidR="00B454E6">
        <w:t xml:space="preserve"> visited Brockton </w:t>
      </w:r>
      <w:r w:rsidR="00B454E6" w:rsidRPr="168806D2">
        <w:rPr>
          <w:rFonts w:ascii="Franklin Gothic Book" w:eastAsia="Franklin Gothic Book" w:hAnsi="Franklin Gothic Book" w:cs="Franklin Gothic Book"/>
        </w:rPr>
        <w:t>to collect data on instructional practices</w:t>
      </w:r>
      <w:r w:rsidR="008672D4" w:rsidRPr="00CB0607">
        <w:t xml:space="preserve"> in classroom</w:t>
      </w:r>
      <w:r w:rsidR="00B454E6">
        <w:t>s</w:t>
      </w:r>
      <w:r w:rsidR="008672D4" w:rsidRPr="00CB0607">
        <w:t xml:space="preserve"> during the week of </w:t>
      </w:r>
      <w:r w:rsidR="00E25436">
        <w:t>March 16, 2026</w:t>
      </w:r>
      <w:r w:rsidR="008672D4" w:rsidRPr="00CB0607">
        <w:t xml:space="preserve">. The observers conducted </w:t>
      </w:r>
      <w:r w:rsidR="00E25436">
        <w:t>173</w:t>
      </w:r>
      <w:r w:rsidR="008672D4" w:rsidRPr="00CB0607">
        <w:t xml:space="preserve"> observations in a sample of classrooms across grade levels, focused </w:t>
      </w:r>
      <w:r w:rsidR="007D2F6E">
        <w:t xml:space="preserve">primarily </w:t>
      </w:r>
      <w:r w:rsidR="008672D4" w:rsidRPr="00CB0607">
        <w:t xml:space="preserve">on literacy, </w:t>
      </w:r>
      <w:r w:rsidR="008672D4">
        <w:t>English language arts (</w:t>
      </w:r>
      <w:r w:rsidR="008672D4" w:rsidRPr="00CB0607">
        <w:t>ELA</w:t>
      </w:r>
      <w:r w:rsidR="008672D4">
        <w:t>)</w:t>
      </w:r>
      <w:r w:rsidR="008672D4" w:rsidRPr="00CB0607">
        <w:t xml:space="preserve">, and mathematics. </w:t>
      </w:r>
      <w:r w:rsidR="00B454E6">
        <w:t>The observers used t</w:t>
      </w:r>
      <w:r w:rsidR="008672D4" w:rsidRPr="00CB0607">
        <w:t>he Teachstone Classroom Assessment Scoring System (CLASS) protocol, developed by the Center for Advanced Study of Teaching and Learning at the University of Virginia,</w:t>
      </w:r>
      <w:r w:rsidR="008672D4" w:rsidRPr="00CB0607">
        <w:rPr>
          <w:rStyle w:val="FootnoteReference"/>
        </w:rPr>
        <w:footnoteReference w:id="3"/>
      </w:r>
      <w:r w:rsidR="008672D4" w:rsidRPr="00CB0607">
        <w:t xml:space="preserve"> </w:t>
      </w:r>
      <w:r w:rsidR="00B454E6">
        <w:t xml:space="preserve">which </w:t>
      </w:r>
      <w:r w:rsidR="008672D4" w:rsidRPr="00CB0607">
        <w:t xml:space="preserve">guided all classroom observations in the district. These </w:t>
      </w:r>
      <w:r w:rsidR="00B454E6">
        <w:t>observers</w:t>
      </w:r>
      <w:r w:rsidR="008672D4" w:rsidRPr="00CB0607">
        <w:t xml:space="preserve"> </w:t>
      </w:r>
      <w:r w:rsidR="00B454E6">
        <w:t>followed</w:t>
      </w:r>
      <w:r w:rsidR="008672D4" w:rsidRPr="00CB0607">
        <w:t xml:space="preserve"> the three grade-band levels of the CLASS protocols: </w:t>
      </w:r>
      <w:r w:rsidR="004626CE">
        <w:t>P</w:t>
      </w:r>
      <w:r w:rsidR="008672D4" w:rsidRPr="00CB0607">
        <w:t>K-3, Upper Elementary (4</w:t>
      </w:r>
      <w:r w:rsidR="007319AA">
        <w:noBreakHyphen/>
      </w:r>
      <w:r w:rsidR="008672D4" w:rsidRPr="00CB0607">
        <w:t>5), and Secondary (6</w:t>
      </w:r>
      <w:r w:rsidR="008672D4" w:rsidRPr="00CB0607">
        <w:noBreakHyphen/>
        <w:t>12)</w:t>
      </w:r>
      <w:r w:rsidR="0046023A">
        <w:t>.</w:t>
      </w:r>
    </w:p>
    <w:p w14:paraId="294F0C09" w14:textId="0A9CFA32" w:rsidR="000B1DD2" w:rsidRPr="007319AA" w:rsidRDefault="000B1DD2" w:rsidP="007319AA">
      <w:pPr>
        <w:pStyle w:val="Heading3"/>
        <w:rPr>
          <w:rStyle w:val="Hyperlink"/>
          <w:color w:val="2F5496" w:themeColor="accent5" w:themeShade="BF"/>
          <w:u w:val="none"/>
        </w:rPr>
      </w:pPr>
      <w:hyperlink w:anchor="_Leadership_and_Governance" w:history="1">
        <w:r w:rsidRPr="007319AA">
          <w:rPr>
            <w:rStyle w:val="Hyperlink"/>
            <w:color w:val="2F5496" w:themeColor="accent5" w:themeShade="BF"/>
            <w:u w:val="none"/>
          </w:rPr>
          <w:t>Leadership and Governance</w:t>
        </w:r>
      </w:hyperlink>
    </w:p>
    <w:p w14:paraId="6BA10540" w14:textId="35062569" w:rsidR="00EF2874" w:rsidRPr="00925D3B" w:rsidRDefault="00EF2874" w:rsidP="00A01D92">
      <w:pPr>
        <w:pStyle w:val="BodyText"/>
        <w:rPr>
          <w:rFonts w:ascii="Franklin Gothic Book" w:hAnsi="Franklin Gothic Book"/>
        </w:rPr>
      </w:pPr>
      <w:r w:rsidRPr="00FA0456">
        <w:rPr>
          <w:rStyle w:val="BodyTextChar"/>
        </w:rPr>
        <w:t>Brockton demonstrates strong governance and a leadership system that translates district priorities into building-level practice. The school committee maintains a clear separation between governance and operations and distributes its work through an active subcommittee structure, spanning negotiations, curriculum, accounts, policy, and a social-emotional learning and wellness subcommittee that was reactivated in direct response to student concerns about climate and bullying. Committee members and the superintendent described a collaborative, information-rich working relationship marked by improved budget transparency relative to prior administrations. District leadership is anchored by a District Leadership Team that meets weekly as the primary planning and coordination hub</w:t>
      </w:r>
      <w:r w:rsidR="00E03EED" w:rsidRPr="00FA0456">
        <w:rPr>
          <w:rStyle w:val="BodyTextChar"/>
        </w:rPr>
        <w:t xml:space="preserve">. This team </w:t>
      </w:r>
      <w:r w:rsidRPr="00FA0456">
        <w:rPr>
          <w:rStyle w:val="BodyTextChar"/>
        </w:rPr>
        <w:t>connects to schools through recurring, level-based principal meetings, a District Instructional Leadership Team, and school-based Proficiency Commitment Leadership Teams (PCLTs) that distribute leadership and elevate teacher voice, supported by shared data folders and prepared materials that keep messaging consistent across buildings. School improvement plans, anchored in a mission that leaders describe as the district's "north star," are aligned to district priorities, organized around measurable goals, and monitored through PCLT routines and a structured walkthrough system that creates a feedback loop reaching from classrooms to principals to central office. The district has also made documented progress rebuilding trust with the school committee, municipal government, and state oversight partners following a 2023 budget deficit</w:t>
      </w:r>
      <w:r w:rsidR="002202D5" w:rsidRPr="00FA0456">
        <w:rPr>
          <w:rStyle w:val="BodyTextChar"/>
        </w:rPr>
        <w:t>. These efforts are</w:t>
      </w:r>
      <w:r>
        <w:rPr>
          <w:rFonts w:ascii="Franklin Gothic Book" w:hAnsi="Franklin Gothic Book"/>
        </w:rPr>
        <w:t xml:space="preserve"> </w:t>
      </w:r>
      <w:r w:rsidRPr="00925D3B">
        <w:rPr>
          <w:rFonts w:ascii="Franklin Gothic Book" w:hAnsi="Franklin Gothic Book"/>
        </w:rPr>
        <w:t xml:space="preserve">grounded in financial transparency tools such as monthly year-to-date budget reports and a public Open Checkbook, sustained follow-through on </w:t>
      </w:r>
      <w:r w:rsidRPr="00925D3B">
        <w:rPr>
          <w:rFonts w:ascii="Franklin Gothic Book" w:hAnsi="Franklin Gothic Book"/>
        </w:rPr>
        <w:lastRenderedPageBreak/>
        <w:t>operational reforms, regular labor-management engagement with the Brockton Education Association, and responsiveness to community concerns, including a partnership with a local Haitian community center on inclusive practices.</w:t>
      </w:r>
    </w:p>
    <w:p w14:paraId="69344363" w14:textId="54D28014" w:rsidR="00EF2874" w:rsidRPr="00925D3B" w:rsidRDefault="00EF2874" w:rsidP="00A01D92">
      <w:pPr>
        <w:pStyle w:val="BodyText"/>
      </w:pPr>
      <w:r w:rsidRPr="00925D3B">
        <w:t>The district has several areas for growth that temper these strengths. Committee members themselves acknowledged uneven internal cohesion, citing variation in member engagement and difficulty moving from disagreement to coordinated action, and the committee does not yet operate under a formal, documented policy review process specifying timelines, cycle frequency, and criteria for revision. Although multiple parent advisory structures exist, families across five language communities</w:t>
      </w:r>
      <w:r>
        <w:rPr>
          <w:rFonts w:ascii="Franklin Gothic Book" w:hAnsi="Franklin Gothic Book"/>
        </w:rPr>
        <w:t xml:space="preserve">, </w:t>
      </w:r>
      <w:r w:rsidRPr="00925D3B">
        <w:rPr>
          <w:rFonts w:ascii="Franklin Gothic Book" w:hAnsi="Franklin Gothic Book"/>
        </w:rPr>
        <w:t>English, Cape Verdean Creole, Haitian Creole, Portuguese, and Spanish</w:t>
      </w:r>
      <w:r>
        <w:rPr>
          <w:rFonts w:ascii="Franklin Gothic Book" w:hAnsi="Franklin Gothic Book"/>
        </w:rPr>
        <w:t xml:space="preserve">, </w:t>
      </w:r>
      <w:r w:rsidRPr="00925D3B">
        <w:rPr>
          <w:rFonts w:ascii="Franklin Gothic Book" w:hAnsi="Franklin Gothic Book"/>
        </w:rPr>
        <w:t>described limited awareness of and access to them, a systemic gap compounded by the elimination of the district's parent engagement specialist role and an erosion of trust since the pandemic. The district's monitoring infrastructure, while well developed, is not yet consistently enacted across all schools and program areas, with leaders acknowledging that systems are still being refined and principals reporting wide variation in how monitoring expectations are applied. Improvement progress is likewise not communicated to families in a regular, accessible, or structured way. More broadly, developing a proactive, districtwide approach to stakeholder engagement</w:t>
      </w:r>
      <w:r>
        <w:rPr>
          <w:rFonts w:ascii="Franklin Gothic Book" w:hAnsi="Franklin Gothic Book"/>
        </w:rPr>
        <w:t xml:space="preserve">, </w:t>
      </w:r>
      <w:r w:rsidRPr="00925D3B">
        <w:rPr>
          <w:rFonts w:ascii="Franklin Gothic Book" w:hAnsi="Franklin Gothic Book"/>
        </w:rPr>
        <w:t>that sets clear communication expectations across schools and secures meaningful participation from educators and families alike</w:t>
      </w:r>
      <w:r>
        <w:rPr>
          <w:rFonts w:ascii="Franklin Gothic Book" w:hAnsi="Franklin Gothic Book"/>
        </w:rPr>
        <w:t xml:space="preserve">, </w:t>
      </w:r>
      <w:r w:rsidRPr="00925D3B">
        <w:rPr>
          <w:rFonts w:ascii="Franklin Gothic Book" w:hAnsi="Franklin Gothic Book"/>
        </w:rPr>
        <w:t>remains an area for growth.</w:t>
      </w:r>
    </w:p>
    <w:bookmarkEnd w:id="9"/>
    <w:p w14:paraId="770E4914" w14:textId="5450BE1B" w:rsidR="000B1DD2" w:rsidRDefault="00B527CE" w:rsidP="007319AA">
      <w:pPr>
        <w:pStyle w:val="Heading3"/>
        <w:rPr>
          <w:rStyle w:val="Hyperlink"/>
          <w:color w:val="2F5496" w:themeColor="accent5" w:themeShade="BF"/>
          <w:u w:val="none"/>
        </w:rPr>
      </w:pPr>
      <w:r w:rsidRPr="007319AA">
        <w:fldChar w:fldCharType="begin"/>
      </w:r>
      <w:r w:rsidRPr="007319AA">
        <w:instrText xml:space="preserve"> HYPERLINK  \l "_Curriculum_and_Instruction" </w:instrText>
      </w:r>
      <w:r w:rsidRPr="007319AA">
        <w:fldChar w:fldCharType="separate"/>
      </w:r>
      <w:r w:rsidR="000B1DD2" w:rsidRPr="007319AA">
        <w:rPr>
          <w:rStyle w:val="Hyperlink"/>
          <w:color w:val="2F5496" w:themeColor="accent5" w:themeShade="BF"/>
          <w:u w:val="none"/>
        </w:rPr>
        <w:t>Curriculum and Instruction</w:t>
      </w:r>
      <w:r w:rsidRPr="007319AA">
        <w:rPr>
          <w:rStyle w:val="Hyperlink"/>
          <w:color w:val="2F5496" w:themeColor="accent5" w:themeShade="BF"/>
          <w:u w:val="none"/>
        </w:rPr>
        <w:fldChar w:fldCharType="end"/>
      </w:r>
    </w:p>
    <w:p w14:paraId="57A9476A" w14:textId="77777777" w:rsidR="00995238" w:rsidRDefault="001744A5" w:rsidP="001744A5">
      <w:pPr>
        <w:pStyle w:val="BodyTextposthead"/>
      </w:pPr>
      <w:r>
        <w:t>Brockton's instruction is supported by a central office curriculum and instruction team that anchors a coherent, literacy-focused instructional priority grounded in the science of reading and in access for English Learners and students with disabilities. The team includes assistant superintendents for teaching and learning, content- and grade-span curriculum coordinators, and embedded literacy, STEM, and language acquisition coaches. Implementation and monitoring are reinforced by aligned walkthrough tools, a tiered coaching model, and data-informed professional learning that together represent a clear strength.</w:t>
      </w:r>
    </w:p>
    <w:p w14:paraId="54B0CA02" w14:textId="3CFD2CB7" w:rsidR="001744A5" w:rsidRDefault="001744A5" w:rsidP="001744A5">
      <w:pPr>
        <w:pStyle w:val="BodyTextposthead"/>
      </w:pPr>
      <w:r>
        <w:t>The district has recently formalized a documented, equity-driven curriculum review and selection process that incorporates HQIM quality indicators, diverse stakeholder involvement, and a structured pilot phase, and it has adopted high-quality core materials across grade spans and content areas. The district has coordinated work across the teaching and learning, bilingual education, and exceptional learning departments to make Tier 1 materials more accessible to English Learners and students with disabilities; this coordination represents a further strength, as does the district's deployment of a wide range of data-informed academic interventions delivered through structures such as protected ELA blocks and dedicated intervention periods.</w:t>
      </w:r>
    </w:p>
    <w:p w14:paraId="1B7B3FFD" w14:textId="1DA7987F" w:rsidR="001744A5" w:rsidRDefault="001744A5" w:rsidP="001744A5">
      <w:pPr>
        <w:pStyle w:val="BodyTextposthead"/>
      </w:pPr>
      <w:r>
        <w:t>The district's sustained focus on building systems, structures, and supports for English Learner instruction is notable given that English Learners represent more than 30 percent of enrollment. Together with broad course offerings—including honors, Advanced Placement, International Baccalaureate, the arts, and CTE pathways—and developing pathways for English Learners to access rigorous coursework alongside their peers, this focus reflects a strong commitment to equitable access. Classroom observations further confirm a warm, well-managed, and supportive classroom culture across the district.</w:t>
      </w:r>
    </w:p>
    <w:p w14:paraId="1987C881" w14:textId="756C5600" w:rsidR="001744A5" w:rsidRPr="001744A5" w:rsidRDefault="001744A5" w:rsidP="001744A5">
      <w:pPr>
        <w:pStyle w:val="BodyTextposthead"/>
      </w:pPr>
      <w:r>
        <w:lastRenderedPageBreak/>
        <w:t xml:space="preserve">Despite these strengths, Brockton has </w:t>
      </w:r>
      <w:r w:rsidR="0000363F">
        <w:t>select</w:t>
      </w:r>
      <w:r>
        <w:t xml:space="preserve"> areas for growth in curriculum and instruction. </w:t>
      </w:r>
      <w:r w:rsidR="0000363F">
        <w:t>W</w:t>
      </w:r>
      <w:r>
        <w:t>hile students experience engaged and orderly classrooms, CLASS observation data in the Instructional Support domain, including low-to-middle scores for concept development, analysis and inquiry, instructional dialogue, and quality of feedback, indicate that the depth and rigor of instruction vary considerably across classrooms and grade levels. Consistently providing opportunities for students to engage in deeper learning through higher-order questioning, student-driven academic dialogue, and feedback that scaffolds and extends thinking is an area for growth for the district.</w:t>
      </w:r>
    </w:p>
    <w:p w14:paraId="65498654" w14:textId="3E760A2A" w:rsidR="000B1DD2" w:rsidRPr="007319AA" w:rsidRDefault="000B1DD2" w:rsidP="007319AA">
      <w:pPr>
        <w:pStyle w:val="Heading3"/>
      </w:pPr>
      <w:hyperlink w:anchor="_Assessment" w:history="1">
        <w:r w:rsidRPr="007319AA">
          <w:rPr>
            <w:rStyle w:val="Hyperlink"/>
            <w:color w:val="2F5496" w:themeColor="accent5" w:themeShade="BF"/>
            <w:u w:val="none"/>
          </w:rPr>
          <w:t>Assessment</w:t>
        </w:r>
      </w:hyperlink>
    </w:p>
    <w:p w14:paraId="5B8C22D0" w14:textId="27A07BF5" w:rsidR="00DB7C69" w:rsidRPr="00D43F9D" w:rsidRDefault="00DB7C69" w:rsidP="00A01D92">
      <w:pPr>
        <w:pStyle w:val="BodyText"/>
      </w:pPr>
      <w:r w:rsidRPr="00D43F9D">
        <w:t>Brockton has a strong foundation for a data-informed culture that spans the elementary, middle, and high school levels. The district draws on multiple academic and nonacademic data sources, including DIBELS, STAR, Lexia, WIDA ACCESS, and MCAS results alongside attendance, behavior, and social-emotional survey data, to build a comprehensive picture of each student, which is a clear strength. Assessment timing is structured through data analysis protocols and coordinated progress-monitoring windows, while educators retain discretion to manage testing load, for example by using portions of lengthy assessments or reducing common assessments near MCAS administration. District and school leaders articulated a coherent, shared vision in which data serve instructional improvement, equity, and alignment to district priorities rather than compliance, and that vision is enacted through collaborative routines such as inquiry cycles, coach-supported data meetings, and PCLTs charged with reviewing data tied to school improvement goals. Educators disaggregate results for historically underserved groups, including English Learners, former English Learners, and students with disabilities, and pair that analysis with accommodations and multiple assessment formats that broaden student access. The district has also invested in data literacy through dashboards, a centralized data hub, and coaching support</w:t>
      </w:r>
      <w:r w:rsidR="00734EC7">
        <w:t>. The dis</w:t>
      </w:r>
      <w:r w:rsidR="004F773E">
        <w:t>t</w:t>
      </w:r>
      <w:r w:rsidR="00734EC7">
        <w:t>r</w:t>
      </w:r>
      <w:r w:rsidR="00F030CA">
        <w:t>ict</w:t>
      </w:r>
      <w:r w:rsidRPr="00D43F9D">
        <w:t xml:space="preserve"> provides language access and translation services to families in Portuguese, Haitian Creole, Cape Verdean Creole, and Spanish, a further strength.</w:t>
      </w:r>
    </w:p>
    <w:p w14:paraId="37ED1919" w14:textId="720E2751" w:rsidR="00DB7C69" w:rsidRPr="00A01D92" w:rsidRDefault="00DB7C69" w:rsidP="00A01D92">
      <w:pPr>
        <w:pStyle w:val="BodyText"/>
      </w:pPr>
      <w:r w:rsidRPr="00D43F9D">
        <w:t xml:space="preserve">Despite this foundation, Brockton has several areas for growth in assessment, concentrated at the secondary level and in how results are communicated. High school teachers described unclear and inconsistent expectations for how many formative and summative assessments should occur each term, and developing clear districtwide expectations for assessment frequency is an area for growth. More broadly, structured data-review routines are well established in the elementary and middle grades but </w:t>
      </w:r>
      <w:r w:rsidR="00417802">
        <w:rPr>
          <w:rFonts w:ascii="Franklin Gothic Book" w:hAnsi="Franklin Gothic Book"/>
        </w:rPr>
        <w:t>occur infrequently</w:t>
      </w:r>
      <w:r w:rsidR="00417802" w:rsidRPr="00D43F9D">
        <w:rPr>
          <w:rFonts w:ascii="Franklin Gothic Book" w:hAnsi="Franklin Gothic Book"/>
        </w:rPr>
        <w:t xml:space="preserve"> </w:t>
      </w:r>
      <w:r w:rsidRPr="00D43F9D">
        <w:rPr>
          <w:rFonts w:ascii="Franklin Gothic Book" w:hAnsi="Franklin Gothic Book"/>
        </w:rPr>
        <w:t>at the high school, where some teachers reported rarely convening to analyze results. Developing systems and structures at the secondary level to understand and respond to student needs based on data is an area for growth. Data sharing with students is likewise uneven and often passive, with students reporting limited feedback on their performance and little explanation of what grades mean, so providing students with clear expectations and feedback on performance is an area for growth</w:t>
      </w:r>
      <w:r w:rsidR="00FB14CA">
        <w:rPr>
          <w:rFonts w:ascii="Franklin Gothic Book" w:hAnsi="Franklin Gothic Book"/>
        </w:rPr>
        <w:t xml:space="preserve"> as well</w:t>
      </w:r>
      <w:r w:rsidRPr="00D43F9D">
        <w:rPr>
          <w:rFonts w:ascii="Franklin Gothic Book" w:hAnsi="Franklin Gothic Book"/>
        </w:rPr>
        <w:t xml:space="preserve">. Communication with families tends to be infrequent and concentrated around report cards and conferences, with no consistent timeline or format and important information often requiring families to seek it out on their own. Ensuring that all families have proactive, accessible information about student progress is therefore an area for growth. Finally, families and teachers alike identified significant inconsistency in grading practices, particularly at the secondary level, where variation in how and when work is graded and posted </w:t>
      </w:r>
      <w:r w:rsidRPr="00D43F9D">
        <w:rPr>
          <w:rFonts w:ascii="Franklin Gothic Book" w:hAnsi="Franklin Gothic Book"/>
        </w:rPr>
        <w:lastRenderedPageBreak/>
        <w:t>undermines families' ability to monitor progress and affects student placement and GPA. Developing and implementing consistent grading practices is an area for growth for the district.</w:t>
      </w:r>
    </w:p>
    <w:p w14:paraId="05B6D72B" w14:textId="149183DD" w:rsidR="000B1DD2" w:rsidRPr="007319AA" w:rsidRDefault="000B1DD2" w:rsidP="007319AA">
      <w:pPr>
        <w:pStyle w:val="Heading3"/>
      </w:pPr>
      <w:hyperlink w:anchor="_Human_Resources_and" w:history="1">
        <w:r w:rsidRPr="007319AA">
          <w:rPr>
            <w:rStyle w:val="Hyperlink"/>
            <w:color w:val="2F5496" w:themeColor="accent5" w:themeShade="BF"/>
            <w:u w:val="none"/>
          </w:rPr>
          <w:t>Human Resources and Professional Development</w:t>
        </w:r>
      </w:hyperlink>
    </w:p>
    <w:p w14:paraId="68CCD82C" w14:textId="24072FFC" w:rsidR="0003479C" w:rsidRPr="00A8155C" w:rsidRDefault="0003479C" w:rsidP="00A01D92">
      <w:pPr>
        <w:pStyle w:val="BodyText"/>
        <w:rPr>
          <w:rFonts w:ascii="Franklin Gothic Book" w:hAnsi="Franklin Gothic Book"/>
        </w:rPr>
      </w:pPr>
      <w:r w:rsidRPr="00A8155C">
        <w:t xml:space="preserve">Brockton's human resources function is anchored by a centralized, experienced HR office, led by an assistant superintendent and staffed with specialized associate directors and generalists who </w:t>
      </w:r>
      <w:r w:rsidRPr="00A8155C">
        <w:rPr>
          <w:rFonts w:ascii="Franklin Gothic Book" w:hAnsi="Franklin Gothic Book"/>
        </w:rPr>
        <w:t>manage hiring, licensure, labor relations, and personnel processing for a workforce of roughly 3,500 across multiple bargaining units. The office is a collaborative, responsive partner to school leaders and coordinates closely with payroll and city departments to maintain accuracy and compliance, which is a strength. Hiring follows a structured, equity-focused process set out in a Hiring Guidebook, with diverse interview panels, consistent questions and scoring, anti-bias standards, and licensure verification through DESE records</w:t>
      </w:r>
      <w:r w:rsidR="006647BE">
        <w:rPr>
          <w:rFonts w:ascii="Franklin Gothic Book" w:hAnsi="Franklin Gothic Book"/>
        </w:rPr>
        <w:t xml:space="preserve">. These practices are </w:t>
      </w:r>
      <w:r w:rsidRPr="00A8155C">
        <w:rPr>
          <w:rFonts w:ascii="Franklin Gothic Book" w:hAnsi="Franklin Gothic Book"/>
        </w:rPr>
        <w:t>supported by intentionally broad, diversity-focused recruitment that includes Historically Black Colleges and Universities and faith communities. The district draws meaningfully on a robust internal pipeline and alumni recruitment, with many staff advancing from paraprofessional and substitute roles or returning to Brockton as graduates, a strength reinforced by steady retention and deep community ties. Multiple formal advancement pathways, including a long-standing administrative internship, a Principal Administrative License coach program, and the Journey into Education and Teaching program that helps paraprofessionals earn degrees and licensure, are a further strength, as are the MTEL preparation courses and reduced-cost university partnerships with Lesley University and Fitchburg State that support staff pursuing licensure and advanced credentials. These supports sit within a coherent professional learning model that combines whole-staff, content-alike, and job-embedded learning, collaborative structures such as common planning time and Student Success Planning Time, and an induction and mentoring program that district leaders are actively working to strengthen.</w:t>
      </w:r>
    </w:p>
    <w:p w14:paraId="012A8B80" w14:textId="45B80C30" w:rsidR="0003479C" w:rsidRPr="00D04605" w:rsidRDefault="0003479C" w:rsidP="00A01D92">
      <w:pPr>
        <w:pStyle w:val="BodyText"/>
      </w:pPr>
      <w:r w:rsidRPr="00A8155C">
        <w:t>Despite these strengths, Brockton has several areas for growth in human resources and professional development. Personnel records and onboarding remain largely paper-based, and transitioning to a fully digital, secure personnel and onboarding system is an area for growth. The district also lacks a comprehensive, standalone onboarding framework that addresses the full range of new-hire needs across roles and strengthening that formal onboarding process is an area for growth. A review of educator evaluations found that required components were generally present, but constructive feedback appeared in only about a third of teacher evaluations, so ensuring that teachers receive constructive feedback to improve practice is</w:t>
      </w:r>
      <w:r>
        <w:rPr>
          <w:rFonts w:ascii="Franklin Gothic Book" w:hAnsi="Franklin Gothic Book"/>
        </w:rPr>
        <w:t xml:space="preserve"> </w:t>
      </w:r>
      <w:r w:rsidR="00032341">
        <w:rPr>
          <w:rFonts w:ascii="Franklin Gothic Book" w:hAnsi="Franklin Gothic Book"/>
        </w:rPr>
        <w:t>also</w:t>
      </w:r>
      <w:r w:rsidRPr="00A8155C">
        <w:rPr>
          <w:rFonts w:ascii="Franklin Gothic Book" w:hAnsi="Franklin Gothic Book"/>
        </w:rPr>
        <w:t xml:space="preserve"> an area for growth. In professional learning, the district does not yet have a comprehensive, yearlong districtwide plan that connects goals to content, implementation, and impact, and it lacks a systematic way to evaluate how professional development affects instructional practice, making the development of such a plan an area for growth. Finally, certain staff, including occupational therapists, long-term substitutes, and experienced educators transferring from other districts, currently fall outside the formal mentoring program, and establishing structured support for those who are new to the district but outside th</w:t>
      </w:r>
      <w:r w:rsidR="00195FBD">
        <w:rPr>
          <w:rFonts w:ascii="Franklin Gothic Book" w:hAnsi="Franklin Gothic Book"/>
        </w:rPr>
        <w:t xml:space="preserve">e formal </w:t>
      </w:r>
      <w:r w:rsidR="007F47B8">
        <w:rPr>
          <w:rFonts w:ascii="Franklin Gothic Book" w:hAnsi="Franklin Gothic Book"/>
        </w:rPr>
        <w:t xml:space="preserve">mentoring </w:t>
      </w:r>
      <w:r w:rsidRPr="00A8155C">
        <w:rPr>
          <w:rFonts w:ascii="Franklin Gothic Book" w:hAnsi="Franklin Gothic Book"/>
        </w:rPr>
        <w:t>program is an area for growth for the district</w:t>
      </w:r>
      <w:r w:rsidRPr="00D04605">
        <w:t>.</w:t>
      </w:r>
    </w:p>
    <w:p w14:paraId="2D5F1324" w14:textId="3E4B4BAC" w:rsidR="000B1DD2" w:rsidRPr="007319AA" w:rsidRDefault="000B1DD2" w:rsidP="007319AA">
      <w:pPr>
        <w:pStyle w:val="Heading3"/>
      </w:pPr>
      <w:hyperlink w:anchor="_Student_Support" w:history="1">
        <w:r w:rsidRPr="007319AA">
          <w:rPr>
            <w:rStyle w:val="Hyperlink"/>
            <w:color w:val="2F5496" w:themeColor="accent5" w:themeShade="BF"/>
            <w:u w:val="none"/>
          </w:rPr>
          <w:t>Student Support</w:t>
        </w:r>
      </w:hyperlink>
    </w:p>
    <w:p w14:paraId="5BA35152" w14:textId="3D420A10" w:rsidR="00366F97" w:rsidRPr="00366F97" w:rsidRDefault="007339B2" w:rsidP="00A01D92">
      <w:pPr>
        <w:pStyle w:val="BodyText"/>
        <w:rPr>
          <w:rFonts w:ascii="Segoe UI" w:hAnsi="Segoe UI" w:cs="Segoe UI"/>
          <w:color w:val="000000"/>
          <w:sz w:val="21"/>
          <w:szCs w:val="21"/>
        </w:rPr>
      </w:pPr>
      <w:r w:rsidRPr="00DF2EAF">
        <w:t>Brockton has built a comprehensive, well-coordinated system of student support. The district fosters safe, inclusive learning environments and uses data such as social-emotional learning screener results and office referral data to drive climate interventions</w:t>
      </w:r>
      <w:r w:rsidR="005A7917">
        <w:t xml:space="preserve">. </w:t>
      </w:r>
      <w:r w:rsidR="00E42D95">
        <w:t>C</w:t>
      </w:r>
      <w:r w:rsidRPr="00DF2EAF">
        <w:t>lassroom observation</w:t>
      </w:r>
      <w:r w:rsidR="00E42D95">
        <w:t xml:space="preserve"> data</w:t>
      </w:r>
      <w:r w:rsidRPr="00DF2EAF">
        <w:t xml:space="preserve"> </w:t>
      </w:r>
      <w:r w:rsidR="00E42D95">
        <w:t>shows</w:t>
      </w:r>
      <w:r w:rsidRPr="00DF2EAF">
        <w:t xml:space="preserve"> warm teacher-student relationships and strong Positive Climate and Teacher Sensitivity at the elementary and middle school levels, a strength reinforced by deliberate efforts to integrate students from specialized programs into the broader school community. School-based attendance policies, systems, and supports, including defined outreach thresholds and standardized tracking, are a further strength. At the center of the system is a tiered approach to mental and behavioral health that integrates a PK-12 CharacterStrong Tier 1 curriculum, a universal social-emotional and mental health screener for grades 3 to 12, embedded licensed counselors and social workers, community mentors who reflect the community's linguistic and cultural diversity, targeted programs such as the Bridge for Resilient Youth in Transition, and a robust crisis response team, which together represent a strength. The district extends this support through multilingual communication tools and district-supported translation and interpretation services in Spanish, Cape Verdean Creole, Haitian Creole, and Portuguese</w:t>
      </w:r>
      <w:r w:rsidR="00C1165C">
        <w:t xml:space="preserve">. The </w:t>
      </w:r>
      <w:r w:rsidR="00D66C27">
        <w:t>district provides further support</w:t>
      </w:r>
      <w:r w:rsidRPr="00DF2EAF">
        <w:t xml:space="preserve"> through established community partnerships coordinated by Unified Student </w:t>
      </w:r>
      <w:r w:rsidR="007F47B8" w:rsidRPr="00DF2EAF">
        <w:t>Services</w:t>
      </w:r>
      <w:r w:rsidR="007F47B8">
        <w:t xml:space="preserve"> department </w:t>
      </w:r>
      <w:r w:rsidRPr="00DF2EAF">
        <w:t xml:space="preserve">that connect families to housing, food, health, and other wraparound supports, a further strength. </w:t>
      </w:r>
      <w:r w:rsidR="00366F97" w:rsidRPr="00366F97">
        <w:t>Formal MTSS structures further strengthen the district’s student support system. Detailed Tiered Resource Maps establish clear expectations for academic supports, while a parallel three-tier social-emotional and behavioral structure provides additional support; both are strengths of the district.</w:t>
      </w:r>
    </w:p>
    <w:p w14:paraId="2134E3CC" w14:textId="238E05B5" w:rsidR="007339B2" w:rsidRPr="00DF2EAF" w:rsidRDefault="007339B2" w:rsidP="00A01D92">
      <w:pPr>
        <w:pStyle w:val="BodyText"/>
      </w:pPr>
      <w:r w:rsidRPr="00DF2EAF">
        <w:t>Despite this strong foundation, Brockton has several areas for growth in student support, most of them centered on consistency across schools and especially at the high school. While students experience meaningful opportunities to participate in school life, structured voice and leadership opportunities are not consistently available across all schools, and high school students described belonging as dependent on finding a niche in athletics, the arts, or student-led clubs rather than a universally experienced school culture. Ensuring that student leadership opportunities are structured, accessible, and consistent across all schools and grade levels is an area for growth. Although community partnerships are present and valued, few stakeholders described clear districtwide processes for evaluating their effectiveness or ensuring equitable access, and families were not uniformly aware of the supports available to them. Establishing systematic processes to evaluate the reach and impact of community partnerships and wraparound supports, and ensuring consistent access across all schools, is an area for growth. Finally, while formal MTSS structures exist districtwide, school-based staff reported significant variation in implementation and quality, particularly at the high school, where some staff described the absence of a functioning Tier 1 social-emotional and behavioral structure, and progress monitoring for students receiving these supports was described as inconsistent or, in some schools, absent. Ensuring consistent implementation of MTSS practices, particularly for Tier 2 and Tier 3 social-emotional and behavioral supports, and establishing systematic progress monitoring protocols, are areas for growth for the district.</w:t>
      </w:r>
    </w:p>
    <w:p w14:paraId="202DC286" w14:textId="586E6819" w:rsidR="000B1DD2" w:rsidRPr="007319AA" w:rsidRDefault="000B1DD2" w:rsidP="007319AA">
      <w:pPr>
        <w:pStyle w:val="Heading3"/>
      </w:pPr>
      <w:hyperlink w:anchor="_Financial_and_Asset" w:history="1">
        <w:r w:rsidRPr="007319AA">
          <w:rPr>
            <w:rStyle w:val="Hyperlink"/>
            <w:color w:val="2F5496" w:themeColor="accent5" w:themeShade="BF"/>
            <w:u w:val="none"/>
          </w:rPr>
          <w:t>Financial and Asset Management</w:t>
        </w:r>
      </w:hyperlink>
    </w:p>
    <w:bookmarkEnd w:id="10"/>
    <w:p w14:paraId="2CEBC261" w14:textId="0FBF2800" w:rsidR="00D747B8" w:rsidRPr="00A01D92" w:rsidRDefault="00C64BF2" w:rsidP="00A01D92">
      <w:pPr>
        <w:pStyle w:val="BodyText"/>
      </w:pPr>
      <w:r w:rsidRPr="00A01D92">
        <w:t>Brockton's business office operates on a team-based model that covers budgeting, accounts payable, procurement, grants administration, and financial analysis, and it has substantially strengthened its systems, practices, and financial controls in response to prior fiscal challenges and audit findings, which is a strength. The district builds budgets through a structured annual process grounded in historical expenditure data and the governor's recommended budget, increasingly organized into discrete lines by school, position, and function, and is moving toward greater input from principals and school leaders. Financial management runs through MUNIS, aligned to the Uniform Massachusetts Accounting System, supported by detailed monitoring tools that track year-to-date actuals, encumbrances, and remaining balances and feed regular budget reports to department heads, with the district transitioning toward monthly reporting. Transparency to the school committee and public is reinforced through warrant access, an accounts subcommittee process, year-to-date reports posted online, and a public Open Checkbook. The district</w:t>
      </w:r>
      <w:r w:rsidR="00717194" w:rsidRPr="00A01D92">
        <w:t xml:space="preserve"> uses </w:t>
      </w:r>
      <w:r w:rsidRPr="00A01D92">
        <w:t xml:space="preserve">documented procedures and structured workflows for procurement and contract management, including multistep approvals, Chapter 30B compliance review, competitive bidding, and purchasing collaboratives, </w:t>
      </w:r>
      <w:r w:rsidR="00717194" w:rsidRPr="00A01D92">
        <w:t>which is a</w:t>
      </w:r>
      <w:r w:rsidRPr="00A01D92">
        <w:t xml:space="preserve"> further strength</w:t>
      </w:r>
      <w:r w:rsidR="00717194" w:rsidRPr="00A01D92">
        <w:t xml:space="preserve">. Additionally, the </w:t>
      </w:r>
      <w:r w:rsidRPr="00A01D92">
        <w:t>robust grants management, anchored by a dedicated grants manager and more than $29 million secured across more than 80 awards in fiscal year 2025</w:t>
      </w:r>
      <w:r w:rsidR="00880F46" w:rsidRPr="00A01D92">
        <w:t xml:space="preserve"> is a stre</w:t>
      </w:r>
      <w:r w:rsidR="004F773E">
        <w:t>n</w:t>
      </w:r>
      <w:r w:rsidR="00880F46" w:rsidRPr="00A01D92">
        <w:t>g</w:t>
      </w:r>
      <w:r w:rsidR="004F773E">
        <w:t>t</w:t>
      </w:r>
      <w:r w:rsidR="00880F46" w:rsidRPr="00A01D92">
        <w:t>h as well</w:t>
      </w:r>
      <w:r w:rsidRPr="00A01D92">
        <w:t xml:space="preserve">. </w:t>
      </w:r>
      <w:r w:rsidR="00D747B8" w:rsidRPr="00A01D92">
        <w:t xml:space="preserve"> Operations are supported by several strong systems and practices. These include the Flowpath electronic work order system, a largely in-house maintenance model that reflects deliberate cost management, and an information technology department with planned hardware investments and dedicated asset-management tools. Capital planning is also advancing through the district’s Massachusetts School Building Authority feasibility process for Brockton High School and active collaboration with the city, which owns the school buildings.</w:t>
      </w:r>
    </w:p>
    <w:p w14:paraId="59F864C3" w14:textId="7ABECEE3" w:rsidR="00C64BF2" w:rsidRPr="0063011A" w:rsidRDefault="00C64BF2" w:rsidP="00A01D92">
      <w:pPr>
        <w:pStyle w:val="BodyText"/>
        <w:rPr>
          <w:rFonts w:ascii="Franklin Gothic Book" w:hAnsi="Franklin Gothic Book"/>
        </w:rPr>
      </w:pPr>
      <w:r w:rsidRPr="00A01D92">
        <w:t xml:space="preserve">Despite these improvements, Brockton has </w:t>
      </w:r>
      <w:r w:rsidR="00657EAA">
        <w:t>some</w:t>
      </w:r>
      <w:r w:rsidR="00657EAA" w:rsidRPr="00A01D92">
        <w:t xml:space="preserve"> </w:t>
      </w:r>
      <w:r w:rsidRPr="00A01D92">
        <w:t xml:space="preserve">areas for growth in financial and asset management, most of them centered on formalizing arrangements that currently rely on informal practice. The district and city operate under a largely informal, shared-responsibility model, and instituting a formal written agreement that details the process, timeline, and respective roles for budget coordination is an area for growth. The finance team also described established internal controls but no single comprehensive written policies-and-procedures manual, and a persistent vacancy in the procurement manager position, currently filled on an interim basis, represents a meaningful capacity constraint for an office with complex compliance and documentation demands. Finally, although the city conducts an annual asset inventory of its buildings, the district does not yet have </w:t>
      </w:r>
      <w:r w:rsidR="00017BDB">
        <w:t>its own</w:t>
      </w:r>
      <w:r w:rsidRPr="0063011A">
        <w:rPr>
          <w:rFonts w:ascii="Franklin Gothic Book" w:hAnsi="Franklin Gothic Book"/>
        </w:rPr>
        <w:t xml:space="preserve"> asset tracking system, leaving it without a robust, independently managed way to track assets at a granular level between inventory cycles. Strengthening these areas would further institutionalize the gains the district has made.</w:t>
      </w:r>
    </w:p>
    <w:p w14:paraId="293E7418" w14:textId="77777777" w:rsidR="00C64BF2" w:rsidRPr="0063011A" w:rsidRDefault="00C64BF2" w:rsidP="00C64BF2">
      <w:pPr>
        <w:rPr>
          <w:rFonts w:ascii="Franklin Gothic Book" w:hAnsi="Franklin Gothic Book"/>
        </w:rPr>
      </w:pPr>
    </w:p>
    <w:p w14:paraId="7A47C448" w14:textId="1CE3AD9D" w:rsidR="003D6ECF" w:rsidRPr="00CB0607" w:rsidRDefault="00563AC4" w:rsidP="007319AA">
      <w:pPr>
        <w:pStyle w:val="Heading2"/>
      </w:pPr>
      <w:bookmarkStart w:id="11" w:name="_Toc235104374"/>
      <w:bookmarkStart w:id="12" w:name="_Toc235104449"/>
      <w:r>
        <w:lastRenderedPageBreak/>
        <w:t>Brockton</w:t>
      </w:r>
      <w:r w:rsidR="003D6ECF" w:rsidRPr="00CB0607">
        <w:t xml:space="preserve"> </w:t>
      </w:r>
      <w:r w:rsidR="00D30A74" w:rsidRPr="00CB0607">
        <w:t xml:space="preserve">Public Schools: </w:t>
      </w:r>
      <w:r w:rsidR="003D6ECF" w:rsidRPr="007319AA">
        <w:t>District</w:t>
      </w:r>
      <w:r w:rsidR="003D6ECF" w:rsidRPr="00CB0607">
        <w:t xml:space="preserve"> Review Overview</w:t>
      </w:r>
      <w:bookmarkEnd w:id="11"/>
      <w:bookmarkEnd w:id="12"/>
    </w:p>
    <w:p w14:paraId="2E41F691" w14:textId="77777777" w:rsidR="003D6ECF" w:rsidRPr="007319AA" w:rsidRDefault="003D6ECF" w:rsidP="007319AA">
      <w:pPr>
        <w:pStyle w:val="Heading3"/>
      </w:pPr>
      <w:bookmarkStart w:id="13" w:name="_Toc273777149"/>
      <w:bookmarkStart w:id="14" w:name="_Toc277066412"/>
      <w:bookmarkStart w:id="15" w:name="_Toc338665638"/>
      <w:r w:rsidRPr="007319AA">
        <w:t>Purpose</w:t>
      </w:r>
      <w:bookmarkEnd w:id="13"/>
      <w:bookmarkEnd w:id="14"/>
      <w:bookmarkEnd w:id="15"/>
    </w:p>
    <w:p w14:paraId="3C1F16BC" w14:textId="03620F88" w:rsidR="0046023A" w:rsidRDefault="002B5CC7" w:rsidP="007319AA">
      <w:pPr>
        <w:pStyle w:val="BodyTextposthead"/>
        <w:rPr>
          <w:rFonts w:cs="Calibri"/>
          <w:bCs/>
        </w:rPr>
      </w:pPr>
      <w:r w:rsidRPr="00CB0607">
        <w:t xml:space="preserve">Conducted under Chapter 15, Section 55A of the Massachusetts General Laws, comprehensive district reviews support local school districts in establishing or strengthening a cycle of continuous improvement. Reviews carefully consider the effectiveness of systemwide functions, referring to the six district standards used by DESE: </w:t>
      </w:r>
      <w:r>
        <w:t xml:space="preserve">(a) </w:t>
      </w:r>
      <w:r w:rsidRPr="00CB0607">
        <w:t xml:space="preserve">Leadership and Governance, </w:t>
      </w:r>
      <w:r>
        <w:t xml:space="preserve">(b) </w:t>
      </w:r>
      <w:r w:rsidRPr="00CB0607">
        <w:t xml:space="preserve">Curriculum and Instruction, </w:t>
      </w:r>
      <w:r>
        <w:t xml:space="preserve">(c) </w:t>
      </w:r>
      <w:r w:rsidRPr="00CB0607">
        <w:t xml:space="preserve">Assessment, </w:t>
      </w:r>
      <w:r>
        <w:t xml:space="preserve">(d) </w:t>
      </w:r>
      <w:r w:rsidRPr="00CB0607">
        <w:t xml:space="preserve">Human Resources and Professional Development, </w:t>
      </w:r>
      <w:r>
        <w:t xml:space="preserve">(e) </w:t>
      </w:r>
      <w:r w:rsidRPr="00CB0607">
        <w:t xml:space="preserve">Student Support, and </w:t>
      </w:r>
      <w:r>
        <w:t>(f)</w:t>
      </w:r>
      <w:r w:rsidR="0096114C">
        <w:t> </w:t>
      </w:r>
      <w:r w:rsidRPr="00CB0607">
        <w:t xml:space="preserve">Financial and Asset Management. Reviews </w:t>
      </w:r>
      <w:r w:rsidRPr="00D740FB">
        <w:t>provide the state, district leaders, and the public with an in-depth look into the systems, structures, and practices of a district and how they affect student experiences and opportunities.</w:t>
      </w:r>
      <w:r>
        <w:t xml:space="preserve"> District reviews provide information and recommendations to support districts in</w:t>
      </w:r>
      <w:r>
        <w:rPr>
          <w:rFonts w:cs="Calibri"/>
          <w:bCs/>
        </w:rPr>
        <w:t xml:space="preserve"> implementing </w:t>
      </w:r>
      <w:r w:rsidRPr="007E7A6E">
        <w:rPr>
          <w:rFonts w:cs="Calibri"/>
          <w:bCs/>
        </w:rPr>
        <w:t>systemic improvements and advanc</w:t>
      </w:r>
      <w:r w:rsidR="0096114C">
        <w:rPr>
          <w:rFonts w:cs="Calibri"/>
          <w:bCs/>
        </w:rPr>
        <w:t>ing</w:t>
      </w:r>
      <w:r w:rsidRPr="007E7A6E">
        <w:rPr>
          <w:rFonts w:cs="Calibri"/>
          <w:bCs/>
        </w:rPr>
        <w:t xml:space="preserve"> equitable student outcomes and experiences</w:t>
      </w:r>
      <w:r w:rsidR="0046023A">
        <w:rPr>
          <w:rFonts w:cs="Calibri"/>
          <w:bCs/>
        </w:rPr>
        <w:t>.</w:t>
      </w:r>
    </w:p>
    <w:p w14:paraId="267B0A5A" w14:textId="4CA39F32" w:rsidR="003D6ECF" w:rsidRPr="00CB0607" w:rsidRDefault="003D6ECF" w:rsidP="007319AA">
      <w:pPr>
        <w:pStyle w:val="Heading3"/>
      </w:pPr>
      <w:bookmarkStart w:id="16" w:name="_Toc273777151"/>
      <w:bookmarkStart w:id="17" w:name="_Toc277066413"/>
      <w:bookmarkStart w:id="18" w:name="_Toc338665639"/>
      <w:r w:rsidRPr="007319AA">
        <w:t>Methodology</w:t>
      </w:r>
      <w:bookmarkEnd w:id="16"/>
      <w:bookmarkEnd w:id="17"/>
      <w:bookmarkEnd w:id="18"/>
    </w:p>
    <w:p w14:paraId="2FD67C57" w14:textId="52C024B8" w:rsidR="0046023A" w:rsidRDefault="003D6ECF" w:rsidP="007319AA">
      <w:pPr>
        <w:pStyle w:val="BodyTextposthead"/>
      </w:pPr>
      <w:r w:rsidRPr="00CB0607">
        <w:t xml:space="preserve">A district review team </w:t>
      </w:r>
      <w:r w:rsidR="003E4203">
        <w:t xml:space="preserve">comprising </w:t>
      </w:r>
      <w:r w:rsidRPr="00CB0607">
        <w:t>AIR staff members and subcontractors, with expertise in each district standard, review</w:t>
      </w:r>
      <w:r w:rsidR="003E4203">
        <w:t>ed</w:t>
      </w:r>
      <w:r w:rsidRPr="00CB0607">
        <w:t xml:space="preserve"> documentation and extant data prior to conducting an on</w:t>
      </w:r>
      <w:r w:rsidR="00D30A74" w:rsidRPr="00CB0607">
        <w:t>-</w:t>
      </w:r>
      <w:r w:rsidRPr="00CB0607">
        <w:t>site visit. On</w:t>
      </w:r>
      <w:r w:rsidR="00D30A74" w:rsidRPr="00CB0607">
        <w:t>-</w:t>
      </w:r>
      <w:r w:rsidRPr="00CB0607">
        <w:t>site data collection include</w:t>
      </w:r>
      <w:r w:rsidR="003E4203">
        <w:t>d</w:t>
      </w:r>
      <w:r w:rsidRPr="00CB0607">
        <w:t xml:space="preserve"> team members conducting interviews and focus group sessions with a wide range of stakeholders, including </w:t>
      </w:r>
      <w:r w:rsidR="009F03CD">
        <w:t xml:space="preserve">municipal </w:t>
      </w:r>
      <w:r w:rsidR="00132A2B">
        <w:t>staff</w:t>
      </w:r>
      <w:r w:rsidR="009F03CD">
        <w:t xml:space="preserve">, </w:t>
      </w:r>
      <w:r w:rsidRPr="00CB0607">
        <w:t xml:space="preserve">school committee members, teachers’ association representatives, district and school administrators, teachers, students, and students’ families. </w:t>
      </w:r>
      <w:r w:rsidR="00F97066">
        <w:t>Reviewers also conduct</w:t>
      </w:r>
      <w:r w:rsidR="003E2471">
        <w:t>ed</w:t>
      </w:r>
      <w:r w:rsidR="00F97066">
        <w:t xml:space="preserve"> focus groups and v</w:t>
      </w:r>
      <w:r w:rsidR="005803A6" w:rsidRPr="00CB0607">
        <w:t xml:space="preserve">irtual interviews as needed. </w:t>
      </w:r>
      <w:r w:rsidR="00491ACB" w:rsidRPr="00CB0607">
        <w:t xml:space="preserve">Information about review activities and the site visit schedule is in Appendix </w:t>
      </w:r>
      <w:r w:rsidR="00491ACB">
        <w:t>A</w:t>
      </w:r>
      <w:r w:rsidR="00491ACB" w:rsidRPr="00CB0607">
        <w:t xml:space="preserve">. </w:t>
      </w:r>
      <w:r w:rsidRPr="00CB0607">
        <w:t>Team members also observe</w:t>
      </w:r>
      <w:r w:rsidR="003E2471">
        <w:t>d</w:t>
      </w:r>
      <w:r w:rsidRPr="00CB0607">
        <w:t xml:space="preserve"> classroom instruction and collect</w:t>
      </w:r>
      <w:r w:rsidR="003E2471">
        <w:t>ed</w:t>
      </w:r>
      <w:r w:rsidRPr="00CB0607">
        <w:t xml:space="preserve"> data using the CLASS protocol. </w:t>
      </w:r>
      <w:r w:rsidR="005803A6" w:rsidRPr="00CB0607">
        <w:t>The Districtwide Instructional Observation Report</w:t>
      </w:r>
      <w:r w:rsidR="003E2471">
        <w:t>, the</w:t>
      </w:r>
      <w:r w:rsidR="00006535">
        <w:t xml:space="preserve"> result from these classroom observations</w:t>
      </w:r>
      <w:r w:rsidR="003E2471">
        <w:t>,</w:t>
      </w:r>
      <w:r w:rsidR="005803A6" w:rsidRPr="00CB0607">
        <w:t xml:space="preserve"> is </w:t>
      </w:r>
      <w:r w:rsidR="009D0554">
        <w:t>i</w:t>
      </w:r>
      <w:r w:rsidR="005803A6" w:rsidRPr="00CB0607">
        <w:t xml:space="preserve">n Appendix </w:t>
      </w:r>
      <w:r w:rsidR="00006535">
        <w:t>B</w:t>
      </w:r>
      <w:r w:rsidR="0046023A">
        <w:t>.</w:t>
      </w:r>
    </w:p>
    <w:p w14:paraId="5948E833" w14:textId="457CC9B6" w:rsidR="003D6ECF" w:rsidRPr="007319AA" w:rsidRDefault="007A3B7C" w:rsidP="007319AA">
      <w:pPr>
        <w:pStyle w:val="BodyText"/>
      </w:pPr>
      <w:r w:rsidRPr="007A3B7C">
        <w:t xml:space="preserve">Following the site visit, all interview and focus group data </w:t>
      </w:r>
      <w:r w:rsidR="00B95C73">
        <w:t>were</w:t>
      </w:r>
      <w:r w:rsidRPr="007A3B7C">
        <w:t xml:space="preserve"> transcribed using automated transcription. The transcripts </w:t>
      </w:r>
      <w:r w:rsidR="00B95C73">
        <w:t>were</w:t>
      </w:r>
      <w:r w:rsidRPr="007A3B7C">
        <w:t xml:space="preserve"> then coded using both deterministic coding, based on the protocol questions</w:t>
      </w:r>
      <w:r w:rsidR="00A444A9">
        <w:t>,</w:t>
      </w:r>
      <w:r w:rsidR="00B95C73">
        <w:t xml:space="preserve"> and</w:t>
      </w:r>
      <w:r w:rsidRPr="007A3B7C">
        <w:t xml:space="preserve"> natural language processing models. Team members analyze</w:t>
      </w:r>
      <w:r w:rsidR="0007087E">
        <w:t>d</w:t>
      </w:r>
      <w:r w:rsidRPr="007A3B7C">
        <w:t xml:space="preserve"> the coded data to develop a set of objective findings.</w:t>
      </w:r>
      <w:r>
        <w:t xml:space="preserve"> </w:t>
      </w:r>
      <w:r w:rsidR="003D6ECF" w:rsidRPr="00CB0607">
        <w:t>The team lead and multiple quality assurance reviewers, including DESE staff, then review</w:t>
      </w:r>
      <w:r w:rsidR="00B95C73">
        <w:t>ed</w:t>
      </w:r>
      <w:r w:rsidR="003D6ECF" w:rsidRPr="00CB0607">
        <w:t xml:space="preserve"> the initial draft of the report. DESE staff </w:t>
      </w:r>
      <w:r w:rsidR="00B95C73">
        <w:t xml:space="preserve">first </w:t>
      </w:r>
      <w:r w:rsidR="003D6ECF" w:rsidRPr="00CB0607">
        <w:t>provide</w:t>
      </w:r>
      <w:r w:rsidR="00B95C73">
        <w:t>d</w:t>
      </w:r>
      <w:r w:rsidR="003D6ECF" w:rsidRPr="00CB0607">
        <w:t xml:space="preserve"> recommendations for the district, based on the findings of strengths and areas of growth identified</w:t>
      </w:r>
      <w:r w:rsidR="00D30A74" w:rsidRPr="00CB0607">
        <w:t>,</w:t>
      </w:r>
      <w:r w:rsidR="003D6ECF" w:rsidRPr="00CB0607">
        <w:t xml:space="preserve"> </w:t>
      </w:r>
      <w:r w:rsidR="00B95C73">
        <w:t>and then</w:t>
      </w:r>
      <w:r w:rsidR="003D6ECF" w:rsidRPr="00CB0607">
        <w:t xml:space="preserve"> AIR finalize</w:t>
      </w:r>
      <w:r w:rsidR="00B95C73">
        <w:t>d</w:t>
      </w:r>
      <w:r w:rsidR="003D6ECF" w:rsidRPr="00CB0607">
        <w:t xml:space="preserve"> and submit</w:t>
      </w:r>
      <w:r w:rsidR="00B95C73">
        <w:t>ted</w:t>
      </w:r>
      <w:r w:rsidR="003D6ECF" w:rsidRPr="00CB0607">
        <w:t xml:space="preserve"> the report to DESE</w:t>
      </w:r>
      <w:r w:rsidR="003D6ECF" w:rsidRPr="00FE0278">
        <w:t xml:space="preserve">. DESE </w:t>
      </w:r>
      <w:r w:rsidR="003D6ECF" w:rsidRPr="00CB0607">
        <w:t>preview</w:t>
      </w:r>
      <w:r w:rsidR="00E3446B">
        <w:t>ed</w:t>
      </w:r>
      <w:r w:rsidR="003D6ECF" w:rsidRPr="00CB0607">
        <w:t xml:space="preserve"> </w:t>
      </w:r>
      <w:r w:rsidR="0007087E">
        <w:t xml:space="preserve">the report </w:t>
      </w:r>
      <w:r w:rsidR="003D6ECF" w:rsidRPr="00CB0607">
        <w:t>and then sen</w:t>
      </w:r>
      <w:r w:rsidR="00E3446B">
        <w:t xml:space="preserve">t it </w:t>
      </w:r>
      <w:r w:rsidR="003D6ECF" w:rsidRPr="00CB0607">
        <w:t>to the district for factual review before publishing it on the DESE website.</w:t>
      </w:r>
      <w:r w:rsidR="00C268FD">
        <w:t xml:space="preserve"> </w:t>
      </w:r>
      <w:r w:rsidR="00D3025F">
        <w:t>DESE also provide</w:t>
      </w:r>
      <w:r w:rsidR="00E3446B">
        <w:t>d</w:t>
      </w:r>
      <w:r w:rsidR="00D3025F">
        <w:t xml:space="preserve"> </w:t>
      </w:r>
      <w:r w:rsidR="00C268FD" w:rsidRPr="00CB0607">
        <w:t>additional resources to support implementation of DESE’s District Standards and Indicators</w:t>
      </w:r>
      <w:r w:rsidR="009D0554">
        <w:t>, summarized</w:t>
      </w:r>
      <w:r w:rsidR="00D3025F">
        <w:t xml:space="preserve"> in Appendix </w:t>
      </w:r>
      <w:r w:rsidR="00006535">
        <w:t>C</w:t>
      </w:r>
      <w:r w:rsidR="00C268FD" w:rsidRPr="007319AA">
        <w:t>.</w:t>
      </w:r>
    </w:p>
    <w:p w14:paraId="5D00CDA2" w14:textId="77777777" w:rsidR="003D6ECF" w:rsidRPr="00CB0607" w:rsidRDefault="003D6ECF" w:rsidP="007319AA">
      <w:pPr>
        <w:pStyle w:val="Heading3"/>
      </w:pPr>
      <w:r w:rsidRPr="00CB0607">
        <w:t xml:space="preserve">Site </w:t>
      </w:r>
      <w:r w:rsidRPr="007319AA">
        <w:t>Visit</w:t>
      </w:r>
    </w:p>
    <w:p w14:paraId="02DDA948" w14:textId="379FE0F6" w:rsidR="003D6ECF" w:rsidRPr="00CB0607" w:rsidRDefault="003D6ECF" w:rsidP="007319AA">
      <w:pPr>
        <w:pStyle w:val="BodyTextposthead"/>
      </w:pPr>
      <w:r w:rsidRPr="00CB0607">
        <w:t xml:space="preserve">The site visit to </w:t>
      </w:r>
      <w:r w:rsidR="00563AC4">
        <w:t>Brockton</w:t>
      </w:r>
      <w:r w:rsidRPr="00CB0607">
        <w:t xml:space="preserve"> </w:t>
      </w:r>
      <w:r w:rsidR="00385F4A">
        <w:t>occurred</w:t>
      </w:r>
      <w:r w:rsidRPr="00CB0607">
        <w:t xml:space="preserve"> during the week of </w:t>
      </w:r>
      <w:r w:rsidR="00563AC4">
        <w:t>March 16, 2026</w:t>
      </w:r>
      <w:r w:rsidRPr="00CB0607">
        <w:t xml:space="preserve">. The site visit included </w:t>
      </w:r>
      <w:r w:rsidR="00B559E7">
        <w:t>32</w:t>
      </w:r>
      <w:r w:rsidRPr="00CB0607">
        <w:t xml:space="preserve"> hours of interviews and focus groups with approximately </w:t>
      </w:r>
      <w:r w:rsidR="00B43612">
        <w:t>120</w:t>
      </w:r>
      <w:r w:rsidRPr="00CB0607">
        <w:t xml:space="preserve"> stakeholders, including school committee members, district administrators, school staff, students, students’ families, and teachers’ association representatives. The review team conducted </w:t>
      </w:r>
      <w:r w:rsidR="0009395C">
        <w:t>5</w:t>
      </w:r>
      <w:r w:rsidR="00D30A74" w:rsidRPr="00CB0607">
        <w:t xml:space="preserve"> </w:t>
      </w:r>
      <w:r w:rsidRPr="00CB0607">
        <w:t xml:space="preserve">teacher focus groups with </w:t>
      </w:r>
      <w:r w:rsidR="0098472F">
        <w:t>10</w:t>
      </w:r>
      <w:r w:rsidR="0009395C">
        <w:t xml:space="preserve"> </w:t>
      </w:r>
      <w:r w:rsidRPr="00CB0607">
        <w:t>elementary</w:t>
      </w:r>
      <w:r w:rsidR="00D02CA3">
        <w:t xml:space="preserve"> </w:t>
      </w:r>
      <w:r w:rsidRPr="00CB0607">
        <w:t xml:space="preserve">school teachers, </w:t>
      </w:r>
      <w:r w:rsidR="0098472F">
        <w:t>12</w:t>
      </w:r>
      <w:r w:rsidR="00D30A74" w:rsidRPr="00CB0607">
        <w:t xml:space="preserve"> </w:t>
      </w:r>
      <w:r w:rsidRPr="00CB0607">
        <w:t>middle</w:t>
      </w:r>
      <w:r w:rsidR="00D02CA3">
        <w:t xml:space="preserve"> </w:t>
      </w:r>
      <w:r w:rsidRPr="00CB0607">
        <w:t xml:space="preserve">school teachers, and </w:t>
      </w:r>
      <w:r w:rsidR="008C0E64">
        <w:t>5</w:t>
      </w:r>
      <w:r w:rsidRPr="00CB0607">
        <w:t xml:space="preserve"> high</w:t>
      </w:r>
      <w:r w:rsidR="00D02CA3">
        <w:t xml:space="preserve"> </w:t>
      </w:r>
      <w:r w:rsidRPr="00CB0607">
        <w:t>school teachers</w:t>
      </w:r>
      <w:r w:rsidR="00FC43E8">
        <w:t xml:space="preserve">; </w:t>
      </w:r>
      <w:r w:rsidR="004064DD">
        <w:t>3</w:t>
      </w:r>
      <w:r w:rsidR="006E3B8C">
        <w:t xml:space="preserve"> </w:t>
      </w:r>
      <w:r w:rsidR="00FC43E8">
        <w:rPr>
          <w:rStyle w:val="normaltextrun"/>
          <w:rFonts w:ascii="Franklin Gothic Book" w:hAnsi="Franklin Gothic Book"/>
          <w:color w:val="000000"/>
          <w:shd w:val="clear" w:color="auto" w:fill="FFFFFF"/>
        </w:rPr>
        <w:t xml:space="preserve">focus groups with </w:t>
      </w:r>
      <w:r w:rsidR="008C0E64">
        <w:t>16</w:t>
      </w:r>
      <w:r w:rsidR="0007087E">
        <w:t xml:space="preserve"> </w:t>
      </w:r>
      <w:r w:rsidR="00FC43E8">
        <w:rPr>
          <w:rStyle w:val="normaltextrun"/>
          <w:rFonts w:ascii="Franklin Gothic Book" w:hAnsi="Franklin Gothic Book"/>
          <w:color w:val="000000"/>
          <w:shd w:val="clear" w:color="auto" w:fill="FFFFFF"/>
        </w:rPr>
        <w:t xml:space="preserve">middle school and </w:t>
      </w:r>
      <w:r w:rsidR="008C0E64">
        <w:t>6</w:t>
      </w:r>
      <w:r w:rsidR="006E3B8C">
        <w:t xml:space="preserve"> </w:t>
      </w:r>
      <w:r w:rsidR="00FC43E8">
        <w:rPr>
          <w:rStyle w:val="normaltextrun"/>
          <w:rFonts w:ascii="Franklin Gothic Book" w:hAnsi="Franklin Gothic Book"/>
          <w:color w:val="000000"/>
          <w:shd w:val="clear" w:color="auto" w:fill="FFFFFF"/>
        </w:rPr>
        <w:t xml:space="preserve">high school students; and </w:t>
      </w:r>
      <w:r w:rsidR="008C0E64">
        <w:t>5</w:t>
      </w:r>
      <w:r w:rsidR="00832E4A">
        <w:t xml:space="preserve"> </w:t>
      </w:r>
      <w:r w:rsidR="00FC43E8">
        <w:rPr>
          <w:rStyle w:val="normaltextrun"/>
          <w:rFonts w:ascii="Franklin Gothic Book" w:hAnsi="Franklin Gothic Book"/>
          <w:color w:val="000000"/>
          <w:shd w:val="clear" w:color="auto" w:fill="FFFFFF"/>
        </w:rPr>
        <w:t xml:space="preserve">family focus groups with </w:t>
      </w:r>
      <w:r w:rsidR="008C0E64">
        <w:t>25</w:t>
      </w:r>
      <w:r w:rsidR="006E3B8C">
        <w:t xml:space="preserve"> </w:t>
      </w:r>
      <w:r w:rsidR="00FC43E8">
        <w:rPr>
          <w:rStyle w:val="normaltextrun"/>
          <w:rFonts w:ascii="Franklin Gothic Book" w:hAnsi="Franklin Gothic Book"/>
          <w:color w:val="000000"/>
          <w:shd w:val="clear" w:color="auto" w:fill="FFFFFF"/>
        </w:rPr>
        <w:t>parents</w:t>
      </w:r>
      <w:r w:rsidR="00FC43E8" w:rsidRPr="00E8327E">
        <w:rPr>
          <w:rStyle w:val="normaltextrun"/>
          <w:rFonts w:ascii="Franklin Gothic Book" w:hAnsi="Franklin Gothic Book"/>
          <w:shd w:val="clear" w:color="auto" w:fill="FFFFFF"/>
        </w:rPr>
        <w:t>.</w:t>
      </w:r>
      <w:r w:rsidR="2976EE1D" w:rsidRPr="00E8327E">
        <w:rPr>
          <w:rStyle w:val="normaltextrun"/>
          <w:rFonts w:ascii="Franklin Gothic Book" w:hAnsi="Franklin Gothic Book"/>
          <w:shd w:val="clear" w:color="auto" w:fill="FFFFFF"/>
        </w:rPr>
        <w:t xml:space="preserve"> </w:t>
      </w:r>
      <w:r w:rsidR="001E0B31" w:rsidRPr="00472F35">
        <w:rPr>
          <w:rStyle w:val="normaltextrun"/>
          <w:rFonts w:ascii="Franklin Gothic Book" w:eastAsia="Franklin Gothic Book" w:hAnsi="Franklin Gothic Book" w:cs="Franklin Gothic Book"/>
        </w:rPr>
        <w:t xml:space="preserve">Data </w:t>
      </w:r>
      <w:r w:rsidR="001E0B31" w:rsidRPr="00472F35">
        <w:rPr>
          <w:rStyle w:val="normaltextrun"/>
          <w:rFonts w:ascii="Franklin Gothic Book" w:eastAsia="Franklin Gothic Book" w:hAnsi="Franklin Gothic Book" w:cs="Franklin Gothic Book"/>
        </w:rPr>
        <w:lastRenderedPageBreak/>
        <w:t>collection also included distributing a questionnaire to district leaders</w:t>
      </w:r>
      <w:r w:rsidR="0007087E">
        <w:rPr>
          <w:rStyle w:val="normaltextrun"/>
          <w:rFonts w:ascii="Franklin Gothic Book" w:eastAsia="Franklin Gothic Book" w:hAnsi="Franklin Gothic Book" w:cs="Franklin Gothic Book"/>
        </w:rPr>
        <w:t xml:space="preserve"> and</w:t>
      </w:r>
      <w:r w:rsidR="001E0B31" w:rsidRPr="00472F35">
        <w:rPr>
          <w:rStyle w:val="normaltextrun"/>
          <w:rFonts w:ascii="Franklin Gothic Book" w:eastAsia="Franklin Gothic Book" w:hAnsi="Franklin Gothic Book" w:cs="Franklin Gothic Book"/>
        </w:rPr>
        <w:t xml:space="preserve"> principal</w:t>
      </w:r>
      <w:r w:rsidR="0007087E">
        <w:rPr>
          <w:rStyle w:val="normaltextrun"/>
          <w:rFonts w:ascii="Franklin Gothic Book" w:eastAsia="Franklin Gothic Book" w:hAnsi="Franklin Gothic Book" w:cs="Franklin Gothic Book"/>
        </w:rPr>
        <w:t>s</w:t>
      </w:r>
      <w:r w:rsidR="001E0B31" w:rsidRPr="00472F35">
        <w:rPr>
          <w:rStyle w:val="normaltextrun"/>
          <w:rFonts w:ascii="Franklin Gothic Book" w:eastAsia="Franklin Gothic Book" w:hAnsi="Franklin Gothic Book" w:cs="Franklin Gothic Book"/>
        </w:rPr>
        <w:t xml:space="preserve"> to gather information about district and school processes and operations</w:t>
      </w:r>
      <w:r w:rsidR="0007087E">
        <w:rPr>
          <w:rStyle w:val="normaltextrun"/>
          <w:rFonts w:ascii="Franklin Gothic Book" w:eastAsia="Franklin Gothic Book" w:hAnsi="Franklin Gothic Book" w:cs="Franklin Gothic Book"/>
        </w:rPr>
        <w:t>. R</w:t>
      </w:r>
      <w:r w:rsidR="001E0B31">
        <w:rPr>
          <w:rStyle w:val="normaltextrun"/>
          <w:rFonts w:ascii="Franklin Gothic Book" w:eastAsia="Franklin Gothic Book" w:hAnsi="Franklin Gothic Book" w:cs="Franklin Gothic Book"/>
        </w:rPr>
        <w:t xml:space="preserve">espondents in </w:t>
      </w:r>
      <w:r w:rsidR="005B40D7">
        <w:rPr>
          <w:rStyle w:val="normaltextrun"/>
          <w:rFonts w:ascii="Franklin Gothic Book" w:eastAsia="Franklin Gothic Book" w:hAnsi="Franklin Gothic Book" w:cs="Franklin Gothic Book"/>
        </w:rPr>
        <w:t xml:space="preserve">Brockton </w:t>
      </w:r>
      <w:r w:rsidR="001E0B31">
        <w:rPr>
          <w:rStyle w:val="normaltextrun"/>
          <w:rFonts w:ascii="Franklin Gothic Book" w:eastAsia="Franklin Gothic Book" w:hAnsi="Franklin Gothic Book" w:cs="Franklin Gothic Book"/>
        </w:rPr>
        <w:t>completed the</w:t>
      </w:r>
      <w:r w:rsidR="001E0B31" w:rsidRPr="00472F35">
        <w:rPr>
          <w:rStyle w:val="normaltextrun"/>
          <w:rFonts w:ascii="Franklin Gothic Book" w:eastAsia="Franklin Gothic Book" w:hAnsi="Franklin Gothic Book" w:cs="Franklin Gothic Book"/>
        </w:rPr>
        <w:t xml:space="preserve"> district questionnaire and </w:t>
      </w:r>
      <w:r w:rsidR="33D64B98" w:rsidRPr="3B31CC76">
        <w:rPr>
          <w:rStyle w:val="normaltextrun"/>
          <w:rFonts w:ascii="Franklin Gothic Book" w:eastAsia="Franklin Gothic Book" w:hAnsi="Franklin Gothic Book" w:cs="Franklin Gothic Book"/>
        </w:rPr>
        <w:t>2</w:t>
      </w:r>
      <w:r w:rsidR="33D64B98" w:rsidRPr="00B64EA9">
        <w:rPr>
          <w:rStyle w:val="normaltextrun"/>
          <w:rFonts w:ascii="Franklin Gothic Book" w:eastAsia="Franklin Gothic Book" w:hAnsi="Franklin Gothic Book" w:cs="Franklin Gothic Book"/>
        </w:rPr>
        <w:t xml:space="preserve">4 </w:t>
      </w:r>
      <w:r w:rsidR="001E0B31" w:rsidRPr="00B64EA9">
        <w:rPr>
          <w:rStyle w:val="normaltextrun"/>
          <w:rFonts w:ascii="Franklin Gothic Book" w:eastAsia="Franklin Gothic Book" w:hAnsi="Franklin Gothic Book" w:cs="Franklin Gothic Book"/>
        </w:rPr>
        <w:t xml:space="preserve">of </w:t>
      </w:r>
      <w:r w:rsidR="4D3FF1DA" w:rsidRPr="00B64EA9">
        <w:rPr>
          <w:rStyle w:val="normaltextrun"/>
          <w:rFonts w:ascii="Franklin Gothic Book" w:eastAsia="Franklin Gothic Book" w:hAnsi="Franklin Gothic Book" w:cs="Franklin Gothic Book"/>
        </w:rPr>
        <w:t>24</w:t>
      </w:r>
      <w:r w:rsidR="001E0B31" w:rsidRPr="00B64EA9">
        <w:rPr>
          <w:rStyle w:val="normaltextrun"/>
          <w:rFonts w:ascii="Franklin Gothic Book" w:eastAsia="Franklin Gothic Book" w:hAnsi="Franklin Gothic Book" w:cs="Franklin Gothic Book"/>
        </w:rPr>
        <w:t xml:space="preserve"> principal q</w:t>
      </w:r>
      <w:r w:rsidR="001E0B31" w:rsidRPr="00472F35">
        <w:rPr>
          <w:rStyle w:val="normaltextrun"/>
          <w:rFonts w:ascii="Franklin Gothic Book" w:eastAsia="Franklin Gothic Book" w:hAnsi="Franklin Gothic Book" w:cs="Franklin Gothic Book"/>
        </w:rPr>
        <w:t>uestionnaires.</w:t>
      </w:r>
    </w:p>
    <w:p w14:paraId="7BDDD523" w14:textId="77777777" w:rsidR="0046023A" w:rsidRDefault="003D6ECF" w:rsidP="007319AA">
      <w:pPr>
        <w:pStyle w:val="BodyText"/>
      </w:pPr>
      <w:r w:rsidRPr="00CB0607">
        <w:t xml:space="preserve">The site team also conducted </w:t>
      </w:r>
      <w:r w:rsidR="005B40D7">
        <w:t>173</w:t>
      </w:r>
      <w:r w:rsidRPr="00CB0607">
        <w:t xml:space="preserve"> observations of classroom instruction in </w:t>
      </w:r>
      <w:r w:rsidR="0FBFBCEB">
        <w:t>23</w:t>
      </w:r>
      <w:r w:rsidR="006D04CC" w:rsidRPr="00CB0607">
        <w:t xml:space="preserve"> </w:t>
      </w:r>
      <w:r w:rsidRPr="00CB0607">
        <w:t>schools.</w:t>
      </w:r>
      <w:r w:rsidR="00B72349" w:rsidRPr="00CB0607">
        <w:rPr>
          <w:rStyle w:val="CommentReference"/>
        </w:rPr>
        <w:t xml:space="preserve"> </w:t>
      </w:r>
      <w:r w:rsidR="00D30A74" w:rsidRPr="00CB0607">
        <w:t>C</w:t>
      </w:r>
      <w:r w:rsidRPr="00CB0607">
        <w:t>ertified team members conducted instructional observations using the Teachstone CLASS protocol</w:t>
      </w:r>
      <w:r w:rsidR="0046023A">
        <w:t>.</w:t>
      </w:r>
    </w:p>
    <w:p w14:paraId="2B77C53A" w14:textId="09C8EAA1" w:rsidR="003D6ECF" w:rsidRPr="00CB0607" w:rsidRDefault="003D6ECF" w:rsidP="007319AA">
      <w:pPr>
        <w:pStyle w:val="Heading3"/>
      </w:pPr>
      <w:r w:rsidRPr="00CB0607">
        <w:t xml:space="preserve">District </w:t>
      </w:r>
      <w:r w:rsidRPr="007319AA">
        <w:t>Profile</w:t>
      </w:r>
    </w:p>
    <w:p w14:paraId="5FEACF8D" w14:textId="71B62981" w:rsidR="001E4C5C" w:rsidRPr="00723786" w:rsidRDefault="001E4C5C" w:rsidP="007319AA">
      <w:pPr>
        <w:pStyle w:val="BodyTextposthead"/>
      </w:pPr>
      <w:r>
        <w:t>The City of Brockton is located in southeast</w:t>
      </w:r>
      <w:r w:rsidR="004F6D0F">
        <w:t>ern</w:t>
      </w:r>
      <w:r>
        <w:t xml:space="preserve"> Massachusetts and borders the cities of </w:t>
      </w:r>
      <w:r w:rsidR="6EB25D4B">
        <w:t xml:space="preserve">Abington, Avon, </w:t>
      </w:r>
      <w:r w:rsidR="2BA50F33">
        <w:t xml:space="preserve">Easton, East </w:t>
      </w:r>
      <w:r w:rsidR="0D372FBA">
        <w:t xml:space="preserve">Bridgewater, Holbrook, Stoughton, </w:t>
      </w:r>
      <w:r w:rsidR="018DF656">
        <w:t xml:space="preserve">West </w:t>
      </w:r>
      <w:r>
        <w:t>Bridgewater</w:t>
      </w:r>
      <w:r w:rsidR="34B2523C">
        <w:t>, and Whitman</w:t>
      </w:r>
      <w:r>
        <w:t xml:space="preserve">. According to </w:t>
      </w:r>
      <w:hyperlink r:id="rId20">
        <w:r w:rsidRPr="2D019F4B">
          <w:rPr>
            <w:color w:val="0563C1"/>
            <w:u w:val="single"/>
          </w:rPr>
          <w:t>census data</w:t>
        </w:r>
      </w:hyperlink>
      <w:r>
        <w:t>, Brockton’s median income from 2020</w:t>
      </w:r>
      <w:r w:rsidR="003917F5">
        <w:t xml:space="preserve"> to </w:t>
      </w:r>
      <w:r>
        <w:t>2024 was $80,115, which is below the state median income of $103,960. In 2024, Brockton had an estimated 105,788</w:t>
      </w:r>
      <w:r w:rsidR="003917F5">
        <w:t xml:space="preserve"> </w:t>
      </w:r>
      <w:r>
        <w:t>residents.</w:t>
      </w:r>
    </w:p>
    <w:p w14:paraId="4E294B0F" w14:textId="372F83B2" w:rsidR="001E4C5C" w:rsidRPr="00723786" w:rsidRDefault="001E4C5C" w:rsidP="00C75D7C">
      <w:pPr>
        <w:pStyle w:val="BodyText"/>
      </w:pPr>
      <w:r w:rsidRPr="00723786">
        <w:t xml:space="preserve">The superintendent of </w:t>
      </w:r>
      <w:r>
        <w:t>Brockton</w:t>
      </w:r>
      <w:r w:rsidRPr="00723786">
        <w:t xml:space="preserve"> is </w:t>
      </w:r>
      <w:r w:rsidR="00423558">
        <w:t xml:space="preserve">Dr. </w:t>
      </w:r>
      <w:r w:rsidRPr="00B64EA9">
        <w:t>Priya Tahiliani</w:t>
      </w:r>
      <w:r w:rsidR="00622205">
        <w:t>,</w:t>
      </w:r>
      <w:r w:rsidRPr="00B64EA9">
        <w:t xml:space="preserve"> who was appointed in July 2024. A school committee</w:t>
      </w:r>
      <w:r w:rsidR="006F4607">
        <w:t xml:space="preserve"> </w:t>
      </w:r>
      <w:r w:rsidRPr="00B64EA9">
        <w:t>of seven members</w:t>
      </w:r>
      <w:r w:rsidR="006F4607">
        <w:t>,</w:t>
      </w:r>
      <w:r w:rsidRPr="00B64EA9">
        <w:t xml:space="preserve"> elected for two-year terms</w:t>
      </w:r>
      <w:r w:rsidR="006F4607">
        <w:t>, also governs the district</w:t>
      </w:r>
      <w:r w:rsidRPr="00B64EA9">
        <w:t>.</w:t>
      </w:r>
    </w:p>
    <w:p w14:paraId="0943872F" w14:textId="18F2C8C4" w:rsidR="0046023A" w:rsidRDefault="00A064B8" w:rsidP="00C75D7C">
      <w:pPr>
        <w:pStyle w:val="BodyText"/>
      </w:pPr>
      <w:r>
        <w:t>T</w:t>
      </w:r>
      <w:r w:rsidR="001E4C5C" w:rsidRPr="00723786">
        <w:t>he district served 1</w:t>
      </w:r>
      <w:r w:rsidR="001E4C5C">
        <w:t>4,642</w:t>
      </w:r>
      <w:r w:rsidR="001E4C5C" w:rsidRPr="00723786">
        <w:t xml:space="preserve"> students across its </w:t>
      </w:r>
      <w:r w:rsidR="001E4C5C">
        <w:t>24</w:t>
      </w:r>
      <w:r w:rsidR="001E4C5C" w:rsidRPr="00723786">
        <w:t xml:space="preserve"> schools</w:t>
      </w:r>
      <w:r>
        <w:t xml:space="preserve"> i</w:t>
      </w:r>
      <w:r w:rsidRPr="00723786">
        <w:t>n the 202</w:t>
      </w:r>
      <w:r>
        <w:t>5</w:t>
      </w:r>
      <w:r w:rsidRPr="00723786">
        <w:t>-202</w:t>
      </w:r>
      <w:r>
        <w:t>6</w:t>
      </w:r>
      <w:r w:rsidRPr="00723786">
        <w:t xml:space="preserve"> school year</w:t>
      </w:r>
      <w:r w:rsidR="001E4C5C" w:rsidRPr="00723786">
        <w:t>.</w:t>
      </w:r>
      <w:r w:rsidR="00D747B8">
        <w:t xml:space="preserve"> </w:t>
      </w:r>
      <w:r>
        <w:t>T</w:t>
      </w:r>
      <w:r w:rsidR="001E4C5C" w:rsidRPr="00723786">
        <w:t xml:space="preserve">otal enrollment </w:t>
      </w:r>
      <w:r w:rsidR="001E4C5C" w:rsidRPr="0022154E">
        <w:t>has decreased by 742 students</w:t>
      </w:r>
      <w:r>
        <w:t xml:space="preserve"> s</w:t>
      </w:r>
      <w:r w:rsidRPr="00723786">
        <w:t>ince the 2020-</w:t>
      </w:r>
      <w:r>
        <w:t>20</w:t>
      </w:r>
      <w:r w:rsidRPr="00723786">
        <w:t>21 school year</w:t>
      </w:r>
      <w:r w:rsidR="001E4C5C" w:rsidRPr="0022154E">
        <w:t>. Table</w:t>
      </w:r>
      <w:r w:rsidR="001E4C5C" w:rsidRPr="00723786">
        <w:t xml:space="preserve"> 1 provides an overview of student enrollment by school for the 202</w:t>
      </w:r>
      <w:r w:rsidR="001E4C5C">
        <w:t>5</w:t>
      </w:r>
      <w:r w:rsidR="001E4C5C" w:rsidRPr="00723786">
        <w:t>-202</w:t>
      </w:r>
      <w:r w:rsidR="001E4C5C">
        <w:t>6</w:t>
      </w:r>
      <w:r w:rsidR="001E4C5C" w:rsidRPr="00723786">
        <w:t xml:space="preserve"> school yea</w:t>
      </w:r>
      <w:r w:rsidR="001E4C5C">
        <w:t>r</w:t>
      </w:r>
      <w:r w:rsidR="0046023A">
        <w:t>.</w:t>
      </w:r>
    </w:p>
    <w:p w14:paraId="7D8D9B1F" w14:textId="5AFBCF10" w:rsidR="001E4C5C" w:rsidRPr="00723786" w:rsidRDefault="001E4C5C" w:rsidP="00C75D7C">
      <w:pPr>
        <w:pStyle w:val="TableTitle0"/>
      </w:pPr>
      <w:r w:rsidRPr="00723786">
        <w:t xml:space="preserve">Table 1. Schools, Type, Grades Served, and Enrollment, </w:t>
      </w:r>
      <w:r w:rsidRPr="00C75D7C">
        <w:t>2025</w:t>
      </w:r>
      <w:r w:rsidRPr="00723786">
        <w:t>-202</w:t>
      </w:r>
      <w:r>
        <w:t>6</w:t>
      </w:r>
    </w:p>
    <w:tbl>
      <w:tblPr>
        <w:tblStyle w:val="MSVTable1"/>
        <w:tblW w:w="5000" w:type="pct"/>
        <w:tblLayout w:type="fixed"/>
        <w:tblLook w:val="0020" w:firstRow="1" w:lastRow="0" w:firstColumn="0" w:lastColumn="0" w:noHBand="0" w:noVBand="0"/>
        <w:tblCaption w:val="Table 1. Schools, Type, Grades Served, and Enrollment, 2025-2026"/>
        <w:tblDescription w:val="Schools, Type, Grades Served, and Enrollment, 2025-2026"/>
      </w:tblPr>
      <w:tblGrid>
        <w:gridCol w:w="3828"/>
        <w:gridCol w:w="1838"/>
        <w:gridCol w:w="1839"/>
        <w:gridCol w:w="1839"/>
      </w:tblGrid>
      <w:tr w:rsidR="001E4C5C" w:rsidRPr="00723786" w14:paraId="0C869E2A" w14:textId="77777777" w:rsidTr="00D71614">
        <w:trPr>
          <w:cnfStyle w:val="100000000000" w:firstRow="1" w:lastRow="0" w:firstColumn="0" w:lastColumn="0" w:oddVBand="0" w:evenVBand="0" w:oddHBand="0" w:evenHBand="0" w:firstRowFirstColumn="0" w:firstRowLastColumn="0" w:lastRowFirstColumn="0" w:lastRowLastColumn="0"/>
          <w:tblHeader/>
        </w:trPr>
        <w:tc>
          <w:tcPr>
            <w:tcW w:w="3828" w:type="dxa"/>
          </w:tcPr>
          <w:p w14:paraId="3C84E062" w14:textId="3147BAE3" w:rsidR="001E4C5C" w:rsidRPr="007A5049" w:rsidRDefault="001E4C5C" w:rsidP="00C75D7C">
            <w:pPr>
              <w:pStyle w:val="TableColHeadingCenter"/>
            </w:pPr>
            <w:r w:rsidRPr="007A5049">
              <w:t>School</w:t>
            </w:r>
          </w:p>
        </w:tc>
        <w:tc>
          <w:tcPr>
            <w:tcW w:w="1838" w:type="dxa"/>
          </w:tcPr>
          <w:p w14:paraId="50A0EDA3" w14:textId="77777777" w:rsidR="001E4C5C" w:rsidRPr="00723786" w:rsidRDefault="001E4C5C" w:rsidP="00C75D7C">
            <w:pPr>
              <w:pStyle w:val="TableColHeadingCenter"/>
            </w:pPr>
            <w:r w:rsidRPr="00723786">
              <w:t>Type</w:t>
            </w:r>
          </w:p>
        </w:tc>
        <w:tc>
          <w:tcPr>
            <w:tcW w:w="1839" w:type="dxa"/>
          </w:tcPr>
          <w:p w14:paraId="48C95E7B" w14:textId="77777777" w:rsidR="001E4C5C" w:rsidRPr="00723786" w:rsidRDefault="001E4C5C" w:rsidP="00C75D7C">
            <w:pPr>
              <w:pStyle w:val="TableColHeadingCenter"/>
            </w:pPr>
            <w:r w:rsidRPr="00723786">
              <w:t>Grades served</w:t>
            </w:r>
          </w:p>
        </w:tc>
        <w:tc>
          <w:tcPr>
            <w:tcW w:w="1839" w:type="dxa"/>
          </w:tcPr>
          <w:p w14:paraId="703A6D79" w14:textId="77777777" w:rsidR="001E4C5C" w:rsidRPr="00723786" w:rsidRDefault="001E4C5C" w:rsidP="00C75D7C">
            <w:pPr>
              <w:pStyle w:val="TableColHeadingCenter"/>
            </w:pPr>
            <w:r w:rsidRPr="00723786">
              <w:t>Enrollment</w:t>
            </w:r>
          </w:p>
        </w:tc>
      </w:tr>
      <w:tr w:rsidR="001E4C5C" w:rsidRPr="00723786" w14:paraId="13D0312C"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236E779E" w14:textId="53FEECC8" w:rsidR="001E4C5C" w:rsidRPr="00723786" w:rsidRDefault="001E4C5C" w:rsidP="00D14B25">
            <w:pPr>
              <w:pStyle w:val="TableSubheading"/>
            </w:pPr>
            <w:r>
              <w:t>Barrett Russell Early Childhood Center</w:t>
            </w:r>
          </w:p>
        </w:tc>
        <w:tc>
          <w:tcPr>
            <w:tcW w:w="1838" w:type="dxa"/>
          </w:tcPr>
          <w:p w14:paraId="5FEFB161" w14:textId="77777777" w:rsidR="001E4C5C" w:rsidRPr="00723786" w:rsidRDefault="001E4C5C" w:rsidP="009B6EC6">
            <w:pPr>
              <w:pStyle w:val="TableTextCentered"/>
            </w:pPr>
            <w:r w:rsidRPr="00723786">
              <w:t>Elementary</w:t>
            </w:r>
          </w:p>
        </w:tc>
        <w:tc>
          <w:tcPr>
            <w:tcW w:w="1839" w:type="dxa"/>
          </w:tcPr>
          <w:p w14:paraId="0974ACEF" w14:textId="77777777" w:rsidR="001E4C5C" w:rsidRPr="00723786" w:rsidRDefault="001E4C5C" w:rsidP="00D14B25">
            <w:pPr>
              <w:pStyle w:val="TableTextCentered"/>
            </w:pPr>
            <w:r w:rsidRPr="00723786">
              <w:t>PK</w:t>
            </w:r>
          </w:p>
        </w:tc>
        <w:tc>
          <w:tcPr>
            <w:tcW w:w="1839" w:type="dxa"/>
          </w:tcPr>
          <w:p w14:paraId="5C1B065E" w14:textId="77777777" w:rsidR="001E4C5C" w:rsidRPr="00723786" w:rsidRDefault="001E4C5C" w:rsidP="00D14B25">
            <w:pPr>
              <w:pStyle w:val="TableTextCentered"/>
            </w:pPr>
            <w:r>
              <w:t>250</w:t>
            </w:r>
          </w:p>
        </w:tc>
      </w:tr>
      <w:tr w:rsidR="001E4C5C" w:rsidRPr="00723786" w14:paraId="10466C48" w14:textId="77777777" w:rsidTr="00D71614">
        <w:tc>
          <w:tcPr>
            <w:tcW w:w="3828" w:type="dxa"/>
          </w:tcPr>
          <w:p w14:paraId="34FB237A" w14:textId="53B8DCEA" w:rsidR="001E4C5C" w:rsidRPr="00723786" w:rsidRDefault="001E4C5C" w:rsidP="00D14B25">
            <w:pPr>
              <w:pStyle w:val="TableSubheading"/>
            </w:pPr>
            <w:r>
              <w:t xml:space="preserve">Brookfield </w:t>
            </w:r>
            <w:r w:rsidR="109C67C0" w:rsidRPr="76E0014C">
              <w:t>Elementary School</w:t>
            </w:r>
          </w:p>
        </w:tc>
        <w:tc>
          <w:tcPr>
            <w:tcW w:w="1838" w:type="dxa"/>
          </w:tcPr>
          <w:p w14:paraId="218CC588" w14:textId="77777777" w:rsidR="001E4C5C" w:rsidRPr="00723786" w:rsidRDefault="001E4C5C" w:rsidP="009B6EC6">
            <w:pPr>
              <w:pStyle w:val="TableTextCentered"/>
            </w:pPr>
            <w:r w:rsidRPr="00723786">
              <w:t>Elementary</w:t>
            </w:r>
          </w:p>
        </w:tc>
        <w:tc>
          <w:tcPr>
            <w:tcW w:w="1839" w:type="dxa"/>
          </w:tcPr>
          <w:p w14:paraId="3082AD73" w14:textId="77777777" w:rsidR="001E4C5C" w:rsidRPr="00723786" w:rsidRDefault="001E4C5C" w:rsidP="00D14B25">
            <w:pPr>
              <w:pStyle w:val="TableTextCentered"/>
            </w:pPr>
            <w:r w:rsidRPr="00723786">
              <w:t>PK</w:t>
            </w:r>
            <w:r>
              <w:t>-5</w:t>
            </w:r>
          </w:p>
        </w:tc>
        <w:tc>
          <w:tcPr>
            <w:tcW w:w="1839" w:type="dxa"/>
          </w:tcPr>
          <w:p w14:paraId="2044F3B7" w14:textId="77777777" w:rsidR="001E4C5C" w:rsidRPr="00723786" w:rsidRDefault="001E4C5C" w:rsidP="00D14B25">
            <w:pPr>
              <w:pStyle w:val="TableTextCentered"/>
            </w:pPr>
            <w:r>
              <w:t>496</w:t>
            </w:r>
          </w:p>
        </w:tc>
      </w:tr>
      <w:tr w:rsidR="001E4C5C" w:rsidRPr="00723786" w14:paraId="6607C02D"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78B4AD7E" w14:textId="5EB19FD8" w:rsidR="001E4C5C" w:rsidRPr="00723786" w:rsidRDefault="001E4C5C" w:rsidP="00D14B25">
            <w:pPr>
              <w:pStyle w:val="TableSubheading"/>
            </w:pPr>
            <w:r w:rsidRPr="76E0014C">
              <w:t xml:space="preserve">Downey </w:t>
            </w:r>
            <w:r w:rsidR="3F0E1E4E" w:rsidRPr="76E0014C">
              <w:t>Elementary School</w:t>
            </w:r>
          </w:p>
        </w:tc>
        <w:tc>
          <w:tcPr>
            <w:tcW w:w="1838" w:type="dxa"/>
          </w:tcPr>
          <w:p w14:paraId="4670A279" w14:textId="77777777" w:rsidR="001E4C5C" w:rsidRPr="00723786" w:rsidRDefault="001E4C5C" w:rsidP="009B6EC6">
            <w:pPr>
              <w:pStyle w:val="TableTextCentered"/>
            </w:pPr>
            <w:r w:rsidRPr="00723786">
              <w:t>Elementary</w:t>
            </w:r>
          </w:p>
        </w:tc>
        <w:tc>
          <w:tcPr>
            <w:tcW w:w="1839" w:type="dxa"/>
          </w:tcPr>
          <w:p w14:paraId="6A15E4C8" w14:textId="77777777" w:rsidR="001E4C5C" w:rsidRPr="00723786" w:rsidRDefault="001E4C5C" w:rsidP="00D14B25">
            <w:pPr>
              <w:pStyle w:val="TableTextCentered"/>
            </w:pPr>
            <w:r w:rsidRPr="00723786">
              <w:t>PK-5</w:t>
            </w:r>
          </w:p>
        </w:tc>
        <w:tc>
          <w:tcPr>
            <w:tcW w:w="1839" w:type="dxa"/>
          </w:tcPr>
          <w:p w14:paraId="64F6AAEA" w14:textId="77777777" w:rsidR="001E4C5C" w:rsidRPr="00723786" w:rsidRDefault="001E4C5C" w:rsidP="00D14B25">
            <w:pPr>
              <w:pStyle w:val="TableTextCentered"/>
            </w:pPr>
            <w:r>
              <w:t>651</w:t>
            </w:r>
          </w:p>
        </w:tc>
      </w:tr>
      <w:tr w:rsidR="001E4C5C" w:rsidRPr="00723786" w14:paraId="00F98382" w14:textId="77777777" w:rsidTr="00D71614">
        <w:tc>
          <w:tcPr>
            <w:tcW w:w="3828" w:type="dxa"/>
          </w:tcPr>
          <w:p w14:paraId="52647123" w14:textId="76F40102" w:rsidR="001E4C5C" w:rsidRPr="00723786" w:rsidRDefault="001E4C5C" w:rsidP="00D14B25">
            <w:pPr>
              <w:pStyle w:val="TableSubheading"/>
            </w:pPr>
            <w:r w:rsidRPr="00953018">
              <w:t>Dr</w:t>
            </w:r>
            <w:r>
              <w:t>.</w:t>
            </w:r>
            <w:r w:rsidRPr="00953018">
              <w:t xml:space="preserve"> W</w:t>
            </w:r>
            <w:r w:rsidR="00832E4A">
              <w:t>.</w:t>
            </w:r>
            <w:r w:rsidRPr="00953018">
              <w:t xml:space="preserve"> Arnone Community School</w:t>
            </w:r>
          </w:p>
        </w:tc>
        <w:tc>
          <w:tcPr>
            <w:tcW w:w="1838" w:type="dxa"/>
          </w:tcPr>
          <w:p w14:paraId="7255300B" w14:textId="77777777" w:rsidR="001E4C5C" w:rsidRPr="00723786" w:rsidRDefault="001E4C5C" w:rsidP="009B6EC6">
            <w:pPr>
              <w:pStyle w:val="TableTextCentered"/>
            </w:pPr>
            <w:r w:rsidRPr="00723786">
              <w:t>Elementary</w:t>
            </w:r>
          </w:p>
        </w:tc>
        <w:tc>
          <w:tcPr>
            <w:tcW w:w="1839" w:type="dxa"/>
          </w:tcPr>
          <w:p w14:paraId="4920F827" w14:textId="77777777" w:rsidR="001E4C5C" w:rsidRPr="00723786" w:rsidRDefault="001E4C5C" w:rsidP="00D14B25">
            <w:pPr>
              <w:pStyle w:val="TableTextCentered"/>
            </w:pPr>
            <w:r w:rsidRPr="00723786">
              <w:t>PK-5</w:t>
            </w:r>
          </w:p>
        </w:tc>
        <w:tc>
          <w:tcPr>
            <w:tcW w:w="1839" w:type="dxa"/>
          </w:tcPr>
          <w:p w14:paraId="10DCC836" w14:textId="77777777" w:rsidR="001E4C5C" w:rsidRPr="00723786" w:rsidRDefault="001E4C5C" w:rsidP="00D14B25">
            <w:pPr>
              <w:pStyle w:val="TableTextCentered"/>
            </w:pPr>
            <w:r>
              <w:t>747</w:t>
            </w:r>
          </w:p>
        </w:tc>
      </w:tr>
      <w:tr w:rsidR="001E4C5C" w:rsidRPr="00723786" w14:paraId="0CFAF1C5"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7F36B511" w14:textId="77777777" w:rsidR="001E4C5C" w:rsidRPr="00723786" w:rsidRDefault="001E4C5C" w:rsidP="00D14B25">
            <w:pPr>
              <w:pStyle w:val="TableSubheading"/>
            </w:pPr>
            <w:r w:rsidRPr="00B668D6">
              <w:t>Manthala George Jr. School</w:t>
            </w:r>
          </w:p>
        </w:tc>
        <w:tc>
          <w:tcPr>
            <w:tcW w:w="1838" w:type="dxa"/>
          </w:tcPr>
          <w:p w14:paraId="70CD38C5" w14:textId="77777777" w:rsidR="001E4C5C" w:rsidRPr="00723786" w:rsidRDefault="001E4C5C" w:rsidP="009B6EC6">
            <w:pPr>
              <w:pStyle w:val="TableTextCentered"/>
            </w:pPr>
            <w:r w:rsidRPr="00723786">
              <w:t>Elementary</w:t>
            </w:r>
          </w:p>
        </w:tc>
        <w:tc>
          <w:tcPr>
            <w:tcW w:w="1839" w:type="dxa"/>
          </w:tcPr>
          <w:p w14:paraId="0C07E304" w14:textId="77777777" w:rsidR="001E4C5C" w:rsidRPr="00723786" w:rsidRDefault="001E4C5C" w:rsidP="00D14B25">
            <w:pPr>
              <w:pStyle w:val="TableTextCentered"/>
            </w:pPr>
            <w:r w:rsidRPr="00723786">
              <w:t>PK-5</w:t>
            </w:r>
          </w:p>
        </w:tc>
        <w:tc>
          <w:tcPr>
            <w:tcW w:w="1839" w:type="dxa"/>
          </w:tcPr>
          <w:p w14:paraId="259CD743" w14:textId="77777777" w:rsidR="001E4C5C" w:rsidRPr="00723786" w:rsidRDefault="001E4C5C" w:rsidP="00D14B25">
            <w:pPr>
              <w:pStyle w:val="TableTextCentered"/>
            </w:pPr>
            <w:r>
              <w:t>879</w:t>
            </w:r>
          </w:p>
        </w:tc>
      </w:tr>
      <w:tr w:rsidR="001E4C5C" w:rsidRPr="00723786" w14:paraId="34E33257" w14:textId="77777777" w:rsidTr="00D71614">
        <w:tc>
          <w:tcPr>
            <w:tcW w:w="3828" w:type="dxa"/>
          </w:tcPr>
          <w:p w14:paraId="1219D089" w14:textId="053BD896" w:rsidR="001E4C5C" w:rsidRPr="00723786" w:rsidRDefault="001E4C5C" w:rsidP="00D14B25">
            <w:pPr>
              <w:pStyle w:val="TableSubheading"/>
            </w:pPr>
            <w:r>
              <w:t>Gilmore Elementary School</w:t>
            </w:r>
          </w:p>
        </w:tc>
        <w:tc>
          <w:tcPr>
            <w:tcW w:w="1838" w:type="dxa"/>
          </w:tcPr>
          <w:p w14:paraId="0361D391" w14:textId="77777777" w:rsidR="001E4C5C" w:rsidRPr="00723786" w:rsidRDefault="001E4C5C" w:rsidP="009B6EC6">
            <w:pPr>
              <w:pStyle w:val="TableTextCentered"/>
            </w:pPr>
            <w:r w:rsidRPr="00723786">
              <w:t>Elementary</w:t>
            </w:r>
          </w:p>
        </w:tc>
        <w:tc>
          <w:tcPr>
            <w:tcW w:w="1839" w:type="dxa"/>
          </w:tcPr>
          <w:p w14:paraId="5AFE1334" w14:textId="77777777" w:rsidR="001E4C5C" w:rsidRPr="00723786" w:rsidRDefault="001E4C5C" w:rsidP="00D14B25">
            <w:pPr>
              <w:pStyle w:val="TableTextCentered"/>
            </w:pPr>
            <w:r>
              <w:t xml:space="preserve">K-5 </w:t>
            </w:r>
          </w:p>
        </w:tc>
        <w:tc>
          <w:tcPr>
            <w:tcW w:w="1839" w:type="dxa"/>
          </w:tcPr>
          <w:p w14:paraId="60338E33" w14:textId="77777777" w:rsidR="001E4C5C" w:rsidRPr="00723786" w:rsidRDefault="001E4C5C" w:rsidP="00D14B25">
            <w:pPr>
              <w:pStyle w:val="TableTextCentered"/>
            </w:pPr>
            <w:r>
              <w:t>438</w:t>
            </w:r>
          </w:p>
        </w:tc>
      </w:tr>
      <w:tr w:rsidR="001E4C5C" w:rsidRPr="00723786" w14:paraId="6C37629A"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0B0EF818" w14:textId="34CD0C37" w:rsidR="001E4C5C" w:rsidRPr="00723786" w:rsidRDefault="001E4C5C" w:rsidP="00D14B25">
            <w:pPr>
              <w:pStyle w:val="TableSubheading"/>
            </w:pPr>
            <w:r w:rsidRPr="76E0014C">
              <w:t xml:space="preserve">Hancock </w:t>
            </w:r>
            <w:r w:rsidR="73464DEB" w:rsidRPr="76E0014C">
              <w:t>Elementary School</w:t>
            </w:r>
          </w:p>
        </w:tc>
        <w:tc>
          <w:tcPr>
            <w:tcW w:w="1838" w:type="dxa"/>
          </w:tcPr>
          <w:p w14:paraId="585064F1" w14:textId="77777777" w:rsidR="001E4C5C" w:rsidRPr="00723786" w:rsidRDefault="001E4C5C" w:rsidP="009B6EC6">
            <w:pPr>
              <w:pStyle w:val="TableTextCentered"/>
            </w:pPr>
            <w:r w:rsidRPr="00723786">
              <w:t>Elementary</w:t>
            </w:r>
          </w:p>
        </w:tc>
        <w:tc>
          <w:tcPr>
            <w:tcW w:w="1839" w:type="dxa"/>
          </w:tcPr>
          <w:p w14:paraId="1F3D628C" w14:textId="77777777" w:rsidR="001E4C5C" w:rsidRPr="00723786" w:rsidRDefault="001E4C5C" w:rsidP="00D14B25">
            <w:pPr>
              <w:pStyle w:val="TableTextCentered"/>
            </w:pPr>
            <w:r>
              <w:t>K-5</w:t>
            </w:r>
          </w:p>
        </w:tc>
        <w:tc>
          <w:tcPr>
            <w:tcW w:w="1839" w:type="dxa"/>
          </w:tcPr>
          <w:p w14:paraId="10FA450B" w14:textId="77777777" w:rsidR="001E4C5C" w:rsidRPr="00723786" w:rsidRDefault="001E4C5C" w:rsidP="00D14B25">
            <w:pPr>
              <w:pStyle w:val="TableTextCentered"/>
            </w:pPr>
            <w:r>
              <w:t>656</w:t>
            </w:r>
          </w:p>
        </w:tc>
      </w:tr>
      <w:tr w:rsidR="001E4C5C" w:rsidRPr="00723786" w14:paraId="2773420D" w14:textId="77777777" w:rsidTr="00D71614">
        <w:tc>
          <w:tcPr>
            <w:tcW w:w="3828" w:type="dxa"/>
          </w:tcPr>
          <w:p w14:paraId="23CEA336" w14:textId="3BA80FD2" w:rsidR="001E4C5C" w:rsidRPr="00723786" w:rsidRDefault="001E4C5C" w:rsidP="00D14B25">
            <w:pPr>
              <w:pStyle w:val="TableSubheading"/>
            </w:pPr>
            <w:r>
              <w:t xml:space="preserve">John F. </w:t>
            </w:r>
            <w:r w:rsidRPr="76E0014C">
              <w:t xml:space="preserve">Kennedy </w:t>
            </w:r>
            <w:r w:rsidR="6BEF38D4" w:rsidRPr="76E0014C">
              <w:t>Elementary School</w:t>
            </w:r>
          </w:p>
        </w:tc>
        <w:tc>
          <w:tcPr>
            <w:tcW w:w="1838" w:type="dxa"/>
          </w:tcPr>
          <w:p w14:paraId="49580C6F" w14:textId="77777777" w:rsidR="001E4C5C" w:rsidRPr="00723786" w:rsidRDefault="001E4C5C" w:rsidP="009B6EC6">
            <w:pPr>
              <w:pStyle w:val="TableTextCentered"/>
            </w:pPr>
            <w:r w:rsidRPr="00723786">
              <w:t>Elementary</w:t>
            </w:r>
          </w:p>
        </w:tc>
        <w:tc>
          <w:tcPr>
            <w:tcW w:w="1839" w:type="dxa"/>
          </w:tcPr>
          <w:p w14:paraId="51E1D28B" w14:textId="77777777" w:rsidR="001E4C5C" w:rsidRPr="00723786" w:rsidRDefault="001E4C5C" w:rsidP="00D14B25">
            <w:pPr>
              <w:pStyle w:val="TableTextCentered"/>
            </w:pPr>
            <w:r>
              <w:t>K-5</w:t>
            </w:r>
          </w:p>
        </w:tc>
        <w:tc>
          <w:tcPr>
            <w:tcW w:w="1839" w:type="dxa"/>
          </w:tcPr>
          <w:p w14:paraId="5F56FEA1" w14:textId="77777777" w:rsidR="001E4C5C" w:rsidRPr="00723786" w:rsidRDefault="001E4C5C" w:rsidP="00D14B25">
            <w:pPr>
              <w:pStyle w:val="TableTextCentered"/>
            </w:pPr>
            <w:r>
              <w:t>532</w:t>
            </w:r>
          </w:p>
        </w:tc>
      </w:tr>
      <w:tr w:rsidR="001E4C5C" w:rsidRPr="00723786" w14:paraId="1497157E"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0BB9C537" w14:textId="63F0B4A7" w:rsidR="001E4C5C" w:rsidRPr="00723786" w:rsidRDefault="001E4C5C" w:rsidP="00D14B25">
            <w:pPr>
              <w:pStyle w:val="TableSubheading"/>
            </w:pPr>
            <w:r>
              <w:t>Louis F. Angelo Elementary</w:t>
            </w:r>
          </w:p>
        </w:tc>
        <w:tc>
          <w:tcPr>
            <w:tcW w:w="1838" w:type="dxa"/>
          </w:tcPr>
          <w:p w14:paraId="70CF964F" w14:textId="77777777" w:rsidR="001E4C5C" w:rsidRPr="00723786" w:rsidRDefault="001E4C5C" w:rsidP="009B6EC6">
            <w:pPr>
              <w:pStyle w:val="TableTextCentered"/>
            </w:pPr>
            <w:r w:rsidRPr="00723786">
              <w:t>Elementary</w:t>
            </w:r>
          </w:p>
        </w:tc>
        <w:tc>
          <w:tcPr>
            <w:tcW w:w="1839" w:type="dxa"/>
          </w:tcPr>
          <w:p w14:paraId="66C651E7" w14:textId="77777777" w:rsidR="001E4C5C" w:rsidRPr="00723786" w:rsidRDefault="001E4C5C" w:rsidP="00D14B25">
            <w:pPr>
              <w:pStyle w:val="TableTextCentered"/>
            </w:pPr>
            <w:r>
              <w:t>K-5</w:t>
            </w:r>
          </w:p>
        </w:tc>
        <w:tc>
          <w:tcPr>
            <w:tcW w:w="1839" w:type="dxa"/>
          </w:tcPr>
          <w:p w14:paraId="6140F8D6" w14:textId="77777777" w:rsidR="001E4C5C" w:rsidRPr="00723786" w:rsidRDefault="001E4C5C" w:rsidP="00D14B25">
            <w:pPr>
              <w:pStyle w:val="TableTextCentered"/>
            </w:pPr>
            <w:r>
              <w:t>885</w:t>
            </w:r>
          </w:p>
        </w:tc>
      </w:tr>
      <w:tr w:rsidR="001E4C5C" w:rsidRPr="00723786" w14:paraId="32FC44DF" w14:textId="77777777" w:rsidTr="00D71614">
        <w:tc>
          <w:tcPr>
            <w:tcW w:w="3828" w:type="dxa"/>
          </w:tcPr>
          <w:p w14:paraId="03203DE5" w14:textId="251B2C07" w:rsidR="001E4C5C" w:rsidRPr="00723786" w:rsidRDefault="001E4C5C" w:rsidP="00D14B25">
            <w:pPr>
              <w:pStyle w:val="TableSubheading"/>
            </w:pPr>
            <w:r>
              <w:t>Mary E. Baker School</w:t>
            </w:r>
          </w:p>
        </w:tc>
        <w:tc>
          <w:tcPr>
            <w:tcW w:w="1838" w:type="dxa"/>
          </w:tcPr>
          <w:p w14:paraId="06F339BC" w14:textId="77777777" w:rsidR="001E4C5C" w:rsidRPr="00723786" w:rsidRDefault="001E4C5C" w:rsidP="009B6EC6">
            <w:pPr>
              <w:pStyle w:val="TableTextCentered"/>
            </w:pPr>
            <w:r w:rsidRPr="00723786">
              <w:t>Elementary</w:t>
            </w:r>
          </w:p>
        </w:tc>
        <w:tc>
          <w:tcPr>
            <w:tcW w:w="1839" w:type="dxa"/>
          </w:tcPr>
          <w:p w14:paraId="3BFA95F9" w14:textId="77777777" w:rsidR="001E4C5C" w:rsidRPr="00723786" w:rsidRDefault="001E4C5C" w:rsidP="00D14B25">
            <w:pPr>
              <w:pStyle w:val="TableTextCentered"/>
            </w:pPr>
            <w:r>
              <w:t>K-5</w:t>
            </w:r>
          </w:p>
        </w:tc>
        <w:tc>
          <w:tcPr>
            <w:tcW w:w="1839" w:type="dxa"/>
          </w:tcPr>
          <w:p w14:paraId="17585687" w14:textId="77777777" w:rsidR="001E4C5C" w:rsidRPr="00723786" w:rsidRDefault="001E4C5C" w:rsidP="00D14B25">
            <w:pPr>
              <w:pStyle w:val="TableTextCentered"/>
            </w:pPr>
            <w:r>
              <w:t>679</w:t>
            </w:r>
          </w:p>
        </w:tc>
      </w:tr>
      <w:tr w:rsidR="001E4C5C" w:rsidRPr="00723786" w14:paraId="32BBC8BA"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12EAF1F6" w14:textId="5EFBEA8C" w:rsidR="001E4C5C" w:rsidRPr="00723786" w:rsidRDefault="001E4C5C" w:rsidP="00D14B25">
            <w:pPr>
              <w:pStyle w:val="TableSubheading"/>
            </w:pPr>
            <w:r>
              <w:t xml:space="preserve">Oscar F. </w:t>
            </w:r>
            <w:r w:rsidRPr="76E0014C">
              <w:t>Raymond</w:t>
            </w:r>
            <w:r w:rsidR="72B10013" w:rsidRPr="76E0014C">
              <w:t xml:space="preserve"> Elementary School</w:t>
            </w:r>
          </w:p>
        </w:tc>
        <w:tc>
          <w:tcPr>
            <w:tcW w:w="1838" w:type="dxa"/>
          </w:tcPr>
          <w:p w14:paraId="5A5120C4" w14:textId="77777777" w:rsidR="001E4C5C" w:rsidRPr="00723786" w:rsidRDefault="001E4C5C" w:rsidP="009B6EC6">
            <w:pPr>
              <w:pStyle w:val="TableTextCentered"/>
            </w:pPr>
            <w:r w:rsidRPr="00723786">
              <w:t>Elementary</w:t>
            </w:r>
          </w:p>
        </w:tc>
        <w:tc>
          <w:tcPr>
            <w:tcW w:w="1839" w:type="dxa"/>
          </w:tcPr>
          <w:p w14:paraId="7562D418" w14:textId="77777777" w:rsidR="001E4C5C" w:rsidRPr="00723786" w:rsidRDefault="001E4C5C" w:rsidP="00D14B25">
            <w:pPr>
              <w:pStyle w:val="TableTextCentered"/>
            </w:pPr>
            <w:r>
              <w:t>K-5</w:t>
            </w:r>
          </w:p>
        </w:tc>
        <w:tc>
          <w:tcPr>
            <w:tcW w:w="1839" w:type="dxa"/>
          </w:tcPr>
          <w:p w14:paraId="6B6F9533" w14:textId="77777777" w:rsidR="001E4C5C" w:rsidRPr="00723786" w:rsidRDefault="001E4C5C" w:rsidP="00D14B25">
            <w:pPr>
              <w:pStyle w:val="TableTextCentered"/>
            </w:pPr>
            <w:r>
              <w:t>890</w:t>
            </w:r>
          </w:p>
        </w:tc>
      </w:tr>
      <w:tr w:rsidR="001E4C5C" w:rsidRPr="00723786" w14:paraId="711CA2C0" w14:textId="77777777" w:rsidTr="00D71614">
        <w:tc>
          <w:tcPr>
            <w:tcW w:w="3828" w:type="dxa"/>
          </w:tcPr>
          <w:p w14:paraId="69106381" w14:textId="4BCE369A" w:rsidR="001E4C5C" w:rsidRPr="00723786" w:rsidRDefault="001E4C5C" w:rsidP="00D14B25">
            <w:pPr>
              <w:pStyle w:val="TableSubheading"/>
            </w:pPr>
            <w:r>
              <w:t xml:space="preserve">Edgar B. Davis </w:t>
            </w:r>
            <w:r w:rsidR="64A27FCE" w:rsidRPr="76E0014C">
              <w:t>K-8 School</w:t>
            </w:r>
          </w:p>
        </w:tc>
        <w:tc>
          <w:tcPr>
            <w:tcW w:w="1838" w:type="dxa"/>
          </w:tcPr>
          <w:p w14:paraId="34C64732" w14:textId="77777777" w:rsidR="001E4C5C" w:rsidRPr="00723786" w:rsidRDefault="001E4C5C" w:rsidP="009B6EC6">
            <w:pPr>
              <w:pStyle w:val="TableTextCentered"/>
            </w:pPr>
            <w:r>
              <w:t>Elementary/Middle</w:t>
            </w:r>
          </w:p>
        </w:tc>
        <w:tc>
          <w:tcPr>
            <w:tcW w:w="1839" w:type="dxa"/>
          </w:tcPr>
          <w:p w14:paraId="35A62241" w14:textId="77777777" w:rsidR="001E4C5C" w:rsidRPr="00723786" w:rsidRDefault="001E4C5C" w:rsidP="00D14B25">
            <w:pPr>
              <w:pStyle w:val="TableTextCentered"/>
            </w:pPr>
            <w:r>
              <w:t>K-8</w:t>
            </w:r>
          </w:p>
        </w:tc>
        <w:tc>
          <w:tcPr>
            <w:tcW w:w="1839" w:type="dxa"/>
          </w:tcPr>
          <w:p w14:paraId="417CF054" w14:textId="77777777" w:rsidR="001E4C5C" w:rsidRPr="00723786" w:rsidRDefault="001E4C5C" w:rsidP="00D14B25">
            <w:pPr>
              <w:pStyle w:val="TableTextCentered"/>
            </w:pPr>
            <w:r>
              <w:t>992</w:t>
            </w:r>
          </w:p>
        </w:tc>
      </w:tr>
      <w:tr w:rsidR="001E4C5C" w:rsidRPr="00723786" w14:paraId="3523846D"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729C9097" w14:textId="1E74CAA2" w:rsidR="001E4C5C" w:rsidRPr="00723786" w:rsidRDefault="001E4C5C" w:rsidP="00D14B25">
            <w:pPr>
              <w:pStyle w:val="TableSubheading"/>
            </w:pPr>
            <w:r>
              <w:t>Ashfield Middle School</w:t>
            </w:r>
          </w:p>
        </w:tc>
        <w:tc>
          <w:tcPr>
            <w:tcW w:w="1838" w:type="dxa"/>
          </w:tcPr>
          <w:p w14:paraId="7B63DFF9" w14:textId="6E46DCD8" w:rsidR="001E4C5C" w:rsidRPr="00723786" w:rsidRDefault="001E4C5C" w:rsidP="009B6EC6">
            <w:pPr>
              <w:pStyle w:val="TableTextCentered"/>
            </w:pPr>
            <w:r>
              <w:t>Middle</w:t>
            </w:r>
          </w:p>
        </w:tc>
        <w:tc>
          <w:tcPr>
            <w:tcW w:w="1839" w:type="dxa"/>
          </w:tcPr>
          <w:p w14:paraId="41943BAF" w14:textId="77777777" w:rsidR="001E4C5C" w:rsidRPr="00723786" w:rsidRDefault="001E4C5C" w:rsidP="00D14B25">
            <w:pPr>
              <w:pStyle w:val="TableTextCentered"/>
            </w:pPr>
            <w:r>
              <w:t>6-8</w:t>
            </w:r>
          </w:p>
        </w:tc>
        <w:tc>
          <w:tcPr>
            <w:tcW w:w="1839" w:type="dxa"/>
          </w:tcPr>
          <w:p w14:paraId="6EC27586" w14:textId="77777777" w:rsidR="001E4C5C" w:rsidRPr="00723786" w:rsidRDefault="001E4C5C" w:rsidP="00D14B25">
            <w:pPr>
              <w:pStyle w:val="TableTextCentered"/>
            </w:pPr>
            <w:r>
              <w:t>417</w:t>
            </w:r>
          </w:p>
        </w:tc>
      </w:tr>
      <w:tr w:rsidR="001E4C5C" w:rsidRPr="00723786" w14:paraId="1B2A78C5" w14:textId="77777777" w:rsidTr="00D71614">
        <w:tc>
          <w:tcPr>
            <w:tcW w:w="3828" w:type="dxa"/>
          </w:tcPr>
          <w:p w14:paraId="2E9C0F0F" w14:textId="018E6446" w:rsidR="001E4C5C" w:rsidRPr="00723786" w:rsidRDefault="001E4C5C" w:rsidP="00D14B25">
            <w:pPr>
              <w:pStyle w:val="TableSubheading"/>
            </w:pPr>
            <w:r>
              <w:t>East Middle School</w:t>
            </w:r>
          </w:p>
        </w:tc>
        <w:tc>
          <w:tcPr>
            <w:tcW w:w="1838" w:type="dxa"/>
          </w:tcPr>
          <w:p w14:paraId="33FA7489" w14:textId="517A1C46" w:rsidR="001E4C5C" w:rsidRPr="00723786" w:rsidRDefault="001E4C5C" w:rsidP="009B6EC6">
            <w:pPr>
              <w:pStyle w:val="TableTextCentered"/>
            </w:pPr>
            <w:r>
              <w:t>Middle</w:t>
            </w:r>
          </w:p>
        </w:tc>
        <w:tc>
          <w:tcPr>
            <w:tcW w:w="1839" w:type="dxa"/>
          </w:tcPr>
          <w:p w14:paraId="2A558D8D" w14:textId="77777777" w:rsidR="001E4C5C" w:rsidRPr="00723786" w:rsidRDefault="001E4C5C" w:rsidP="00D14B25">
            <w:pPr>
              <w:pStyle w:val="TableTextCentered"/>
            </w:pPr>
            <w:r>
              <w:t>6-8</w:t>
            </w:r>
          </w:p>
        </w:tc>
        <w:tc>
          <w:tcPr>
            <w:tcW w:w="1839" w:type="dxa"/>
          </w:tcPr>
          <w:p w14:paraId="2F2435A3" w14:textId="77777777" w:rsidR="001E4C5C" w:rsidRPr="00723786" w:rsidRDefault="001E4C5C" w:rsidP="00D14B25">
            <w:pPr>
              <w:pStyle w:val="TableTextCentered"/>
            </w:pPr>
            <w:r>
              <w:t>383</w:t>
            </w:r>
          </w:p>
        </w:tc>
      </w:tr>
      <w:tr w:rsidR="001E4C5C" w:rsidRPr="00723786" w14:paraId="15ACE10E"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4767ED24" w14:textId="4EA9867A" w:rsidR="001E4C5C" w:rsidRPr="00723786" w:rsidRDefault="001E4C5C" w:rsidP="00D14B25">
            <w:pPr>
              <w:pStyle w:val="TableSubheading"/>
            </w:pPr>
            <w:r>
              <w:t>North Middle School</w:t>
            </w:r>
          </w:p>
        </w:tc>
        <w:tc>
          <w:tcPr>
            <w:tcW w:w="1838" w:type="dxa"/>
          </w:tcPr>
          <w:p w14:paraId="7901542B" w14:textId="0184749B" w:rsidR="001E4C5C" w:rsidRPr="00723786" w:rsidRDefault="001E4C5C" w:rsidP="009B6EC6">
            <w:pPr>
              <w:pStyle w:val="TableTextCentered"/>
            </w:pPr>
            <w:r>
              <w:t>Middle</w:t>
            </w:r>
          </w:p>
        </w:tc>
        <w:tc>
          <w:tcPr>
            <w:tcW w:w="1839" w:type="dxa"/>
          </w:tcPr>
          <w:p w14:paraId="4306EA82" w14:textId="77777777" w:rsidR="001E4C5C" w:rsidRPr="00723786" w:rsidRDefault="001E4C5C" w:rsidP="00D14B25">
            <w:pPr>
              <w:pStyle w:val="TableTextCentered"/>
            </w:pPr>
            <w:r>
              <w:t>6-8</w:t>
            </w:r>
          </w:p>
        </w:tc>
        <w:tc>
          <w:tcPr>
            <w:tcW w:w="1839" w:type="dxa"/>
          </w:tcPr>
          <w:p w14:paraId="7B5F64D9" w14:textId="77777777" w:rsidR="001E4C5C" w:rsidRPr="00723786" w:rsidRDefault="001E4C5C" w:rsidP="00D14B25">
            <w:pPr>
              <w:pStyle w:val="TableTextCentered"/>
            </w:pPr>
            <w:r>
              <w:t>417</w:t>
            </w:r>
          </w:p>
        </w:tc>
      </w:tr>
      <w:tr w:rsidR="001E4C5C" w:rsidRPr="00723786" w14:paraId="7AE1240F" w14:textId="77777777" w:rsidTr="00D71614">
        <w:tc>
          <w:tcPr>
            <w:tcW w:w="3828" w:type="dxa"/>
          </w:tcPr>
          <w:p w14:paraId="24429241" w14:textId="5898E73D" w:rsidR="001E4C5C" w:rsidRPr="00723786" w:rsidRDefault="001E4C5C" w:rsidP="00D14B25">
            <w:pPr>
              <w:pStyle w:val="TableSubheading"/>
            </w:pPr>
            <w:r>
              <w:t>Plouffe Middle School</w:t>
            </w:r>
          </w:p>
        </w:tc>
        <w:tc>
          <w:tcPr>
            <w:tcW w:w="1838" w:type="dxa"/>
          </w:tcPr>
          <w:p w14:paraId="28F19BFC" w14:textId="7CEBEA32" w:rsidR="001E4C5C" w:rsidRPr="00723786" w:rsidRDefault="001E4C5C" w:rsidP="009B6EC6">
            <w:pPr>
              <w:pStyle w:val="TableTextCentered"/>
            </w:pPr>
            <w:r>
              <w:t>Middle</w:t>
            </w:r>
          </w:p>
        </w:tc>
        <w:tc>
          <w:tcPr>
            <w:tcW w:w="1839" w:type="dxa"/>
          </w:tcPr>
          <w:p w14:paraId="57F9DA41" w14:textId="77777777" w:rsidR="001E4C5C" w:rsidRPr="00723786" w:rsidRDefault="001E4C5C" w:rsidP="00D14B25">
            <w:pPr>
              <w:pStyle w:val="TableTextCentered"/>
            </w:pPr>
            <w:r>
              <w:t>6-8</w:t>
            </w:r>
          </w:p>
        </w:tc>
        <w:tc>
          <w:tcPr>
            <w:tcW w:w="1839" w:type="dxa"/>
          </w:tcPr>
          <w:p w14:paraId="2736C2EF" w14:textId="77777777" w:rsidR="001E4C5C" w:rsidRPr="00723786" w:rsidRDefault="001E4C5C" w:rsidP="00D14B25">
            <w:pPr>
              <w:pStyle w:val="TableTextCentered"/>
            </w:pPr>
            <w:r>
              <w:t>562</w:t>
            </w:r>
          </w:p>
        </w:tc>
      </w:tr>
      <w:tr w:rsidR="001E4C5C" w:rsidRPr="00723786" w14:paraId="4FAA478A"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2A316077" w14:textId="77777777" w:rsidR="001E4C5C" w:rsidRPr="00723786" w:rsidRDefault="001E4C5C" w:rsidP="00D14B25">
            <w:pPr>
              <w:pStyle w:val="TableSubheading"/>
            </w:pPr>
            <w:r>
              <w:t>South Middle School</w:t>
            </w:r>
          </w:p>
        </w:tc>
        <w:tc>
          <w:tcPr>
            <w:tcW w:w="1838" w:type="dxa"/>
          </w:tcPr>
          <w:p w14:paraId="434E8960" w14:textId="2F934521" w:rsidR="001E4C5C" w:rsidRPr="00723786" w:rsidRDefault="001E4C5C" w:rsidP="009B6EC6">
            <w:pPr>
              <w:pStyle w:val="TableTextCentered"/>
            </w:pPr>
            <w:r>
              <w:t>Middle</w:t>
            </w:r>
          </w:p>
        </w:tc>
        <w:tc>
          <w:tcPr>
            <w:tcW w:w="1839" w:type="dxa"/>
          </w:tcPr>
          <w:p w14:paraId="36F9010A" w14:textId="77777777" w:rsidR="001E4C5C" w:rsidRPr="00723786" w:rsidRDefault="001E4C5C" w:rsidP="00D14B25">
            <w:pPr>
              <w:pStyle w:val="TableTextCentered"/>
            </w:pPr>
            <w:r>
              <w:t>6-8</w:t>
            </w:r>
          </w:p>
        </w:tc>
        <w:tc>
          <w:tcPr>
            <w:tcW w:w="1839" w:type="dxa"/>
          </w:tcPr>
          <w:p w14:paraId="09A9BC52" w14:textId="77777777" w:rsidR="001E4C5C" w:rsidRPr="00723786" w:rsidRDefault="001E4C5C" w:rsidP="00D14B25">
            <w:pPr>
              <w:pStyle w:val="TableTextCentered"/>
            </w:pPr>
            <w:r>
              <w:t>384</w:t>
            </w:r>
          </w:p>
        </w:tc>
      </w:tr>
      <w:tr w:rsidR="001E4C5C" w:rsidRPr="00723786" w14:paraId="3AD7B61C" w14:textId="77777777" w:rsidTr="00D71614">
        <w:tc>
          <w:tcPr>
            <w:tcW w:w="3828" w:type="dxa"/>
          </w:tcPr>
          <w:p w14:paraId="52876A59" w14:textId="3C29F924" w:rsidR="001E4C5C" w:rsidRPr="00723786" w:rsidRDefault="001E4C5C" w:rsidP="00D14B25">
            <w:pPr>
              <w:pStyle w:val="TableSubheading"/>
            </w:pPr>
            <w:r>
              <w:t>West Middle School</w:t>
            </w:r>
          </w:p>
        </w:tc>
        <w:tc>
          <w:tcPr>
            <w:tcW w:w="1838" w:type="dxa"/>
          </w:tcPr>
          <w:p w14:paraId="3007C3C8" w14:textId="3FCFC3CD" w:rsidR="001E4C5C" w:rsidRPr="00723786" w:rsidRDefault="001E4C5C" w:rsidP="009B6EC6">
            <w:pPr>
              <w:pStyle w:val="TableTextCentered"/>
            </w:pPr>
            <w:r>
              <w:t>Middle</w:t>
            </w:r>
          </w:p>
        </w:tc>
        <w:tc>
          <w:tcPr>
            <w:tcW w:w="1839" w:type="dxa"/>
          </w:tcPr>
          <w:p w14:paraId="34EE9544" w14:textId="77777777" w:rsidR="001E4C5C" w:rsidRPr="00723786" w:rsidRDefault="001E4C5C" w:rsidP="00D14B25">
            <w:pPr>
              <w:pStyle w:val="TableTextCentered"/>
            </w:pPr>
            <w:r>
              <w:t>6-8</w:t>
            </w:r>
          </w:p>
        </w:tc>
        <w:tc>
          <w:tcPr>
            <w:tcW w:w="1839" w:type="dxa"/>
          </w:tcPr>
          <w:p w14:paraId="3FE121BA" w14:textId="77777777" w:rsidR="001E4C5C" w:rsidRPr="00723786" w:rsidRDefault="001E4C5C" w:rsidP="00D14B25">
            <w:pPr>
              <w:pStyle w:val="TableTextCentered"/>
            </w:pPr>
            <w:r>
              <w:t>514</w:t>
            </w:r>
          </w:p>
        </w:tc>
      </w:tr>
      <w:tr w:rsidR="001E4C5C" w:rsidRPr="00723786" w14:paraId="4581B0CD"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00722C56" w14:textId="46113E52" w:rsidR="001E4C5C" w:rsidRPr="00723786" w:rsidRDefault="001E4C5C" w:rsidP="00D14B25">
            <w:pPr>
              <w:pStyle w:val="TableSubheading"/>
            </w:pPr>
            <w:r>
              <w:t xml:space="preserve">Brockton High </w:t>
            </w:r>
            <w:r w:rsidR="0103D29D" w:rsidRPr="76E0014C">
              <w:t>School</w:t>
            </w:r>
          </w:p>
        </w:tc>
        <w:tc>
          <w:tcPr>
            <w:tcW w:w="1838" w:type="dxa"/>
          </w:tcPr>
          <w:p w14:paraId="371BA2C1" w14:textId="77777777" w:rsidR="001E4C5C" w:rsidRPr="00723786" w:rsidRDefault="001E4C5C" w:rsidP="009B6EC6">
            <w:pPr>
              <w:pStyle w:val="TableTextCentered"/>
            </w:pPr>
            <w:r>
              <w:t>High</w:t>
            </w:r>
          </w:p>
        </w:tc>
        <w:tc>
          <w:tcPr>
            <w:tcW w:w="1839" w:type="dxa"/>
          </w:tcPr>
          <w:p w14:paraId="3A3F92D7" w14:textId="77777777" w:rsidR="001E4C5C" w:rsidRPr="00723786" w:rsidRDefault="001E4C5C" w:rsidP="00D14B25">
            <w:pPr>
              <w:pStyle w:val="TableTextCentered"/>
            </w:pPr>
            <w:r>
              <w:t>9-12</w:t>
            </w:r>
          </w:p>
        </w:tc>
        <w:tc>
          <w:tcPr>
            <w:tcW w:w="1839" w:type="dxa"/>
          </w:tcPr>
          <w:p w14:paraId="33F12769" w14:textId="77777777" w:rsidR="001E4C5C" w:rsidRPr="00723786" w:rsidRDefault="001E4C5C" w:rsidP="00D14B25">
            <w:pPr>
              <w:pStyle w:val="TableTextCentered"/>
            </w:pPr>
            <w:r>
              <w:t>3,305</w:t>
            </w:r>
          </w:p>
        </w:tc>
      </w:tr>
      <w:tr w:rsidR="001E4C5C" w:rsidRPr="00723786" w14:paraId="11343A83" w14:textId="77777777" w:rsidTr="00D71614">
        <w:tc>
          <w:tcPr>
            <w:tcW w:w="3828" w:type="dxa"/>
          </w:tcPr>
          <w:p w14:paraId="1B687128" w14:textId="0DA98A44" w:rsidR="001E4C5C" w:rsidRPr="00723786" w:rsidRDefault="001E4C5C" w:rsidP="00D14B25">
            <w:pPr>
              <w:pStyle w:val="TableSubheading"/>
            </w:pPr>
            <w:r>
              <w:lastRenderedPageBreak/>
              <w:t>Champion High School</w:t>
            </w:r>
          </w:p>
        </w:tc>
        <w:tc>
          <w:tcPr>
            <w:tcW w:w="1838" w:type="dxa"/>
          </w:tcPr>
          <w:p w14:paraId="10C9C65A" w14:textId="20976DE2" w:rsidR="001E4C5C" w:rsidRPr="00723786" w:rsidRDefault="001E4C5C" w:rsidP="009B6EC6">
            <w:pPr>
              <w:pStyle w:val="TableTextCentered"/>
            </w:pPr>
            <w:r>
              <w:t>High</w:t>
            </w:r>
          </w:p>
        </w:tc>
        <w:tc>
          <w:tcPr>
            <w:tcW w:w="1839" w:type="dxa"/>
          </w:tcPr>
          <w:p w14:paraId="27CB34BA" w14:textId="77777777" w:rsidR="001E4C5C" w:rsidRPr="00723786" w:rsidRDefault="001E4C5C" w:rsidP="00D14B25">
            <w:pPr>
              <w:pStyle w:val="TableTextCentered"/>
            </w:pPr>
            <w:r>
              <w:t>9-12</w:t>
            </w:r>
          </w:p>
        </w:tc>
        <w:tc>
          <w:tcPr>
            <w:tcW w:w="1839" w:type="dxa"/>
          </w:tcPr>
          <w:p w14:paraId="39B288BB" w14:textId="77777777" w:rsidR="001E4C5C" w:rsidRPr="00723786" w:rsidRDefault="001E4C5C" w:rsidP="00D14B25">
            <w:pPr>
              <w:pStyle w:val="TableTextCentered"/>
            </w:pPr>
            <w:r>
              <w:t>83</w:t>
            </w:r>
          </w:p>
        </w:tc>
      </w:tr>
      <w:tr w:rsidR="001E4C5C" w:rsidRPr="00723786" w14:paraId="2F578CDF"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1BB57F7F" w14:textId="1987E6AF" w:rsidR="001E4C5C" w:rsidRPr="00723786" w:rsidRDefault="001E4C5C" w:rsidP="00D14B25">
            <w:pPr>
              <w:pStyle w:val="TableSubheading"/>
            </w:pPr>
            <w:r>
              <w:t>PROMISE College and Career Academy</w:t>
            </w:r>
          </w:p>
        </w:tc>
        <w:tc>
          <w:tcPr>
            <w:tcW w:w="1838" w:type="dxa"/>
          </w:tcPr>
          <w:p w14:paraId="1CE8DEB1" w14:textId="6C5F4BD8" w:rsidR="001E4C5C" w:rsidRPr="00723786" w:rsidRDefault="001E4C5C" w:rsidP="009B6EC6">
            <w:pPr>
              <w:pStyle w:val="TableTextCentered"/>
            </w:pPr>
            <w:r>
              <w:t>High</w:t>
            </w:r>
          </w:p>
        </w:tc>
        <w:tc>
          <w:tcPr>
            <w:tcW w:w="1839" w:type="dxa"/>
          </w:tcPr>
          <w:p w14:paraId="2CB3DE94" w14:textId="77777777" w:rsidR="001E4C5C" w:rsidRPr="00723786" w:rsidRDefault="001E4C5C" w:rsidP="00D14B25">
            <w:pPr>
              <w:pStyle w:val="TableTextCentered"/>
            </w:pPr>
            <w:r>
              <w:t>9-12</w:t>
            </w:r>
          </w:p>
        </w:tc>
        <w:tc>
          <w:tcPr>
            <w:tcW w:w="1839" w:type="dxa"/>
          </w:tcPr>
          <w:p w14:paraId="0B6EA90A" w14:textId="77777777" w:rsidR="001E4C5C" w:rsidRPr="00723786" w:rsidRDefault="001E4C5C" w:rsidP="00D14B25">
            <w:pPr>
              <w:pStyle w:val="TableTextCentered"/>
            </w:pPr>
            <w:r>
              <w:t>173</w:t>
            </w:r>
          </w:p>
        </w:tc>
      </w:tr>
      <w:tr w:rsidR="001E4C5C" w:rsidRPr="00723786" w14:paraId="1845230A" w14:textId="77777777" w:rsidTr="00D71614">
        <w:tc>
          <w:tcPr>
            <w:tcW w:w="3828" w:type="dxa"/>
          </w:tcPr>
          <w:p w14:paraId="4CC40F3E" w14:textId="77777777" w:rsidR="001E4C5C" w:rsidRPr="00723786" w:rsidRDefault="001E4C5C" w:rsidP="00D14B25">
            <w:pPr>
              <w:pStyle w:val="TableSubheading"/>
            </w:pPr>
            <w:r>
              <w:t>Brockton Therapeutic Day School</w:t>
            </w:r>
          </w:p>
        </w:tc>
        <w:tc>
          <w:tcPr>
            <w:tcW w:w="1838" w:type="dxa"/>
          </w:tcPr>
          <w:p w14:paraId="18899B43" w14:textId="77777777" w:rsidR="001E4C5C" w:rsidRPr="00723786" w:rsidRDefault="001E4C5C" w:rsidP="009B6EC6">
            <w:pPr>
              <w:pStyle w:val="TableTextCentered"/>
            </w:pPr>
            <w:r>
              <w:t>Alternative</w:t>
            </w:r>
          </w:p>
        </w:tc>
        <w:tc>
          <w:tcPr>
            <w:tcW w:w="1839" w:type="dxa"/>
          </w:tcPr>
          <w:p w14:paraId="721615BB" w14:textId="77777777" w:rsidR="001E4C5C" w:rsidRPr="00723786" w:rsidRDefault="001E4C5C" w:rsidP="00D14B25">
            <w:pPr>
              <w:pStyle w:val="TableTextCentered"/>
            </w:pPr>
            <w:r>
              <w:t>4-12</w:t>
            </w:r>
          </w:p>
        </w:tc>
        <w:tc>
          <w:tcPr>
            <w:tcW w:w="1839" w:type="dxa"/>
          </w:tcPr>
          <w:p w14:paraId="544C9035" w14:textId="77777777" w:rsidR="001E4C5C" w:rsidRPr="00723786" w:rsidRDefault="001E4C5C" w:rsidP="00D14B25">
            <w:pPr>
              <w:pStyle w:val="TableTextCentered"/>
            </w:pPr>
            <w:r>
              <w:t>40</w:t>
            </w:r>
          </w:p>
        </w:tc>
      </w:tr>
      <w:tr w:rsidR="001E4C5C" w:rsidRPr="00723786" w14:paraId="11E35E4F"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2F5DEBAF" w14:textId="77777777" w:rsidR="001E4C5C" w:rsidRDefault="001E4C5C" w:rsidP="00D14B25">
            <w:pPr>
              <w:pStyle w:val="TableSubheading"/>
            </w:pPr>
            <w:r>
              <w:t>Brockton Virtual Learning Academy</w:t>
            </w:r>
          </w:p>
        </w:tc>
        <w:tc>
          <w:tcPr>
            <w:tcW w:w="1838" w:type="dxa"/>
          </w:tcPr>
          <w:p w14:paraId="41276321" w14:textId="77777777" w:rsidR="001E4C5C" w:rsidRPr="00723786" w:rsidRDefault="001E4C5C" w:rsidP="009B6EC6">
            <w:pPr>
              <w:pStyle w:val="TableTextCentered"/>
            </w:pPr>
            <w:r>
              <w:t>Alternative</w:t>
            </w:r>
          </w:p>
        </w:tc>
        <w:tc>
          <w:tcPr>
            <w:tcW w:w="1839" w:type="dxa"/>
          </w:tcPr>
          <w:p w14:paraId="1F12B891" w14:textId="77777777" w:rsidR="001E4C5C" w:rsidRPr="00723786" w:rsidRDefault="001E4C5C" w:rsidP="00D14B25">
            <w:pPr>
              <w:pStyle w:val="TableTextCentered"/>
            </w:pPr>
            <w:r>
              <w:t>7-12</w:t>
            </w:r>
          </w:p>
        </w:tc>
        <w:tc>
          <w:tcPr>
            <w:tcW w:w="1839" w:type="dxa"/>
          </w:tcPr>
          <w:p w14:paraId="2C3F4268" w14:textId="77777777" w:rsidR="001E4C5C" w:rsidRPr="00723786" w:rsidRDefault="001E4C5C" w:rsidP="00D14B25">
            <w:pPr>
              <w:pStyle w:val="TableTextCentered"/>
            </w:pPr>
            <w:r>
              <w:t>101</w:t>
            </w:r>
          </w:p>
        </w:tc>
      </w:tr>
      <w:tr w:rsidR="001E4C5C" w:rsidRPr="00723786" w14:paraId="63360A54" w14:textId="77777777" w:rsidTr="00D71614">
        <w:tc>
          <w:tcPr>
            <w:tcW w:w="3828" w:type="dxa"/>
          </w:tcPr>
          <w:p w14:paraId="5AA5BDF6" w14:textId="1EED8805" w:rsidR="001E4C5C" w:rsidRPr="00723786" w:rsidRDefault="001E4C5C" w:rsidP="00D14B25">
            <w:pPr>
              <w:pStyle w:val="TableSubheading"/>
            </w:pPr>
            <w:r>
              <w:t>Edison Evening Academy</w:t>
            </w:r>
          </w:p>
        </w:tc>
        <w:tc>
          <w:tcPr>
            <w:tcW w:w="1838" w:type="dxa"/>
          </w:tcPr>
          <w:p w14:paraId="2375683A" w14:textId="77777777" w:rsidR="001E4C5C" w:rsidRPr="00723786" w:rsidRDefault="001E4C5C" w:rsidP="009B6EC6">
            <w:pPr>
              <w:pStyle w:val="TableTextCentered"/>
            </w:pPr>
            <w:r>
              <w:t>Alternative</w:t>
            </w:r>
          </w:p>
        </w:tc>
        <w:tc>
          <w:tcPr>
            <w:tcW w:w="1839" w:type="dxa"/>
          </w:tcPr>
          <w:p w14:paraId="6A2C3516" w14:textId="77777777" w:rsidR="001E4C5C" w:rsidRPr="00723786" w:rsidRDefault="001E4C5C" w:rsidP="00D14B25">
            <w:pPr>
              <w:pStyle w:val="TableTextCentered"/>
            </w:pPr>
            <w:r>
              <w:t>9-12</w:t>
            </w:r>
          </w:p>
        </w:tc>
        <w:tc>
          <w:tcPr>
            <w:tcW w:w="1839" w:type="dxa"/>
          </w:tcPr>
          <w:p w14:paraId="3CFD79CA" w14:textId="77777777" w:rsidR="001E4C5C" w:rsidRPr="00723786" w:rsidRDefault="001E4C5C" w:rsidP="00D14B25">
            <w:pPr>
              <w:pStyle w:val="TableTextCentered"/>
            </w:pPr>
            <w:r>
              <w:t>168</w:t>
            </w:r>
          </w:p>
        </w:tc>
      </w:tr>
      <w:tr w:rsidR="001E4C5C" w:rsidRPr="00723786" w14:paraId="504A0A20" w14:textId="77777777" w:rsidTr="00D71614">
        <w:trPr>
          <w:cnfStyle w:val="000000100000" w:firstRow="0" w:lastRow="0" w:firstColumn="0" w:lastColumn="0" w:oddVBand="0" w:evenVBand="0" w:oddHBand="1" w:evenHBand="0" w:firstRowFirstColumn="0" w:firstRowLastColumn="0" w:lastRowFirstColumn="0" w:lastRowLastColumn="0"/>
        </w:trPr>
        <w:tc>
          <w:tcPr>
            <w:tcW w:w="3828" w:type="dxa"/>
          </w:tcPr>
          <w:p w14:paraId="2B373174" w14:textId="77777777" w:rsidR="001E4C5C" w:rsidRPr="00723786" w:rsidRDefault="001E4C5C" w:rsidP="00D14B25">
            <w:pPr>
              <w:pStyle w:val="TableSubheading"/>
            </w:pPr>
            <w:r w:rsidRPr="00723786">
              <w:rPr>
                <w:rFonts w:eastAsia="Franklin Gothic Demi" w:cs="Franklin Gothic Demi"/>
              </w:rPr>
              <w:t>Total</w:t>
            </w:r>
          </w:p>
        </w:tc>
        <w:tc>
          <w:tcPr>
            <w:tcW w:w="1838" w:type="dxa"/>
          </w:tcPr>
          <w:p w14:paraId="7F70E90F" w14:textId="63AE6145" w:rsidR="001E4C5C" w:rsidRPr="0052184A" w:rsidRDefault="0052184A" w:rsidP="00D14B25">
            <w:pPr>
              <w:pStyle w:val="TableTextCentered"/>
            </w:pPr>
            <w:r w:rsidRPr="0052184A">
              <w:t>N/A</w:t>
            </w:r>
          </w:p>
        </w:tc>
        <w:tc>
          <w:tcPr>
            <w:tcW w:w="1839" w:type="dxa"/>
          </w:tcPr>
          <w:p w14:paraId="29A9CDF3" w14:textId="6C051850" w:rsidR="001E4C5C" w:rsidRPr="0052184A" w:rsidRDefault="0052184A" w:rsidP="00D14B25">
            <w:pPr>
              <w:pStyle w:val="TableTextCentered"/>
            </w:pPr>
            <w:r w:rsidRPr="0052184A">
              <w:t>N/A</w:t>
            </w:r>
          </w:p>
        </w:tc>
        <w:tc>
          <w:tcPr>
            <w:tcW w:w="1839" w:type="dxa"/>
          </w:tcPr>
          <w:p w14:paraId="724EB386" w14:textId="77777777" w:rsidR="001E4C5C" w:rsidRPr="00723786" w:rsidRDefault="001E4C5C" w:rsidP="00D14B25">
            <w:pPr>
              <w:pStyle w:val="TableTextCentered"/>
              <w:rPr>
                <w:rFonts w:ascii="Franklin Gothic Demi" w:eastAsia="Franklin Gothic Demi" w:hAnsi="Franklin Gothic Demi" w:cs="Franklin Gothic Demi"/>
              </w:rPr>
            </w:pPr>
            <w:r>
              <w:rPr>
                <w:rFonts w:ascii="Franklin Gothic Demi" w:eastAsia="Franklin Gothic Demi" w:hAnsi="Franklin Gothic Demi" w:cs="Franklin Gothic Demi"/>
              </w:rPr>
              <w:t>14,642</w:t>
            </w:r>
          </w:p>
        </w:tc>
      </w:tr>
    </w:tbl>
    <w:p w14:paraId="43733D93" w14:textId="50959237" w:rsidR="001E4C5C" w:rsidRPr="00723786" w:rsidRDefault="001E4C5C" w:rsidP="009B6EC6">
      <w:pPr>
        <w:pStyle w:val="BodyText"/>
      </w:pPr>
      <w:r w:rsidRPr="00723786">
        <w:t xml:space="preserve">Figure 1 shows the distribution of </w:t>
      </w:r>
      <w:r>
        <w:t>Brockton’s</w:t>
      </w:r>
      <w:r w:rsidRPr="00723786">
        <w:t xml:space="preserve"> students</w:t>
      </w:r>
      <w:r w:rsidR="00F576A9">
        <w:t xml:space="preserve"> by</w:t>
      </w:r>
      <w:r w:rsidRPr="00723786">
        <w:t xml:space="preserve"> race/ethnicity. Figure 2 shows student makeup for selected populations as compared </w:t>
      </w:r>
      <w:r w:rsidR="00F576A9">
        <w:t>with</w:t>
      </w:r>
      <w:r w:rsidRPr="00723786">
        <w:t xml:space="preserve"> state averages. In the 202</w:t>
      </w:r>
      <w:r>
        <w:t>5</w:t>
      </w:r>
      <w:r w:rsidRPr="00723786">
        <w:t>-202</w:t>
      </w:r>
      <w:r>
        <w:t>6</w:t>
      </w:r>
      <w:r w:rsidRPr="00723786">
        <w:t xml:space="preserve"> school year, </w:t>
      </w:r>
      <w:r>
        <w:t>53.4</w:t>
      </w:r>
      <w:r w:rsidRPr="00723786">
        <w:t xml:space="preserve"> percent </w:t>
      </w:r>
      <w:r w:rsidR="00F576A9">
        <w:t xml:space="preserve">of students </w:t>
      </w:r>
      <w:r w:rsidRPr="00723786">
        <w:t xml:space="preserve">spoke a first language other than English, and </w:t>
      </w:r>
      <w:r>
        <w:t xml:space="preserve">34.2 </w:t>
      </w:r>
      <w:r w:rsidRPr="00723786">
        <w:t xml:space="preserve">percent were English </w:t>
      </w:r>
      <w:r w:rsidR="00F576A9">
        <w:t>L</w:t>
      </w:r>
      <w:r w:rsidRPr="00723786">
        <w:t>earners. Full enrollment figures compared with the state are in Tables D1 and D2 in Appendix D. Appendix D also provides additional information about district enrollment, student attendance, and expenditures.</w:t>
      </w:r>
    </w:p>
    <w:p w14:paraId="370E02F9" w14:textId="77777777" w:rsidR="001E4C5C" w:rsidRPr="00723786" w:rsidRDefault="001E4C5C" w:rsidP="009B6EC6">
      <w:pPr>
        <w:pStyle w:val="TableTitle0"/>
      </w:pPr>
      <w:r w:rsidRPr="00723786">
        <w:t>Figure 1. Distribution of Students, by Race/Ethnicity (202</w:t>
      </w:r>
      <w:r>
        <w:t>5</w:t>
      </w:r>
      <w:r w:rsidRPr="00723786">
        <w:t>-202</w:t>
      </w:r>
      <w:r>
        <w:t>6</w:t>
      </w:r>
      <w:r w:rsidRPr="00723786">
        <w:t>)</w:t>
      </w:r>
    </w:p>
    <w:p w14:paraId="2F94EABE" w14:textId="77777777" w:rsidR="001E4C5C" w:rsidRPr="00723786" w:rsidRDefault="001E4C5C" w:rsidP="00116ED6">
      <w:pPr>
        <w:pStyle w:val="BodyTextposthead"/>
        <w:rPr>
          <w:rFonts w:ascii="Franklin Gothic Book" w:eastAsia="Franklin Gothic Book" w:hAnsi="Franklin Gothic Book" w:cs="Franklin Gothic Book"/>
          <w:color w:val="000000"/>
        </w:rPr>
      </w:pPr>
      <w:r>
        <w:rPr>
          <w:noProof/>
        </w:rPr>
        <w:drawing>
          <wp:inline distT="0" distB="0" distL="0" distR="0" wp14:anchorId="64CFE657" wp14:editId="2644EDD9">
            <wp:extent cx="5936566" cy="2067951"/>
            <wp:effectExtent l="0" t="0" r="7620" b="8890"/>
            <wp:docPr id="266013515" name="Chart 1" descr="This is a pie chart showing the distribution of students by race/ethnicity in Brockton. Most students (62%) are Black or African American; 22% are Hispanic or Latino; 10% are White; 5% are Multi-Race, Not Hispanic/Latino; and 1% Asian.">
              <a:extLst xmlns:a="http://schemas.openxmlformats.org/drawingml/2006/main">
                <a:ext uri="{FF2B5EF4-FFF2-40B4-BE49-F238E27FC236}">
                  <a16:creationId xmlns:a16="http://schemas.microsoft.com/office/drawing/2014/main" id="{6442E775-BF81-480A-8AE9-7A4857D12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FE3E28" w14:textId="77777777" w:rsidR="001E4C5C" w:rsidRPr="00723786" w:rsidRDefault="001E4C5C" w:rsidP="00116ED6">
      <w:pPr>
        <w:pStyle w:val="TableTitle0"/>
      </w:pPr>
      <w:r w:rsidRPr="00723786">
        <w:t>Figure 2. Distribution of Students, by Selected Populations (20</w:t>
      </w:r>
      <w:r>
        <w:t>25</w:t>
      </w:r>
      <w:r w:rsidRPr="00723786">
        <w:t>-202</w:t>
      </w:r>
      <w:r>
        <w:t>6</w:t>
      </w:r>
      <w:r w:rsidRPr="00723786">
        <w:t>)</w:t>
      </w:r>
    </w:p>
    <w:p w14:paraId="7AA37B24" w14:textId="77777777" w:rsidR="001E4C5C" w:rsidRPr="00723786" w:rsidRDefault="001E4C5C" w:rsidP="00116ED6">
      <w:pPr>
        <w:pStyle w:val="BodyTextposthead"/>
        <w:rPr>
          <w:rFonts w:ascii="Franklin Gothic Book" w:eastAsia="Franklin Gothic Book" w:hAnsi="Franklin Gothic Book" w:cs="Franklin Gothic Book"/>
          <w:color w:val="000000"/>
        </w:rPr>
      </w:pPr>
      <w:r>
        <w:rPr>
          <w:noProof/>
        </w:rPr>
        <w:drawing>
          <wp:inline distT="0" distB="0" distL="0" distR="0" wp14:anchorId="0D266737" wp14:editId="11D7D280">
            <wp:extent cx="5887085" cy="2433711"/>
            <wp:effectExtent l="0" t="0" r="18415" b="5080"/>
            <wp:docPr id="1943215172" name="Chart 1" descr="This is a clustered column chart showing the distribution of students by selected populations (High Needs, English Learners, First Language Not English, Low Income, and Students With Disabilities) for Brockton and the state. In all instances, Brockton has a higher portion of selected populations than the state average.">
              <a:extLst xmlns:a="http://schemas.openxmlformats.org/drawingml/2006/main">
                <a:ext uri="{FF2B5EF4-FFF2-40B4-BE49-F238E27FC236}">
                  <a16:creationId xmlns:a16="http://schemas.microsoft.com/office/drawing/2014/main" id="{6BA91307-21C5-46DD-8680-5BD22CAC8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0F7D04" w14:textId="17E87081" w:rsidR="0046023A" w:rsidRDefault="001E4C5C" w:rsidP="00116ED6">
      <w:pPr>
        <w:pStyle w:val="BodyText"/>
      </w:pPr>
      <w:r w:rsidRPr="5C8B5138">
        <w:lastRenderedPageBreak/>
        <w:t xml:space="preserve">Figure 3 shows the percentage of </w:t>
      </w:r>
      <w:r>
        <w:t>Brockton’s</w:t>
      </w:r>
      <w:r w:rsidRPr="5C8B5138">
        <w:t xml:space="preserve"> students meeting or exceeding expectations on the Massachusetts Comprehensive Assessment System (MCAS) as compared </w:t>
      </w:r>
      <w:r w:rsidR="005E3FE2">
        <w:t>with</w:t>
      </w:r>
      <w:r w:rsidRPr="5C8B5138">
        <w:t xml:space="preserve"> the statewide percentage of students meeting or </w:t>
      </w:r>
      <w:r w:rsidRPr="00CD60BA">
        <w:t xml:space="preserve">exceeding expectations on MCAS. In 2025, the percentage of students meeting or exceeding expectations was lower for Brockton in </w:t>
      </w:r>
      <w:r w:rsidR="003E5F68">
        <w:t>g</w:t>
      </w:r>
      <w:r w:rsidRPr="00CD60BA">
        <w:t>rades 3-8 (ELA</w:t>
      </w:r>
      <w:r w:rsidR="00884232">
        <w:t xml:space="preserve"> </w:t>
      </w:r>
      <w:r w:rsidRPr="00CD60BA">
        <w:t xml:space="preserve">and mathematics), </w:t>
      </w:r>
      <w:r w:rsidR="003E5F68">
        <w:t>g</w:t>
      </w:r>
      <w:r w:rsidR="005E3FE2">
        <w:t xml:space="preserve">rades </w:t>
      </w:r>
      <w:r w:rsidRPr="00CD60BA">
        <w:t xml:space="preserve">5 and 8 (science), and </w:t>
      </w:r>
      <w:r w:rsidR="003E5F68">
        <w:t>g</w:t>
      </w:r>
      <w:r w:rsidR="005E3FE2">
        <w:t xml:space="preserve">rade </w:t>
      </w:r>
      <w:r w:rsidRPr="00CD60BA">
        <w:t>10 (ELA, mathematics, science)</w:t>
      </w:r>
      <w:r w:rsidR="005E3FE2" w:rsidRPr="005E3FE2">
        <w:t xml:space="preserve"> </w:t>
      </w:r>
      <w:r w:rsidR="005E3FE2" w:rsidRPr="00CD60BA">
        <w:t>than for the state</w:t>
      </w:r>
      <w:r w:rsidR="0046023A">
        <w:t>.</w:t>
      </w:r>
    </w:p>
    <w:p w14:paraId="6A487E6C" w14:textId="1163C87F" w:rsidR="001E4C5C" w:rsidRPr="00723786" w:rsidRDefault="001E4C5C" w:rsidP="00116ED6">
      <w:pPr>
        <w:pStyle w:val="TableTitle0"/>
      </w:pPr>
      <w:r w:rsidRPr="00723786">
        <w:t>Figure 3. Percentage of Students Meeting or Exceeding Expectations, MCAS, 202</w:t>
      </w:r>
      <w:r>
        <w:t>5</w:t>
      </w:r>
    </w:p>
    <w:p w14:paraId="7A26E327" w14:textId="77777777" w:rsidR="001E4C5C" w:rsidRPr="00723786" w:rsidRDefault="001E4C5C" w:rsidP="00116ED6">
      <w:pPr>
        <w:pStyle w:val="BodyTextposthead"/>
        <w:rPr>
          <w:rFonts w:ascii="Franklin Gothic Book" w:eastAsia="Franklin Gothic Book" w:hAnsi="Franklin Gothic Book" w:cs="Franklin Gothic Book"/>
          <w:color w:val="000000"/>
        </w:rPr>
      </w:pPr>
      <w:r>
        <w:rPr>
          <w:noProof/>
        </w:rPr>
        <w:drawing>
          <wp:inline distT="0" distB="0" distL="0" distR="0" wp14:anchorId="120B3931" wp14:editId="52C7A101">
            <wp:extent cx="5535637" cy="2654300"/>
            <wp:effectExtent l="0" t="0" r="8255" b="12700"/>
            <wp:docPr id="1801805511" name="Chart 1" descr="This is a clustered column chart showing the percentage of students meeting or exceeding expectations for MCAS in ELA, Math, and Science for Brockton and the state. In all instances, Brockton has a smaller percentage of students meeting or exceeding expectations than the state average.">
              <a:extLst xmlns:a="http://schemas.openxmlformats.org/drawingml/2006/main">
                <a:ext uri="{FF2B5EF4-FFF2-40B4-BE49-F238E27FC236}">
                  <a16:creationId xmlns:a16="http://schemas.microsoft.com/office/drawing/2014/main" id="{91769E6C-52CA-564D-B52C-AF8B67F5D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B15FEF7" w14:textId="06D3600E" w:rsidR="0046023A" w:rsidRDefault="001E4C5C" w:rsidP="00116ED6">
      <w:pPr>
        <w:pStyle w:val="BodyText"/>
      </w:pPr>
      <w:r>
        <w:t>Brockton’s</w:t>
      </w:r>
      <w:r w:rsidRPr="00723786">
        <w:t xml:space="preserve"> high need</w:t>
      </w:r>
      <w:r w:rsidR="00CA39DE">
        <w:t>s students</w:t>
      </w:r>
      <w:r w:rsidRPr="00723786">
        <w:t xml:space="preserve">, who comprise </w:t>
      </w:r>
      <w:r>
        <w:t>83.6</w:t>
      </w:r>
      <w:r w:rsidRPr="00723786">
        <w:t xml:space="preserve"> percent of the district</w:t>
      </w:r>
      <w:r w:rsidRPr="00723786">
        <w:rPr>
          <w:color w:val="0078D4"/>
          <w:u w:val="single"/>
        </w:rPr>
        <w:t xml:space="preserve"> in 202</w:t>
      </w:r>
      <w:r>
        <w:rPr>
          <w:color w:val="0078D4"/>
          <w:u w:val="single"/>
        </w:rPr>
        <w:t>5-</w:t>
      </w:r>
      <w:r w:rsidR="00C703A5">
        <w:rPr>
          <w:color w:val="0078D4"/>
          <w:u w:val="single"/>
        </w:rPr>
        <w:t>20</w:t>
      </w:r>
      <w:r>
        <w:rPr>
          <w:color w:val="0078D4"/>
          <w:u w:val="single"/>
        </w:rPr>
        <w:t>26</w:t>
      </w:r>
      <w:r w:rsidRPr="00723786">
        <w:t>, met or exceeded expectations on the 202</w:t>
      </w:r>
      <w:r>
        <w:t>5</w:t>
      </w:r>
      <w:r w:rsidRPr="00723786">
        <w:t xml:space="preserve"> MCAS assessments at rates </w:t>
      </w:r>
      <w:r>
        <w:t>7</w:t>
      </w:r>
      <w:r w:rsidRPr="008F6678">
        <w:t xml:space="preserve"> to 12 percentage points below</w:t>
      </w:r>
      <w:r w:rsidRPr="00723786">
        <w:t xml:space="preserve"> high needs students across the state (Figure 4)</w:t>
      </w:r>
      <w:r w:rsidR="0046023A">
        <w:t>.</w:t>
      </w:r>
    </w:p>
    <w:p w14:paraId="351204A4" w14:textId="79DFB976" w:rsidR="001E4C5C" w:rsidRPr="00723786" w:rsidRDefault="001E4C5C" w:rsidP="00116ED6">
      <w:pPr>
        <w:pStyle w:val="TableTitle0"/>
      </w:pPr>
      <w:r w:rsidRPr="00723786">
        <w:t>Figure 4. Percentage of High Needs Students Meeting or Exceeding Expectations, MCAS, 202</w:t>
      </w:r>
      <w:r>
        <w:t>5</w:t>
      </w:r>
    </w:p>
    <w:p w14:paraId="0F48D50F" w14:textId="77777777" w:rsidR="001E4C5C" w:rsidRPr="00723786" w:rsidRDefault="001E4C5C" w:rsidP="00116ED6">
      <w:pPr>
        <w:pStyle w:val="BodyTextposthead"/>
        <w:rPr>
          <w:rFonts w:ascii="Franklin Gothic Book" w:eastAsia="Franklin Gothic Book" w:hAnsi="Franklin Gothic Book" w:cs="Franklin Gothic Book"/>
          <w:color w:val="000000"/>
        </w:rPr>
      </w:pPr>
      <w:r>
        <w:rPr>
          <w:noProof/>
        </w:rPr>
        <w:drawing>
          <wp:inline distT="0" distB="0" distL="0" distR="0" wp14:anchorId="64A16414" wp14:editId="318B9B02">
            <wp:extent cx="5563772" cy="2654300"/>
            <wp:effectExtent l="0" t="0" r="18415" b="12700"/>
            <wp:docPr id="906693714" name="Chart 1" descr="This is a clustered column chart showing the percentage of High Needs students meeting or exceeding expectations for MCAS in ELA, Math, and Science for Brockton and the state. In all instances, Brockton has a smaller percentage of High Needs students meeting or exceeding expectations than the state average.">
              <a:extLst xmlns:a="http://schemas.openxmlformats.org/drawingml/2006/main">
                <a:ext uri="{FF2B5EF4-FFF2-40B4-BE49-F238E27FC236}">
                  <a16:creationId xmlns:a16="http://schemas.microsoft.com/office/drawing/2014/main" id="{1102F843-E1E7-0119-BF01-FD2371EFF9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224CE1" w14:textId="7618ADC2" w:rsidR="001E4C5C" w:rsidRPr="00723786" w:rsidRDefault="001E4C5C" w:rsidP="00116ED6">
      <w:pPr>
        <w:pStyle w:val="BodyText"/>
      </w:pPr>
      <w:r w:rsidRPr="00A5091C">
        <w:lastRenderedPageBreak/>
        <w:t>Most high school students in Brockton attend Brockton High School, but the district offers alternative settings for secondary students via the Brockton Virtual Learning Academy, Champion High School, Edison Evening Academy, and PROMISE College and Career Academy</w:t>
      </w:r>
      <w:r w:rsidR="00CE1F89">
        <w:t>.</w:t>
      </w:r>
      <w:r w:rsidRPr="00A5091C">
        <w:t xml:space="preserve"> Brockton’s</w:t>
      </w:r>
      <w:r>
        <w:t xml:space="preserve"> </w:t>
      </w:r>
      <w:r w:rsidRPr="64D87866">
        <w:t>202</w:t>
      </w:r>
      <w:r>
        <w:t>5</w:t>
      </w:r>
      <w:r w:rsidRPr="64D87866">
        <w:t xml:space="preserve"> four-year cohort graduation rate (7</w:t>
      </w:r>
      <w:r>
        <w:t>5.4</w:t>
      </w:r>
      <w:r w:rsidRPr="64D87866">
        <w:t xml:space="preserve"> percent) </w:t>
      </w:r>
      <w:r w:rsidRPr="00723786">
        <w:t xml:space="preserve">was </w:t>
      </w:r>
      <w:r>
        <w:t xml:space="preserve">13.9 </w:t>
      </w:r>
      <w:r w:rsidRPr="00723786">
        <w:t>percentage points lower than the state rate (</w:t>
      </w:r>
      <w:r w:rsidRPr="64D87866">
        <w:t>8</w:t>
      </w:r>
      <w:r>
        <w:t>9.3</w:t>
      </w:r>
      <w:r w:rsidR="00116ED6">
        <w:t> </w:t>
      </w:r>
      <w:r w:rsidRPr="00723786">
        <w:t>percent). Furthermore, the district’s dropout rate is</w:t>
      </w:r>
      <w:r>
        <w:t xml:space="preserve"> more than double the </w:t>
      </w:r>
      <w:r w:rsidRPr="00723786">
        <w:t xml:space="preserve">state rate and </w:t>
      </w:r>
      <w:r w:rsidR="00246A7F">
        <w:t xml:space="preserve">nearly </w:t>
      </w:r>
      <w:r>
        <w:t>twice</w:t>
      </w:r>
      <w:r w:rsidRPr="00723786">
        <w:t xml:space="preserve"> the state rate for </w:t>
      </w:r>
      <w:r>
        <w:t>Hispanic or Latino</w:t>
      </w:r>
      <w:r w:rsidRPr="00723786">
        <w:t xml:space="preserve"> students.</w:t>
      </w:r>
    </w:p>
    <w:p w14:paraId="175E2FA1" w14:textId="4EE8CB6F" w:rsidR="0046023A" w:rsidRDefault="001E4C5C" w:rsidP="00116ED6">
      <w:pPr>
        <w:pStyle w:val="BodyText"/>
      </w:pPr>
      <w:r>
        <w:t>Of students who graduated from the district in 202</w:t>
      </w:r>
      <w:r w:rsidR="00784D3A">
        <w:t>4</w:t>
      </w:r>
      <w:r>
        <w:t>-202</w:t>
      </w:r>
      <w:r w:rsidR="00784D3A">
        <w:t>5</w:t>
      </w:r>
      <w:r>
        <w:t xml:space="preserve">, </w:t>
      </w:r>
      <w:r w:rsidR="00784D3A">
        <w:t>32.4</w:t>
      </w:r>
      <w:r>
        <w:t xml:space="preserve"> percent went on to attend college or university by March 202</w:t>
      </w:r>
      <w:r w:rsidR="004E4CF5">
        <w:t>6</w:t>
      </w:r>
      <w:r>
        <w:t xml:space="preserve">, which is less than the state rate of </w:t>
      </w:r>
      <w:r w:rsidR="00642D2F">
        <w:t>57.7</w:t>
      </w:r>
      <w:r>
        <w:t xml:space="preserve"> percent. Additionally, </w:t>
      </w:r>
      <w:r w:rsidR="00664BC2">
        <w:t>16.7</w:t>
      </w:r>
      <w:r>
        <w:t xml:space="preserve">percent of 2024-2025 </w:t>
      </w:r>
      <w:r w:rsidR="00D4536A">
        <w:t xml:space="preserve">Brockton </w:t>
      </w:r>
      <w:r>
        <w:t xml:space="preserve">graduates planned on entering the workforce or an apprenticeship after high school compared </w:t>
      </w:r>
      <w:r w:rsidR="00D4536A">
        <w:t>with</w:t>
      </w:r>
      <w:r>
        <w:t xml:space="preserve"> 13.8 percent of students across the state</w:t>
      </w:r>
      <w:r w:rsidR="0046023A">
        <w:t>.</w:t>
      </w:r>
    </w:p>
    <w:p w14:paraId="41B6893C" w14:textId="0440A58C" w:rsidR="001E4C5C" w:rsidRDefault="001E4C5C" w:rsidP="00116ED6">
      <w:pPr>
        <w:pStyle w:val="BodyText"/>
      </w:pPr>
      <w:r>
        <w:t>In 2025</w:t>
      </w:r>
      <w:r w:rsidR="00CF0B8A">
        <w:t>, in</w:t>
      </w:r>
      <w:r>
        <w:t xml:space="preserve"> statewide accountability results, </w:t>
      </w:r>
      <w:r w:rsidR="00CF0B8A">
        <w:t xml:space="preserve">10 </w:t>
      </w:r>
      <w:r>
        <w:t>schools (Brockton High</w:t>
      </w:r>
      <w:r w:rsidR="00A91C4A">
        <w:t xml:space="preserve"> School</w:t>
      </w:r>
      <w:r>
        <w:t>, Brookfield</w:t>
      </w:r>
      <w:r w:rsidR="658307E2">
        <w:t xml:space="preserve"> </w:t>
      </w:r>
      <w:r w:rsidR="549EC585">
        <w:t>Elementary School</w:t>
      </w:r>
      <w:r w:rsidR="03F768EE">
        <w:t xml:space="preserve">, </w:t>
      </w:r>
      <w:r>
        <w:t>Downey</w:t>
      </w:r>
      <w:r w:rsidR="34A29F35">
        <w:t xml:space="preserve"> Elementary School</w:t>
      </w:r>
      <w:r>
        <w:t>, Dr</w:t>
      </w:r>
      <w:r w:rsidR="00CF0B8A">
        <w:t>.</w:t>
      </w:r>
      <w:r>
        <w:t xml:space="preserve"> W</w:t>
      </w:r>
      <w:r w:rsidR="00CF0B8A">
        <w:t>.</w:t>
      </w:r>
      <w:r>
        <w:t xml:space="preserve"> Arnone Community School, East Middle School, Gilmore Elementary School, Hancock</w:t>
      </w:r>
      <w:r w:rsidR="69AAB625">
        <w:t xml:space="preserve"> Elementary School</w:t>
      </w:r>
      <w:r w:rsidR="03F768EE">
        <w:t xml:space="preserve">, </w:t>
      </w:r>
      <w:r>
        <w:t>Oscar F</w:t>
      </w:r>
      <w:r w:rsidR="00CF0B8A">
        <w:t>.</w:t>
      </w:r>
      <w:r>
        <w:t xml:space="preserve"> Raymond</w:t>
      </w:r>
      <w:r w:rsidR="1703252A">
        <w:t xml:space="preserve"> Elementary School</w:t>
      </w:r>
      <w:r>
        <w:t>, Plouffe Middle School, South Middle School) were identified as requiring assistance or intervention due to being among the lowest performing 10 percent of schools statewide</w:t>
      </w:r>
      <w:r w:rsidR="00CF0B8A">
        <w:t>. Five</w:t>
      </w:r>
      <w:r>
        <w:t xml:space="preserve"> </w:t>
      </w:r>
      <w:r w:rsidR="00CA39DE">
        <w:t xml:space="preserve">of these </w:t>
      </w:r>
      <w:r>
        <w:t>schools (Brockton High, Brookfield</w:t>
      </w:r>
      <w:r w:rsidR="6AAD17D5">
        <w:t xml:space="preserve"> Elementary School</w:t>
      </w:r>
      <w:r w:rsidR="03F768EE">
        <w:t xml:space="preserve">, </w:t>
      </w:r>
      <w:r>
        <w:t>Downey</w:t>
      </w:r>
      <w:r w:rsidR="2FD5B55C">
        <w:t xml:space="preserve"> Elementary School</w:t>
      </w:r>
      <w:r>
        <w:t>, Dr</w:t>
      </w:r>
      <w:r w:rsidR="00CF0B8A">
        <w:t>.</w:t>
      </w:r>
      <w:r>
        <w:t xml:space="preserve"> W</w:t>
      </w:r>
      <w:r w:rsidR="00CF0B8A">
        <w:t>.</w:t>
      </w:r>
      <w:r>
        <w:t xml:space="preserve"> Arnone Community School, Gilmore Elementary School) were</w:t>
      </w:r>
      <w:r w:rsidR="00CA39DE">
        <w:t xml:space="preserve"> also</w:t>
      </w:r>
      <w:r>
        <w:t xml:space="preserve"> identified as requiring assistance or intervention due to low performance of several student groups (White, Hispanic or Latino, High Needs, Low Income, English Learners and Former English Learners, Students with Disabilities); and three schools (Brockton Therapeutic Day School, Brockton Virtual Learning Academy, Champion High School) were identified as requiring assistance or intervention due to the low participation of several student groups (All Students, High Needs, and Low Income). </w:t>
      </w:r>
      <w:r w:rsidR="00132990">
        <w:t>T</w:t>
      </w:r>
      <w:r>
        <w:t xml:space="preserve">he district made moderate progress toward achieving its accountability targets as set by DESE. </w:t>
      </w:r>
    </w:p>
    <w:p w14:paraId="78C6DE71" w14:textId="303193FD" w:rsidR="001E4C5C" w:rsidRPr="00723786" w:rsidRDefault="001E4C5C" w:rsidP="00116ED6">
      <w:pPr>
        <w:pStyle w:val="BodyText"/>
        <w:rPr>
          <w:color w:val="000000"/>
        </w:rPr>
      </w:pPr>
      <w:r w:rsidRPr="00947CCB">
        <w:t>In fiscal year 2024, the total in-district per-pupil expenditure for Brockton was $20,064, which is $3,523 less than the average in-district per-pupil expenditure in districts with similar demographics ($23,587), and $3,303 less than the average in-district per-pupil expenditures in districts of similar wealth ($23,367).</w:t>
      </w:r>
      <w:r w:rsidRPr="00947CCB">
        <w:rPr>
          <w:sz w:val="20"/>
          <w:szCs w:val="20"/>
          <w:vertAlign w:val="superscript"/>
        </w:rPr>
        <w:footnoteReference w:id="4"/>
      </w:r>
      <w:r w:rsidRPr="00947CCB">
        <w:t xml:space="preserve"> In-district per</w:t>
      </w:r>
      <w:r w:rsidR="00002BB4">
        <w:t>-</w:t>
      </w:r>
      <w:r w:rsidRPr="00947CCB">
        <w:t>pupil expenditures for Brockton were $2,344 less than the average state in-district spending per pupil ($22,408). Actual net school spending was slightly greater than what is required by the Chapter 70 state education aid program, as shown in Table D5 in Appendix</w:t>
      </w:r>
      <w:r w:rsidR="00116ED6">
        <w:t> </w:t>
      </w:r>
      <w:r w:rsidRPr="00947CCB">
        <w:t>D.</w:t>
      </w:r>
    </w:p>
    <w:p w14:paraId="00509EFF" w14:textId="0F04F0E1" w:rsidR="001E4C5C" w:rsidRPr="00723786" w:rsidRDefault="001E4C5C" w:rsidP="00116ED6">
      <w:pPr>
        <w:pStyle w:val="Heading3"/>
      </w:pPr>
      <w:r w:rsidRPr="00723786">
        <w:t>Classroom Observations</w:t>
      </w:r>
    </w:p>
    <w:p w14:paraId="2FF05F8D" w14:textId="050A893E" w:rsidR="001E4C5C" w:rsidRPr="00723786" w:rsidRDefault="00F65E0B" w:rsidP="00116ED6">
      <w:pPr>
        <w:pStyle w:val="BodyTextposthead"/>
      </w:pPr>
      <w:r>
        <w:t>Seven</w:t>
      </w:r>
      <w:r w:rsidR="001E4C5C" w:rsidRPr="00723786">
        <w:t xml:space="preserve"> observers, who focused primarily on instruction in the classroom, visited </w:t>
      </w:r>
      <w:r>
        <w:t>Brockton</w:t>
      </w:r>
      <w:r w:rsidR="001E4C5C" w:rsidRPr="00723786">
        <w:t xml:space="preserve"> during the week of </w:t>
      </w:r>
      <w:r>
        <w:t>March 16, 2026</w:t>
      </w:r>
      <w:r w:rsidR="001E4C5C" w:rsidRPr="00723786">
        <w:t xml:space="preserve">. The observers conducted </w:t>
      </w:r>
      <w:r>
        <w:t>173</w:t>
      </w:r>
      <w:r w:rsidR="001E4C5C" w:rsidRPr="00723786">
        <w:t xml:space="preserve"> observations in a sample of classrooms across grade levels, focused on literacy, ELA, and mathematics. </w:t>
      </w:r>
      <w:r w:rsidR="00002BB4">
        <w:t>The observers used t</w:t>
      </w:r>
      <w:r w:rsidR="001E4C5C" w:rsidRPr="00723786">
        <w:t xml:space="preserve">he CLASS protocol </w:t>
      </w:r>
      <w:r w:rsidR="00002BB4">
        <w:t xml:space="preserve">to </w:t>
      </w:r>
      <w:r w:rsidR="001E4C5C" w:rsidRPr="00723786">
        <w:t>guide all classroom observations in the district</w:t>
      </w:r>
      <w:r w:rsidR="00002BB4">
        <w:t xml:space="preserve"> and</w:t>
      </w:r>
      <w:r w:rsidR="001E4C5C" w:rsidRPr="00723786">
        <w:t xml:space="preserve"> used the three grade-band levels of CLASS protocols: </w:t>
      </w:r>
      <w:r w:rsidR="001E4C5C">
        <w:t>P</w:t>
      </w:r>
      <w:r w:rsidR="001E4C5C" w:rsidRPr="00723786">
        <w:t>K-3, Upper Elementary (4-5), and Secondary (6-12).</w:t>
      </w:r>
    </w:p>
    <w:p w14:paraId="338E5F92" w14:textId="4AC42ED2" w:rsidR="001E4C5C" w:rsidRPr="00723786" w:rsidRDefault="001E4C5C" w:rsidP="00116ED6">
      <w:pPr>
        <w:pStyle w:val="BodyText"/>
      </w:pPr>
      <w:r w:rsidRPr="00723786">
        <w:lastRenderedPageBreak/>
        <w:t xml:space="preserve">The </w:t>
      </w:r>
      <w:r>
        <w:t>P</w:t>
      </w:r>
      <w:r w:rsidRPr="00723786">
        <w:t xml:space="preserve">K-3 protocol includes 10 classroom dimensions related to </w:t>
      </w:r>
      <w:r w:rsidR="006E3B8C">
        <w:t>3</w:t>
      </w:r>
      <w:r w:rsidR="006E3B8C" w:rsidRPr="00723786">
        <w:t xml:space="preserve"> </w:t>
      </w:r>
      <w:r w:rsidRPr="00723786">
        <w:t xml:space="preserve">domains: Emotional Support, Classroom Organization, and Instructional Support. The Upper Elementary and Secondary protocols include 11 classroom dimensions related to </w:t>
      </w:r>
      <w:r w:rsidR="006E3B8C">
        <w:t>3</w:t>
      </w:r>
      <w:r w:rsidR="006E3B8C" w:rsidRPr="00723786">
        <w:t xml:space="preserve"> </w:t>
      </w:r>
      <w:r w:rsidRPr="00723786">
        <w:t xml:space="preserve">domains: Emotional Support, Classroom Organization, and Instructional Support, in addition to Student Engagement. The </w:t>
      </w:r>
      <w:r w:rsidR="006E3B8C">
        <w:t>3</w:t>
      </w:r>
      <w:r w:rsidR="006E3B8C" w:rsidRPr="00723786">
        <w:t xml:space="preserve"> </w:t>
      </w:r>
      <w:r w:rsidRPr="00723786">
        <w:t>domains observed at all levels broadly are defined as follows:</w:t>
      </w:r>
    </w:p>
    <w:p w14:paraId="77F52081" w14:textId="77777777" w:rsidR="001E4C5C" w:rsidRPr="00723786" w:rsidRDefault="001E4C5C" w:rsidP="00116ED6">
      <w:pPr>
        <w:pStyle w:val="Bullet1"/>
      </w:pPr>
      <w:r w:rsidRPr="00723786">
        <w:rPr>
          <w:rFonts w:ascii="Franklin Gothic Demi" w:eastAsia="Franklin Gothic Demi" w:hAnsi="Franklin Gothic Demi" w:cs="Franklin Gothic Demi"/>
          <w:bCs/>
        </w:rPr>
        <w:t>Emotional Support.</w:t>
      </w:r>
      <w:r w:rsidRPr="00723786">
        <w:t xml:space="preserve"> Describes the social-emotional functioning of the classroom, including teacher-student relationships and responsiveness to social-emotional needs.</w:t>
      </w:r>
    </w:p>
    <w:p w14:paraId="11ECE51C" w14:textId="77777777" w:rsidR="001E4C5C" w:rsidRPr="00723786" w:rsidRDefault="001E4C5C" w:rsidP="00116ED6">
      <w:pPr>
        <w:pStyle w:val="Bullet1"/>
      </w:pPr>
      <w:r w:rsidRPr="00723786">
        <w:rPr>
          <w:rFonts w:ascii="Franklin Gothic Demi" w:eastAsia="Franklin Gothic Demi" w:hAnsi="Franklin Gothic Demi" w:cs="Franklin Gothic Demi"/>
          <w:bCs/>
        </w:rPr>
        <w:t>Classroom Organization.</w:t>
      </w:r>
      <w:r w:rsidRPr="00723786">
        <w:t xml:space="preserve"> Describes the management of students’ behavior, time, and attention in the classroom.</w:t>
      </w:r>
    </w:p>
    <w:p w14:paraId="481E1A8B" w14:textId="6344F89E" w:rsidR="001E4C5C" w:rsidRPr="00723786" w:rsidRDefault="001E4C5C" w:rsidP="00116ED6">
      <w:pPr>
        <w:pStyle w:val="Bullet1"/>
      </w:pPr>
      <w:r w:rsidRPr="00723786">
        <w:rPr>
          <w:rFonts w:ascii="Franklin Gothic Demi" w:eastAsia="Franklin Gothic Demi" w:hAnsi="Franklin Gothic Demi" w:cs="Franklin Gothic Demi"/>
          <w:bCs/>
        </w:rPr>
        <w:t>Instructional Support.</w:t>
      </w:r>
      <w:r w:rsidRPr="00723786">
        <w:t xml:space="preserve"> Describes the efforts to support cognitive and language development, including cognitive demand of the assigned tasks, the focus on higher</w:t>
      </w:r>
      <w:r w:rsidR="00654154">
        <w:t>-</w:t>
      </w:r>
      <w:r w:rsidRPr="00723786">
        <w:t>order thinking skills, and the use of process-oriented feedback.</w:t>
      </w:r>
    </w:p>
    <w:p w14:paraId="45ED2940" w14:textId="52FA9DEC" w:rsidR="001E4C5C" w:rsidRPr="00723786" w:rsidRDefault="006E3B8C" w:rsidP="00116ED6">
      <w:pPr>
        <w:pStyle w:val="BodyText"/>
      </w:pPr>
      <w:r>
        <w:t xml:space="preserve">The observers conducted </w:t>
      </w:r>
      <w:r w:rsidR="001E4C5C" w:rsidRPr="00723786">
        <w:t>classroom visit</w:t>
      </w:r>
      <w:r>
        <w:t>s</w:t>
      </w:r>
      <w:r w:rsidRPr="00723786">
        <w:t xml:space="preserve"> </w:t>
      </w:r>
      <w:r>
        <w:t>and</w:t>
      </w:r>
      <w:r w:rsidR="001E4C5C" w:rsidRPr="00723786">
        <w:t xml:space="preserve"> rate</w:t>
      </w:r>
      <w:r>
        <w:t>d</w:t>
      </w:r>
      <w:r w:rsidR="001E4C5C" w:rsidRPr="00723786">
        <w:t xml:space="preserve"> each dimension (including Student Engagement) on a scale </w:t>
      </w:r>
      <w:r>
        <w:t>from</w:t>
      </w:r>
      <w:r w:rsidR="001E4C5C" w:rsidRPr="00723786">
        <w:t xml:space="preserve"> 1 to 7. A rating of 1 or 2 (low range) indicates that the dimension was never or rarely evident during the visit. A rating of 3, 4, or 5 (middle range) indicates that the dimension was evident but not exhibited consistently or in a way that included all students. A rating of 6 or 7 (high range) indicates that the dimension was reflected in all or most classroom activities and in a way that included all or most students.</w:t>
      </w:r>
    </w:p>
    <w:p w14:paraId="44B57DC3" w14:textId="7389437E" w:rsidR="0046023A" w:rsidRDefault="001E4C5C" w:rsidP="00116ED6">
      <w:pPr>
        <w:pStyle w:val="BodyText"/>
      </w:pPr>
      <w:r w:rsidRPr="00723786">
        <w:t xml:space="preserve">In </w:t>
      </w:r>
      <w:r w:rsidR="00520FBF">
        <w:t>Brockton</w:t>
      </w:r>
      <w:r w:rsidRPr="00723786">
        <w:t xml:space="preserve">, ratings are provided across three grade bands: </w:t>
      </w:r>
      <w:r>
        <w:t>P</w:t>
      </w:r>
      <w:r w:rsidRPr="00723786">
        <w:t xml:space="preserve">K-5, 6-8, and 9-12. For each grade band, ratings are provided across the overarching domains, as well as at individual dimensions within those domains. Figure 5 shows average ratings, by domain, for each grade band. The full report of findings from observations conducted in </w:t>
      </w:r>
      <w:r w:rsidR="00584B19">
        <w:t>Brockton</w:t>
      </w:r>
      <w:r w:rsidRPr="00723786">
        <w:t xml:space="preserve"> is in Appendix</w:t>
      </w:r>
      <w:r w:rsidR="00654154">
        <w:rPr>
          <w:rFonts w:ascii="Arial" w:eastAsia="Arial" w:hAnsi="Arial" w:cs="Arial"/>
        </w:rPr>
        <w:t xml:space="preserve"> </w:t>
      </w:r>
      <w:r w:rsidRPr="00723786">
        <w:t>B, and summary results are in Tables 17, 18, and 19 in this appendix</w:t>
      </w:r>
      <w:r w:rsidR="0046023A">
        <w:t>.</w:t>
      </w:r>
    </w:p>
    <w:p w14:paraId="2C6D5569" w14:textId="26707E99" w:rsidR="001E4C5C" w:rsidRDefault="001E4C5C" w:rsidP="00116ED6">
      <w:pPr>
        <w:pStyle w:val="TableTitle0"/>
      </w:pPr>
      <w:r w:rsidRPr="00723786">
        <w:t xml:space="preserve">Figure 5. </w:t>
      </w:r>
      <w:r>
        <w:t xml:space="preserve">Brockton </w:t>
      </w:r>
      <w:r w:rsidRPr="00723786">
        <w:t>CLASS Domain Averages by Grade Band</w:t>
      </w:r>
    </w:p>
    <w:p w14:paraId="79726BD1" w14:textId="77777777" w:rsidR="001E4C5C" w:rsidRPr="00723786" w:rsidRDefault="001E4C5C" w:rsidP="00116ED6">
      <w:pPr>
        <w:pStyle w:val="BodyTextposthead"/>
        <w:rPr>
          <w:rFonts w:ascii="Franklin Gothic Demi" w:eastAsia="Franklin Gothic Demi" w:hAnsi="Franklin Gothic Demi" w:cs="Franklin Gothic Demi"/>
          <w:color w:val="000000"/>
        </w:rPr>
      </w:pPr>
      <w:r>
        <w:rPr>
          <w:noProof/>
        </w:rPr>
        <w:drawing>
          <wp:inline distT="0" distB="0" distL="0" distR="0" wp14:anchorId="104F0E14" wp14:editId="7A80B154">
            <wp:extent cx="5232400" cy="2908300"/>
            <wp:effectExtent l="0" t="0" r="6350" b="6350"/>
            <wp:docPr id="1043929610" name="Chart 1" descr="This is a clustered column chart showing CLASS domain averages by grade band. Grades PK-5 scored higher than other grade bands for Emotional Support and Student Engagement; Grades 6-8 scored higher than others for Classroom Organization; and Grades 9-12 scored higher than other grade bands for Instructional Support. Instructional Support received the lowest scores in all three grade bands.">
              <a:extLst xmlns:a="http://schemas.openxmlformats.org/drawingml/2006/main">
                <a:ext uri="{FF2B5EF4-FFF2-40B4-BE49-F238E27FC236}">
                  <a16:creationId xmlns:a16="http://schemas.microsoft.com/office/drawing/2014/main" id="{1A3B2F75-2028-49C5-9594-67C562585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C3892B1" w14:textId="1B9E2BA9" w:rsidR="00116ED6" w:rsidRDefault="001E4C5C" w:rsidP="008D6102">
      <w:pPr>
        <w:pStyle w:val="BodyText"/>
      </w:pPr>
      <w:r w:rsidRPr="00723786">
        <w:lastRenderedPageBreak/>
        <w:t xml:space="preserve">Overall, in the </w:t>
      </w:r>
      <w:r>
        <w:t>P</w:t>
      </w:r>
      <w:r w:rsidRPr="00723786">
        <w:t xml:space="preserve">K-5 grade band, instructional observations suggest generally strong evidence of </w:t>
      </w:r>
      <w:r w:rsidR="00584B19">
        <w:t>C</w:t>
      </w:r>
      <w:r w:rsidRPr="00723786">
        <w:t xml:space="preserve">lassroom </w:t>
      </w:r>
      <w:r w:rsidR="00584B19">
        <w:t>O</w:t>
      </w:r>
      <w:r w:rsidRPr="00723786">
        <w:t xml:space="preserve">rganization, moderately strong evidence of </w:t>
      </w:r>
      <w:r w:rsidR="00584B19">
        <w:t>E</w:t>
      </w:r>
      <w:r w:rsidRPr="00723786">
        <w:t xml:space="preserve">motional </w:t>
      </w:r>
      <w:r w:rsidR="00584B19">
        <w:t>S</w:t>
      </w:r>
      <w:r w:rsidRPr="00723786">
        <w:t xml:space="preserve">upport and </w:t>
      </w:r>
      <w:r w:rsidR="00584B19">
        <w:t>S</w:t>
      </w:r>
      <w:r w:rsidRPr="00723786">
        <w:t xml:space="preserve">tudent </w:t>
      </w:r>
      <w:r w:rsidR="00584B19">
        <w:t>E</w:t>
      </w:r>
      <w:r w:rsidRPr="00723786">
        <w:t>ngagement (</w:t>
      </w:r>
      <w:r w:rsidR="003E5F68">
        <w:t>g</w:t>
      </w:r>
      <w:r w:rsidRPr="00723786">
        <w:t xml:space="preserve">rades 4-5) and mixed evidence of consistently rigorous </w:t>
      </w:r>
      <w:r w:rsidR="00584B19">
        <w:t>I</w:t>
      </w:r>
      <w:r w:rsidRPr="00723786">
        <w:t xml:space="preserve">nstructional </w:t>
      </w:r>
      <w:r w:rsidR="00584B19">
        <w:t>S</w:t>
      </w:r>
      <w:r w:rsidRPr="00723786">
        <w:t>upport. In</w:t>
      </w:r>
      <w:r w:rsidR="00584B19">
        <w:t xml:space="preserve"> both</w:t>
      </w:r>
      <w:r w:rsidRPr="00723786">
        <w:t xml:space="preserve"> the 6-8 and 9-12 grade bands, instructional observations provide evidence of consistently strong </w:t>
      </w:r>
      <w:r w:rsidR="00584B19">
        <w:t>C</w:t>
      </w:r>
      <w:r w:rsidRPr="00723786">
        <w:t xml:space="preserve">lassroom </w:t>
      </w:r>
      <w:r w:rsidR="00584B19">
        <w:t>O</w:t>
      </w:r>
      <w:r w:rsidRPr="00723786">
        <w:t xml:space="preserve">rganization and mixed evidence of consistently strong </w:t>
      </w:r>
      <w:r w:rsidR="00584B19">
        <w:t>E</w:t>
      </w:r>
      <w:r w:rsidRPr="00723786">
        <w:t xml:space="preserve">motional </w:t>
      </w:r>
      <w:r w:rsidR="00584B19">
        <w:t>S</w:t>
      </w:r>
      <w:r w:rsidRPr="00723786">
        <w:t xml:space="preserve">upport, </w:t>
      </w:r>
      <w:r w:rsidR="00584B19">
        <w:t>S</w:t>
      </w:r>
      <w:r w:rsidRPr="00723786">
        <w:t xml:space="preserve">tudent </w:t>
      </w:r>
      <w:r w:rsidR="00584B19">
        <w:t>E</w:t>
      </w:r>
      <w:r w:rsidRPr="00723786">
        <w:t xml:space="preserve">ngagement, and rigorous </w:t>
      </w:r>
      <w:r w:rsidR="00584B19">
        <w:t>I</w:t>
      </w:r>
      <w:r w:rsidRPr="00723786">
        <w:t xml:space="preserve">nstructional </w:t>
      </w:r>
      <w:r w:rsidR="00584B19">
        <w:t>S</w:t>
      </w:r>
      <w:r w:rsidRPr="00723786">
        <w:t>upport.</w:t>
      </w:r>
      <w:r w:rsidR="00116ED6">
        <w:br w:type="page"/>
      </w:r>
    </w:p>
    <w:p w14:paraId="5A4DB43F" w14:textId="77777777" w:rsidR="008D6102" w:rsidRPr="00CB0607" w:rsidRDefault="008D6102" w:rsidP="00CA7178">
      <w:pPr>
        <w:pStyle w:val="Heading2"/>
      </w:pPr>
      <w:bookmarkStart w:id="19" w:name="_Leadership_and_Governance"/>
      <w:bookmarkStart w:id="20" w:name="_Toc101446227"/>
      <w:bookmarkStart w:id="21" w:name="_Toc235104375"/>
      <w:bookmarkStart w:id="22" w:name="_Toc235104450"/>
      <w:bookmarkStart w:id="23" w:name="_Toc350870261"/>
      <w:bookmarkEnd w:id="19"/>
      <w:r w:rsidRPr="00CB0607">
        <w:lastRenderedPageBreak/>
        <w:t xml:space="preserve">Leadership and </w:t>
      </w:r>
      <w:r w:rsidRPr="00CA7178">
        <w:t>Governance</w:t>
      </w:r>
      <w:bookmarkEnd w:id="20"/>
      <w:bookmarkEnd w:id="21"/>
      <w:bookmarkEnd w:id="22"/>
    </w:p>
    <w:p w14:paraId="63244A6E" w14:textId="3A87B3CC" w:rsidR="00A7777E" w:rsidRPr="003C2063" w:rsidRDefault="004D5859" w:rsidP="00CA7178">
      <w:pPr>
        <w:pStyle w:val="BodyTextposthead"/>
      </w:pPr>
      <w:r>
        <w:t xml:space="preserve">This section examines the extent to which school committees, district leaders, school leaders, and advisory council members work collaboratively and strategically to promote high-quality teaching and learning that is (a) antiracist, inclusive, </w:t>
      </w:r>
      <w:r w:rsidR="007339B2">
        <w:t>multi-lingual</w:t>
      </w:r>
      <w:r>
        <w:t>, and multicultural; (b) values and affirms each student and their families; and (c) creates equitable opportunities and experiences for all students, particularly those who have been historically underserved. It also looks at the extent to which districts establish, implement, and evaluate policies, plans, procedures, systems, and budgets by focusing on achieving districtwide strategic objectives. This occurs in part through equitable and effective use of resources, which ultimately lead to high-quality teaching and learning for all students.</w:t>
      </w:r>
    </w:p>
    <w:p w14:paraId="6CCEFE2D" w14:textId="7398F245" w:rsidR="00B72349" w:rsidRDefault="00944D9E" w:rsidP="00CA7178">
      <w:pPr>
        <w:pStyle w:val="BodyText"/>
        <w:rPr>
          <w:rFonts w:ascii="Franklin Gothic Demi" w:hAnsi="Franklin Gothic Demi"/>
        </w:rPr>
      </w:pPr>
      <w:r w:rsidRPr="00CB0607">
        <w:t xml:space="preserve">Table </w:t>
      </w:r>
      <w:r w:rsidR="000F34B4">
        <w:t>2</w:t>
      </w:r>
      <w:r w:rsidR="000F34B4" w:rsidRPr="00CB0607">
        <w:t xml:space="preserve"> </w:t>
      </w:r>
      <w:r w:rsidRPr="00CB0607">
        <w:t>summarizes key strengths and areas for growth in leadership and governance</w:t>
      </w:r>
      <w:r w:rsidR="00672224">
        <w:t xml:space="preserve"> in </w:t>
      </w:r>
      <w:r w:rsidR="00CC6723">
        <w:t>Brockton</w:t>
      </w:r>
      <w:r w:rsidRPr="00CB0607">
        <w:t>.</w:t>
      </w:r>
    </w:p>
    <w:p w14:paraId="5317D7CB" w14:textId="084955CD" w:rsidR="003D6ECF" w:rsidRPr="00CB0607" w:rsidRDefault="003D6ECF" w:rsidP="00CA7178">
      <w:pPr>
        <w:pStyle w:val="TableTitle0"/>
      </w:pPr>
      <w:r w:rsidRPr="00CB0607">
        <w:t xml:space="preserve">Table </w:t>
      </w:r>
      <w:r w:rsidR="00BD049B">
        <w:t>2</w:t>
      </w:r>
      <w:r w:rsidRPr="00CB0607">
        <w:t xml:space="preserve">. Summary of </w:t>
      </w:r>
      <w:r w:rsidR="00944D9E" w:rsidRPr="00CB0607">
        <w:t xml:space="preserve">Key Strengths </w:t>
      </w:r>
      <w:r w:rsidRPr="00CB0607">
        <w:t xml:space="preserve">and </w:t>
      </w:r>
      <w:r w:rsidR="00944D9E" w:rsidRPr="00CA7178">
        <w:t>Areas</w:t>
      </w:r>
      <w:r w:rsidR="00944D9E" w:rsidRPr="00CB0607">
        <w:t xml:space="preserve"> </w:t>
      </w:r>
      <w:r w:rsidRPr="00CB0607">
        <w:t xml:space="preserve">for </w:t>
      </w:r>
      <w:r w:rsidR="00944D9E" w:rsidRPr="00CB0607">
        <w:t>Growth:</w:t>
      </w:r>
      <w:r w:rsidRPr="00CB0607">
        <w:t xml:space="preserve"> Leadership </w:t>
      </w:r>
      <w:r w:rsidRPr="00116ED6">
        <w:t>and</w:t>
      </w:r>
      <w:r w:rsidRPr="00CB0607">
        <w:t xml:space="preserve"> Governance</w:t>
      </w:r>
      <w:r w:rsidR="00C0766E" w:rsidRPr="00CB0607">
        <w:t xml:space="preserve"> Standard</w:t>
      </w:r>
    </w:p>
    <w:tbl>
      <w:tblPr>
        <w:tblStyle w:val="MSVTable1"/>
        <w:tblW w:w="5000" w:type="pct"/>
        <w:tblLayout w:type="fixed"/>
        <w:tblLook w:val="04A0" w:firstRow="1" w:lastRow="0" w:firstColumn="1" w:lastColumn="0" w:noHBand="0" w:noVBand="1"/>
        <w:tblCaption w:val="Table 2. Summary of Key Strengths and Areas for Growth: Leadership and Governance Standard"/>
        <w:tblDescription w:val="Summary of Key Strengths and Areas for Growth: Leadership and Governance Standard"/>
      </w:tblPr>
      <w:tblGrid>
        <w:gridCol w:w="1972"/>
        <w:gridCol w:w="3686"/>
        <w:gridCol w:w="3686"/>
      </w:tblGrid>
      <w:tr w:rsidR="003D6ECF" w:rsidRPr="00CB0607" w14:paraId="1BA64263" w14:textId="77777777" w:rsidTr="00322B2C">
        <w:trPr>
          <w:cnfStyle w:val="100000000000" w:firstRow="1" w:lastRow="0" w:firstColumn="0" w:lastColumn="0" w:oddVBand="0" w:evenVBand="0" w:oddHBand="0" w:evenHBand="0" w:firstRowFirstColumn="0" w:firstRowLastColumn="0" w:lastRowFirstColumn="0" w:lastRowLastColumn="0"/>
          <w:tblHeader/>
        </w:trPr>
        <w:tc>
          <w:tcPr>
            <w:tcW w:w="1972" w:type="dxa"/>
          </w:tcPr>
          <w:p w14:paraId="54BE6202" w14:textId="77777777" w:rsidR="003D6ECF" w:rsidRPr="007A5049" w:rsidRDefault="003D6ECF" w:rsidP="009F50AA">
            <w:pPr>
              <w:pStyle w:val="TableColHeadingCenter"/>
            </w:pPr>
            <w:r w:rsidRPr="007A5049">
              <w:t>Indicator</w:t>
            </w:r>
          </w:p>
        </w:tc>
        <w:tc>
          <w:tcPr>
            <w:tcW w:w="3686" w:type="dxa"/>
          </w:tcPr>
          <w:p w14:paraId="26C2C9B5" w14:textId="77777777" w:rsidR="003D6ECF" w:rsidRPr="009F50AA" w:rsidRDefault="003D6ECF" w:rsidP="009F50AA">
            <w:pPr>
              <w:pStyle w:val="TableColHeadingCenter"/>
            </w:pPr>
            <w:r w:rsidRPr="009F50AA">
              <w:t>Strengths</w:t>
            </w:r>
          </w:p>
        </w:tc>
        <w:tc>
          <w:tcPr>
            <w:tcW w:w="3686" w:type="dxa"/>
          </w:tcPr>
          <w:p w14:paraId="19C0FC93" w14:textId="398D47A8" w:rsidR="003D6ECF" w:rsidRPr="009F50AA" w:rsidRDefault="003D6ECF" w:rsidP="009F50AA">
            <w:pPr>
              <w:pStyle w:val="TableColHeadingCenter"/>
            </w:pPr>
            <w:r w:rsidRPr="009F50AA">
              <w:t xml:space="preserve">Areas for </w:t>
            </w:r>
            <w:r w:rsidR="00944D9E" w:rsidRPr="009F50AA">
              <w:t>growth</w:t>
            </w:r>
          </w:p>
        </w:tc>
      </w:tr>
      <w:tr w:rsidR="003D6ECF" w:rsidRPr="00CB0607" w14:paraId="684F20FE" w14:textId="77777777" w:rsidTr="00322B2C">
        <w:trPr>
          <w:cnfStyle w:val="000000100000" w:firstRow="0" w:lastRow="0" w:firstColumn="0" w:lastColumn="0" w:oddVBand="0" w:evenVBand="0" w:oddHBand="1" w:evenHBand="0" w:firstRowFirstColumn="0" w:firstRowLastColumn="0" w:lastRowFirstColumn="0" w:lastRowLastColumn="0"/>
        </w:trPr>
        <w:tc>
          <w:tcPr>
            <w:tcW w:w="1972" w:type="dxa"/>
          </w:tcPr>
          <w:p w14:paraId="544D7F2B" w14:textId="01152A48" w:rsidR="003D6ECF" w:rsidRPr="009F50AA" w:rsidRDefault="00895032" w:rsidP="009F50AA">
            <w:pPr>
              <w:pStyle w:val="TableSubheading"/>
            </w:pPr>
            <w:hyperlink w:anchor="_Leadership_and_Governing" w:history="1">
              <w:r w:rsidRPr="009F50AA">
                <w:rPr>
                  <w:rStyle w:val="Hyperlink"/>
                  <w:color w:val="auto"/>
                  <w:u w:val="none"/>
                </w:rPr>
                <w:t>Leadership and Governing Structures</w:t>
              </w:r>
            </w:hyperlink>
          </w:p>
        </w:tc>
        <w:tc>
          <w:tcPr>
            <w:tcW w:w="3686" w:type="dxa"/>
          </w:tcPr>
          <w:p w14:paraId="20FCD274" w14:textId="106674F6" w:rsidR="004F773E" w:rsidRDefault="00F93800" w:rsidP="00A06EBF">
            <w:pPr>
              <w:pStyle w:val="TableBullet1"/>
              <w:ind w:left="391" w:hanging="378"/>
            </w:pPr>
            <w:r>
              <w:t>Brockton u</w:t>
            </w:r>
            <w:r w:rsidR="002C0E6D" w:rsidRPr="008E01BB">
              <w:t>se</w:t>
            </w:r>
            <w:r>
              <w:t>s</w:t>
            </w:r>
            <w:r w:rsidR="002C0E6D" w:rsidRPr="008E01BB">
              <w:t xml:space="preserve"> subcommittees to distribute and focus governance work, alongside its clear statutory role delineation.</w:t>
            </w:r>
          </w:p>
          <w:p w14:paraId="795C99D3" w14:textId="2652D2BF" w:rsidR="003D6ECF" w:rsidRPr="00CA7178" w:rsidRDefault="00F93800" w:rsidP="00A06EBF">
            <w:pPr>
              <w:pStyle w:val="TableBullet1"/>
              <w:ind w:left="391" w:hanging="378"/>
            </w:pPr>
            <w:r>
              <w:t>The district has a s</w:t>
            </w:r>
            <w:r w:rsidR="00D86BF4">
              <w:t xml:space="preserve">tructured </w:t>
            </w:r>
            <w:r w:rsidR="002C0E6D" w:rsidRPr="008E01BB">
              <w:t>approach to connecting the DLT to building-level leadership through organized, recurring convenings with consistent agendas, shared materials, and two-way communication.</w:t>
            </w:r>
          </w:p>
        </w:tc>
        <w:tc>
          <w:tcPr>
            <w:tcW w:w="3686" w:type="dxa"/>
          </w:tcPr>
          <w:p w14:paraId="77DB9DF6" w14:textId="2611182B" w:rsidR="002C0E6D" w:rsidRPr="008E01BB" w:rsidRDefault="002C0E6D" w:rsidP="002C0E6D">
            <w:pPr>
              <w:pStyle w:val="TableBullet1"/>
            </w:pPr>
            <w:r w:rsidRPr="008E01BB">
              <w:t>Establishing a formal, documented policy review process</w:t>
            </w:r>
          </w:p>
          <w:p w14:paraId="4672D69F" w14:textId="78D902DC" w:rsidR="008E01BB" w:rsidRPr="008E01BB" w:rsidRDefault="008E01BB" w:rsidP="008E01BB">
            <w:pPr>
              <w:pStyle w:val="TableBullet1"/>
            </w:pPr>
            <w:r w:rsidRPr="008E01BB">
              <w:t>Ensuring opportunities for all families within the Brockton Public Schools’ community to participate in school and district advisory and engagement structures</w:t>
            </w:r>
          </w:p>
          <w:p w14:paraId="7086393F" w14:textId="51739CC5" w:rsidR="003D6ECF" w:rsidRPr="00CA7178" w:rsidRDefault="003D6ECF" w:rsidP="008E01BB">
            <w:pPr>
              <w:pStyle w:val="TableBullet1"/>
              <w:numPr>
                <w:ilvl w:val="0"/>
                <w:numId w:val="0"/>
              </w:numPr>
              <w:ind w:left="360"/>
            </w:pPr>
          </w:p>
        </w:tc>
      </w:tr>
      <w:tr w:rsidR="003D6ECF" w:rsidRPr="00CB0607" w14:paraId="14B42E08" w14:textId="77777777" w:rsidTr="00322B2C">
        <w:tc>
          <w:tcPr>
            <w:tcW w:w="1972" w:type="dxa"/>
          </w:tcPr>
          <w:p w14:paraId="3EB19AE6" w14:textId="593DF9C6" w:rsidR="003D6ECF" w:rsidRPr="009F50AA" w:rsidRDefault="00F95311" w:rsidP="009F50AA">
            <w:pPr>
              <w:pStyle w:val="TableSubheading"/>
            </w:pPr>
            <w:hyperlink w:anchor="_Strategic_Planning,_Implementation," w:history="1">
              <w:r w:rsidRPr="009F50AA">
                <w:rPr>
                  <w:rStyle w:val="Hyperlink"/>
                  <w:color w:val="auto"/>
                  <w:u w:val="none"/>
                </w:rPr>
                <w:t>Strategic Planning, Implementation, and Monitoring</w:t>
              </w:r>
            </w:hyperlink>
          </w:p>
        </w:tc>
        <w:tc>
          <w:tcPr>
            <w:tcW w:w="3686" w:type="dxa"/>
          </w:tcPr>
          <w:p w14:paraId="38A7B5F1" w14:textId="039D5148" w:rsidR="008E01BB" w:rsidRPr="008E01BB" w:rsidRDefault="008E01BB" w:rsidP="008E01BB">
            <w:pPr>
              <w:pStyle w:val="TableBullet1"/>
            </w:pPr>
            <w:r w:rsidRPr="008E01BB">
              <w:t>The</w:t>
            </w:r>
            <w:r w:rsidR="00F93800">
              <w:t xml:space="preserve"> district </w:t>
            </w:r>
            <w:r w:rsidRPr="008E01BB">
              <w:t>develop</w:t>
            </w:r>
            <w:r w:rsidR="00F93800">
              <w:t>ed</w:t>
            </w:r>
            <w:r w:rsidRPr="008E01BB">
              <w:t xml:space="preserve"> SIPs that are aligned to district priorities, organized around measurable goals, and monitored through structured PCLT routine</w:t>
            </w:r>
            <w:r w:rsidR="00D86BF4">
              <w:t>s</w:t>
            </w:r>
            <w:r w:rsidRPr="008E01BB">
              <w:t>.</w:t>
            </w:r>
          </w:p>
          <w:p w14:paraId="3C710E27" w14:textId="00FC471C" w:rsidR="003D6ECF" w:rsidRPr="00CA7178" w:rsidRDefault="003D6ECF" w:rsidP="008E01BB">
            <w:pPr>
              <w:pStyle w:val="TableBullet1"/>
              <w:numPr>
                <w:ilvl w:val="0"/>
                <w:numId w:val="0"/>
              </w:numPr>
              <w:ind w:left="360"/>
            </w:pPr>
          </w:p>
        </w:tc>
        <w:tc>
          <w:tcPr>
            <w:tcW w:w="3686" w:type="dxa"/>
          </w:tcPr>
          <w:p w14:paraId="5ED028F1" w14:textId="77777777" w:rsidR="004F773E" w:rsidRDefault="008E01BB" w:rsidP="004F773E">
            <w:pPr>
              <w:pStyle w:val="TableBullet1"/>
            </w:pPr>
            <w:r w:rsidRPr="008E01BB">
              <w:t>Developing consistent, districtwide progress monitoring expectations</w:t>
            </w:r>
          </w:p>
          <w:p w14:paraId="5838C396" w14:textId="31E950DE" w:rsidR="003D6ECF" w:rsidRPr="00CA7178" w:rsidRDefault="001563D0" w:rsidP="004F773E">
            <w:pPr>
              <w:pStyle w:val="TableBullet1"/>
            </w:pPr>
            <w:r>
              <w:t>E</w:t>
            </w:r>
            <w:r w:rsidR="008E01BB" w:rsidRPr="008E01BB">
              <w:t>stablishing regular mechanisms for communicating improvement progress toward identified goals to the full community</w:t>
            </w:r>
          </w:p>
        </w:tc>
      </w:tr>
      <w:tr w:rsidR="003D6ECF" w:rsidRPr="00CB0607" w14:paraId="22B4591C" w14:textId="77777777" w:rsidTr="00322B2C">
        <w:trPr>
          <w:cnfStyle w:val="000000100000" w:firstRow="0" w:lastRow="0" w:firstColumn="0" w:lastColumn="0" w:oddVBand="0" w:evenVBand="0" w:oddHBand="1" w:evenHBand="0" w:firstRowFirstColumn="0" w:firstRowLastColumn="0" w:lastRowFirstColumn="0" w:lastRowLastColumn="0"/>
        </w:trPr>
        <w:tc>
          <w:tcPr>
            <w:tcW w:w="1972" w:type="dxa"/>
          </w:tcPr>
          <w:p w14:paraId="5F56A8E5" w14:textId="5B7ACDB9" w:rsidR="003D6ECF" w:rsidRPr="009F50AA" w:rsidRDefault="003D6ECF" w:rsidP="009F50AA">
            <w:pPr>
              <w:pStyle w:val="TableSubheading"/>
            </w:pPr>
            <w:hyperlink w:anchor="_District_Culture" w:history="1">
              <w:r w:rsidRPr="009F50AA">
                <w:rPr>
                  <w:rStyle w:val="Hyperlink"/>
                  <w:color w:val="auto"/>
                  <w:u w:val="none"/>
                </w:rPr>
                <w:t xml:space="preserve">District </w:t>
              </w:r>
              <w:r w:rsidR="00F95311" w:rsidRPr="009F50AA">
                <w:rPr>
                  <w:rStyle w:val="Hyperlink"/>
                  <w:color w:val="auto"/>
                  <w:u w:val="none"/>
                </w:rPr>
                <w:t>Culture</w:t>
              </w:r>
            </w:hyperlink>
          </w:p>
        </w:tc>
        <w:tc>
          <w:tcPr>
            <w:tcW w:w="3686" w:type="dxa"/>
          </w:tcPr>
          <w:p w14:paraId="2956C390" w14:textId="60AE6242" w:rsidR="003D6ECF" w:rsidRPr="00CA7178" w:rsidRDefault="00F93800" w:rsidP="008E01BB">
            <w:pPr>
              <w:pStyle w:val="TableBullet1"/>
            </w:pPr>
            <w:r>
              <w:t>Brockton has d</w:t>
            </w:r>
            <w:r w:rsidR="008E01BB" w:rsidRPr="008E01BB">
              <w:t>ocumented progress in rebuilding working relationships with the school committee, municipal government, state oversight partners, and the broader community, grounded in consistent transparency and follow-through</w:t>
            </w:r>
            <w:r w:rsidR="008E01BB">
              <w:t>.</w:t>
            </w:r>
          </w:p>
        </w:tc>
        <w:tc>
          <w:tcPr>
            <w:tcW w:w="3686" w:type="dxa"/>
          </w:tcPr>
          <w:p w14:paraId="7E0ECB71" w14:textId="72BF8CA6" w:rsidR="008E01BB" w:rsidRPr="008E01BB" w:rsidRDefault="008E01BB" w:rsidP="008E01BB">
            <w:pPr>
              <w:pStyle w:val="TableBullet1"/>
            </w:pPr>
            <w:r w:rsidRPr="008E01BB">
              <w:t>Developing a proactive, structured, districtwide approach to stakeholder engagement that establishes clear communication expectations across schools</w:t>
            </w:r>
          </w:p>
          <w:p w14:paraId="0F21E755" w14:textId="6940A21C" w:rsidR="003D6ECF" w:rsidRPr="00CA7178" w:rsidRDefault="003D6ECF" w:rsidP="008E01BB">
            <w:pPr>
              <w:pStyle w:val="TableBullet1"/>
              <w:numPr>
                <w:ilvl w:val="0"/>
                <w:numId w:val="0"/>
              </w:numPr>
              <w:ind w:left="360"/>
            </w:pPr>
          </w:p>
        </w:tc>
      </w:tr>
    </w:tbl>
    <w:p w14:paraId="47244709" w14:textId="2F8C3EBE" w:rsidR="003D6ECF" w:rsidRDefault="00895032" w:rsidP="00CA7178">
      <w:pPr>
        <w:pStyle w:val="Heading3"/>
      </w:pPr>
      <w:bookmarkStart w:id="24" w:name="_School_Committee_Governance"/>
      <w:bookmarkStart w:id="25" w:name="_Leadership_and_Governing"/>
      <w:bookmarkEnd w:id="24"/>
      <w:bookmarkEnd w:id="25"/>
      <w:r>
        <w:t xml:space="preserve">Leadership and </w:t>
      </w:r>
      <w:r w:rsidRPr="00CA7178">
        <w:t>Gov</w:t>
      </w:r>
      <w:r w:rsidR="003D6ECF" w:rsidRPr="00CA7178">
        <w:t>e</w:t>
      </w:r>
      <w:r w:rsidRPr="00CA7178">
        <w:t>rning</w:t>
      </w:r>
      <w:r>
        <w:t xml:space="preserve"> Structures</w:t>
      </w:r>
    </w:p>
    <w:p w14:paraId="61502569" w14:textId="64804073" w:rsidR="00414049" w:rsidRPr="00340AB9" w:rsidRDefault="23C0016A" w:rsidP="00CA7178">
      <w:pPr>
        <w:pStyle w:val="BodyTextposthead"/>
        <w:rPr>
          <w:rFonts w:eastAsia="Franklin Gothic Book" w:cs="Franklin Gothic Book"/>
          <w:color w:val="000000"/>
        </w:rPr>
      </w:pPr>
      <w:r>
        <w:t xml:space="preserve">Brockton </w:t>
      </w:r>
      <w:r w:rsidRPr="2D019F4B">
        <w:rPr>
          <w:rFonts w:eastAsia="Franklin Gothic Book" w:cs="Franklin Gothic Book"/>
          <w:color w:val="000000" w:themeColor="text1"/>
        </w:rPr>
        <w:t>is governed by a school committee composed of seven members who are elected for two</w:t>
      </w:r>
      <w:r>
        <w:noBreakHyphen/>
      </w:r>
      <w:r w:rsidRPr="2D019F4B">
        <w:rPr>
          <w:rFonts w:eastAsia="Franklin Gothic Book" w:cs="Franklin Gothic Book"/>
          <w:color w:val="000000" w:themeColor="text1"/>
        </w:rPr>
        <w:t xml:space="preserve">year terms. </w:t>
      </w:r>
      <w:r w:rsidR="2669BDAC">
        <w:t>The Brockton School Committee</w:t>
      </w:r>
      <w:r w:rsidR="003A54B1">
        <w:t>’s</w:t>
      </w:r>
      <w:r w:rsidR="007170D7">
        <w:t xml:space="preserve"> </w:t>
      </w:r>
      <w:r w:rsidR="2669BDAC">
        <w:t xml:space="preserve">core statutory responsibilities </w:t>
      </w:r>
      <w:r w:rsidR="1A32F76A">
        <w:t>include financial</w:t>
      </w:r>
      <w:r w:rsidR="3E8C4064">
        <w:t xml:space="preserve"> and budgetary approval, policy formulation and governance, and superintendent evaluation</w:t>
      </w:r>
      <w:r w:rsidR="284DB60B">
        <w:t xml:space="preserve">. The </w:t>
      </w:r>
      <w:r w:rsidR="284DB60B">
        <w:lastRenderedPageBreak/>
        <w:t>school committee fulfills these responsibilities</w:t>
      </w:r>
      <w:r w:rsidR="3E8C4064">
        <w:t xml:space="preserve"> </w:t>
      </w:r>
      <w:r w:rsidR="2669BDAC">
        <w:t xml:space="preserve">through structured public meetings conducted with consistent governance routines. A review of school committee meeting minutes confirmed that meetings include posted agendas, quorum and roll call procedures, and public comment periods, and are accessible to the community via cable television and online streaming. Minutes document formal votes on substantive governance matters, including personnel decisions, contract approvals, and district appointments. School committee focus group participants broadly described an understanding of the boundary between governance and operations, with members noting that their role centers on monitoring the budget, establishing policy, and evaluating the superintendent rather than directing day-to-day district functions. </w:t>
      </w:r>
      <w:r w:rsidR="0040149D">
        <w:t>S</w:t>
      </w:r>
      <w:r w:rsidR="2669BDAC">
        <w:t xml:space="preserve">uperintendent </w:t>
      </w:r>
      <w:r w:rsidR="0040149D">
        <w:t xml:space="preserve">Tahiliani </w:t>
      </w:r>
      <w:r w:rsidR="2669BDAC">
        <w:t xml:space="preserve">corroborated this characterization, describing members as respectful of </w:t>
      </w:r>
      <w:r w:rsidR="00F548E6">
        <w:t xml:space="preserve">the superintendent’s </w:t>
      </w:r>
      <w:r w:rsidR="2669BDAC">
        <w:t>administrative role and open to candid conversations about the appropriate scope of committee involvement.</w:t>
      </w:r>
    </w:p>
    <w:p w14:paraId="5EA36F36" w14:textId="62C69491" w:rsidR="0046023A" w:rsidRPr="00B1622A" w:rsidRDefault="00414049" w:rsidP="00CA7178">
      <w:pPr>
        <w:pStyle w:val="BodyText"/>
        <w:rPr>
          <w:color w:val="000000" w:themeColor="text1"/>
        </w:rPr>
      </w:pPr>
      <w:r w:rsidRPr="0096231D">
        <w:t xml:space="preserve">The </w:t>
      </w:r>
      <w:r w:rsidR="00D32D24">
        <w:t xml:space="preserve">school </w:t>
      </w:r>
      <w:r w:rsidRPr="0096231D">
        <w:t>committee operates through an active subcommittee structure that distributes governance work and enables focused deliberation on specific areas of district priority. School committee focus group members identified active subcommittees covering negotiations, curriculum, social-emotional learning and wellness, accounts, policy, safety, facilities, arts</w:t>
      </w:r>
      <w:r w:rsidR="00EE1760">
        <w:t>,</w:t>
      </w:r>
      <w:r w:rsidRPr="0096231D">
        <w:t xml:space="preserve"> and athletics.</w:t>
      </w:r>
      <w:r w:rsidR="001F5B39">
        <w:t xml:space="preserve"> In addition,</w:t>
      </w:r>
      <w:r w:rsidRPr="0096231D">
        <w:t xml:space="preserve"> </w:t>
      </w:r>
      <w:r w:rsidR="00EE1760">
        <w:t>S</w:t>
      </w:r>
      <w:r w:rsidRPr="0096231D">
        <w:t>uperintendent</w:t>
      </w:r>
      <w:r w:rsidR="00EE1760">
        <w:t xml:space="preserve"> </w:t>
      </w:r>
      <w:r w:rsidR="00EE1760" w:rsidRPr="00B64EA9">
        <w:t>Tahiliani</w:t>
      </w:r>
      <w:r w:rsidRPr="0096231D">
        <w:t xml:space="preserve"> described working particularly closely with the negotiations, curriculum, </w:t>
      </w:r>
      <w:r w:rsidR="00F548E6">
        <w:t>social-emotional learning</w:t>
      </w:r>
      <w:r w:rsidRPr="0096231D">
        <w:t xml:space="preserve"> and wellness, and accounts subcommittees, and noted that the </w:t>
      </w:r>
      <w:r w:rsidR="009F6744">
        <w:t>social-emotional learning</w:t>
      </w:r>
      <w:r w:rsidR="009F6744" w:rsidRPr="0096231D">
        <w:t xml:space="preserve"> </w:t>
      </w:r>
      <w:r w:rsidRPr="0096231D">
        <w:t xml:space="preserve">and wellness subcommittee was reactivated in </w:t>
      </w:r>
      <w:r w:rsidR="00F548E6">
        <w:t xml:space="preserve">direct </w:t>
      </w:r>
      <w:r w:rsidRPr="0096231D">
        <w:t xml:space="preserve">response to concerns raised by students about bullying and school climate. </w:t>
      </w:r>
      <w:r w:rsidR="008F4933" w:rsidRPr="008F4933">
        <w:t xml:space="preserve">School committee members described the work of their subcommittees and offered examples from the curriculum and accounts subcommittees. For example, the curriculum subcommittee has reviewed instructional materials investments and graduation competency frameworks, while the accounts subcommittee provides </w:t>
      </w:r>
      <w:r w:rsidR="008F4933" w:rsidRPr="00B1622A">
        <w:rPr>
          <w:color w:val="000000" w:themeColor="text1"/>
        </w:rPr>
        <w:t>oversight of budget warrants and expenditure questions.</w:t>
      </w:r>
      <w:r w:rsidR="00D32D24" w:rsidRPr="00B1622A">
        <w:rPr>
          <w:color w:val="000000" w:themeColor="text1"/>
        </w:rPr>
        <w:t xml:space="preserve"> </w:t>
      </w:r>
      <w:r w:rsidRPr="00B1622A">
        <w:rPr>
          <w:color w:val="000000" w:themeColor="text1"/>
        </w:rPr>
        <w:t xml:space="preserve">The </w:t>
      </w:r>
      <w:r w:rsidR="002C0E6D" w:rsidRPr="00B1622A">
        <w:rPr>
          <w:color w:val="000000" w:themeColor="text1"/>
        </w:rPr>
        <w:t xml:space="preserve">school </w:t>
      </w:r>
      <w:r w:rsidRPr="00B1622A">
        <w:rPr>
          <w:color w:val="000000" w:themeColor="text1"/>
        </w:rPr>
        <w:t>committee’s use of subcommittees to distribute and focus governance work, alongside its clear statutory role delineation, is a strength of the district</w:t>
      </w:r>
      <w:r w:rsidR="0046023A" w:rsidRPr="00B1622A">
        <w:rPr>
          <w:color w:val="000000" w:themeColor="text1"/>
        </w:rPr>
        <w:t>.</w:t>
      </w:r>
    </w:p>
    <w:p w14:paraId="68737BBB" w14:textId="2207EC7F" w:rsidR="00305D2C" w:rsidRDefault="007B5E62" w:rsidP="00CA7178">
      <w:pPr>
        <w:pStyle w:val="BodyText"/>
      </w:pPr>
      <w:r w:rsidRPr="00305D2C">
        <w:t xml:space="preserve">While some aspects of the school committee operations are clear </w:t>
      </w:r>
      <w:r w:rsidR="00E3758E" w:rsidRPr="00305D2C">
        <w:t>strengths</w:t>
      </w:r>
      <w:r w:rsidRPr="00305D2C">
        <w:t>, school committee members also acknowledged there are area</w:t>
      </w:r>
      <w:r w:rsidR="00D32D24">
        <w:t>s</w:t>
      </w:r>
      <w:r w:rsidRPr="00305D2C">
        <w:t xml:space="preserve"> in which </w:t>
      </w:r>
      <w:r w:rsidR="00E3758E" w:rsidRPr="00305D2C">
        <w:t xml:space="preserve">they would like to improve their effectiveness. </w:t>
      </w:r>
      <w:r w:rsidR="00E3758E" w:rsidRPr="0096231D">
        <w:t xml:space="preserve">Multiple committee members </w:t>
      </w:r>
      <w:r w:rsidR="00EE24ED" w:rsidRPr="0096231D">
        <w:t>acknowledged the</w:t>
      </w:r>
      <w:r w:rsidR="003B5AB7">
        <w:t xml:space="preserve"> overall</w:t>
      </w:r>
      <w:r w:rsidR="00E3758E" w:rsidRPr="0096231D">
        <w:t xml:space="preserve"> committee still has work to do in improving internal cohesion, with some members noting significant variation in member engagement levels and persistent challenges in moving from disagreement to coordinated action</w:t>
      </w:r>
      <w:r w:rsidR="00D32D24">
        <w:t>.</w:t>
      </w:r>
    </w:p>
    <w:p w14:paraId="27AD4143" w14:textId="199FE419" w:rsidR="0046023A" w:rsidRDefault="00D32D24" w:rsidP="00CA7178">
      <w:pPr>
        <w:pStyle w:val="BodyText"/>
      </w:pPr>
      <w:r>
        <w:t xml:space="preserve">Multiple stakeholders described </w:t>
      </w:r>
      <w:r w:rsidR="003B5AB7">
        <w:t>S</w:t>
      </w:r>
      <w:r>
        <w:t>uperintendent</w:t>
      </w:r>
      <w:r w:rsidR="003B5AB7">
        <w:t xml:space="preserve"> Tahiliani’s</w:t>
      </w:r>
      <w:r>
        <w:t xml:space="preserve"> relationship with the school committee as collaborative and rooted in information-sharing, though they noted that building it required deliberate effort. </w:t>
      </w:r>
      <w:r w:rsidR="00414049">
        <w:t xml:space="preserve">School committee focus group participants described </w:t>
      </w:r>
      <w:r w:rsidR="003B5AB7">
        <w:t>S</w:t>
      </w:r>
      <w:r w:rsidR="00414049">
        <w:t>uperintendent</w:t>
      </w:r>
      <w:r w:rsidR="003B5AB7">
        <w:t xml:space="preserve"> Tahiliani</w:t>
      </w:r>
      <w:r w:rsidR="00414049">
        <w:t xml:space="preserve"> as proactively seeking committee input, willingly providing her professional perspective even when it differs from committee preferences, and following through on implementation of committee decisions. One committee member described the relationship as having moved toward a more collaborative space compared </w:t>
      </w:r>
      <w:r w:rsidR="001A2FAD">
        <w:t>with</w:t>
      </w:r>
      <w:r w:rsidR="00414049">
        <w:t xml:space="preserve"> prior administrations</w:t>
      </w:r>
      <w:r w:rsidR="001A2FAD">
        <w:t>. For example, some</w:t>
      </w:r>
      <w:r w:rsidR="00414049">
        <w:t xml:space="preserve"> committee members reported receiving inaccurate or incomplete budget information</w:t>
      </w:r>
      <w:r w:rsidR="001A2FAD">
        <w:t xml:space="preserve"> </w:t>
      </w:r>
      <w:r w:rsidR="0E3B6CFA">
        <w:t>from past superintendents</w:t>
      </w:r>
      <w:r w:rsidR="00414049">
        <w:t xml:space="preserve">. </w:t>
      </w:r>
      <w:r w:rsidR="001A2FAD">
        <w:t>S</w:t>
      </w:r>
      <w:r w:rsidR="00414049">
        <w:t xml:space="preserve">uperintendent </w:t>
      </w:r>
      <w:r w:rsidR="001A2FAD">
        <w:t xml:space="preserve">Tahiliani also </w:t>
      </w:r>
      <w:r w:rsidR="00414049">
        <w:t>described the relationship as productive, noting her ability to have frank conversations with members about role boundaries and her goal of demonstrating to the community that district and governance leadership are working collaboratively</w:t>
      </w:r>
      <w:r w:rsidR="0046023A">
        <w:t>.</w:t>
      </w:r>
    </w:p>
    <w:p w14:paraId="73492172" w14:textId="3B29278B" w:rsidR="00414049" w:rsidRPr="00B1622A" w:rsidRDefault="00414049" w:rsidP="00BA094E">
      <w:pPr>
        <w:pStyle w:val="BodyText"/>
        <w:rPr>
          <w:color w:val="000000" w:themeColor="text1"/>
        </w:rPr>
      </w:pPr>
      <w:r w:rsidRPr="0096231D">
        <w:lastRenderedPageBreak/>
        <w:t xml:space="preserve">When asked about existing mechanisms for reviewing and updating policies, committee members offered inconsistent accounts: one member described a rotating review of all policies through the policy subcommittee, while a second member stated directly that a systematic policy review had not occurred during their two-year tenure. </w:t>
      </w:r>
      <w:r w:rsidR="00F07CB2">
        <w:t xml:space="preserve">A </w:t>
      </w:r>
      <w:r w:rsidRPr="0096231D">
        <w:t xml:space="preserve">review </w:t>
      </w:r>
      <w:r w:rsidR="00D653EB">
        <w:t xml:space="preserve">of school </w:t>
      </w:r>
      <w:r w:rsidR="00A71B33">
        <w:t>committee d</w:t>
      </w:r>
      <w:r w:rsidR="00A71B33" w:rsidRPr="0096231D">
        <w:t>ocument</w:t>
      </w:r>
      <w:r w:rsidR="00A71B33">
        <w:t>s</w:t>
      </w:r>
      <w:r w:rsidR="00A71B33" w:rsidRPr="0096231D">
        <w:t xml:space="preserve"> </w:t>
      </w:r>
      <w:r w:rsidRPr="0096231D">
        <w:t xml:space="preserve">did not </w:t>
      </w:r>
      <w:r w:rsidR="00F07CB2">
        <w:t>find evidence of</w:t>
      </w:r>
      <w:r w:rsidR="00F07CB2" w:rsidRPr="0096231D">
        <w:t xml:space="preserve"> </w:t>
      </w:r>
      <w:r w:rsidRPr="0096231D">
        <w:t xml:space="preserve">a written policy review protocol specifying timelines, cycle frequency, or a documented process for determining when policies require revision. This gap suggests that the process by which policies are </w:t>
      </w:r>
      <w:r w:rsidRPr="00B1622A">
        <w:rPr>
          <w:color w:val="000000" w:themeColor="text1"/>
        </w:rPr>
        <w:t>reviewed, updated, and maintained on a regular cycle is not yet fully formalized or consistently enacted. Establishing a formal, documented policy review process is an area for growth for the district.</w:t>
      </w:r>
    </w:p>
    <w:p w14:paraId="37A9AAF0" w14:textId="21533B4F" w:rsidR="0046023A" w:rsidRDefault="007D23CE" w:rsidP="00BA094E">
      <w:pPr>
        <w:pStyle w:val="BodyText"/>
      </w:pPr>
      <w:r>
        <w:t>S</w:t>
      </w:r>
      <w:r w:rsidR="2669BDAC">
        <w:t>uperintendent Tahiliani was</w:t>
      </w:r>
      <w:r>
        <w:t xml:space="preserve"> first</w:t>
      </w:r>
      <w:r w:rsidR="2669BDAC">
        <w:t xml:space="preserve"> appointed interim superintendent in July 2024 and then named </w:t>
      </w:r>
      <w:r>
        <w:t xml:space="preserve">the full-time </w:t>
      </w:r>
      <w:r w:rsidR="2669BDAC">
        <w:t xml:space="preserve">superintendent in September 2024. According to </w:t>
      </w:r>
      <w:r w:rsidR="00E008AA">
        <w:t>S</w:t>
      </w:r>
      <w:r w:rsidR="2669BDAC">
        <w:t>uperintendent</w:t>
      </w:r>
      <w:r w:rsidR="00E008AA">
        <w:t xml:space="preserve"> Tahiliani</w:t>
      </w:r>
      <w:r w:rsidR="2669BDAC">
        <w:t xml:space="preserve">, the </w:t>
      </w:r>
      <w:r w:rsidR="009C6852">
        <w:t>D</w:t>
      </w:r>
      <w:r w:rsidR="2669BDAC">
        <w:t xml:space="preserve">istrict </w:t>
      </w:r>
      <w:r w:rsidR="009C6852">
        <w:t>L</w:t>
      </w:r>
      <w:r w:rsidR="2669BDAC">
        <w:t xml:space="preserve">eadership </w:t>
      </w:r>
      <w:r w:rsidR="009C6852">
        <w:t>T</w:t>
      </w:r>
      <w:r w:rsidR="2669BDAC">
        <w:t xml:space="preserve">eam </w:t>
      </w:r>
      <w:r w:rsidR="009C6852">
        <w:t xml:space="preserve">(DLT) </w:t>
      </w:r>
      <w:r w:rsidR="2669BDAC">
        <w:t xml:space="preserve">comprises the superintendent, deputy superintendent, and assistant superintendents for </w:t>
      </w:r>
      <w:r w:rsidR="55634351">
        <w:t>c</w:t>
      </w:r>
      <w:r w:rsidR="2669BDAC">
        <w:t xml:space="preserve">urriculum and </w:t>
      </w:r>
      <w:r w:rsidR="6D5E9CEA">
        <w:t>i</w:t>
      </w:r>
      <w:r w:rsidR="2669BDAC">
        <w:t xml:space="preserve">nstruction, </w:t>
      </w:r>
      <w:r w:rsidR="1D89100E">
        <w:t>h</w:t>
      </w:r>
      <w:r w:rsidR="2669BDAC">
        <w:t xml:space="preserve">uman </w:t>
      </w:r>
      <w:r w:rsidR="00717F58">
        <w:t>r</w:t>
      </w:r>
      <w:r w:rsidR="2669BDAC">
        <w:t xml:space="preserve">esources, </w:t>
      </w:r>
      <w:r w:rsidR="34E641D7">
        <w:t>f</w:t>
      </w:r>
      <w:r w:rsidR="2669BDAC">
        <w:t xml:space="preserve">inance and </w:t>
      </w:r>
      <w:r w:rsidR="3827488D">
        <w:t>o</w:t>
      </w:r>
      <w:r w:rsidR="2669BDAC">
        <w:t xml:space="preserve">perations, and </w:t>
      </w:r>
      <w:r w:rsidR="40243FF9">
        <w:t>s</w:t>
      </w:r>
      <w:r w:rsidR="2669BDAC">
        <w:t xml:space="preserve">tudent </w:t>
      </w:r>
      <w:r w:rsidR="38909BE9">
        <w:t>s</w:t>
      </w:r>
      <w:r w:rsidR="2669BDAC">
        <w:t xml:space="preserve">upport. </w:t>
      </w:r>
      <w:r w:rsidR="00E008AA">
        <w:t>S</w:t>
      </w:r>
      <w:r w:rsidR="2669BDAC">
        <w:t xml:space="preserve">uperintendent </w:t>
      </w:r>
      <w:r w:rsidR="00E008AA">
        <w:t xml:space="preserve">Tahiliani </w:t>
      </w:r>
      <w:r w:rsidR="2669BDAC">
        <w:t>reported that the team meets weekly and serves as the primary planning and coordination hub for systemwide priorities, including resource allocation, staffing, operations, and program implementation</w:t>
      </w:r>
      <w:r w:rsidR="0046023A">
        <w:t>.</w:t>
      </w:r>
    </w:p>
    <w:p w14:paraId="3D5DF3E8" w14:textId="3B5AD2AA" w:rsidR="190DD215" w:rsidRDefault="6ED05181" w:rsidP="00BA094E">
      <w:pPr>
        <w:pStyle w:val="BodyText"/>
        <w:rPr>
          <w:rFonts w:ascii="Franklin Gothic Book" w:hAnsi="Franklin Gothic Book"/>
        </w:rPr>
      </w:pPr>
      <w:r w:rsidRPr="3E338E4E">
        <w:t xml:space="preserve">The district’s leadership structure consists of multiple teams with distinct roles. </w:t>
      </w:r>
      <w:r w:rsidR="009C6852">
        <w:t xml:space="preserve">As noted, the </w:t>
      </w:r>
      <w:r w:rsidRPr="3E338E4E">
        <w:t>DLT</w:t>
      </w:r>
      <w:r w:rsidR="007F6226">
        <w:t xml:space="preserve"> is</w:t>
      </w:r>
      <w:r w:rsidRPr="3E338E4E">
        <w:t xml:space="preserve"> led by </w:t>
      </w:r>
      <w:r w:rsidR="007F6226">
        <w:t>S</w:t>
      </w:r>
      <w:r w:rsidRPr="3E338E4E">
        <w:t xml:space="preserve">uperintendent </w:t>
      </w:r>
      <w:r w:rsidR="007F6226" w:rsidRPr="00B64EA9">
        <w:t>Tahiliani</w:t>
      </w:r>
      <w:r w:rsidR="007F6226" w:rsidRPr="0096231D">
        <w:t xml:space="preserve"> </w:t>
      </w:r>
      <w:r w:rsidRPr="3E338E4E">
        <w:t xml:space="preserve">and </w:t>
      </w:r>
      <w:r w:rsidR="007F6226">
        <w:t xml:space="preserve">includes </w:t>
      </w:r>
      <w:r w:rsidRPr="3E338E4E">
        <w:t>central office leaders</w:t>
      </w:r>
      <w:r w:rsidR="007F6226">
        <w:t>. The DLT is</w:t>
      </w:r>
      <w:r w:rsidRPr="3E338E4E">
        <w:t xml:space="preserve"> responsible for setting district priorities, making strategic decisions, and overseeing implementation</w:t>
      </w:r>
      <w:r w:rsidR="007F6226">
        <w:t>. P</w:t>
      </w:r>
      <w:r w:rsidRPr="3E338E4E">
        <w:t>rincipals are not consistently included as members of this core decision-making body</w:t>
      </w:r>
      <w:r w:rsidR="008C197C">
        <w:t xml:space="preserve"> but do meet separately with district leadership as a group</w:t>
      </w:r>
      <w:r w:rsidRPr="3E338E4E">
        <w:t>. Beyond the DLT, districtwide leadership structures support communication and instructional alignment, including a District Instructional Leadership Team</w:t>
      </w:r>
      <w:r w:rsidR="007F6226">
        <w:t xml:space="preserve"> (DILT)</w:t>
      </w:r>
      <w:r w:rsidRPr="3E338E4E">
        <w:t xml:space="preserve"> and regular principal meetings organized by school level (e.g., elementary</w:t>
      </w:r>
      <w:r w:rsidRPr="190DD215">
        <w:t>,</w:t>
      </w:r>
      <w:r w:rsidR="00D32D24">
        <w:t xml:space="preserve"> </w:t>
      </w:r>
      <w:r w:rsidRPr="3E338E4E">
        <w:t>middle</w:t>
      </w:r>
      <w:r w:rsidR="11890248" w:rsidRPr="190DD215">
        <w:t>, and high school</w:t>
      </w:r>
      <w:r w:rsidRPr="3E338E4E">
        <w:t>)</w:t>
      </w:r>
      <w:r w:rsidR="001367E0">
        <w:t>,</w:t>
      </w:r>
      <w:r w:rsidRPr="3E338E4E">
        <w:t xml:space="preserve"> </w:t>
      </w:r>
      <w:r w:rsidR="009C3929">
        <w:t>at which</w:t>
      </w:r>
      <w:r w:rsidR="009C3929" w:rsidRPr="3E338E4E">
        <w:t xml:space="preserve"> </w:t>
      </w:r>
      <w:r w:rsidRPr="3E338E4E">
        <w:t>district initiatives are shared and discussed.</w:t>
      </w:r>
    </w:p>
    <w:p w14:paraId="2A5D7B45" w14:textId="35287856" w:rsidR="00414049" w:rsidRPr="0096231D" w:rsidRDefault="001367E0" w:rsidP="00BA094E">
      <w:pPr>
        <w:pStyle w:val="BodyText"/>
      </w:pPr>
      <w:r>
        <w:t>As noted</w:t>
      </w:r>
      <w:r w:rsidR="08FF82D3">
        <w:t xml:space="preserve"> earlier</w:t>
      </w:r>
      <w:r w:rsidR="00441C9D">
        <w:t>,</w:t>
      </w:r>
      <w:r>
        <w:t xml:space="preserve"> t</w:t>
      </w:r>
      <w:r w:rsidR="2669BDAC">
        <w:t xml:space="preserve">he </w:t>
      </w:r>
      <w:r w:rsidR="007034EB">
        <w:t>DLT</w:t>
      </w:r>
      <w:r w:rsidR="2669BDAC">
        <w:t xml:space="preserve"> meets weekly and functions as the primary planning and coordination hub for systemwide priorities. </w:t>
      </w:r>
      <w:r w:rsidR="007034EB">
        <w:t>S</w:t>
      </w:r>
      <w:r w:rsidR="2669BDAC">
        <w:t xml:space="preserve">uperintendent </w:t>
      </w:r>
      <w:r w:rsidR="007034EB">
        <w:t xml:space="preserve">Tahiliani </w:t>
      </w:r>
      <w:r w:rsidR="2669BDAC">
        <w:t>described the team</w:t>
      </w:r>
      <w:r w:rsidR="00332AD7">
        <w:t>’s responsibilities</w:t>
      </w:r>
      <w:r w:rsidR="2669BDAC">
        <w:t xml:space="preserve"> as planning principal meetings, Proficiency Commitment Leadership Teams (PCLT</w:t>
      </w:r>
      <w:r w:rsidR="00332AD7">
        <w:t>s</w:t>
      </w:r>
      <w:r w:rsidR="2669BDAC">
        <w:t xml:space="preserve">), walkthrough schedules, and professional learning, with implementation then flowing outward through other structures rather than </w:t>
      </w:r>
      <w:r w:rsidR="00332AD7">
        <w:t>through</w:t>
      </w:r>
      <w:r w:rsidR="2669BDAC">
        <w:t xml:space="preserve"> the leadership team itself.</w:t>
      </w:r>
      <w:r w:rsidR="00A3D766">
        <w:t xml:space="preserve"> </w:t>
      </w:r>
      <w:r w:rsidR="00A3D766" w:rsidRPr="2D019F4B">
        <w:rPr>
          <w:rFonts w:eastAsiaTheme="minorEastAsia"/>
        </w:rPr>
        <w:t xml:space="preserve">According to </w:t>
      </w:r>
      <w:r w:rsidR="007034EB" w:rsidRPr="2D019F4B">
        <w:rPr>
          <w:rFonts w:eastAsiaTheme="minorEastAsia"/>
        </w:rPr>
        <w:t>S</w:t>
      </w:r>
      <w:r w:rsidR="00A3D766" w:rsidRPr="2D019F4B">
        <w:rPr>
          <w:rFonts w:eastAsiaTheme="minorEastAsia"/>
        </w:rPr>
        <w:t>uperintendent</w:t>
      </w:r>
      <w:r w:rsidR="007034EB" w:rsidRPr="2D019F4B">
        <w:rPr>
          <w:rFonts w:eastAsiaTheme="minorEastAsia"/>
        </w:rPr>
        <w:t xml:space="preserve"> </w:t>
      </w:r>
      <w:r w:rsidR="007034EB">
        <w:t>Tahiliani</w:t>
      </w:r>
      <w:r w:rsidR="00A3D766" w:rsidRPr="2D019F4B">
        <w:rPr>
          <w:rFonts w:eastAsiaTheme="minorEastAsia"/>
        </w:rPr>
        <w:t xml:space="preserve">, PCLTs function as the </w:t>
      </w:r>
      <w:r w:rsidR="00562EE7" w:rsidRPr="2D019F4B">
        <w:rPr>
          <w:rFonts w:eastAsiaTheme="minorEastAsia"/>
        </w:rPr>
        <w:t xml:space="preserve">district’s </w:t>
      </w:r>
      <w:r w:rsidR="00A3D766" w:rsidRPr="2D019F4B">
        <w:rPr>
          <w:rFonts w:eastAsiaTheme="minorEastAsia"/>
        </w:rPr>
        <w:t>primary school-based instructional leadership structure</w:t>
      </w:r>
      <w:r w:rsidR="00425CC3" w:rsidRPr="2D019F4B">
        <w:rPr>
          <w:rFonts w:eastAsiaTheme="minorEastAsia"/>
        </w:rPr>
        <w:t>; PCLTs replaced the prior Instructional Leadership Team model</w:t>
      </w:r>
      <w:r w:rsidR="00A3D766" w:rsidRPr="2D019F4B">
        <w:rPr>
          <w:rFonts w:eastAsiaTheme="minorEastAsia"/>
        </w:rPr>
        <w:t xml:space="preserve">. At each school, </w:t>
      </w:r>
      <w:r w:rsidR="00425CC3" w:rsidRPr="2D019F4B">
        <w:rPr>
          <w:rFonts w:eastAsiaTheme="minorEastAsia"/>
        </w:rPr>
        <w:t xml:space="preserve">the </w:t>
      </w:r>
      <w:r w:rsidR="00A3D766" w:rsidRPr="2D019F4B">
        <w:rPr>
          <w:rFonts w:eastAsiaTheme="minorEastAsia"/>
        </w:rPr>
        <w:t xml:space="preserve">PCLT </w:t>
      </w:r>
      <w:r w:rsidR="00425CC3" w:rsidRPr="2D019F4B">
        <w:rPr>
          <w:rFonts w:eastAsiaTheme="minorEastAsia"/>
        </w:rPr>
        <w:t>is</w:t>
      </w:r>
      <w:r w:rsidR="00A3D766" w:rsidRPr="2D019F4B">
        <w:rPr>
          <w:rFonts w:eastAsiaTheme="minorEastAsia"/>
        </w:rPr>
        <w:t xml:space="preserve"> led by the principal</w:t>
      </w:r>
      <w:r w:rsidR="00425CC3" w:rsidRPr="2D019F4B">
        <w:rPr>
          <w:rFonts w:eastAsiaTheme="minorEastAsia"/>
        </w:rPr>
        <w:t>,</w:t>
      </w:r>
      <w:r w:rsidR="00A3D766" w:rsidRPr="2D019F4B">
        <w:rPr>
          <w:rFonts w:eastAsiaTheme="minorEastAsia"/>
        </w:rPr>
        <w:t xml:space="preserve"> and </w:t>
      </w:r>
      <w:r w:rsidR="00425CC3" w:rsidRPr="2D019F4B">
        <w:rPr>
          <w:rFonts w:eastAsiaTheme="minorEastAsia"/>
        </w:rPr>
        <w:t xml:space="preserve">it </w:t>
      </w:r>
      <w:r w:rsidR="00A3D766" w:rsidRPr="2D019F4B">
        <w:rPr>
          <w:rFonts w:eastAsiaTheme="minorEastAsia"/>
        </w:rPr>
        <w:t>include</w:t>
      </w:r>
      <w:r w:rsidR="00425CC3" w:rsidRPr="2D019F4B">
        <w:rPr>
          <w:rFonts w:eastAsiaTheme="minorEastAsia"/>
        </w:rPr>
        <w:t>s</w:t>
      </w:r>
      <w:r w:rsidR="00A3D766" w:rsidRPr="2D019F4B">
        <w:rPr>
          <w:rFonts w:eastAsiaTheme="minorEastAsia"/>
        </w:rPr>
        <w:t xml:space="preserve"> a group of teacher leaders and administrators. </w:t>
      </w:r>
      <w:r w:rsidR="00A3D766" w:rsidRPr="2D019F4B">
        <w:rPr>
          <w:rFonts w:ascii="Segoe UI" w:eastAsia="Segoe UI" w:hAnsi="Segoe UI" w:cs="Segoe UI"/>
          <w:sz w:val="21"/>
          <w:szCs w:val="21"/>
        </w:rPr>
        <w:t>I</w:t>
      </w:r>
      <w:r w:rsidR="00A3D766" w:rsidRPr="2D019F4B">
        <w:rPr>
          <w:rFonts w:eastAsiaTheme="minorEastAsia"/>
        </w:rPr>
        <w:t>n practice, PCLTs help translate district priorities into actionable strategies within schools.</w:t>
      </w:r>
      <w:r w:rsidR="23BDAB07" w:rsidRPr="2D019F4B">
        <w:rPr>
          <w:rFonts w:eastAsiaTheme="minorEastAsia"/>
        </w:rPr>
        <w:t xml:space="preserve"> </w:t>
      </w:r>
      <w:r w:rsidR="2669BDAC">
        <w:t xml:space="preserve">Elementary principals corroborated this framing, noting that </w:t>
      </w:r>
      <w:r w:rsidR="00BA0A3A" w:rsidRPr="2D019F4B">
        <w:rPr>
          <w:rFonts w:eastAsiaTheme="minorEastAsia"/>
        </w:rPr>
        <w:t>PCLTs</w:t>
      </w:r>
      <w:r w:rsidR="00BA0A3A">
        <w:t xml:space="preserve"> </w:t>
      </w:r>
      <w:r w:rsidR="2669BDAC">
        <w:t>actively work toward calibration of instruction both vertically across grade levels and horizontally across schools. A review of running agendas from elementary principal meetings, middle school principal meetings, and the PK</w:t>
      </w:r>
      <w:r w:rsidR="00BA0A3A">
        <w:t>-</w:t>
      </w:r>
      <w:r w:rsidR="2669BDAC">
        <w:t xml:space="preserve">8 </w:t>
      </w:r>
      <w:r w:rsidR="00BA0A3A">
        <w:t>DILT</w:t>
      </w:r>
      <w:r w:rsidR="2669BDAC">
        <w:t xml:space="preserve"> confirmed recurring, structured attention to shared priorities</w:t>
      </w:r>
      <w:r w:rsidR="00BA0A3A">
        <w:t>,</w:t>
      </w:r>
      <w:r w:rsidR="2669BDAC">
        <w:t xml:space="preserve"> including data routines, learning walk</w:t>
      </w:r>
      <w:r w:rsidR="00BA0A3A">
        <w:t>through</w:t>
      </w:r>
      <w:r w:rsidR="2669BDAC">
        <w:t xml:space="preserve"> tools and processes, and educator evaluation focus indicators</w:t>
      </w:r>
      <w:r w:rsidR="00BA0A3A">
        <w:t>. Th</w:t>
      </w:r>
      <w:r w:rsidR="2669BDAC">
        <w:t xml:space="preserve">e planning that occurs within the </w:t>
      </w:r>
      <w:r w:rsidR="00BA0A3A">
        <w:t>DLT</w:t>
      </w:r>
      <w:r w:rsidR="2669BDAC">
        <w:t xml:space="preserve"> translates into consistent messaging and structured agendas at the principal level.</w:t>
      </w:r>
    </w:p>
    <w:p w14:paraId="5F4ED56A" w14:textId="2934E0C6" w:rsidR="00414049" w:rsidRPr="00B1622A" w:rsidRDefault="00D32D24" w:rsidP="00BA094E">
      <w:pPr>
        <w:pStyle w:val="BodyText"/>
        <w:rPr>
          <w:color w:val="000000" w:themeColor="text1"/>
        </w:rPr>
      </w:pPr>
      <w:r>
        <w:t>S</w:t>
      </w:r>
      <w:r w:rsidR="00414049" w:rsidRPr="0096231D">
        <w:t xml:space="preserve">chool principals described the </w:t>
      </w:r>
      <w:r w:rsidR="001C163F">
        <w:t>DLT’s</w:t>
      </w:r>
      <w:r w:rsidR="00414049" w:rsidRPr="0096231D">
        <w:t xml:space="preserve"> role in supporting two-way communication between central office and schools as one of its most important functions. In the middle school principal focus group, </w:t>
      </w:r>
      <w:r w:rsidR="00414049" w:rsidRPr="0096231D">
        <w:lastRenderedPageBreak/>
        <w:t xml:space="preserve">principals characterized themselves as serving as a relay between the district and their buildings, carrying consistent messages back to each school from monthly principal meetings while also </w:t>
      </w:r>
      <w:r w:rsidR="004321A6">
        <w:t>transmitting</w:t>
      </w:r>
      <w:r w:rsidR="00A31193" w:rsidRPr="0096231D">
        <w:t xml:space="preserve"> </w:t>
      </w:r>
      <w:r w:rsidR="00414049" w:rsidRPr="0096231D">
        <w:t xml:space="preserve">concerns, questions, and feedback from schools to district leadership. </w:t>
      </w:r>
      <w:r w:rsidR="00A31193">
        <w:t>S</w:t>
      </w:r>
      <w:r w:rsidR="00414049" w:rsidRPr="0096231D">
        <w:t xml:space="preserve">uperintendent </w:t>
      </w:r>
      <w:r w:rsidR="00A31193" w:rsidRPr="00B1622A">
        <w:rPr>
          <w:color w:val="000000" w:themeColor="text1"/>
        </w:rPr>
        <w:t xml:space="preserve">Tahiliani </w:t>
      </w:r>
      <w:r w:rsidR="00414049" w:rsidRPr="00B1622A">
        <w:rPr>
          <w:color w:val="000000" w:themeColor="text1"/>
        </w:rPr>
        <w:t xml:space="preserve">described supporting this two-way flow by providing principals with shared data folders and prepared presentations, allowing them to present consistent information to their staffs. The district’s structured approach to connecting the </w:t>
      </w:r>
      <w:r w:rsidR="00A31193" w:rsidRPr="00B1622A">
        <w:rPr>
          <w:color w:val="000000" w:themeColor="text1"/>
        </w:rPr>
        <w:t>DLT</w:t>
      </w:r>
      <w:r w:rsidR="00414049" w:rsidRPr="00B1622A">
        <w:rPr>
          <w:color w:val="000000" w:themeColor="text1"/>
        </w:rPr>
        <w:t xml:space="preserve"> to building-level leadership through organized, recurring convenings with consistent agendas, shared materials, and two-way communication is a strength of the district.</w:t>
      </w:r>
    </w:p>
    <w:p w14:paraId="2DA6B957" w14:textId="462B2DCD" w:rsidR="00414049" w:rsidRPr="0096231D" w:rsidRDefault="34D6D670">
      <w:pPr>
        <w:pStyle w:val="BodyText"/>
      </w:pPr>
      <w:r>
        <w:t xml:space="preserve">District leaders reported that the </w:t>
      </w:r>
      <w:r w:rsidR="00414049">
        <w:t>PCLTs</w:t>
      </w:r>
      <w:r w:rsidR="00065E43">
        <w:t xml:space="preserve"> </w:t>
      </w:r>
      <w:r w:rsidR="00414049">
        <w:t xml:space="preserve">replaced the prior Instructional Leadership Team designation </w:t>
      </w:r>
      <w:r w:rsidR="00065E43">
        <w:t>from</w:t>
      </w:r>
      <w:r w:rsidR="00414049">
        <w:t xml:space="preserve"> the previous superintendent. Elementary principal focus group participants confirmed that PCLTs are present across all elementary schools, with membership typically including the principal, associate principal or targeted assistant instructional leader, and teacher representatives. In the elementary principal focus group, principals described PCLTs as the primary structure for monitoring school improvement plan </w:t>
      </w:r>
      <w:r w:rsidR="00DC1C5A">
        <w:t xml:space="preserve">(SIP) </w:t>
      </w:r>
      <w:r w:rsidR="00414049">
        <w:t xml:space="preserve">progress, reviewing data, vetting building-level decisions, and </w:t>
      </w:r>
      <w:r w:rsidR="003E31B6">
        <w:t xml:space="preserve">listening to </w:t>
      </w:r>
      <w:r w:rsidR="00414049">
        <w:t>teacher</w:t>
      </w:r>
      <w:r w:rsidR="003E31B6">
        <w:t>s</w:t>
      </w:r>
      <w:r w:rsidR="00414049">
        <w:t xml:space="preserve"> before initiatives are rolled out to the broader staff. One elementary principal described the PCLT as a sounding board to tease out ideas regarding the </w:t>
      </w:r>
      <w:r w:rsidR="00DC1C5A">
        <w:t>SIP</w:t>
      </w:r>
      <w:r w:rsidR="00414049">
        <w:t xml:space="preserve">, school climate, and student voice before they are shared with all staff. At the middle school level, principals described PCLTs </w:t>
      </w:r>
      <w:r w:rsidR="003E31B6">
        <w:t xml:space="preserve">as having </w:t>
      </w:r>
      <w:r w:rsidR="00414049">
        <w:t>approximately eight members</w:t>
      </w:r>
      <w:r w:rsidR="003E31B6">
        <w:t xml:space="preserve"> and</w:t>
      </w:r>
      <w:r w:rsidR="00414049">
        <w:t xml:space="preserve"> meeting twice per month</w:t>
      </w:r>
      <w:r w:rsidR="003E31B6">
        <w:t>. T</w:t>
      </w:r>
      <w:r w:rsidR="00414049">
        <w:t xml:space="preserve">eacher representatives </w:t>
      </w:r>
      <w:r w:rsidR="003E31B6">
        <w:t xml:space="preserve">are </w:t>
      </w:r>
      <w:r w:rsidR="00414049">
        <w:t xml:space="preserve">drawn from across subject areas to ensure broad input. At the high school, the principal described a weekly PCLT meeting involving associate principals and content coordinators spanning all major subject areas, including English </w:t>
      </w:r>
      <w:r w:rsidR="003E31B6">
        <w:t>L</w:t>
      </w:r>
      <w:r w:rsidR="00414049">
        <w:t>earner and special education staff.</w:t>
      </w:r>
    </w:p>
    <w:p w14:paraId="4AB9FDEF" w14:textId="6DC8A831" w:rsidR="0046023A" w:rsidRDefault="00414049" w:rsidP="00BA094E">
      <w:pPr>
        <w:pStyle w:val="BodyText"/>
      </w:pPr>
      <w:r>
        <w:t xml:space="preserve">Across school levels, principals and teachers described PCLTs as intentionally structured to distribute leadership and </w:t>
      </w:r>
      <w:r w:rsidR="00A625C7">
        <w:t>share</w:t>
      </w:r>
      <w:r>
        <w:t xml:space="preserve"> decision</w:t>
      </w:r>
      <w:r w:rsidR="008D519A">
        <w:t xml:space="preserve"> </w:t>
      </w:r>
      <w:r>
        <w:t xml:space="preserve">making </w:t>
      </w:r>
      <w:r w:rsidR="00A625C7">
        <w:t>with</w:t>
      </w:r>
      <w:r>
        <w:t xml:space="preserve"> administrators. Middle school principals in the focus group characterized the structure as </w:t>
      </w:r>
      <w:r w:rsidR="1FD5FA03">
        <w:t>elevating</w:t>
      </w:r>
      <w:r>
        <w:t xml:space="preserve"> teacher</w:t>
      </w:r>
      <w:r w:rsidR="00F44688">
        <w:t>s’</w:t>
      </w:r>
      <w:r>
        <w:t xml:space="preserve"> voice</w:t>
      </w:r>
      <w:r w:rsidR="00F44688">
        <w:t>s</w:t>
      </w:r>
      <w:r>
        <w:t xml:space="preserve"> and described the teams as productive in getting staff perspectives that then inform building direction. </w:t>
      </w:r>
      <w:r w:rsidR="00F44688">
        <w:t>S</w:t>
      </w:r>
      <w:r>
        <w:t xml:space="preserve">uperintendent </w:t>
      </w:r>
      <w:r w:rsidR="00F44688">
        <w:t xml:space="preserve">Tahiliani </w:t>
      </w:r>
      <w:r>
        <w:t>and district leaders described PCLT work as explicitly connected to district priorities, with the one clear district directive being that each school</w:t>
      </w:r>
      <w:r w:rsidR="004321A6">
        <w:t>’</w:t>
      </w:r>
      <w:r>
        <w:t xml:space="preserve">s PCLT should work on goals that are aligned with the </w:t>
      </w:r>
      <w:r w:rsidR="004321A6">
        <w:t xml:space="preserve">specific </w:t>
      </w:r>
      <w:r w:rsidR="00DC1C5A">
        <w:t>SIP</w:t>
      </w:r>
      <w:r>
        <w:t>. A review of</w:t>
      </w:r>
      <w:r w:rsidR="00DC1C5A">
        <w:t xml:space="preserve"> SIPs</w:t>
      </w:r>
      <w:r>
        <w:t xml:space="preserve"> and principal meeting agendas confirmed that PCLT work, including data review, walkthrough feedback, and strategy monitoring, is regularly embedded in building-level leadership routines</w:t>
      </w:r>
      <w:r w:rsidR="0046023A">
        <w:t>.</w:t>
      </w:r>
    </w:p>
    <w:p w14:paraId="55B37743" w14:textId="00DCAFF6" w:rsidR="0046023A" w:rsidRDefault="000607E3" w:rsidP="00BA094E">
      <w:pPr>
        <w:pStyle w:val="BodyText"/>
      </w:pPr>
      <w:r>
        <w:t>S</w:t>
      </w:r>
      <w:r w:rsidR="00A848AC">
        <w:t>uperintende</w:t>
      </w:r>
      <w:r>
        <w:t xml:space="preserve">nt </w:t>
      </w:r>
      <w:r w:rsidRPr="00B64EA9">
        <w:t>Tahiliani</w:t>
      </w:r>
      <w:r w:rsidR="00A848AC">
        <w:t xml:space="preserve"> also reported </w:t>
      </w:r>
      <w:r>
        <w:t xml:space="preserve">using </w:t>
      </w:r>
      <w:r w:rsidR="00A848AC">
        <w:t xml:space="preserve">various parent advisory councils </w:t>
      </w:r>
      <w:r>
        <w:t xml:space="preserve">(PACs) </w:t>
      </w:r>
      <w:r w:rsidR="00A848AC">
        <w:t>to engage families and stakeholders within the district. M</w:t>
      </w:r>
      <w:r w:rsidR="00414049" w:rsidRPr="0096231D">
        <w:t xml:space="preserve">ultiple </w:t>
      </w:r>
      <w:r w:rsidR="00DA1EC7">
        <w:t xml:space="preserve">parent </w:t>
      </w:r>
      <w:r w:rsidR="00414049" w:rsidRPr="0096231D">
        <w:t>advisory structures includ</w:t>
      </w:r>
      <w:r w:rsidR="00E85200">
        <w:t>e</w:t>
      </w:r>
      <w:r w:rsidR="00414049" w:rsidRPr="0096231D">
        <w:t xml:space="preserve"> </w:t>
      </w:r>
      <w:r w:rsidR="008C64FE" w:rsidRPr="0096231D">
        <w:t>a District Improvement Parent Advisory Council (DiPAC)</w:t>
      </w:r>
      <w:r w:rsidR="00414049" w:rsidRPr="0096231D">
        <w:t xml:space="preserve">, Parent Teacher Organization (PTO), a Special Education Parent Advisory Council (SEPAC), </w:t>
      </w:r>
      <w:r w:rsidR="004321A6">
        <w:t xml:space="preserve">and </w:t>
      </w:r>
      <w:r w:rsidR="00414049" w:rsidRPr="0096231D">
        <w:t>an English Learner Parent Advisory Council (ELPAC)</w:t>
      </w:r>
      <w:r w:rsidR="00E85200">
        <w:t>.</w:t>
      </w:r>
      <w:r w:rsidR="00A848AC">
        <w:t xml:space="preserve"> </w:t>
      </w:r>
      <w:r w:rsidR="00E85200">
        <w:t>E</w:t>
      </w:r>
      <w:r w:rsidR="00A848AC">
        <w:t xml:space="preserve">ach building has a </w:t>
      </w:r>
      <w:r w:rsidR="00E85200">
        <w:t>s</w:t>
      </w:r>
      <w:r w:rsidR="00A848AC" w:rsidRPr="0096231D">
        <w:t xml:space="preserve">chool </w:t>
      </w:r>
      <w:r w:rsidR="00E85200">
        <w:t>c</w:t>
      </w:r>
      <w:r w:rsidR="00A848AC" w:rsidRPr="0096231D">
        <w:t>ouncil</w:t>
      </w:r>
      <w:r w:rsidR="00A848AC">
        <w:t xml:space="preserve"> </w:t>
      </w:r>
      <w:r w:rsidR="00E85200">
        <w:t xml:space="preserve">that </w:t>
      </w:r>
      <w:r w:rsidR="00A848AC">
        <w:t>provide</w:t>
      </w:r>
      <w:r w:rsidR="00E85200">
        <w:t>s</w:t>
      </w:r>
      <w:r w:rsidR="00A848AC">
        <w:t xml:space="preserve"> parents and family members opportunit</w:t>
      </w:r>
      <w:r w:rsidR="00E85200">
        <w:t>ies</w:t>
      </w:r>
      <w:r w:rsidR="00A848AC">
        <w:t xml:space="preserve"> to </w:t>
      </w:r>
      <w:r w:rsidR="00E85200">
        <w:t xml:space="preserve">share </w:t>
      </w:r>
      <w:r w:rsidR="00A848AC">
        <w:t xml:space="preserve">input </w:t>
      </w:r>
      <w:r w:rsidR="00E85200">
        <w:t>with</w:t>
      </w:r>
      <w:r w:rsidR="00A848AC">
        <w:t xml:space="preserve"> the district.</w:t>
      </w:r>
      <w:r w:rsidR="00414049" w:rsidRPr="0096231D">
        <w:t xml:space="preserve"> </w:t>
      </w:r>
      <w:r w:rsidR="00D80363" w:rsidRPr="0096231D">
        <w:t>Document review</w:t>
      </w:r>
      <w:r w:rsidR="00E85200">
        <w:t>s</w:t>
      </w:r>
      <w:r w:rsidR="00D80363" w:rsidRPr="0096231D">
        <w:t xml:space="preserve"> confirmed that a </w:t>
      </w:r>
      <w:r w:rsidR="00E85200">
        <w:t>PAC</w:t>
      </w:r>
      <w:r w:rsidR="00D80363" w:rsidRPr="0096231D">
        <w:t xml:space="preserve"> website exists and includes information about available advisory structures for families.</w:t>
      </w:r>
      <w:r w:rsidR="00565495">
        <w:t xml:space="preserve"> </w:t>
      </w:r>
      <w:r w:rsidR="00565495" w:rsidRPr="0096231D">
        <w:t xml:space="preserve">One family focus group participant who serves on the DiPAC confirmed that </w:t>
      </w:r>
      <w:r w:rsidR="000E09FF">
        <w:t>it</w:t>
      </w:r>
      <w:r w:rsidR="00565495" w:rsidRPr="0096231D">
        <w:t xml:space="preserve"> meets monthly and it has begun working to expand parent engagement across the district</w:t>
      </w:r>
      <w:r w:rsidR="0084520B">
        <w:t xml:space="preserve">. </w:t>
      </w:r>
      <w:r w:rsidR="000E09FF">
        <w:t>S</w:t>
      </w:r>
      <w:r w:rsidR="00414049" w:rsidRPr="0096231D">
        <w:t xml:space="preserve">uperintendent </w:t>
      </w:r>
      <w:r w:rsidR="000E09FF" w:rsidRPr="00B64EA9">
        <w:t>Tahiliani</w:t>
      </w:r>
      <w:r w:rsidR="000E09FF" w:rsidRPr="0096231D">
        <w:t xml:space="preserve"> </w:t>
      </w:r>
      <w:r w:rsidR="00414049" w:rsidRPr="0096231D">
        <w:t>described the</w:t>
      </w:r>
      <w:r w:rsidR="005912C8">
        <w:t xml:space="preserve"> </w:t>
      </w:r>
      <w:r w:rsidR="00A848AC">
        <w:t>advisory</w:t>
      </w:r>
      <w:r w:rsidR="00414049" w:rsidRPr="0096231D">
        <w:t xml:space="preserve"> structures as functioning communication channels through which principals share school progress</w:t>
      </w:r>
      <w:r w:rsidR="000E09FF">
        <w:t xml:space="preserve"> (</w:t>
      </w:r>
      <w:r w:rsidR="00414049" w:rsidRPr="0096231D">
        <w:t>along</w:t>
      </w:r>
      <w:r w:rsidR="000E09FF">
        <w:t xml:space="preserve"> with</w:t>
      </w:r>
      <w:r w:rsidR="00414049" w:rsidRPr="0096231D">
        <w:t xml:space="preserve"> newsletters and school websites</w:t>
      </w:r>
      <w:r w:rsidR="000E09FF">
        <w:t xml:space="preserve">) </w:t>
      </w:r>
      <w:r w:rsidR="000E09FF" w:rsidRPr="0096231D">
        <w:t>and families can offer input</w:t>
      </w:r>
      <w:r w:rsidR="000E09FF">
        <w:t>.</w:t>
      </w:r>
    </w:p>
    <w:p w14:paraId="77EEA07A" w14:textId="437704AF" w:rsidR="00414049" w:rsidRPr="0096231D" w:rsidRDefault="2669BDAC" w:rsidP="00BA094E">
      <w:pPr>
        <w:pStyle w:val="BodyText"/>
      </w:pPr>
      <w:r w:rsidRPr="190DD215">
        <w:lastRenderedPageBreak/>
        <w:t>However, family focus groups conducted across five language communities—English, Cape Verdean Creole, Haitian Creole, Portuguese, and Spanish—revealed a consistent and significant gap between the existence of these advisory structures and families’ awareness of and access to them. Across focus groups, family members described limited or no knowledge of advisory opportunities beyond what they had personally encountered, and multiple participants noted that involvement requires families to actively seek out opportunities rather than being proactively recruited. A Cape Verdean focus group participant</w:t>
      </w:r>
      <w:r w:rsidR="00FA7EEE">
        <w:t>,</w:t>
      </w:r>
      <w:r w:rsidRPr="190DD215">
        <w:t xml:space="preserve"> who had had children in the district for many years</w:t>
      </w:r>
      <w:r w:rsidR="00FA7EEE">
        <w:t>,</w:t>
      </w:r>
      <w:r w:rsidRPr="190DD215">
        <w:t xml:space="preserve"> noted that the only advisory-type opportunity she had ever encountered was the school council</w:t>
      </w:r>
      <w:r w:rsidR="00FA7EEE">
        <w:t>.</w:t>
      </w:r>
      <w:r w:rsidRPr="190DD215">
        <w:t xml:space="preserve"> </w:t>
      </w:r>
      <w:r w:rsidR="00FA7EEE">
        <w:t>She said she had</w:t>
      </w:r>
      <w:r w:rsidR="00FA7EEE" w:rsidRPr="190DD215">
        <w:t xml:space="preserve"> </w:t>
      </w:r>
      <w:r w:rsidRPr="190DD215">
        <w:t>never experience</w:t>
      </w:r>
      <w:r w:rsidR="00C92CFC">
        <w:t>d</w:t>
      </w:r>
      <w:r w:rsidRPr="190DD215">
        <w:t xml:space="preserve"> providing input in a formal forum setting. These reports are consistent across multiple language communities and multiple schools, indicating a systemic rather than isolated gap in how advisory structures are communicated and promoted to families.</w:t>
      </w:r>
    </w:p>
    <w:p w14:paraId="20B429D4" w14:textId="1916BCB2" w:rsidR="00E65B4B" w:rsidRPr="00B1622A" w:rsidRDefault="00414049" w:rsidP="00BA094E">
      <w:pPr>
        <w:pStyle w:val="BodyText"/>
        <w:rPr>
          <w:color w:val="000000" w:themeColor="text1"/>
        </w:rPr>
      </w:pPr>
      <w:r>
        <w:t>Multiple family focus group participants across language communities</w:t>
      </w:r>
      <w:r w:rsidR="00102C13">
        <w:t xml:space="preserve"> also</w:t>
      </w:r>
      <w:r>
        <w:t xml:space="preserve"> identified structural gaps in district family engagement infrastructure that compound the advisory accessibility problem. An English</w:t>
      </w:r>
      <w:r w:rsidR="00C16E14">
        <w:t xml:space="preserve"> </w:t>
      </w:r>
      <w:r>
        <w:t xml:space="preserve">language focus group participant noted that the district’s parent engagement specialist role no longer exists and advocated for a dedicated district-level parent engagement office. </w:t>
      </w:r>
      <w:r w:rsidR="00154956">
        <w:t>One</w:t>
      </w:r>
      <w:r>
        <w:t xml:space="preserve"> focus group participant described a loss of trust in family engagement since the COVID-19 </w:t>
      </w:r>
      <w:r w:rsidR="00212029">
        <w:t>pandemic and</w:t>
      </w:r>
      <w:r>
        <w:t xml:space="preserve"> expressed that parents want to be involved but</w:t>
      </w:r>
      <w:r w:rsidR="00D72F3F">
        <w:t xml:space="preserve"> do not</w:t>
      </w:r>
      <w:r>
        <w:t xml:space="preserve"> feel they are given genuine opportunities</w:t>
      </w:r>
      <w:r w:rsidR="00D72F3F">
        <w:t xml:space="preserve"> to do so</w:t>
      </w:r>
      <w:r>
        <w:t xml:space="preserve">. The district does employ </w:t>
      </w:r>
      <w:r w:rsidR="007339B2">
        <w:t xml:space="preserve">multi-lingual </w:t>
      </w:r>
      <w:r>
        <w:t xml:space="preserve">family liaisons and has established a </w:t>
      </w:r>
      <w:r w:rsidR="007339B2">
        <w:t xml:space="preserve">multi-lingual </w:t>
      </w:r>
      <w:r>
        <w:t xml:space="preserve">family communication directory, which are meaningful supports, but evidence across multiple focus groups indicates that these resources have not yet fully closed the gap in advisory </w:t>
      </w:r>
      <w:r w:rsidRPr="00B1622A">
        <w:rPr>
          <w:color w:val="000000" w:themeColor="text1"/>
        </w:rPr>
        <w:t>accessibility and meaningful participation for historically underserved families. Ensuring opportunities for all families within the Brockton</w:t>
      </w:r>
      <w:r w:rsidR="00F70982" w:rsidRPr="00B1622A">
        <w:rPr>
          <w:color w:val="000000" w:themeColor="text1"/>
        </w:rPr>
        <w:t xml:space="preserve"> Public</w:t>
      </w:r>
      <w:r w:rsidRPr="00B1622A">
        <w:rPr>
          <w:color w:val="000000" w:themeColor="text1"/>
        </w:rPr>
        <w:t xml:space="preserve"> </w:t>
      </w:r>
      <w:r w:rsidR="00F70982" w:rsidRPr="00B1622A">
        <w:rPr>
          <w:color w:val="000000" w:themeColor="text1"/>
        </w:rPr>
        <w:t>S</w:t>
      </w:r>
      <w:r w:rsidRPr="00B1622A">
        <w:rPr>
          <w:color w:val="000000" w:themeColor="text1"/>
        </w:rPr>
        <w:t>chool</w:t>
      </w:r>
      <w:r w:rsidR="00F70982" w:rsidRPr="00B1622A">
        <w:rPr>
          <w:color w:val="000000" w:themeColor="text1"/>
        </w:rPr>
        <w:t xml:space="preserve">s’ </w:t>
      </w:r>
      <w:r w:rsidRPr="00B1622A">
        <w:rPr>
          <w:color w:val="000000" w:themeColor="text1"/>
        </w:rPr>
        <w:t xml:space="preserve">community to participate in school and district advisory </w:t>
      </w:r>
      <w:r w:rsidR="005507C6" w:rsidRPr="00B1622A">
        <w:rPr>
          <w:color w:val="000000" w:themeColor="text1"/>
        </w:rPr>
        <w:t xml:space="preserve">and engagement </w:t>
      </w:r>
      <w:r w:rsidRPr="00B1622A">
        <w:rPr>
          <w:color w:val="000000" w:themeColor="text1"/>
        </w:rPr>
        <w:t>structures is an area of growth for the district.</w:t>
      </w:r>
    </w:p>
    <w:p w14:paraId="5755C838" w14:textId="473F002C" w:rsidR="003D6ECF" w:rsidRDefault="00F95311" w:rsidP="00BA094E">
      <w:pPr>
        <w:pStyle w:val="Heading3"/>
      </w:pPr>
      <w:bookmarkStart w:id="26" w:name="_District_and_School"/>
      <w:bookmarkStart w:id="27" w:name="_Strategic_Planning,_Implementation,"/>
      <w:bookmarkEnd w:id="26"/>
      <w:bookmarkEnd w:id="27"/>
      <w:r>
        <w:t xml:space="preserve">Strategic Planning, Implementation, and </w:t>
      </w:r>
      <w:r w:rsidRPr="00BA094E">
        <w:t>Monitoring</w:t>
      </w:r>
    </w:p>
    <w:p w14:paraId="39A94D35" w14:textId="078895C1" w:rsidR="00066C72" w:rsidRPr="0096231D" w:rsidRDefault="00066C72" w:rsidP="00BA094E">
      <w:pPr>
        <w:pStyle w:val="BodyTextposthead"/>
      </w:pPr>
      <w:r>
        <w:t>Brockton</w:t>
      </w:r>
      <w:r w:rsidR="00FD1861">
        <w:t>’</w:t>
      </w:r>
      <w:r>
        <w:t>s mission</w:t>
      </w:r>
      <w:r w:rsidR="00FD1861">
        <w:t xml:space="preserve"> is</w:t>
      </w:r>
      <w:r>
        <w:t xml:space="preserve"> to ensure student success by fulfilling the educational, social, and emotional needs of all students in the pursuit of instructional excellence</w:t>
      </w:r>
      <w:r w:rsidR="00FD1861">
        <w:t xml:space="preserve">. This mission </w:t>
      </w:r>
      <w:r>
        <w:t xml:space="preserve">is publicly available on the district website. The mission articulates commitments to equitable access to effective, rigorous, and culturally responsive instruction; honoring and celebrating the diversity of students, staff, and community; and providing a safe, respectful, inclusive, and collaborative learning environment so that all students can achieve at high levels and develop the social-emotional skills needed to succeed in a global society. </w:t>
      </w:r>
      <w:r w:rsidR="00FD1861">
        <w:t>S</w:t>
      </w:r>
      <w:r>
        <w:t>uperintendent</w:t>
      </w:r>
      <w:r w:rsidR="00FD1861">
        <w:t xml:space="preserve"> Tahiliani </w:t>
      </w:r>
      <w:r>
        <w:t xml:space="preserve">referenced these commitments when describing the district’s instructional priorities and planning decisions, characterizing the mission and vision as the </w:t>
      </w:r>
      <w:r w:rsidR="008771C3">
        <w:t>“</w:t>
      </w:r>
      <w:r w:rsidR="2CBD0F77">
        <w:t>n</w:t>
      </w:r>
      <w:r>
        <w:t xml:space="preserve">orth </w:t>
      </w:r>
      <w:r w:rsidR="4A9069BF">
        <w:t>s</w:t>
      </w:r>
      <w:r>
        <w:t>tar</w:t>
      </w:r>
      <w:r w:rsidR="008771C3">
        <w:t>”</w:t>
      </w:r>
      <w:r>
        <w:t xml:space="preserve"> that anchors the district’s strategic planning and annual improvement work. School committee members, when describing district priorities, identified literacy, safety, equitable access, and additional career and technical </w:t>
      </w:r>
      <w:r w:rsidR="00A521D2">
        <w:t xml:space="preserve">education (CTE) </w:t>
      </w:r>
      <w:r>
        <w:t xml:space="preserve">pathways as their primary concerns, </w:t>
      </w:r>
      <w:r w:rsidR="008771C3">
        <w:t>which</w:t>
      </w:r>
      <w:r>
        <w:t xml:space="preserve"> are directly reflected in the strategic goals of the district’s current improvement plan. </w:t>
      </w:r>
      <w:r w:rsidR="00E47C43">
        <w:t>P</w:t>
      </w:r>
      <w:r>
        <w:t>rincipals</w:t>
      </w:r>
      <w:r w:rsidR="00E47C43">
        <w:t xml:space="preserve"> across the district</w:t>
      </w:r>
      <w:r>
        <w:t xml:space="preserve"> similarly cited literacy, mathematics, and social-emotional learning as the three organizing priorities that their </w:t>
      </w:r>
      <w:r w:rsidR="00DC1C5A">
        <w:t>SIPs</w:t>
      </w:r>
      <w:r>
        <w:t xml:space="preserve"> are structured around, confirming broad alignment between the mission, the strategic plan, and school-level planning across multiple stakeholder groups.</w:t>
      </w:r>
    </w:p>
    <w:p w14:paraId="3F3316A2" w14:textId="43E909BF" w:rsidR="00066C72" w:rsidRPr="0096231D" w:rsidRDefault="00066C72" w:rsidP="00BA094E">
      <w:pPr>
        <w:pStyle w:val="BodyText"/>
      </w:pPr>
      <w:r w:rsidRPr="0096231D">
        <w:t>The district maintains a multiyear strategic plan</w:t>
      </w:r>
      <w:r w:rsidR="00A73536">
        <w:t xml:space="preserve"> (2022-2027)</w:t>
      </w:r>
      <w:r w:rsidRPr="0096231D">
        <w:t xml:space="preserve"> that identifies districtwide goals, strategies, and monitoring mechanisms, including pacing check-ins, lesson plan reviews, and </w:t>
      </w:r>
      <w:r w:rsidRPr="0096231D">
        <w:lastRenderedPageBreak/>
        <w:t xml:space="preserve">walkthrough alignment to instructional schedules. </w:t>
      </w:r>
      <w:r w:rsidR="008771C3">
        <w:t>S</w:t>
      </w:r>
      <w:r w:rsidRPr="0096231D">
        <w:t xml:space="preserve">uperintendent </w:t>
      </w:r>
      <w:r w:rsidR="008771C3" w:rsidRPr="00B64EA9">
        <w:t>Tahiliani</w:t>
      </w:r>
      <w:r w:rsidR="008771C3" w:rsidRPr="0096231D">
        <w:t xml:space="preserve"> </w:t>
      </w:r>
      <w:r w:rsidRPr="0096231D">
        <w:t xml:space="preserve">described the district as preparing to launch a new five-year strategic plan following this review, with the intention of using review findings, community forums, and the district’s profile of a graduate as anchoring inputs. </w:t>
      </w:r>
      <w:r>
        <w:t>Document review reveals t</w:t>
      </w:r>
      <w:r w:rsidRPr="0096231D">
        <w:t xml:space="preserve">he district operates under a </w:t>
      </w:r>
      <w:r>
        <w:t>Partnership for Reading Success</w:t>
      </w:r>
      <w:r w:rsidR="00884232">
        <w:t>—Massachusetts</w:t>
      </w:r>
      <w:r>
        <w:t xml:space="preserve"> (</w:t>
      </w:r>
      <w:r w:rsidRPr="0096231D">
        <w:t>PRISM</w:t>
      </w:r>
      <w:r w:rsidR="00884232">
        <w:t>)</w:t>
      </w:r>
      <w:r w:rsidRPr="0096231D">
        <w:t xml:space="preserve"> </w:t>
      </w:r>
      <w:r w:rsidR="00EC0ECE">
        <w:t>Multi-Tiered Systems of Sup</w:t>
      </w:r>
      <w:r w:rsidR="00DC1C5A">
        <w:t>p</w:t>
      </w:r>
      <w:r w:rsidR="00EC0ECE">
        <w:t>ort</w:t>
      </w:r>
      <w:r w:rsidR="006D0CB5">
        <w:t xml:space="preserve"> (MTSS)</w:t>
      </w:r>
      <w:r w:rsidRPr="0096231D">
        <w:t xml:space="preserve"> </w:t>
      </w:r>
      <w:r w:rsidR="006D0CB5">
        <w:t>a</w:t>
      </w:r>
      <w:r w:rsidRPr="0096231D">
        <w:t xml:space="preserve">ction </w:t>
      </w:r>
      <w:r w:rsidR="006D0CB5">
        <w:t>p</w:t>
      </w:r>
      <w:r w:rsidRPr="0096231D">
        <w:t>lan that defines quarterly monitoring of key literacy initiatives, assigns monitoring responsibilities to specific roles, and establishes biannual review cycles.</w:t>
      </w:r>
    </w:p>
    <w:p w14:paraId="25F80D29" w14:textId="16DFA8C6" w:rsidR="00066C72" w:rsidRPr="00B1622A" w:rsidRDefault="00066C72" w:rsidP="00BA094E">
      <w:pPr>
        <w:pStyle w:val="BodyText"/>
        <w:rPr>
          <w:color w:val="000000" w:themeColor="text1"/>
        </w:rPr>
      </w:pPr>
      <w:r>
        <w:t xml:space="preserve">A </w:t>
      </w:r>
      <w:r w:rsidR="00884944" w:rsidRPr="00884944">
        <w:t>review of SIPs</w:t>
      </w:r>
      <w:r w:rsidRPr="00884944">
        <w:t xml:space="preserve"> </w:t>
      </w:r>
      <w:r w:rsidR="00884944" w:rsidRPr="00884944">
        <w:t xml:space="preserve">indicates that </w:t>
      </w:r>
      <w:r w:rsidR="00DC1C5A">
        <w:t xml:space="preserve">they are </w:t>
      </w:r>
      <w:r w:rsidRPr="00884944">
        <w:t xml:space="preserve">broadly aligned to district priorities. </w:t>
      </w:r>
      <w:r w:rsidR="00884944" w:rsidRPr="00884944">
        <w:t xml:space="preserve">For example, a </w:t>
      </w:r>
      <w:r w:rsidRPr="00884944">
        <w:t>review of the Broc</w:t>
      </w:r>
      <w:r w:rsidRPr="0096231D">
        <w:t>kton High School SIP found that it identifies measurable goals organized around literacy, mathematics, and culture and climate</w:t>
      </w:r>
      <w:r>
        <w:t xml:space="preserve">, </w:t>
      </w:r>
      <w:r w:rsidRPr="0096231D">
        <w:t>directly mirroring district priorities</w:t>
      </w:r>
      <w:r w:rsidR="00DC1C5A">
        <w:t xml:space="preserve">; </w:t>
      </w:r>
      <w:r w:rsidRPr="0096231D">
        <w:t xml:space="preserve">and </w:t>
      </w:r>
      <w:r w:rsidR="00DC1C5A">
        <w:t xml:space="preserve">it </w:t>
      </w:r>
      <w:r w:rsidRPr="0096231D">
        <w:t xml:space="preserve">specifies monitoring through multiple data sources, including STAR, ACCESS, MCAS, writing samples, and content assessments. The high school SIP also references placement into </w:t>
      </w:r>
      <w:r w:rsidR="00DC1C5A">
        <w:t>an MTSS</w:t>
      </w:r>
      <w:r w:rsidRPr="0096231D">
        <w:t xml:space="preserve"> for students not meeting benchmarks, indicating an integration between instructional planning and student support systems. A review of East Middle School’s SIP confirmed similar alignment, with STAR data, walkthroughs, student work samples, lesson plans, and TNTP learning walk</w:t>
      </w:r>
      <w:r w:rsidR="007A2617">
        <w:t>through</w:t>
      </w:r>
      <w:r w:rsidRPr="0096231D">
        <w:t xml:space="preserve"> data identified as monitoring artifacts. A review of Angelo Elementary</w:t>
      </w:r>
      <w:r w:rsidR="00186D01">
        <w:t>’</w:t>
      </w:r>
      <w:r w:rsidRPr="0096231D">
        <w:t>s SIP confirmed specific monitoring cadences</w:t>
      </w:r>
      <w:r w:rsidR="00DC1C5A">
        <w:t>,</w:t>
      </w:r>
      <w:r w:rsidRPr="0096231D">
        <w:t xml:space="preserve"> including biweekly Lexia monitoring and monthly data review. Elementary principals in the focus group described their PCLTs as the primary structure through which SIP goals are monitored, with data review, behavioral data, and curriculum implementation progress regularly embedded in PCLT agendas. Middle school principals similarly described SIP goals as the explicit charge of their PCLTs, </w:t>
      </w:r>
      <w:r w:rsidR="00186D01" w:rsidRPr="00B1622A">
        <w:rPr>
          <w:color w:val="000000" w:themeColor="text1"/>
        </w:rPr>
        <w:t xml:space="preserve">and described </w:t>
      </w:r>
      <w:r w:rsidR="004338BC">
        <w:rPr>
          <w:color w:val="000000" w:themeColor="text1"/>
        </w:rPr>
        <w:t>the SIP</w:t>
      </w:r>
      <w:r w:rsidR="000013AB" w:rsidRPr="00B1622A">
        <w:rPr>
          <w:color w:val="000000" w:themeColor="text1"/>
        </w:rPr>
        <w:t xml:space="preserve"> </w:t>
      </w:r>
      <w:r w:rsidRPr="00B1622A">
        <w:rPr>
          <w:color w:val="000000" w:themeColor="text1"/>
        </w:rPr>
        <w:t xml:space="preserve">alignment to district priorities as very good. The district’s development of </w:t>
      </w:r>
      <w:r w:rsidR="00DC1C5A" w:rsidRPr="00B1622A">
        <w:rPr>
          <w:color w:val="000000" w:themeColor="text1"/>
        </w:rPr>
        <w:t>SIPs that are</w:t>
      </w:r>
      <w:r w:rsidRPr="00B1622A">
        <w:rPr>
          <w:color w:val="000000" w:themeColor="text1"/>
        </w:rPr>
        <w:t xml:space="preserve"> aligned to district priorities, organized around measurable goals, and monitored through structured PCLT routines, is a strength of the district.</w:t>
      </w:r>
    </w:p>
    <w:p w14:paraId="62FF886E" w14:textId="343548A7" w:rsidR="00066C72" w:rsidRPr="0096231D" w:rsidRDefault="00066C72" w:rsidP="00BA094E">
      <w:pPr>
        <w:pStyle w:val="BodyText"/>
      </w:pPr>
      <w:r>
        <w:t xml:space="preserve">The district employs multiple mechanisms for monitoring the implementation of improvement priorities and assessing progress toward district goals. </w:t>
      </w:r>
      <w:r w:rsidR="00F975D4">
        <w:t>S</w:t>
      </w:r>
      <w:r>
        <w:t xml:space="preserve">uperintendent </w:t>
      </w:r>
      <w:r w:rsidR="00F975D4">
        <w:t xml:space="preserve">Tahiliani </w:t>
      </w:r>
      <w:r>
        <w:t>described a structured walkthrough system in which assistant superintendents conduct learning walk</w:t>
      </w:r>
      <w:r w:rsidR="0055183A">
        <w:t>throughs</w:t>
      </w:r>
      <w:r>
        <w:t xml:space="preserve"> </w:t>
      </w:r>
      <w:r w:rsidR="00F975D4">
        <w:t xml:space="preserve">multiple times per year that are </w:t>
      </w:r>
      <w:r>
        <w:t xml:space="preserve">aligned to the DESE Learning Log, with walkthroughs designed to examine not only classroom instruction but also how principals provide feedback to teachers, creating an accountability loop that operates at every level of the system. </w:t>
      </w:r>
      <w:r w:rsidR="00F975D4">
        <w:t>S</w:t>
      </w:r>
      <w:r>
        <w:t xml:space="preserve">uperintendent </w:t>
      </w:r>
      <w:r w:rsidR="00F975D4">
        <w:t xml:space="preserve">Tahiliani </w:t>
      </w:r>
      <w:r>
        <w:t xml:space="preserve">noted “that cycle of feedback is happening at every level. Our assistant superintendents who are doing classroom walkthroughs and not just looking at how the teachers are getting feedback, but also how principals are giving feedback to teachers.” Middle school principals in the focus group corroborated the walkthrough structure, describing district leader walkthroughs as a mechanism that gives central office leaders a global picture of implementation across all middle schools and provides principals with feedback on their coaching and monitoring practices. The district data office provides principals with a shared data folder and prepared presentations, allowing for consistent data reporting to staff without requiring each school to independently construct data analyses. Elementary principals described having access to a comprehensive data hub that aggregates </w:t>
      </w:r>
      <w:r w:rsidR="00413AB9">
        <w:t>Dynamic Indicators of Basic Early Literacy Skills (</w:t>
      </w:r>
      <w:r>
        <w:t>DIBELS</w:t>
      </w:r>
      <w:r w:rsidR="00413AB9">
        <w:t>)</w:t>
      </w:r>
      <w:r>
        <w:t>, Lexia, STAR, ACCESS, and MCAS data across grade levels, enabling progress monitoring against multiple benchmarks simultaneously.</w:t>
      </w:r>
    </w:p>
    <w:p w14:paraId="46E146E5" w14:textId="7213BBBD" w:rsidR="00475B78" w:rsidRDefault="128D6A46" w:rsidP="00BA094E">
      <w:pPr>
        <w:pStyle w:val="BodyText"/>
      </w:pPr>
      <w:r w:rsidRPr="190DD215">
        <w:t xml:space="preserve">Running agendas from elementary principal meetings, middle school principal meetings, and the PK–8 </w:t>
      </w:r>
      <w:r w:rsidR="007A08D4">
        <w:t>DILT</w:t>
      </w:r>
      <w:r w:rsidRPr="190DD215">
        <w:t xml:space="preserve"> confirmed that monitoring structures are embedded into the recurring principal </w:t>
      </w:r>
      <w:r w:rsidRPr="190DD215">
        <w:lastRenderedPageBreak/>
        <w:t>convening schedule. Agenda items across these meetings consistently addressed learning walk</w:t>
      </w:r>
      <w:r w:rsidR="009D4BD6">
        <w:t>through</w:t>
      </w:r>
      <w:r w:rsidRPr="190DD215">
        <w:t xml:space="preserve"> scheduling and debriefs, data review expectations, educator evaluation focus indicators, and </w:t>
      </w:r>
      <w:r w:rsidR="009D4BD6">
        <w:t>SIP</w:t>
      </w:r>
      <w:r w:rsidRPr="190DD215">
        <w:t xml:space="preserve"> check-ins. </w:t>
      </w:r>
      <w:r w:rsidR="00393339">
        <w:t>S</w:t>
      </w:r>
      <w:r w:rsidRPr="190DD215">
        <w:t xml:space="preserve">uperintendent </w:t>
      </w:r>
      <w:r w:rsidR="00393339" w:rsidRPr="00B64EA9">
        <w:t>Tahiliani</w:t>
      </w:r>
      <w:r w:rsidR="00393339" w:rsidRPr="0096231D">
        <w:t xml:space="preserve"> </w:t>
      </w:r>
      <w:r w:rsidRPr="190DD215">
        <w:t xml:space="preserve">described aligning budgetary resources to the district’s five strategic priority areas </w:t>
      </w:r>
      <w:r w:rsidR="0504FAED" w:rsidRPr="190DD215">
        <w:t>(</w:t>
      </w:r>
      <w:r w:rsidR="00B47DB2">
        <w:t xml:space="preserve">i.e., </w:t>
      </w:r>
      <w:r w:rsidR="10BC11BC" w:rsidRPr="190DD215">
        <w:t>I</w:t>
      </w:r>
      <w:r w:rsidR="0504FAED" w:rsidRPr="190DD215">
        <w:t xml:space="preserve">nstructional </w:t>
      </w:r>
      <w:r w:rsidR="10BC11BC" w:rsidRPr="190DD215">
        <w:t>E</w:t>
      </w:r>
      <w:r w:rsidR="0504FAED" w:rsidRPr="190DD215">
        <w:t xml:space="preserve">xcellence, </w:t>
      </w:r>
      <w:r w:rsidR="7B158EE0" w:rsidRPr="190DD215">
        <w:t xml:space="preserve">Brockton High School Redevelopment, Technology and Support, Early Childhood Education, </w:t>
      </w:r>
      <w:r w:rsidR="10BC11BC" w:rsidRPr="190DD215">
        <w:t xml:space="preserve">and Community Partnerships) </w:t>
      </w:r>
      <w:r w:rsidRPr="190DD215">
        <w:t>as an additional monitoring mechanism, with the budget development process used to assess whether resource allocation is in fact supporting identified instructional priorities. Despite this infrastructure, evidence from multiple sources indicates that monitoring is not yet consistently enacted across all schools and program areas.</w:t>
      </w:r>
    </w:p>
    <w:p w14:paraId="2BD9B7DC" w14:textId="43510860" w:rsidR="00066C72" w:rsidRPr="00B1622A" w:rsidRDefault="00066C72" w:rsidP="00BA094E">
      <w:pPr>
        <w:pStyle w:val="BodyText"/>
        <w:rPr>
          <w:color w:val="000000" w:themeColor="text1"/>
        </w:rPr>
      </w:pPr>
      <w:r>
        <w:t xml:space="preserve">The high school principal described </w:t>
      </w:r>
      <w:r w:rsidR="006F58C0">
        <w:t>the</w:t>
      </w:r>
      <w:r>
        <w:t xml:space="preserve"> district</w:t>
      </w:r>
      <w:r w:rsidR="006E2375">
        <w:t xml:space="preserve"> as providing a high level of autonomy to schools regarding</w:t>
      </w:r>
      <w:r>
        <w:t xml:space="preserve"> </w:t>
      </w:r>
      <w:r w:rsidR="00F021B2">
        <w:t>progress</w:t>
      </w:r>
      <w:r>
        <w:t xml:space="preserve"> monitoring, a characterization that, while reflecting confidence in school leadership, indicates meaningful variation in how monitoring expectations are interpreted and applied across buildings. </w:t>
      </w:r>
      <w:r w:rsidR="00DB4C6A">
        <w:t>S</w:t>
      </w:r>
      <w:r>
        <w:t xml:space="preserve">uperintendent </w:t>
      </w:r>
      <w:r w:rsidR="00DB4C6A">
        <w:t xml:space="preserve">Tahiliani </w:t>
      </w:r>
      <w:r>
        <w:t xml:space="preserve">acknowledged that many district systems are still in the process of being clarified, refined, and made more efficient. Additionally, evidence from family focus groups across all five language communities indicated that progress toward district improvement goals is not being communicated to families in any regular, accessible, or structured way, with focus group participants reporting limited knowledge of what the district is working toward </w:t>
      </w:r>
      <w:r w:rsidRPr="00B1622A">
        <w:rPr>
          <w:color w:val="000000" w:themeColor="text1"/>
        </w:rPr>
        <w:t xml:space="preserve">at a strategic level. Developing consistent, districtwide progress monitoring expectations and establishing regular mechanisms for communicating improvement progress </w:t>
      </w:r>
      <w:r w:rsidR="00AB6C91" w:rsidRPr="00B1622A">
        <w:rPr>
          <w:color w:val="000000" w:themeColor="text1"/>
        </w:rPr>
        <w:t xml:space="preserve">toward identified goals </w:t>
      </w:r>
      <w:r w:rsidRPr="00B1622A">
        <w:rPr>
          <w:color w:val="000000" w:themeColor="text1"/>
        </w:rPr>
        <w:t>to the full community are areas for growth for the district.</w:t>
      </w:r>
    </w:p>
    <w:p w14:paraId="4C9A44B9" w14:textId="00A58275" w:rsidR="003D6ECF" w:rsidRDefault="003D6ECF" w:rsidP="00BA094E">
      <w:pPr>
        <w:pStyle w:val="Heading3"/>
      </w:pPr>
      <w:bookmarkStart w:id="28" w:name="_District_and_School_1"/>
      <w:bookmarkStart w:id="29" w:name="_District_Culture"/>
      <w:bookmarkEnd w:id="28"/>
      <w:bookmarkEnd w:id="29"/>
      <w:r w:rsidRPr="00CB0607">
        <w:t xml:space="preserve">District </w:t>
      </w:r>
      <w:r w:rsidR="00F95311">
        <w:t>Culture</w:t>
      </w:r>
    </w:p>
    <w:p w14:paraId="011A15CC" w14:textId="50C69525" w:rsidR="001B297B" w:rsidRPr="0096231D" w:rsidRDefault="001B297B" w:rsidP="00BA094E">
      <w:pPr>
        <w:pStyle w:val="BodyTextposthead"/>
      </w:pPr>
      <w:r w:rsidRPr="0096231D">
        <w:t xml:space="preserve">District leaders </w:t>
      </w:r>
      <w:r w:rsidR="00367F91">
        <w:t>reported making</w:t>
      </w:r>
      <w:r w:rsidRPr="0096231D">
        <w:t xml:space="preserve"> meaningful progress in rebuilding trust and collaborative working relationships across governance, labor, municipal, and community stakeholder</w:t>
      </w:r>
      <w:r w:rsidR="00EE24ED">
        <w:t xml:space="preserve"> groups</w:t>
      </w:r>
      <w:r w:rsidRPr="0096231D">
        <w:t xml:space="preserve">. </w:t>
      </w:r>
      <w:r w:rsidR="00665AC0">
        <w:t>S</w:t>
      </w:r>
      <w:r w:rsidRPr="0096231D">
        <w:t xml:space="preserve">uperintendent </w:t>
      </w:r>
      <w:r w:rsidR="00665AC0" w:rsidRPr="00B64EA9">
        <w:t>Tahiliani</w:t>
      </w:r>
      <w:r w:rsidR="00665AC0" w:rsidRPr="0096231D">
        <w:t xml:space="preserve"> </w:t>
      </w:r>
      <w:r w:rsidRPr="0096231D">
        <w:t xml:space="preserve">described the early period of </w:t>
      </w:r>
      <w:r w:rsidR="00EE24ED">
        <w:t>her</w:t>
      </w:r>
      <w:r w:rsidRPr="0096231D">
        <w:t xml:space="preserve"> </w:t>
      </w:r>
      <w:r w:rsidR="00EE24ED">
        <w:t>tenure</w:t>
      </w:r>
      <w:r w:rsidR="00EE24ED" w:rsidRPr="0096231D">
        <w:t xml:space="preserve"> </w:t>
      </w:r>
      <w:r w:rsidRPr="0096231D">
        <w:t xml:space="preserve">as one in which trust between the </w:t>
      </w:r>
      <w:r w:rsidR="00665AC0">
        <w:t>C</w:t>
      </w:r>
      <w:r w:rsidRPr="0096231D">
        <w:t>ity</w:t>
      </w:r>
      <w:r w:rsidR="00665AC0">
        <w:t xml:space="preserve"> of Broc</w:t>
      </w:r>
      <w:r w:rsidR="00D42773">
        <w:t>k</w:t>
      </w:r>
      <w:r w:rsidR="00665AC0">
        <w:t>ton</w:t>
      </w:r>
      <w:r w:rsidRPr="0096231D">
        <w:t xml:space="preserve"> and the school department had been severely damaged, producing tense and unproductive meetings despite frequent contact</w:t>
      </w:r>
      <w:r w:rsidR="00665AC0">
        <w:t>. She</w:t>
      </w:r>
      <w:r w:rsidRPr="0096231D">
        <w:t xml:space="preserve"> characterized the subsequent year and a half as requiring substantial effort to demonstrate </w:t>
      </w:r>
      <w:r w:rsidRPr="00AA47E1">
        <w:t>consistent follow-</w:t>
      </w:r>
      <w:r w:rsidRPr="0096231D">
        <w:t xml:space="preserve">through </w:t>
      </w:r>
      <w:r w:rsidRPr="00AA47E1">
        <w:t xml:space="preserve">on financial controls and operational reforms. </w:t>
      </w:r>
      <w:r>
        <w:t xml:space="preserve">In her interview, </w:t>
      </w:r>
      <w:r w:rsidR="00665AC0">
        <w:t>S</w:t>
      </w:r>
      <w:r>
        <w:t xml:space="preserve">uperintendent </w:t>
      </w:r>
      <w:r w:rsidR="00665AC0" w:rsidRPr="00B64EA9">
        <w:t>Tahiliani</w:t>
      </w:r>
      <w:r w:rsidR="00665AC0" w:rsidRPr="0096231D">
        <w:t xml:space="preserve"> </w:t>
      </w:r>
      <w:r>
        <w:t>noted</w:t>
      </w:r>
      <w:r w:rsidR="00665AC0">
        <w:t>,</w:t>
      </w:r>
      <w:r>
        <w:t xml:space="preserve"> “</w:t>
      </w:r>
      <w:r w:rsidR="00665AC0">
        <w:t>W</w:t>
      </w:r>
      <w:r>
        <w:t xml:space="preserve">e have gotten to a much more collaborative space than we were when I first came, it was very frustrating. It was clear to me that trust had been broken between the city and schools.” </w:t>
      </w:r>
      <w:r w:rsidRPr="0096231D">
        <w:t xml:space="preserve">This account is corroborated by the town administrator, who </w:t>
      </w:r>
      <w:r w:rsidR="00D42773" w:rsidRPr="0096231D">
        <w:t>characterized</w:t>
      </w:r>
      <w:r w:rsidRPr="0096231D">
        <w:t xml:space="preserve"> prior relationships between the school committee and city government as </w:t>
      </w:r>
      <w:r w:rsidR="00D42773">
        <w:t>having</w:t>
      </w:r>
      <w:r w:rsidRPr="0096231D">
        <w:t xml:space="preserve"> significant friction, and confirmed that working relationships have recently moved toward greater understanding and collaboration. School committee members also described a marked improvement in their relationship with the superintendent</w:t>
      </w:r>
      <w:r w:rsidR="00665AC0">
        <w:t xml:space="preserve">’s role </w:t>
      </w:r>
      <w:r w:rsidRPr="0096231D">
        <w:t xml:space="preserve">relative to prior administrations, citing improved information flow, transparency about budget matters, and </w:t>
      </w:r>
      <w:r w:rsidR="00D42773">
        <w:t xml:space="preserve">Superintendent </w:t>
      </w:r>
      <w:r w:rsidR="00D42773" w:rsidRPr="00B64EA9">
        <w:t>Tahiliani</w:t>
      </w:r>
      <w:r w:rsidR="00D42773">
        <w:t xml:space="preserve">’s </w:t>
      </w:r>
      <w:r w:rsidRPr="0096231D">
        <w:t>willingness to provide her professional perspective while still implementing committee decisions.</w:t>
      </w:r>
    </w:p>
    <w:p w14:paraId="60C2F678" w14:textId="21233110" w:rsidR="001B297B" w:rsidRPr="00B1622A" w:rsidRDefault="00BD2490" w:rsidP="00BA094E">
      <w:pPr>
        <w:pStyle w:val="BodyText"/>
        <w:rPr>
          <w:color w:val="000000" w:themeColor="text1"/>
        </w:rPr>
      </w:pPr>
      <w:r>
        <w:t>S</w:t>
      </w:r>
      <w:r w:rsidR="001B297B" w:rsidRPr="0096231D">
        <w:t xml:space="preserve">uperintendent </w:t>
      </w:r>
      <w:r w:rsidRPr="00B64EA9">
        <w:t>Tahiliani</w:t>
      </w:r>
      <w:r w:rsidRPr="0096231D">
        <w:t xml:space="preserve"> </w:t>
      </w:r>
      <w:r w:rsidR="001B297B" w:rsidRPr="0096231D">
        <w:t xml:space="preserve">reported receiving a positive initial response from the </w:t>
      </w:r>
      <w:r w:rsidR="00006D1A">
        <w:t>state’s</w:t>
      </w:r>
      <w:r>
        <w:t xml:space="preserve"> </w:t>
      </w:r>
      <w:r w:rsidR="001B297B" w:rsidRPr="0096231D">
        <w:t>Inspector General regarding the district’s progress toward recommendations stemming from a 2023 budget deficit</w:t>
      </w:r>
      <w:r w:rsidR="001B297B">
        <w:t xml:space="preserve">, </w:t>
      </w:r>
      <w:r w:rsidR="00006D1A">
        <w:t>which</w:t>
      </w:r>
      <w:r w:rsidR="001B297B" w:rsidRPr="0096231D">
        <w:t xml:space="preserve"> multiple stakeholders, including school committee members, described as rooted in inadequate oversight, inaccurate financial reporting, and incomplete intergovernmental cost-sharing agreements under prior leadership. The district now meets monthly with DESE and holds joint </w:t>
      </w:r>
      <w:r w:rsidR="001B297B" w:rsidRPr="0096231D">
        <w:lastRenderedPageBreak/>
        <w:t xml:space="preserve">meetings with the city and the </w:t>
      </w:r>
      <w:r w:rsidR="00A60466">
        <w:t>S</w:t>
      </w:r>
      <w:r w:rsidR="001959FB">
        <w:t xml:space="preserve">tate </w:t>
      </w:r>
      <w:r w:rsidR="001B297B" w:rsidRPr="0096231D">
        <w:t>Department of Revenue, reflecting active engagement with multiple state accountability and support structures. A school committee member described city councilors</w:t>
      </w:r>
      <w:r w:rsidR="001B297B">
        <w:t xml:space="preserve">, </w:t>
      </w:r>
      <w:r w:rsidR="001B297B" w:rsidRPr="0096231D">
        <w:t>who had previously been vocal critics of the school department</w:t>
      </w:r>
      <w:r w:rsidR="001B297B">
        <w:t xml:space="preserve">, </w:t>
      </w:r>
      <w:r w:rsidR="001B297B" w:rsidRPr="0096231D">
        <w:t xml:space="preserve">as now providing positive feedback about </w:t>
      </w:r>
      <w:r w:rsidR="001959FB">
        <w:t>S</w:t>
      </w:r>
      <w:r w:rsidR="001B297B" w:rsidRPr="0096231D">
        <w:t>uperintendent</w:t>
      </w:r>
      <w:r w:rsidR="001959FB">
        <w:t xml:space="preserve"> </w:t>
      </w:r>
      <w:r w:rsidR="001959FB" w:rsidRPr="00B64EA9">
        <w:t>Tahiliani</w:t>
      </w:r>
      <w:r w:rsidR="001959FB">
        <w:t>’s</w:t>
      </w:r>
      <w:r w:rsidR="001B297B" w:rsidRPr="0096231D">
        <w:t xml:space="preserve"> transparency and engagement. </w:t>
      </w:r>
      <w:r w:rsidR="001959FB">
        <w:t>S</w:t>
      </w:r>
      <w:r w:rsidR="001B297B" w:rsidRPr="0096231D">
        <w:t>uperintendent</w:t>
      </w:r>
      <w:r w:rsidR="001959FB">
        <w:t xml:space="preserve"> </w:t>
      </w:r>
      <w:r w:rsidR="001959FB" w:rsidRPr="00B64EA9">
        <w:t>Tahiliani</w:t>
      </w:r>
      <w:r w:rsidR="001B297B" w:rsidRPr="0096231D">
        <w:t xml:space="preserve"> described her community engagement strategy as deliberate and multimodal, including attending community organization events, meeting with </w:t>
      </w:r>
      <w:r w:rsidR="001959FB">
        <w:t>PACs</w:t>
      </w:r>
      <w:r w:rsidR="001B297B" w:rsidRPr="0096231D">
        <w:t xml:space="preserve"> across languages, hosting community forums about the high school building project, and using school committee meetings as venues for public </w:t>
      </w:r>
      <w:r w:rsidR="001B297B" w:rsidRPr="00B1622A">
        <w:rPr>
          <w:color w:val="000000" w:themeColor="text1"/>
        </w:rPr>
        <w:t>communication. The district’s documented progress in rebuilding working relationships with the school committee, municipal government, state oversight partners, and the broader community, grounded in consistent transparency and follow-through, is a strength of the district.</w:t>
      </w:r>
    </w:p>
    <w:p w14:paraId="33BEF26E" w14:textId="38AC9982" w:rsidR="0046023A" w:rsidRDefault="001B297B" w:rsidP="00BA094E">
      <w:pPr>
        <w:pStyle w:val="BodyText"/>
      </w:pPr>
      <w:r w:rsidRPr="0096231D">
        <w:t>The district maintains formal labor-management engagement structures</w:t>
      </w:r>
      <w:r w:rsidR="00DB6DCD">
        <w:t xml:space="preserve"> with the Brockton Education Association (BEA), t</w:t>
      </w:r>
      <w:r w:rsidRPr="0096231D">
        <w:t>he teachers’ association</w:t>
      </w:r>
      <w:r w:rsidR="00DB6DCD">
        <w:t>. BEA’s</w:t>
      </w:r>
      <w:r w:rsidRPr="0096231D">
        <w:t xml:space="preserve"> president described meeting biweekly with a central office unit and weekly with senior district leadership, including the deputy superintendent and superintendent, indicating a high level of ongoing </w:t>
      </w:r>
      <w:r w:rsidR="00210D30">
        <w:t>communication</w:t>
      </w:r>
      <w:r w:rsidR="00210D30" w:rsidRPr="0096231D">
        <w:t xml:space="preserve"> </w:t>
      </w:r>
      <w:r w:rsidRPr="0096231D">
        <w:t xml:space="preserve">between union and district leadership outside of formal bargaining. </w:t>
      </w:r>
      <w:r w:rsidR="00210D30">
        <w:t>S</w:t>
      </w:r>
      <w:r w:rsidRPr="0096231D">
        <w:t>uperintendent</w:t>
      </w:r>
      <w:r w:rsidR="00210D30">
        <w:t xml:space="preserve"> </w:t>
      </w:r>
      <w:r w:rsidR="00210D30" w:rsidRPr="00B64EA9">
        <w:t>Tahiliani</w:t>
      </w:r>
      <w:r w:rsidRPr="0096231D">
        <w:t xml:space="preserve"> confirmed this </w:t>
      </w:r>
      <w:r w:rsidR="00EE24ED">
        <w:t xml:space="preserve">meeting </w:t>
      </w:r>
      <w:r w:rsidRPr="0096231D">
        <w:t xml:space="preserve">structure and noted that five contracts were negotiated in the current </w:t>
      </w:r>
      <w:r w:rsidR="00EE24ED">
        <w:t xml:space="preserve">and </w:t>
      </w:r>
      <w:r w:rsidRPr="0096231D">
        <w:t>prior school year, with the new BEA agreement including additional district professional development days</w:t>
      </w:r>
      <w:r>
        <w:t xml:space="preserve">, </w:t>
      </w:r>
      <w:r w:rsidRPr="0096231D">
        <w:t>a bargaining outcome that advances instructional goals alongside working conditions</w:t>
      </w:r>
      <w:r w:rsidR="0046023A">
        <w:t>.</w:t>
      </w:r>
    </w:p>
    <w:p w14:paraId="6F3ADBC9" w14:textId="21344152" w:rsidR="3E338E4E" w:rsidRPr="00EE24ED" w:rsidRDefault="001B297B" w:rsidP="00E94776">
      <w:pPr>
        <w:pStyle w:val="BodyText"/>
      </w:pPr>
      <w:r w:rsidRPr="0096231D">
        <w:t xml:space="preserve">The district has established multiple formal mechanisms for stakeholder engagement at the governance and community levels. </w:t>
      </w:r>
      <w:r w:rsidR="00774983">
        <w:t>S</w:t>
      </w:r>
      <w:r w:rsidRPr="0096231D">
        <w:t xml:space="preserve">uperintendent </w:t>
      </w:r>
      <w:r w:rsidR="00774983" w:rsidRPr="00B64EA9">
        <w:t>Tahiliani</w:t>
      </w:r>
      <w:r w:rsidR="00774983" w:rsidRPr="0096231D">
        <w:t xml:space="preserve"> </w:t>
      </w:r>
      <w:r w:rsidRPr="0096231D">
        <w:t>described working through school committee subcommittees</w:t>
      </w:r>
      <w:r>
        <w:t xml:space="preserve">, </w:t>
      </w:r>
      <w:r w:rsidRPr="0096231D">
        <w:t xml:space="preserve">including the </w:t>
      </w:r>
      <w:r w:rsidR="00774983">
        <w:t>social-emotional learning</w:t>
      </w:r>
      <w:r w:rsidR="00774983" w:rsidRPr="0096231D">
        <w:t xml:space="preserve"> </w:t>
      </w:r>
      <w:r w:rsidRPr="0096231D">
        <w:t>and wellness subcommittee, which</w:t>
      </w:r>
      <w:r w:rsidR="00774983">
        <w:t>, as noted earlier,</w:t>
      </w:r>
      <w:r w:rsidRPr="0096231D">
        <w:t xml:space="preserve"> was reactivated in direct response to student-voiced concerns about bullying and school climate</w:t>
      </w:r>
      <w:r w:rsidR="00774983">
        <w:t>. This is now</w:t>
      </w:r>
      <w:r w:rsidRPr="0096231D">
        <w:t xml:space="preserve"> </w:t>
      </w:r>
      <w:r w:rsidR="00132BCC">
        <w:t xml:space="preserve">a </w:t>
      </w:r>
      <w:r w:rsidRPr="0096231D">
        <w:t xml:space="preserve">pathway for student input to influence governance-level priorities. The district has also introduced significant financial transparency tools, including monthly year-to-date budget reports to the school committee, school- and activity-level expenditure dashboards accessible to committee members, and an </w:t>
      </w:r>
      <w:r>
        <w:t>O</w:t>
      </w:r>
      <w:r w:rsidRPr="0096231D">
        <w:t xml:space="preserve">pen </w:t>
      </w:r>
      <w:r>
        <w:t>C</w:t>
      </w:r>
      <w:r w:rsidRPr="0096231D">
        <w:t xml:space="preserve">heckbook on the district website that provides public access to all district spending at the individual transaction level. </w:t>
      </w:r>
      <w:r w:rsidR="00774983">
        <w:t>S</w:t>
      </w:r>
      <w:r w:rsidRPr="0096231D">
        <w:t>uperintendent</w:t>
      </w:r>
      <w:r w:rsidR="00774983">
        <w:t xml:space="preserve"> </w:t>
      </w:r>
      <w:r w:rsidR="00774983" w:rsidRPr="00B64EA9">
        <w:t>Tahiliani</w:t>
      </w:r>
      <w:r w:rsidRPr="0096231D">
        <w:t xml:space="preserve"> described these tools as explicitly designed to invite community questioning and </w:t>
      </w:r>
      <w:r w:rsidR="00167F1B">
        <w:t xml:space="preserve">open </w:t>
      </w:r>
      <w:r w:rsidRPr="0096231D">
        <w:t xml:space="preserve">dialogue about how district resources are being used, connecting financial transparency to a broader accountability and trust-building strategy. </w:t>
      </w:r>
      <w:r>
        <w:t>District leaders reported that t</w:t>
      </w:r>
      <w:r w:rsidRPr="0096231D">
        <w:t>he district partnered with a local Haitian community center to provide professional learning focused on inclusive practices in response to community concerns about the treatment of newcomer and immigrant students, demonstrating responsiveness to community-identified needs through concrete programmatic action.</w:t>
      </w:r>
    </w:p>
    <w:p w14:paraId="1D408CBC" w14:textId="7D9ED20D" w:rsidR="001B297B" w:rsidRPr="0096231D" w:rsidRDefault="001B297B" w:rsidP="00E94776">
      <w:pPr>
        <w:pStyle w:val="BodyText"/>
      </w:pPr>
      <w:r w:rsidRPr="0096231D">
        <w:t>Despite these structures, the district faces ongoing challenges in securing broad and equitable stakeholder participation in planning and decision</w:t>
      </w:r>
      <w:r w:rsidR="00167F1B">
        <w:t xml:space="preserve"> </w:t>
      </w:r>
      <w:r w:rsidRPr="0096231D">
        <w:t xml:space="preserve">making. </w:t>
      </w:r>
      <w:r w:rsidR="00167F1B">
        <w:t>S</w:t>
      </w:r>
      <w:r w:rsidRPr="0096231D">
        <w:t>uperintendent</w:t>
      </w:r>
      <w:r w:rsidR="00167F1B">
        <w:t xml:space="preserve"> </w:t>
      </w:r>
      <w:r w:rsidR="00167F1B" w:rsidRPr="00B64EA9">
        <w:t>Tahiliani</w:t>
      </w:r>
      <w:r w:rsidRPr="0096231D">
        <w:t xml:space="preserve"> acknowledged that a teacher-inclusive subcommittee for professional learning planning exists and is compensated, but that teacher participation has been low</w:t>
      </w:r>
      <w:r w:rsidR="00167F1B">
        <w:t>. T</w:t>
      </w:r>
      <w:r w:rsidRPr="0096231D">
        <w:t>his signals a need to adjust the district’s approach to securing meaningful educator input. High school teacher focus group participants described professional development as largely self-directed, with no structured expectation for whole-faculty engagement in shared instructional problem</w:t>
      </w:r>
      <w:r w:rsidR="00167F1B">
        <w:t xml:space="preserve"> </w:t>
      </w:r>
      <w:r w:rsidRPr="0096231D">
        <w:t>solving and no scheduled collaborative planning time in at least some departments</w:t>
      </w:r>
      <w:r w:rsidR="00167F1B">
        <w:t>. This</w:t>
      </w:r>
      <w:r w:rsidRPr="0096231D" w:rsidDel="00167F1B">
        <w:t xml:space="preserve"> </w:t>
      </w:r>
      <w:r w:rsidRPr="0096231D">
        <w:t xml:space="preserve">contrasts with district leaders’ descriptions of structured </w:t>
      </w:r>
      <w:r w:rsidRPr="0096231D">
        <w:lastRenderedPageBreak/>
        <w:t>professional learning communities</w:t>
      </w:r>
      <w:r w:rsidR="00167F1B">
        <w:t>, which</w:t>
      </w:r>
      <w:r w:rsidRPr="0096231D">
        <w:t xml:space="preserve"> suggests that formal structures for educator input exist but have not yet been embedded as </w:t>
      </w:r>
      <w:r>
        <w:t>authentic</w:t>
      </w:r>
      <w:r w:rsidRPr="0096231D">
        <w:t xml:space="preserve"> participation opportunities for all staff.</w:t>
      </w:r>
    </w:p>
    <w:p w14:paraId="450CF5B9" w14:textId="284AB904" w:rsidR="00D229D0" w:rsidRPr="00B1622A" w:rsidRDefault="1A7623A1" w:rsidP="00E94776">
      <w:pPr>
        <w:pStyle w:val="BodyText"/>
        <w:rPr>
          <w:color w:val="000000" w:themeColor="text1"/>
        </w:rPr>
      </w:pPr>
      <w:r>
        <w:t xml:space="preserve">Family focus groups conducted across all five language communities consistently described limited awareness of and access to engagement opportunities beyond school-level events and </w:t>
      </w:r>
      <w:r w:rsidR="000E4DA1">
        <w:t xml:space="preserve">Individualized Education Program </w:t>
      </w:r>
      <w:r w:rsidR="00AF3876">
        <w:t xml:space="preserve">(IEP) </w:t>
      </w:r>
      <w:r>
        <w:t xml:space="preserve">or 504 meetings. </w:t>
      </w:r>
      <w:r w:rsidR="74F814DB">
        <w:t>One</w:t>
      </w:r>
      <w:r>
        <w:t xml:space="preserve"> focus group participant</w:t>
      </w:r>
      <w:r w:rsidR="000E4DA1">
        <w:t>,</w:t>
      </w:r>
      <w:r>
        <w:t xml:space="preserve"> who serves on the DiPAC</w:t>
      </w:r>
      <w:r w:rsidR="000E4DA1">
        <w:t>,</w:t>
      </w:r>
      <w:r>
        <w:t xml:space="preserve"> acknowledged that the council lacks sufficient visibility among the broader parent community. Multiple participants from Cape Verdean, Haitian Creole, Portuguese, and English focus groups described a pattern in which communication from the district and school varies significantly across buildings and staff, with some schools and teachers maintaining strong outreach and others providing little proactive communication. One family focus group participant articulated that the district is missing consistency across grades, across schools, and across the district in how families are informed and engaged</w:t>
      </w:r>
      <w:r w:rsidR="001339AF">
        <w:t>.</w:t>
      </w:r>
      <w:r>
        <w:t xml:space="preserve"> </w:t>
      </w:r>
      <w:r w:rsidR="001339AF">
        <w:t xml:space="preserve">This participant </w:t>
      </w:r>
      <w:r>
        <w:t xml:space="preserve">advocated for multichannel communication strategies that meet families where they are. </w:t>
      </w:r>
      <w:r w:rsidR="00ED4252">
        <w:t>S</w:t>
      </w:r>
      <w:r>
        <w:t xml:space="preserve">uperintendent </w:t>
      </w:r>
      <w:r w:rsidR="00ED4252">
        <w:t xml:space="preserve">Tahiliani </w:t>
      </w:r>
      <w:r>
        <w:t xml:space="preserve">acknowledged this gap, noting </w:t>
      </w:r>
      <w:r w:rsidR="00ED4252">
        <w:t xml:space="preserve">she was </w:t>
      </w:r>
      <w:r>
        <w:t>active</w:t>
      </w:r>
      <w:r w:rsidR="00ED4252">
        <w:t>ly</w:t>
      </w:r>
      <w:r>
        <w:t xml:space="preserve"> explor</w:t>
      </w:r>
      <w:r w:rsidR="00ED4252">
        <w:t>ing the idea</w:t>
      </w:r>
      <w:r>
        <w:t xml:space="preserve"> of a superintendent’s newsletter and more systematic communication </w:t>
      </w:r>
      <w:r w:rsidRPr="00B1622A">
        <w:rPr>
          <w:color w:val="000000" w:themeColor="text1"/>
        </w:rPr>
        <w:t xml:space="preserve">protocols, though </w:t>
      </w:r>
      <w:r w:rsidR="00A2660E" w:rsidRPr="00B1622A">
        <w:rPr>
          <w:color w:val="000000" w:themeColor="text1"/>
        </w:rPr>
        <w:t xml:space="preserve">she </w:t>
      </w:r>
      <w:r w:rsidRPr="00B1622A">
        <w:rPr>
          <w:color w:val="000000" w:themeColor="text1"/>
        </w:rPr>
        <w:t xml:space="preserve">described </w:t>
      </w:r>
      <w:r w:rsidR="00A2660E" w:rsidRPr="00B1622A">
        <w:rPr>
          <w:color w:val="000000" w:themeColor="text1"/>
        </w:rPr>
        <w:t xml:space="preserve">these </w:t>
      </w:r>
      <w:r w:rsidRPr="00B1622A">
        <w:rPr>
          <w:color w:val="000000" w:themeColor="text1"/>
        </w:rPr>
        <w:t xml:space="preserve">as goals rather than established practices. Developing a proactive, structured, districtwide approach to stakeholder engagement that establishes clear communication expectations across schools is an </w:t>
      </w:r>
      <w:r w:rsidR="22B2AE30" w:rsidRPr="00B1622A">
        <w:rPr>
          <w:color w:val="000000" w:themeColor="text1"/>
        </w:rPr>
        <w:t>area for growth for the district.</w:t>
      </w:r>
    </w:p>
    <w:p w14:paraId="1043824D" w14:textId="40EB9E71" w:rsidR="005D0752" w:rsidRDefault="005D0752" w:rsidP="00E94776">
      <w:pPr>
        <w:pStyle w:val="Heading3"/>
      </w:pPr>
      <w:r w:rsidRPr="00E94776">
        <w:t>Recommendations</w:t>
      </w:r>
    </w:p>
    <w:p w14:paraId="0DF184CE" w14:textId="131F6CE9" w:rsidR="00FA53C9" w:rsidRPr="006B1110" w:rsidRDefault="008C6794" w:rsidP="2D019F4B">
      <w:pPr>
        <w:pStyle w:val="Bullet1"/>
        <w:rPr>
          <w:i/>
          <w:iCs/>
        </w:rPr>
      </w:pPr>
      <w:r w:rsidRPr="2D019F4B">
        <w:rPr>
          <w:i/>
          <w:iCs/>
        </w:rPr>
        <w:t xml:space="preserve">The school committee should systematize its approach to </w:t>
      </w:r>
      <w:r w:rsidR="00137179" w:rsidRPr="2D019F4B">
        <w:rPr>
          <w:i/>
          <w:iCs/>
        </w:rPr>
        <w:t xml:space="preserve">updating its policies and </w:t>
      </w:r>
      <w:r w:rsidR="00150699" w:rsidRPr="2D019F4B">
        <w:rPr>
          <w:i/>
          <w:iCs/>
        </w:rPr>
        <w:t>document</w:t>
      </w:r>
      <w:r w:rsidR="00137179" w:rsidRPr="2D019F4B">
        <w:rPr>
          <w:i/>
          <w:iCs/>
        </w:rPr>
        <w:t xml:space="preserve"> </w:t>
      </w:r>
      <w:r w:rsidR="008420A0" w:rsidRPr="2D019F4B">
        <w:rPr>
          <w:i/>
          <w:iCs/>
        </w:rPr>
        <w:t xml:space="preserve">a process for regularly reviewing and updating district policy. </w:t>
      </w:r>
    </w:p>
    <w:p w14:paraId="0448C383" w14:textId="0513D435" w:rsidR="00985757" w:rsidRPr="006B1110" w:rsidRDefault="00985757" w:rsidP="2D019F4B">
      <w:pPr>
        <w:pStyle w:val="Bullet1"/>
        <w:rPr>
          <w:i/>
          <w:iCs/>
        </w:rPr>
      </w:pPr>
      <w:r w:rsidRPr="2D019F4B">
        <w:rPr>
          <w:i/>
          <w:iCs/>
        </w:rPr>
        <w:t xml:space="preserve">The district should further examine </w:t>
      </w:r>
      <w:r w:rsidR="000472B8" w:rsidRPr="2D019F4B">
        <w:rPr>
          <w:i/>
          <w:iCs/>
        </w:rPr>
        <w:t xml:space="preserve">the barriers to family participation in </w:t>
      </w:r>
      <w:r w:rsidR="00212029" w:rsidRPr="2D019F4B">
        <w:rPr>
          <w:i/>
          <w:iCs/>
        </w:rPr>
        <w:t xml:space="preserve">its advisory councils and </w:t>
      </w:r>
      <w:r w:rsidR="003339B7" w:rsidRPr="2D019F4B">
        <w:rPr>
          <w:i/>
          <w:iCs/>
        </w:rPr>
        <w:t>continue building out structures to support</w:t>
      </w:r>
      <w:r w:rsidR="00B32A4B">
        <w:rPr>
          <w:i/>
          <w:iCs/>
        </w:rPr>
        <w:t xml:space="preserve"> </w:t>
      </w:r>
      <w:r w:rsidR="001D493D">
        <w:rPr>
          <w:i/>
          <w:iCs/>
        </w:rPr>
        <w:t>all</w:t>
      </w:r>
      <w:r w:rsidR="003339B7" w:rsidRPr="2D019F4B">
        <w:rPr>
          <w:i/>
          <w:iCs/>
        </w:rPr>
        <w:t xml:space="preserve"> </w:t>
      </w:r>
      <w:r w:rsidR="002B5671" w:rsidRPr="2D019F4B">
        <w:rPr>
          <w:i/>
          <w:iCs/>
        </w:rPr>
        <w:t xml:space="preserve">families in taking an active role in school- and district-level decision making. </w:t>
      </w:r>
    </w:p>
    <w:p w14:paraId="59BA85D8" w14:textId="77777777" w:rsidR="002E41B1" w:rsidRDefault="00737BD2" w:rsidP="00E94776">
      <w:pPr>
        <w:pStyle w:val="Bullet1"/>
        <w:rPr>
          <w:i/>
        </w:rPr>
      </w:pPr>
      <w:r w:rsidRPr="006B1110">
        <w:rPr>
          <w:i/>
        </w:rPr>
        <w:t>The district should engage its school leaders in develop</w:t>
      </w:r>
      <w:r w:rsidR="00CB43BC" w:rsidRPr="006B1110">
        <w:rPr>
          <w:i/>
        </w:rPr>
        <w:t>ing a districtwide</w:t>
      </w:r>
      <w:r w:rsidRPr="006B1110">
        <w:rPr>
          <w:i/>
        </w:rPr>
        <w:t xml:space="preserve"> monitoring system</w:t>
      </w:r>
      <w:r w:rsidR="00CB43BC" w:rsidRPr="006B1110">
        <w:rPr>
          <w:i/>
        </w:rPr>
        <w:t xml:space="preserve"> </w:t>
      </w:r>
      <w:r w:rsidRPr="006B1110">
        <w:rPr>
          <w:i/>
        </w:rPr>
        <w:t>that capture</w:t>
      </w:r>
      <w:r w:rsidR="00CB43BC" w:rsidRPr="006B1110">
        <w:rPr>
          <w:i/>
        </w:rPr>
        <w:t>s</w:t>
      </w:r>
      <w:r w:rsidRPr="006B1110">
        <w:rPr>
          <w:i/>
        </w:rPr>
        <w:t xml:space="preserve"> </w:t>
      </w:r>
      <w:r w:rsidR="008F798A" w:rsidRPr="006B1110">
        <w:rPr>
          <w:i/>
        </w:rPr>
        <w:t>progress towa</w:t>
      </w:r>
      <w:r w:rsidR="00CB43BC" w:rsidRPr="006B1110">
        <w:rPr>
          <w:i/>
        </w:rPr>
        <w:t>rd district and school improvement goals.</w:t>
      </w:r>
    </w:p>
    <w:p w14:paraId="0428AEEB" w14:textId="1072ADED" w:rsidR="00737BD2" w:rsidRPr="006B1110" w:rsidRDefault="002E41B1" w:rsidP="00E94776">
      <w:pPr>
        <w:pStyle w:val="Bullet1"/>
        <w:rPr>
          <w:i/>
        </w:rPr>
      </w:pPr>
      <w:r>
        <w:rPr>
          <w:i/>
        </w:rPr>
        <w:t xml:space="preserve">The districtwide monitoring system </w:t>
      </w:r>
      <w:r w:rsidR="00CB43BC" w:rsidRPr="006B1110">
        <w:rPr>
          <w:i/>
        </w:rPr>
        <w:t xml:space="preserve">should include </w:t>
      </w:r>
      <w:r w:rsidR="005A5064" w:rsidRPr="006B1110">
        <w:rPr>
          <w:i/>
        </w:rPr>
        <w:t>mechanisms for regularly</w:t>
      </w:r>
      <w:r w:rsidR="00661C45">
        <w:rPr>
          <w:i/>
        </w:rPr>
        <w:t xml:space="preserve"> reporting on and</w:t>
      </w:r>
      <w:r w:rsidR="005A5064" w:rsidRPr="006B1110">
        <w:rPr>
          <w:i/>
        </w:rPr>
        <w:t xml:space="preserve"> sharing progress</w:t>
      </w:r>
      <w:r>
        <w:rPr>
          <w:i/>
        </w:rPr>
        <w:t xml:space="preserve"> toward the district’s strategic goals</w:t>
      </w:r>
      <w:r w:rsidR="005A5064" w:rsidRPr="006B1110">
        <w:rPr>
          <w:i/>
        </w:rPr>
        <w:t xml:space="preserve"> with families and other stakeholders. </w:t>
      </w:r>
    </w:p>
    <w:p w14:paraId="2C19B804" w14:textId="05A1265A" w:rsidR="00A11910" w:rsidRPr="006B1110" w:rsidRDefault="00014C4E" w:rsidP="2D019F4B">
      <w:pPr>
        <w:pStyle w:val="Bullet1"/>
        <w:rPr>
          <w:i/>
          <w:iCs/>
        </w:rPr>
      </w:pPr>
      <w:r w:rsidRPr="2D019F4B">
        <w:rPr>
          <w:i/>
          <w:iCs/>
        </w:rPr>
        <w:t xml:space="preserve">The district should </w:t>
      </w:r>
      <w:r w:rsidR="000D457A" w:rsidRPr="2D019F4B">
        <w:rPr>
          <w:i/>
          <w:iCs/>
        </w:rPr>
        <w:t>develop and implement a comprehensive stakeholder engagement plan</w:t>
      </w:r>
      <w:r w:rsidR="00DF35AA" w:rsidRPr="2D019F4B">
        <w:rPr>
          <w:i/>
          <w:iCs/>
        </w:rPr>
        <w:t xml:space="preserve"> t</w:t>
      </w:r>
      <w:r w:rsidR="00FB1280" w:rsidRPr="2D019F4B">
        <w:rPr>
          <w:i/>
          <w:iCs/>
        </w:rPr>
        <w:t>hat</w:t>
      </w:r>
      <w:r w:rsidR="000D5843">
        <w:rPr>
          <w:i/>
          <w:iCs/>
        </w:rPr>
        <w:t xml:space="preserve"> intentionally </w:t>
      </w:r>
      <w:r w:rsidR="00A45FCE">
        <w:rPr>
          <w:i/>
          <w:iCs/>
        </w:rPr>
        <w:t xml:space="preserve">addresses strategies to increase </w:t>
      </w:r>
      <w:r w:rsidR="002E41B1">
        <w:rPr>
          <w:i/>
          <w:iCs/>
        </w:rPr>
        <w:t xml:space="preserve">participation of </w:t>
      </w:r>
      <w:r w:rsidR="000D36F1" w:rsidRPr="2D019F4B">
        <w:rPr>
          <w:i/>
          <w:iCs/>
        </w:rPr>
        <w:t xml:space="preserve">historically underserved families </w:t>
      </w:r>
      <w:r w:rsidR="0070784B" w:rsidRPr="2D019F4B">
        <w:rPr>
          <w:i/>
          <w:iCs/>
        </w:rPr>
        <w:t>in</w:t>
      </w:r>
      <w:r w:rsidR="000D36F1" w:rsidRPr="2D019F4B">
        <w:rPr>
          <w:i/>
          <w:iCs/>
        </w:rPr>
        <w:t xml:space="preserve"> school- and district-level decision</w:t>
      </w:r>
      <w:r w:rsidR="001D1FD8">
        <w:rPr>
          <w:i/>
          <w:iCs/>
        </w:rPr>
        <w:t>-</w:t>
      </w:r>
      <w:r w:rsidR="000D36F1" w:rsidRPr="2D019F4B">
        <w:rPr>
          <w:i/>
          <w:iCs/>
        </w:rPr>
        <w:t xml:space="preserve">making. </w:t>
      </w:r>
    </w:p>
    <w:p w14:paraId="1DC738E6" w14:textId="77ECEFDB" w:rsidR="008D6102" w:rsidRPr="00CB0607" w:rsidRDefault="00FA53C9" w:rsidP="00E94776">
      <w:pPr>
        <w:pStyle w:val="BodyText"/>
        <w:rPr>
          <w:bCs/>
        </w:rPr>
      </w:pPr>
      <w:r w:rsidRPr="00570C12">
        <w:t>For r</w:t>
      </w:r>
      <w:r>
        <w:t xml:space="preserve">elated resources, </w:t>
      </w:r>
      <w:r w:rsidRPr="00570C12">
        <w:t xml:space="preserve">see </w:t>
      </w:r>
      <w:r w:rsidRPr="00145EF1">
        <w:t>Appendix C</w:t>
      </w:r>
      <w:r w:rsidRPr="00570C12">
        <w:t>.</w:t>
      </w:r>
      <w:r w:rsidR="008D6102" w:rsidRPr="00CB0607">
        <w:rPr>
          <w:bCs/>
        </w:rPr>
        <w:br w:type="page"/>
      </w:r>
    </w:p>
    <w:p w14:paraId="7EDE9323" w14:textId="77777777" w:rsidR="008D6102" w:rsidRPr="00CB0607" w:rsidRDefault="008D6102" w:rsidP="00E94776">
      <w:pPr>
        <w:pStyle w:val="Heading2"/>
      </w:pPr>
      <w:bookmarkStart w:id="30" w:name="_Curriculum_and_Instruction"/>
      <w:bookmarkStart w:id="31" w:name="_Toc101446228"/>
      <w:bookmarkStart w:id="32" w:name="_Toc235104376"/>
      <w:bookmarkStart w:id="33" w:name="_Toc235104451"/>
      <w:bookmarkEnd w:id="30"/>
      <w:r w:rsidRPr="00CB0607">
        <w:lastRenderedPageBreak/>
        <w:t xml:space="preserve">Curriculum and </w:t>
      </w:r>
      <w:r w:rsidRPr="00E94776">
        <w:t>Instruction</w:t>
      </w:r>
      <w:bookmarkEnd w:id="31"/>
      <w:bookmarkEnd w:id="32"/>
      <w:bookmarkEnd w:id="33"/>
    </w:p>
    <w:p w14:paraId="42A71F23" w14:textId="77777777" w:rsidR="00F545F7" w:rsidRDefault="00F545F7" w:rsidP="00E94776">
      <w:pPr>
        <w:pStyle w:val="BodyTextposthead"/>
      </w:pPr>
      <w:r w:rsidRPr="003C2063">
        <w:t>This section examines the extent to which district leaders have established a shared instructional vision</w:t>
      </w:r>
      <w:r>
        <w:t xml:space="preserve"> that is</w:t>
      </w:r>
      <w:r w:rsidRPr="003C2063">
        <w:t xml:space="preserve"> anchored in culturally and linguistically sustaining practices</w:t>
      </w:r>
      <w:r>
        <w:t xml:space="preserve"> and</w:t>
      </w:r>
      <w:r w:rsidRPr="003C2063">
        <w:t xml:space="preserve"> guides all curricular and instructional decisions toward equitable outcomes for all students. </w:t>
      </w:r>
      <w:r>
        <w:t>This section</w:t>
      </w:r>
      <w:r w:rsidRPr="003C2063">
        <w:t xml:space="preserve"> also focuses on the extent to which the district pairs high</w:t>
      </w:r>
      <w:r>
        <w:t>-</w:t>
      </w:r>
      <w:r w:rsidRPr="003C2063">
        <w:t>quality curriculum and instructional materials and high expectations for all students with individualized supports</w:t>
      </w:r>
      <w:r>
        <w:t>,</w:t>
      </w:r>
      <w:r w:rsidRPr="003C2063">
        <w:t xml:space="preserve"> so that every student can engage in deeper learning and develop the knowledge and skills that will prepare them to succeed in college and/or the workplace.</w:t>
      </w:r>
    </w:p>
    <w:p w14:paraId="654F2607" w14:textId="710980BC" w:rsidR="000B66C1" w:rsidRPr="00CB0607" w:rsidRDefault="000B66C1" w:rsidP="00E94776">
      <w:pPr>
        <w:pStyle w:val="BodyText"/>
      </w:pPr>
      <w:r w:rsidRPr="00CB0607">
        <w:t xml:space="preserve">Table </w:t>
      </w:r>
      <w:r w:rsidR="00BD049B">
        <w:t>3</w:t>
      </w:r>
      <w:r w:rsidR="00BD049B" w:rsidRPr="00CB0607">
        <w:t xml:space="preserve"> </w:t>
      </w:r>
      <w:r w:rsidRPr="00CB0607">
        <w:t>summarizes key strengths and areas for growth in curriculum and instruction</w:t>
      </w:r>
      <w:r w:rsidR="00C82363">
        <w:t xml:space="preserve"> in Brockton</w:t>
      </w:r>
      <w:r w:rsidRPr="00CB0607">
        <w:t>.</w:t>
      </w:r>
    </w:p>
    <w:p w14:paraId="7925A4CF" w14:textId="55FE6BC2" w:rsidR="00473308" w:rsidRPr="00CB0607" w:rsidRDefault="00473308" w:rsidP="00E94776">
      <w:pPr>
        <w:pStyle w:val="TableTitle0"/>
      </w:pPr>
      <w:r w:rsidRPr="00CB0607">
        <w:t xml:space="preserve">Table </w:t>
      </w:r>
      <w:r w:rsidR="00163C7A">
        <w:t>3</w:t>
      </w:r>
      <w:r w:rsidRPr="00CB0607">
        <w:t xml:space="preserve">. Summary of </w:t>
      </w:r>
      <w:r w:rsidR="000B66C1" w:rsidRPr="00CB0607">
        <w:t xml:space="preserve">Key Strengths </w:t>
      </w:r>
      <w:r w:rsidRPr="00CB0607">
        <w:t xml:space="preserve">and </w:t>
      </w:r>
      <w:r w:rsidR="000B66C1" w:rsidRPr="00CB0607">
        <w:t xml:space="preserve">Areas </w:t>
      </w:r>
      <w:r w:rsidRPr="00CB0607">
        <w:t xml:space="preserve">for </w:t>
      </w:r>
      <w:r w:rsidR="000B66C1" w:rsidRPr="00CB0607">
        <w:t>Growth:</w:t>
      </w:r>
      <w:r w:rsidRPr="00CB0607">
        <w:t xml:space="preserve"> Curriculum and Instruction</w:t>
      </w:r>
      <w:r w:rsidR="00C0766E" w:rsidRPr="00CB0607">
        <w:t xml:space="preserve"> Standard</w:t>
      </w:r>
    </w:p>
    <w:tbl>
      <w:tblPr>
        <w:tblStyle w:val="MSVTable1"/>
        <w:tblW w:w="5000" w:type="pct"/>
        <w:tblLook w:val="04A0" w:firstRow="1" w:lastRow="0" w:firstColumn="1" w:lastColumn="0" w:noHBand="0" w:noVBand="1"/>
        <w:tblCaption w:val="Table 3. Summary of Key Strengths and Areas for Growth: Curriculum and Instruction Standard"/>
        <w:tblDescription w:val="Summary of Key Strengths and Areas for Growth: Curriculum and Instruction Standard"/>
      </w:tblPr>
      <w:tblGrid>
        <w:gridCol w:w="1974"/>
        <w:gridCol w:w="3958"/>
        <w:gridCol w:w="3412"/>
      </w:tblGrid>
      <w:tr w:rsidR="00473308" w:rsidRPr="00CB0607" w14:paraId="24E33970" w14:textId="77777777" w:rsidTr="00C0215C">
        <w:trPr>
          <w:cnfStyle w:val="100000000000" w:firstRow="1" w:lastRow="0" w:firstColumn="0" w:lastColumn="0" w:oddVBand="0" w:evenVBand="0" w:oddHBand="0" w:evenHBand="0" w:firstRowFirstColumn="0" w:firstRowLastColumn="0" w:lastRowFirstColumn="0" w:lastRowLastColumn="0"/>
          <w:tblHeader/>
        </w:trPr>
        <w:tc>
          <w:tcPr>
            <w:tcW w:w="1056" w:type="pct"/>
          </w:tcPr>
          <w:p w14:paraId="34309A87" w14:textId="77777777" w:rsidR="00473308" w:rsidRPr="007A5049" w:rsidRDefault="00473308" w:rsidP="00E94776">
            <w:pPr>
              <w:pStyle w:val="TableColHeadingCenter"/>
            </w:pPr>
            <w:r w:rsidRPr="007A5049">
              <w:t>Indicator</w:t>
            </w:r>
          </w:p>
        </w:tc>
        <w:tc>
          <w:tcPr>
            <w:tcW w:w="2118" w:type="pct"/>
          </w:tcPr>
          <w:p w14:paraId="47A4F44D" w14:textId="77777777" w:rsidR="00473308" w:rsidRPr="00E94776" w:rsidRDefault="00473308" w:rsidP="00E94776">
            <w:pPr>
              <w:pStyle w:val="TableColHeadingCenter"/>
            </w:pPr>
            <w:r w:rsidRPr="00E94776">
              <w:t>Strengths</w:t>
            </w:r>
          </w:p>
        </w:tc>
        <w:tc>
          <w:tcPr>
            <w:tcW w:w="1826" w:type="pct"/>
          </w:tcPr>
          <w:p w14:paraId="1E3CFDD9" w14:textId="5DA986FA" w:rsidR="00473308" w:rsidRPr="00E94776" w:rsidRDefault="00473308" w:rsidP="00E94776">
            <w:pPr>
              <w:pStyle w:val="TableColHeadingCenter"/>
            </w:pPr>
            <w:r w:rsidRPr="00E94776">
              <w:t xml:space="preserve">Areas for </w:t>
            </w:r>
            <w:r w:rsidR="000B66C1" w:rsidRPr="00E94776">
              <w:t>g</w:t>
            </w:r>
            <w:r w:rsidRPr="00E94776">
              <w:t>rowth</w:t>
            </w:r>
          </w:p>
        </w:tc>
      </w:tr>
      <w:tr w:rsidR="00473308" w:rsidRPr="00CB0607" w14:paraId="1369F705" w14:textId="77777777" w:rsidTr="00C0215C">
        <w:trPr>
          <w:cnfStyle w:val="000000100000" w:firstRow="0" w:lastRow="0" w:firstColumn="0" w:lastColumn="0" w:oddVBand="0" w:evenVBand="0" w:oddHBand="1" w:evenHBand="0" w:firstRowFirstColumn="0" w:firstRowLastColumn="0" w:lastRowFirstColumn="0" w:lastRowLastColumn="0"/>
        </w:trPr>
        <w:tc>
          <w:tcPr>
            <w:tcW w:w="1056" w:type="pct"/>
          </w:tcPr>
          <w:p w14:paraId="3C1F3BBB" w14:textId="06CE8C3D" w:rsidR="00473308" w:rsidRPr="00E94776" w:rsidRDefault="0037284E" w:rsidP="00E94776">
            <w:pPr>
              <w:pStyle w:val="TableSubheading"/>
            </w:pPr>
            <w:hyperlink w:anchor="_Instructional_Leadership" w:history="1">
              <w:r w:rsidRPr="00E94776">
                <w:rPr>
                  <w:rStyle w:val="Hyperlink"/>
                  <w:color w:val="auto"/>
                  <w:u w:val="none"/>
                </w:rPr>
                <w:t>Instructional Leadership</w:t>
              </w:r>
            </w:hyperlink>
          </w:p>
        </w:tc>
        <w:tc>
          <w:tcPr>
            <w:tcW w:w="2118" w:type="pct"/>
          </w:tcPr>
          <w:p w14:paraId="4EBC7B6F" w14:textId="50AF1A75" w:rsidR="00473308" w:rsidRPr="00FC3AEF" w:rsidRDefault="00373E48" w:rsidP="00FC3AEF">
            <w:pPr>
              <w:pStyle w:val="TableBullet1"/>
            </w:pPr>
            <w:r>
              <w:t xml:space="preserve">The </w:t>
            </w:r>
            <w:r w:rsidR="00170A28">
              <w:t xml:space="preserve">district is implementing </w:t>
            </w:r>
            <w:r w:rsidR="00585C87" w:rsidRPr="00FC3AEF">
              <w:t>and monitoring instruction</w:t>
            </w:r>
            <w:r w:rsidR="00585C87">
              <w:t xml:space="preserve"> through a</w:t>
            </w:r>
            <w:r w:rsidR="00FC3AEF" w:rsidRPr="00FC3AEF">
              <w:t>ligned walkthrough tools, tiered coaching model, and data-informed professional learning</w:t>
            </w:r>
            <w:r w:rsidR="00C97C5E">
              <w:t>.</w:t>
            </w:r>
            <w:r w:rsidR="00FC3AEF" w:rsidRPr="00FC3AEF">
              <w:t xml:space="preserve"> </w:t>
            </w:r>
          </w:p>
        </w:tc>
        <w:tc>
          <w:tcPr>
            <w:tcW w:w="1826" w:type="pct"/>
          </w:tcPr>
          <w:p w14:paraId="2FD82E03" w14:textId="05F5AD60" w:rsidR="00473308" w:rsidRPr="00FC3AEF" w:rsidRDefault="0000363F" w:rsidP="00FC3AEF">
            <w:pPr>
              <w:pStyle w:val="TableBullet1"/>
            </w:pPr>
            <w:r>
              <w:t>N/A</w:t>
            </w:r>
          </w:p>
        </w:tc>
      </w:tr>
      <w:tr w:rsidR="00473308" w:rsidRPr="00CB0607" w14:paraId="6F5158ED" w14:textId="77777777" w:rsidTr="00C0215C">
        <w:tc>
          <w:tcPr>
            <w:tcW w:w="1056" w:type="pct"/>
          </w:tcPr>
          <w:p w14:paraId="63362AB2" w14:textId="1DEE2BF2" w:rsidR="00473308" w:rsidRPr="00E94776" w:rsidRDefault="008722B8" w:rsidP="00E94776">
            <w:pPr>
              <w:pStyle w:val="TableSubheading"/>
            </w:pPr>
            <w:hyperlink w:anchor="_Curriculum_and_Instructional" w:history="1">
              <w:r w:rsidRPr="00E94776">
                <w:rPr>
                  <w:rStyle w:val="Hyperlink"/>
                  <w:color w:val="auto"/>
                  <w:u w:val="none"/>
                </w:rPr>
                <w:t>Curriculum and Instructional Materials</w:t>
              </w:r>
            </w:hyperlink>
          </w:p>
        </w:tc>
        <w:tc>
          <w:tcPr>
            <w:tcW w:w="2118" w:type="pct"/>
          </w:tcPr>
          <w:p w14:paraId="771DB565" w14:textId="14F425D5" w:rsidR="00FC3AEF" w:rsidRPr="00FC3AEF" w:rsidRDefault="00170A28" w:rsidP="00FC3AEF">
            <w:pPr>
              <w:pStyle w:val="TableBullet1"/>
            </w:pPr>
            <w:r>
              <w:t>Brockton uses a</w:t>
            </w:r>
            <w:r w:rsidR="00FC3AEF" w:rsidRPr="00FC3AEF">
              <w:t xml:space="preserve"> documented, equity-driven curriculum review and selection process, </w:t>
            </w:r>
            <w:r w:rsidR="004C2C7E">
              <w:t>that</w:t>
            </w:r>
            <w:r w:rsidR="004C2C7E" w:rsidRPr="00FC3AEF">
              <w:t xml:space="preserve"> </w:t>
            </w:r>
            <w:r w:rsidR="00FC3AEF" w:rsidRPr="00FC3AEF">
              <w:t>incorporates HQIM quality indicators, diverse stakeholder involvement, and a structured pilot phase.</w:t>
            </w:r>
          </w:p>
          <w:p w14:paraId="27E8B156" w14:textId="2C3A781C" w:rsidR="00473308" w:rsidRPr="00FC3AEF" w:rsidRDefault="00A03D23" w:rsidP="004C2C7E">
            <w:pPr>
              <w:pStyle w:val="TableBullet1"/>
            </w:pPr>
            <w:r>
              <w:t xml:space="preserve">The district strives </w:t>
            </w:r>
            <w:r w:rsidR="00FC3AEF" w:rsidRPr="00FC3AEF">
              <w:t>to ensure curricular materials meet the needs of all learners, including students who are English learners and students with disabilities</w:t>
            </w:r>
            <w:r w:rsidR="004C2C7E">
              <w:t>.</w:t>
            </w:r>
          </w:p>
        </w:tc>
        <w:tc>
          <w:tcPr>
            <w:tcW w:w="1826" w:type="pct"/>
          </w:tcPr>
          <w:p w14:paraId="24E7E538" w14:textId="32BA835B" w:rsidR="00473308" w:rsidRPr="00FC3AEF" w:rsidRDefault="00C0215C" w:rsidP="0085260C">
            <w:pPr>
              <w:pStyle w:val="TableBullet1"/>
              <w:spacing w:line="259" w:lineRule="auto"/>
            </w:pPr>
            <w:r>
              <w:t>N/A</w:t>
            </w:r>
          </w:p>
        </w:tc>
      </w:tr>
      <w:tr w:rsidR="00473308" w:rsidRPr="00CB0607" w14:paraId="2815FD55" w14:textId="77777777" w:rsidTr="00C0215C">
        <w:trPr>
          <w:cnfStyle w:val="000000100000" w:firstRow="0" w:lastRow="0" w:firstColumn="0" w:lastColumn="0" w:oddVBand="0" w:evenVBand="0" w:oddHBand="1" w:evenHBand="0" w:firstRowFirstColumn="0" w:firstRowLastColumn="0" w:lastRowFirstColumn="0" w:lastRowLastColumn="0"/>
        </w:trPr>
        <w:tc>
          <w:tcPr>
            <w:tcW w:w="1056" w:type="pct"/>
          </w:tcPr>
          <w:p w14:paraId="1ECD7628" w14:textId="19BE3BC3" w:rsidR="00473308" w:rsidRPr="00E94776" w:rsidRDefault="00320588" w:rsidP="00E94776">
            <w:pPr>
              <w:pStyle w:val="TableSubheading"/>
            </w:pPr>
            <w:hyperlink w:anchor="_Equitable_Practices_and" w:history="1">
              <w:r w:rsidRPr="00E94776">
                <w:rPr>
                  <w:rStyle w:val="Hyperlink"/>
                  <w:color w:val="auto"/>
                  <w:u w:val="none"/>
                </w:rPr>
                <w:t>Equitable Practices and</w:t>
              </w:r>
              <w:r w:rsidR="00473308" w:rsidRPr="00E94776">
                <w:rPr>
                  <w:rStyle w:val="Hyperlink"/>
                  <w:color w:val="auto"/>
                  <w:u w:val="none"/>
                </w:rPr>
                <w:t xml:space="preserve"> </w:t>
              </w:r>
              <w:r w:rsidRPr="00E94776">
                <w:rPr>
                  <w:rStyle w:val="Hyperlink"/>
                  <w:color w:val="auto"/>
                  <w:u w:val="none"/>
                </w:rPr>
                <w:t>A</w:t>
              </w:r>
              <w:r w:rsidR="00473308" w:rsidRPr="00E94776">
                <w:rPr>
                  <w:rStyle w:val="Hyperlink"/>
                  <w:color w:val="auto"/>
                  <w:u w:val="none"/>
                </w:rPr>
                <w:t>ccess</w:t>
              </w:r>
            </w:hyperlink>
          </w:p>
        </w:tc>
        <w:tc>
          <w:tcPr>
            <w:tcW w:w="2118" w:type="pct"/>
          </w:tcPr>
          <w:p w14:paraId="1B833862" w14:textId="17F21123" w:rsidR="00FC3AEF" w:rsidRPr="00FC3AEF" w:rsidRDefault="00A03D23" w:rsidP="00FC3AEF">
            <w:pPr>
              <w:pStyle w:val="TableBullet1"/>
            </w:pPr>
            <w:r>
              <w:t>The district uses</w:t>
            </w:r>
            <w:r w:rsidR="00FC3AEF" w:rsidRPr="00FC3AEF">
              <w:t xml:space="preserve"> a variety of academic interventions</w:t>
            </w:r>
            <w:r w:rsidR="0042789F">
              <w:t xml:space="preserve"> informed by</w:t>
            </w:r>
            <w:r w:rsidR="00FC3AEF" w:rsidRPr="00FC3AEF">
              <w:t xml:space="preserve"> data collection and review</w:t>
            </w:r>
            <w:r w:rsidR="00411609">
              <w:t>.</w:t>
            </w:r>
          </w:p>
          <w:p w14:paraId="25D7F32B" w14:textId="12168DA5" w:rsidR="00FC3AEF" w:rsidRPr="00FC3AEF" w:rsidRDefault="00A03D23" w:rsidP="00C0215C">
            <w:pPr>
              <w:pStyle w:val="TableBullet1"/>
            </w:pPr>
            <w:r>
              <w:t>There is a d</w:t>
            </w:r>
            <w:r w:rsidR="00FC3AEF" w:rsidRPr="00FC3AEF">
              <w:t>istrictwide focus on English learner instruction, specifically related to developing systems, structures, and supports available to teachers to improve instruction for English learners.</w:t>
            </w:r>
          </w:p>
        </w:tc>
        <w:tc>
          <w:tcPr>
            <w:tcW w:w="1826" w:type="pct"/>
          </w:tcPr>
          <w:p w14:paraId="3F011882" w14:textId="09B5660A" w:rsidR="00473308" w:rsidRPr="00FC3AEF" w:rsidRDefault="00FC48D7" w:rsidP="00FC48D7">
            <w:pPr>
              <w:pStyle w:val="TableBullet1"/>
            </w:pPr>
            <w:r>
              <w:t>N/A</w:t>
            </w:r>
          </w:p>
        </w:tc>
      </w:tr>
      <w:tr w:rsidR="0037284E" w:rsidRPr="00CB0607" w14:paraId="0EC4A794" w14:textId="77777777" w:rsidTr="00C0215C">
        <w:tc>
          <w:tcPr>
            <w:tcW w:w="1056" w:type="pct"/>
          </w:tcPr>
          <w:p w14:paraId="78BB75FC" w14:textId="3B30DC47" w:rsidR="0037284E" w:rsidRPr="00E94776" w:rsidRDefault="00320588" w:rsidP="00E94776">
            <w:pPr>
              <w:pStyle w:val="TableSubheading"/>
            </w:pPr>
            <w:hyperlink w:anchor="_Effective_Instruction_and" w:history="1">
              <w:r w:rsidRPr="00E94776">
                <w:rPr>
                  <w:rStyle w:val="Hyperlink"/>
                  <w:color w:val="auto"/>
                  <w:u w:val="none"/>
                </w:rPr>
                <w:t>Effective Instruction and Curricular Implementation</w:t>
              </w:r>
            </w:hyperlink>
          </w:p>
        </w:tc>
        <w:tc>
          <w:tcPr>
            <w:tcW w:w="2118" w:type="pct"/>
          </w:tcPr>
          <w:p w14:paraId="4AAA2C06" w14:textId="3A4B62F3" w:rsidR="0037284E" w:rsidRPr="00FC3AEF" w:rsidRDefault="00A03D23" w:rsidP="00411609">
            <w:pPr>
              <w:pStyle w:val="TableBullet1"/>
            </w:pPr>
            <w:r>
              <w:t>Brockton</w:t>
            </w:r>
            <w:r w:rsidR="00A06EBF">
              <w:t>’s classroom culture is w</w:t>
            </w:r>
            <w:r w:rsidR="00FC3AEF" w:rsidRPr="00FC3AEF">
              <w:t xml:space="preserve">arm, well-managed, and supportive </w:t>
            </w:r>
            <w:r w:rsidR="00A06EBF">
              <w:t>of students</w:t>
            </w:r>
            <w:r w:rsidR="00411609">
              <w:t>.</w:t>
            </w:r>
          </w:p>
        </w:tc>
        <w:tc>
          <w:tcPr>
            <w:tcW w:w="1826" w:type="pct"/>
          </w:tcPr>
          <w:p w14:paraId="7D67B62C" w14:textId="54D314CB" w:rsidR="0037284E" w:rsidRPr="00FC3AEF" w:rsidRDefault="00FC3AEF" w:rsidP="00411609">
            <w:pPr>
              <w:pStyle w:val="TableBullet1"/>
            </w:pPr>
            <w:r w:rsidRPr="00FC3AEF">
              <w:t>Consistently providing opportunities for students to engage in deeper learning, including through higher</w:t>
            </w:r>
            <w:r w:rsidR="00077221">
              <w:t>-</w:t>
            </w:r>
            <w:r w:rsidRPr="00FC3AEF">
              <w:t>order questioning, student-driven academic dialogue, and feedback practices that scaffold and extend student thinking</w:t>
            </w:r>
          </w:p>
        </w:tc>
      </w:tr>
    </w:tbl>
    <w:p w14:paraId="6EA47201" w14:textId="037DF866" w:rsidR="00473308" w:rsidRDefault="0037284E" w:rsidP="00322B2C">
      <w:pPr>
        <w:pStyle w:val="Heading3"/>
      </w:pPr>
      <w:bookmarkStart w:id="34" w:name="_Curriculum_Selection_and"/>
      <w:bookmarkStart w:id="35" w:name="_Instructional_Leadership"/>
      <w:bookmarkEnd w:id="34"/>
      <w:bookmarkEnd w:id="35"/>
      <w:r>
        <w:lastRenderedPageBreak/>
        <w:t xml:space="preserve">Instructional </w:t>
      </w:r>
      <w:r w:rsidRPr="00322B2C">
        <w:t>Leadership</w:t>
      </w:r>
    </w:p>
    <w:p w14:paraId="6E83BC9F" w14:textId="109C5C44" w:rsidR="00D86641" w:rsidRPr="00B97C94" w:rsidRDefault="41D406BD" w:rsidP="00322B2C">
      <w:pPr>
        <w:pStyle w:val="BodyTextposthead"/>
      </w:pPr>
      <w:bookmarkStart w:id="36" w:name="_Classroom_Instruction"/>
      <w:bookmarkEnd w:id="36"/>
      <w:r>
        <w:t xml:space="preserve">Brockton maintains a central office curriculum and instruction team organized to support teaching and learning across grade levels and content areas. The team includes </w:t>
      </w:r>
      <w:r w:rsidR="76D3D259">
        <w:t xml:space="preserve">assistant </w:t>
      </w:r>
      <w:r>
        <w:t xml:space="preserve">superintendents for </w:t>
      </w:r>
      <w:r w:rsidR="002F6E34">
        <w:t>T</w:t>
      </w:r>
      <w:r>
        <w:t xml:space="preserve">eaching and </w:t>
      </w:r>
      <w:r w:rsidR="002F6E34">
        <w:t>L</w:t>
      </w:r>
      <w:r>
        <w:t xml:space="preserve">earning </w:t>
      </w:r>
      <w:r w:rsidR="002F6E34">
        <w:t>(</w:t>
      </w:r>
      <w:r w:rsidR="00613A09">
        <w:t xml:space="preserve">grades </w:t>
      </w:r>
      <w:r>
        <w:t>K</w:t>
      </w:r>
      <w:r w:rsidR="002F6E34">
        <w:t>-</w:t>
      </w:r>
      <w:r>
        <w:t>8 and secondary levels</w:t>
      </w:r>
      <w:r w:rsidR="002F6E34">
        <w:t>);</w:t>
      </w:r>
      <w:r>
        <w:t xml:space="preserve"> curriculum coordinators organized by content area and grade span</w:t>
      </w:r>
      <w:r w:rsidR="002F6E34">
        <w:t xml:space="preserve">; </w:t>
      </w:r>
      <w:r>
        <w:t>language acquisition coaches</w:t>
      </w:r>
      <w:r w:rsidR="002F6E34">
        <w:t xml:space="preserve">; science, technology, engineering, mathematics </w:t>
      </w:r>
      <w:r w:rsidR="002C448E">
        <w:t xml:space="preserve">(STEM) </w:t>
      </w:r>
      <w:r>
        <w:t>coaches</w:t>
      </w:r>
      <w:r w:rsidR="002F6E34">
        <w:t>;</w:t>
      </w:r>
      <w:r>
        <w:t xml:space="preserve"> and literacy coaches embedded in schools to provide direct instructional support.</w:t>
      </w:r>
    </w:p>
    <w:p w14:paraId="385BCCB5" w14:textId="261B5E1A" w:rsidR="00D86641" w:rsidRPr="00B97C94" w:rsidRDefault="41D406BD" w:rsidP="1AB72182">
      <w:pPr>
        <w:pStyle w:val="BodyText"/>
      </w:pPr>
      <w:r>
        <w:t>District curriculum and instruction</w:t>
      </w:r>
      <w:r w:rsidR="00F01473">
        <w:t>al</w:t>
      </w:r>
      <w:r>
        <w:t xml:space="preserve"> leaders reported that the district's instructional priority over the past several years has centered on literacy, with explicit attention to the science of reading and to ensuring access for English </w:t>
      </w:r>
      <w:r w:rsidR="002B07D8">
        <w:t>L</w:t>
      </w:r>
      <w:r>
        <w:t xml:space="preserve">earners and students with disabilities. </w:t>
      </w:r>
      <w:r w:rsidR="55BFCE7F">
        <w:t xml:space="preserve">In this way, the district’s instructional focus aligns with its mission and strategic priorities by advancing equitable, high-quality instruction for all students. </w:t>
      </w:r>
      <w:r>
        <w:t xml:space="preserve">Leaders described this focus as shaping districtwide professional learning structures, walkthrough feedback language, and curriculum selection decisions. </w:t>
      </w:r>
      <w:r w:rsidR="3B580E57">
        <w:t xml:space="preserve">District staff </w:t>
      </w:r>
      <w:r w:rsidR="4C096DC6">
        <w:t xml:space="preserve">also </w:t>
      </w:r>
      <w:r w:rsidR="079657C5">
        <w:t xml:space="preserve">noted </w:t>
      </w:r>
      <w:r w:rsidR="3B580E57">
        <w:t>shared walkthrough language and a common observational tool</w:t>
      </w:r>
      <w:r w:rsidR="00FC5C69">
        <w:t xml:space="preserve"> that is </w:t>
      </w:r>
      <w:r w:rsidR="3B580E57">
        <w:t xml:space="preserve">used across the district to ensure consistency around implementation of instructional goals and priorities. </w:t>
      </w:r>
      <w:r w:rsidR="005F2C1C">
        <w:t>Furthermore, t</w:t>
      </w:r>
      <w:r w:rsidR="2A214303">
        <w:t xml:space="preserve">hey </w:t>
      </w:r>
      <w:r w:rsidR="233752C0">
        <w:t xml:space="preserve">explained </w:t>
      </w:r>
      <w:r w:rsidR="2A214303">
        <w:t>how the districtwide instructional focus governs professional learning throughout the year, with learning walk</w:t>
      </w:r>
      <w:r w:rsidR="00FC5C69">
        <w:t>through</w:t>
      </w:r>
      <w:r w:rsidR="2A214303">
        <w:t xml:space="preserve"> data used to differentiate support by school and grade level. Principals</w:t>
      </w:r>
      <w:r>
        <w:t xml:space="preserve"> </w:t>
      </w:r>
      <w:r w:rsidR="5C0972AF">
        <w:t>reported</w:t>
      </w:r>
      <w:r w:rsidR="009347C2">
        <w:t xml:space="preserve"> </w:t>
      </w:r>
      <w:r w:rsidR="2A214303">
        <w:t xml:space="preserve">how each </w:t>
      </w:r>
      <w:r>
        <w:t>school</w:t>
      </w:r>
      <w:r w:rsidR="00A80742">
        <w:t>’</w:t>
      </w:r>
      <w:r>
        <w:t xml:space="preserve">s instructional work </w:t>
      </w:r>
      <w:r w:rsidR="2A214303">
        <w:t xml:space="preserve">is </w:t>
      </w:r>
      <w:r>
        <w:t>aligned to district priorities</w:t>
      </w:r>
      <w:r w:rsidR="00B41DB4">
        <w:t>:</w:t>
      </w:r>
      <w:r>
        <w:t xml:space="preserve"> literacy, mathematics, culture</w:t>
      </w:r>
      <w:r w:rsidR="00B41DB4">
        <w:t>,</w:t>
      </w:r>
      <w:r>
        <w:t xml:space="preserve"> and climate. Elementary </w:t>
      </w:r>
      <w:r w:rsidR="2A214303">
        <w:t xml:space="preserve">and middle school </w:t>
      </w:r>
      <w:r>
        <w:t>teachers described district expectations for common instructional routines and shared talk structures, such as partner talk, to build consistent, districtwide instructional practices</w:t>
      </w:r>
      <w:r w:rsidR="2A214303">
        <w:t xml:space="preserve"> </w:t>
      </w:r>
      <w:r w:rsidR="16AFBD23">
        <w:t>that support the district’s instructional priorities.</w:t>
      </w:r>
    </w:p>
    <w:p w14:paraId="75193BA8" w14:textId="42B18194" w:rsidR="190DD215" w:rsidRDefault="0E441D2D" w:rsidP="00322B2C">
      <w:pPr>
        <w:pStyle w:val="BodyText"/>
      </w:pPr>
      <w:r w:rsidRPr="190DD215">
        <w:t xml:space="preserve">School leaders across the district described a high-touch, distributed approach to strengthening instruction that relies on frequent classroom presence, clear “look-fors,” and tight feedback loops. They explained that district walkthroughs are typically organized by central office leaders and content coordinators, with a focus set in advance based on each school’s development and </w:t>
      </w:r>
      <w:r w:rsidR="005B61A0">
        <w:t>SIP</w:t>
      </w:r>
      <w:r w:rsidRPr="190DD215">
        <w:t xml:space="preserve"> priorities</w:t>
      </w:r>
      <w:r w:rsidR="005B61A0">
        <w:t>. T</w:t>
      </w:r>
      <w:r w:rsidRPr="190DD215">
        <w:t xml:space="preserve">he purpose is primarily to gauge schoolwide implementation of high-quality </w:t>
      </w:r>
      <w:r w:rsidR="002C448E">
        <w:t xml:space="preserve">instructional </w:t>
      </w:r>
      <w:r w:rsidRPr="190DD215">
        <w:t xml:space="preserve">materials </w:t>
      </w:r>
      <w:r w:rsidR="002C448E">
        <w:t xml:space="preserve">(HQIM) </w:t>
      </w:r>
      <w:r w:rsidRPr="190DD215">
        <w:t>and strategies and then bring takeaways back to common planning. At the school level, principals and assistant/associate principals conduct far more frequent walkthroughs</w:t>
      </w:r>
      <w:r w:rsidR="005B61A0">
        <w:t xml:space="preserve"> than district staff,</w:t>
      </w:r>
      <w:r w:rsidRPr="190DD215">
        <w:t xml:space="preserve"> and use multiple channels for feedback, quick in-the-moment praise or coaching, follow-up emails, and regularly scheduled one-to-one support meetings, alongside formal educator evaluation. Several principals noted involving teacher leaders (e.g., </w:t>
      </w:r>
      <w:r w:rsidR="00BB0404">
        <w:t>PCLT</w:t>
      </w:r>
      <w:r w:rsidRPr="190DD215">
        <w:t xml:space="preserve"> members) in walkthroughs to </w:t>
      </w:r>
      <w:r w:rsidR="00BB0404">
        <w:t>investigate</w:t>
      </w:r>
      <w:r w:rsidR="00BB0404" w:rsidRPr="190DD215">
        <w:t xml:space="preserve"> </w:t>
      </w:r>
      <w:r w:rsidRPr="190DD215">
        <w:t>trends and guide professional learning without naming individual teachers.</w:t>
      </w:r>
    </w:p>
    <w:p w14:paraId="34C90FF9" w14:textId="42D2E2E6" w:rsidR="00D86641" w:rsidRPr="00B1622A" w:rsidRDefault="007604F6" w:rsidP="00322B2C">
      <w:pPr>
        <w:pStyle w:val="BodyText"/>
        <w:rPr>
          <w:color w:val="000000" w:themeColor="text1"/>
        </w:rPr>
      </w:pPr>
      <w:r>
        <w:t>D</w:t>
      </w:r>
      <w:r w:rsidR="00D86641">
        <w:t>istrict</w:t>
      </w:r>
      <w:r w:rsidR="009C4FD7">
        <w:t xml:space="preserve"> leaders,</w:t>
      </w:r>
      <w:r w:rsidR="00D86641">
        <w:t xml:space="preserve"> principals</w:t>
      </w:r>
      <w:r w:rsidR="009C4FD7">
        <w:t xml:space="preserve">, </w:t>
      </w:r>
      <w:r w:rsidR="00D86641">
        <w:t>and teachers broadly agreed that the district has articulated instructional priorities and is working toward common language and coherent curriculum use</w:t>
      </w:r>
      <w:r w:rsidR="002C448E">
        <w:t xml:space="preserve">. </w:t>
      </w:r>
      <w:r w:rsidR="00E02F7A">
        <w:t>A</w:t>
      </w:r>
      <w:r w:rsidR="00FF00F9">
        <w:t xml:space="preserve">ccording to the superintendent and documents, a </w:t>
      </w:r>
      <w:r w:rsidR="00D86641">
        <w:t xml:space="preserve">formally documented districtwide instructional vision statement was </w:t>
      </w:r>
      <w:r w:rsidR="00E02F7A">
        <w:t xml:space="preserve">provided to staff </w:t>
      </w:r>
      <w:r w:rsidR="00FF00F9">
        <w:t>in August and November 2025</w:t>
      </w:r>
      <w:r w:rsidR="00D86641">
        <w:t>. Practitioners at different levels described the district</w:t>
      </w:r>
      <w:r w:rsidR="009B2C25">
        <w:t>’</w:t>
      </w:r>
      <w:r w:rsidR="00D86641">
        <w:t>s vision more in terms of systems and routines</w:t>
      </w:r>
      <w:r w:rsidR="009B2C25">
        <w:t xml:space="preserve"> (e.g.,</w:t>
      </w:r>
      <w:r w:rsidR="00D86641">
        <w:t xml:space="preserve"> data use cycles, HQIM implementation, walkthrough practices</w:t>
      </w:r>
      <w:r w:rsidR="009B2C25">
        <w:t>)</w:t>
      </w:r>
      <w:r w:rsidR="00D86641">
        <w:t xml:space="preserve"> than as a single, </w:t>
      </w:r>
      <w:r w:rsidR="003801C0" w:rsidRPr="00B1622A">
        <w:rPr>
          <w:color w:val="000000" w:themeColor="text1"/>
        </w:rPr>
        <w:t>shared vision for instruction</w:t>
      </w:r>
      <w:r w:rsidR="00D86641" w:rsidRPr="00B1622A">
        <w:rPr>
          <w:color w:val="000000" w:themeColor="text1"/>
        </w:rPr>
        <w:t>.</w:t>
      </w:r>
    </w:p>
    <w:p w14:paraId="6D3EDDDD" w14:textId="6665AF61" w:rsidR="190DD215" w:rsidRDefault="00EE24ED" w:rsidP="00322B2C">
      <w:pPr>
        <w:pStyle w:val="BodyText"/>
      </w:pPr>
      <w:r>
        <w:t xml:space="preserve">When discussing </w:t>
      </w:r>
      <w:r w:rsidR="002C448E">
        <w:t>HQIM</w:t>
      </w:r>
      <w:r>
        <w:t>, t</w:t>
      </w:r>
      <w:r w:rsidR="41D406BD" w:rsidRPr="190DD215">
        <w:t xml:space="preserve">eachers described a range of supports designed to strengthen implementation of district-selected materials and instructional priorities. Elementary teachers </w:t>
      </w:r>
      <w:r w:rsidR="41D406BD" w:rsidRPr="190DD215">
        <w:lastRenderedPageBreak/>
        <w:t xml:space="preserve">reported both initial and ongoing professional development connected to new curriculum adoptions, including vendor-led training for Wonders </w:t>
      </w:r>
      <w:r w:rsidR="5EE2CEAA" w:rsidRPr="190DD215">
        <w:t xml:space="preserve">(ELA) </w:t>
      </w:r>
      <w:r w:rsidR="41D406BD" w:rsidRPr="190DD215">
        <w:t xml:space="preserve">and half-day sessions focused on writing units. Building-based coaching structures—such as literacy, STEM, and language acquisition coaches—provide embedded professional learning through lesson modeling, coteaching, and collaborative planning. Teachers also highlighted external partnership support through the Hill for Literacy, which offered model lessons and facilitated collaborative planning during common professional development time. At the middle school level, teachers described inquiry cycles within content teams in which they select standards, teach lessons, analyze student work and misconceptions, and adjust </w:t>
      </w:r>
      <w:bookmarkStart w:id="37" w:name="_Int_yMKLHNem"/>
      <w:r w:rsidR="41D406BD" w:rsidRPr="190DD215">
        <w:t>instruction</w:t>
      </w:r>
      <w:bookmarkEnd w:id="37"/>
      <w:r w:rsidR="41D406BD" w:rsidRPr="190DD215">
        <w:t xml:space="preserve"> accordingly, reflecting a structured approach to continuous improvement.</w:t>
      </w:r>
    </w:p>
    <w:p w14:paraId="65A68AB7" w14:textId="43043205" w:rsidR="00FC3AEF" w:rsidRPr="00B1622A" w:rsidRDefault="41D406BD" w:rsidP="2D019F4B">
      <w:pPr>
        <w:pStyle w:val="BodyText"/>
        <w:rPr>
          <w:color w:val="000000" w:themeColor="text1"/>
        </w:rPr>
      </w:pPr>
      <w:r>
        <w:t xml:space="preserve">District curriculum and instruction leaders described a coordinated system for monitoring </w:t>
      </w:r>
      <w:r w:rsidR="1F7B8757">
        <w:t xml:space="preserve">curricular </w:t>
      </w:r>
      <w:r>
        <w:t>implementation and using evidence to inform improvement</w:t>
      </w:r>
      <w:r w:rsidR="00EE24ED">
        <w:t xml:space="preserve"> efforts</w:t>
      </w:r>
      <w:r>
        <w:t>. Regular learning walk</w:t>
      </w:r>
      <w:r w:rsidR="00DC1E7B">
        <w:t>throughs</w:t>
      </w:r>
      <w:r>
        <w:t xml:space="preserve"> conducted with principals are aligned to the </w:t>
      </w:r>
      <w:r w:rsidR="7B8F121D" w:rsidRPr="2D019F4B">
        <w:rPr>
          <w:rFonts w:eastAsiaTheme="minorEastAsia"/>
        </w:rPr>
        <w:t>DESE Content Agnostic Classroom Observation Walkthrough Tool</w:t>
      </w:r>
      <w:r w:rsidRPr="2D019F4B">
        <w:rPr>
          <w:rFonts w:eastAsiaTheme="minorEastAsia"/>
        </w:rPr>
        <w:t xml:space="preserve"> </w:t>
      </w:r>
      <w:r>
        <w:t xml:space="preserve">and curriculum-specific indicators to build shared understanding of </w:t>
      </w:r>
      <w:r w:rsidR="00DC1E7B">
        <w:t>HQIM</w:t>
      </w:r>
      <w:r>
        <w:t>. District leaders, including the superintendent and assistant superintendent, participate in walkthroughs alongside content coordinators</w:t>
      </w:r>
      <w:r w:rsidR="00287944">
        <w:t>. They</w:t>
      </w:r>
      <w:r>
        <w:t xml:space="preserve"> provide reports used for course correction, such as addressing barriers to student access to digital materials. Teachers and leaders across levels described frequent use of STAR benchmarks and common assessments to inform instructional decisions and collaborative work. While district leaders reported embedding measurable goals into </w:t>
      </w:r>
      <w:r w:rsidR="00287944">
        <w:t>SIP</w:t>
      </w:r>
      <w:r w:rsidR="006159E7">
        <w:t>s</w:t>
      </w:r>
      <w:r>
        <w:t xml:space="preserve"> and monitoring progress against those goals, they also acknowledged that some data tracking systems </w:t>
      </w:r>
      <w:r w:rsidRPr="00B1622A">
        <w:rPr>
          <w:color w:val="000000" w:themeColor="text1"/>
        </w:rPr>
        <w:t xml:space="preserve">are still being </w:t>
      </w:r>
      <w:r w:rsidR="00040447" w:rsidRPr="00B1622A">
        <w:rPr>
          <w:color w:val="000000" w:themeColor="text1"/>
        </w:rPr>
        <w:t>refined</w:t>
      </w:r>
      <w:r w:rsidRPr="00B1622A">
        <w:rPr>
          <w:color w:val="000000" w:themeColor="text1"/>
        </w:rPr>
        <w:t xml:space="preserve">, which may limit consistency across program areas. Overall, the district’s aligned walkthrough tools, tiered coaching model, and data-informed professional learning represent strengths in </w:t>
      </w:r>
      <w:r w:rsidR="00FC3AEF" w:rsidRPr="00B1622A">
        <w:rPr>
          <w:color w:val="000000" w:themeColor="text1"/>
        </w:rPr>
        <w:t xml:space="preserve">the </w:t>
      </w:r>
      <w:r w:rsidRPr="00B1622A">
        <w:rPr>
          <w:color w:val="000000" w:themeColor="text1"/>
        </w:rPr>
        <w:t>implementation and monitoring</w:t>
      </w:r>
      <w:r w:rsidR="00FC3AEF" w:rsidRPr="00B1622A">
        <w:rPr>
          <w:color w:val="000000" w:themeColor="text1"/>
        </w:rPr>
        <w:t xml:space="preserve"> of instruction</w:t>
      </w:r>
      <w:r w:rsidR="648744BD" w:rsidRPr="00B1622A">
        <w:rPr>
          <w:color w:val="000000" w:themeColor="text1"/>
        </w:rPr>
        <w:t>.</w:t>
      </w:r>
      <w:bookmarkStart w:id="38" w:name="_Curriculum_and_Instructional"/>
      <w:bookmarkEnd w:id="38"/>
      <w:r w:rsidR="00FC3AEF" w:rsidRPr="00B1622A">
        <w:rPr>
          <w:color w:val="000000" w:themeColor="text1"/>
        </w:rPr>
        <w:t xml:space="preserve"> </w:t>
      </w:r>
    </w:p>
    <w:p w14:paraId="68501147" w14:textId="2A003964" w:rsidR="00473308" w:rsidRDefault="044905CC" w:rsidP="00FC3AEF">
      <w:pPr>
        <w:pStyle w:val="Heading3"/>
      </w:pPr>
      <w:r>
        <w:t>C</w:t>
      </w:r>
      <w:r w:rsidR="793C9730">
        <w:t>urriculum and Instructional Materials</w:t>
      </w:r>
    </w:p>
    <w:p w14:paraId="22E46651" w14:textId="480A1192" w:rsidR="33749DA9" w:rsidRDefault="33749DA9" w:rsidP="1AB72182">
      <w:pPr>
        <w:pStyle w:val="BodyText"/>
      </w:pPr>
      <w:r>
        <w:t xml:space="preserve">The district has recently formalized a documented, multiphase curriculum review and selection process that outlines sequential stages from planning through implementation. District curriculum and instruction leaders noted that while consistent selection practices had been in place for several years, the process was not formally documented until the current school year. The written process defines clear phases, including (a) identifying content areas for review based on a curriculum cycle and student outcome data; (b) convening a review committee with defined stakeholder roles; (c) researching and evaluating materials using HQIM-focused tools and criteria; (d) piloting finalist curricula and collecting multiple forms of feedback; (e) making a formal committee recommendation followed by district leadership and school committee approval; and (f) developing an implementation plan with an accompanying monitoring framework. Selection criteria explicitly include alignment to the Massachusetts Curriculum Frameworks, district instructional priorities, and HQIM indicators, with CURATE and EdReports referenced as evaluation tools, as reflected in Table 4. </w:t>
      </w:r>
    </w:p>
    <w:p w14:paraId="5CF0D2BF" w14:textId="09743DB2" w:rsidR="056F0471" w:rsidRPr="00B1622A" w:rsidRDefault="056F0471" w:rsidP="1AB72182">
      <w:pPr>
        <w:pStyle w:val="BodyText"/>
        <w:rPr>
          <w:color w:val="000000" w:themeColor="text1"/>
        </w:rPr>
      </w:pPr>
      <w:r>
        <w:t xml:space="preserve">The process specifies a committee structure that includes classroom teachers across grade levels and programs, special educators, English as a Second Language teachers, and building and district leaders, with family and community representatives included in select phases. Elementary principals described an increase in educator voice in curriculum selection over time and characterized the process as inclusive and collaborative. Middle school teachers reported participating in pilot processes for materials such as StudySync and Carnegie Learning, consistent with the district’s </w:t>
      </w:r>
      <w:r>
        <w:lastRenderedPageBreak/>
        <w:t>stated approach, though some teachers were less familiar with the formal phases for materials already adopted. The district’s most recent application of the formalized process—currently underway for the selection of an elementary science HQIM—demonstrates the process in action, with teachers, special educators, and English as a Second Language staff reviewing materials using CURATE and EdReports and preparing for a structured pilot phase. Across stakeholder groups and document review, there is agreement that the district uses structured, committee</w:t>
      </w:r>
      <w:r>
        <w:noBreakHyphen/>
        <w:t xml:space="preserve">based processes for curriculum selection, that educator voice has expanded, and that formalizing the process represents </w:t>
      </w:r>
      <w:r w:rsidRPr="00B1622A">
        <w:rPr>
          <w:color w:val="000000" w:themeColor="text1"/>
        </w:rPr>
        <w:t>an important step toward greater consistency and transparency in curricular decision making. The district's documented, equity-driven curriculum review and selection process, which incorporates HQIM quality indicators, diverse stakeholder involvement, and a structured pilot phase, is a strength of the district</w:t>
      </w:r>
      <w:r w:rsidRPr="00B1622A">
        <w:rPr>
          <w:b/>
          <w:bCs/>
          <w:color w:val="000000" w:themeColor="text1"/>
        </w:rPr>
        <w:t>.</w:t>
      </w:r>
    </w:p>
    <w:p w14:paraId="370DD2CB" w14:textId="629DE89C" w:rsidR="00E80E51" w:rsidRDefault="056F0471" w:rsidP="1AB72182">
      <w:pPr>
        <w:pStyle w:val="BodyText"/>
      </w:pPr>
      <w:r>
        <w:t>District leaders reported they have worked to adopt HQIM over the last several years. The district has adopted core instructional materials across grade spans and content areas. At the elementary level, McGraw-Hill Wonders serves as the core ELA program, and Illustrative Mathematics (IM) serves as the core mathematics program. At the middle school level, StudySync serves as the core ELA program for grades 6-8, and Carnegie Learning serves as the core mathematics program. Carnegie’s Lenses on Literature is used for ELA across Brockton High School and most pathway schools, as well as Carnegie Learning for math. High school social studies courses use materials associated with initiatives such as Local Civics and the Open Education Resources Project. District documentation, including the curriculum inventory table, records CURATE and EdReports ratings for adopted materials, reflecting attention to HQIM quality indicators. Elementary principals noted that the district has increasingly prioritized uniform curricular resources, and middle school teachers echoed that this consistency benefits students who transfer within the district because students arrive familiar with the materials and related routines. Overall, stakeholders agree that the district has adopted HQIM across grade spans and emphasizes quality and consistency in its curricular resources.</w:t>
      </w:r>
    </w:p>
    <w:p w14:paraId="74F90B19" w14:textId="77777777" w:rsidR="0046023A" w:rsidRDefault="006064D5" w:rsidP="006064D5">
      <w:pPr>
        <w:pStyle w:val="BodyTextposthead"/>
      </w:pPr>
      <w:r>
        <w:t>Table 4 summarizes the status of all districtwide curricula being used</w:t>
      </w:r>
      <w:r w:rsidR="00C82363">
        <w:t xml:space="preserve"> in Brockton</w:t>
      </w:r>
      <w:r w:rsidR="0046023A">
        <w:t>.</w:t>
      </w:r>
    </w:p>
    <w:p w14:paraId="09035190" w14:textId="46B95652" w:rsidR="006064D5" w:rsidRPr="00322B2C" w:rsidRDefault="006064D5" w:rsidP="00322B2C">
      <w:pPr>
        <w:pStyle w:val="TableTitle0"/>
      </w:pPr>
      <w:r w:rsidRPr="006064D5">
        <w:t>Table 4. Summary of Districtwide Curricula Being Used</w:t>
      </w:r>
    </w:p>
    <w:tbl>
      <w:tblPr>
        <w:tblStyle w:val="MSVTable1"/>
        <w:tblW w:w="5000" w:type="pct"/>
        <w:tblLook w:val="04A0" w:firstRow="1" w:lastRow="0" w:firstColumn="1" w:lastColumn="0" w:noHBand="0" w:noVBand="1"/>
        <w:tblCaption w:val="Table 4. Summary of Districtwide Curricula Being Used"/>
        <w:tblDescription w:val="Summary of Districtwide Curricula Being Used in Brockton"/>
      </w:tblPr>
      <w:tblGrid>
        <w:gridCol w:w="786"/>
        <w:gridCol w:w="1437"/>
        <w:gridCol w:w="2678"/>
        <w:gridCol w:w="1457"/>
        <w:gridCol w:w="1493"/>
        <w:gridCol w:w="1493"/>
      </w:tblGrid>
      <w:tr w:rsidR="00107CBA" w:rsidRPr="00322B2C" w14:paraId="7D41CAA7" w14:textId="2B477ACE" w:rsidTr="00322B2C">
        <w:trPr>
          <w:cnfStyle w:val="100000000000" w:firstRow="1" w:lastRow="0" w:firstColumn="0" w:lastColumn="0" w:oddVBand="0" w:evenVBand="0" w:oddHBand="0" w:evenHBand="0" w:firstRowFirstColumn="0" w:firstRowLastColumn="0" w:lastRowFirstColumn="0" w:lastRowLastColumn="0"/>
          <w:tblHeader/>
        </w:trPr>
        <w:tc>
          <w:tcPr>
            <w:tcW w:w="410" w:type="pct"/>
          </w:tcPr>
          <w:p w14:paraId="7A55BC83" w14:textId="1674610D" w:rsidR="00107CBA" w:rsidRPr="00322B2C" w:rsidRDefault="00107CBA" w:rsidP="00322B2C">
            <w:pPr>
              <w:pStyle w:val="TableColHeadingCenter"/>
            </w:pPr>
            <w:r w:rsidRPr="00322B2C">
              <w:t>Grade Level(s)</w:t>
            </w:r>
          </w:p>
        </w:tc>
        <w:tc>
          <w:tcPr>
            <w:tcW w:w="771" w:type="pct"/>
          </w:tcPr>
          <w:p w14:paraId="462DDE5B" w14:textId="0C57BB8B" w:rsidR="00107CBA" w:rsidRPr="007A5049" w:rsidRDefault="00107CBA" w:rsidP="00322B2C">
            <w:pPr>
              <w:pStyle w:val="TableColHeadingCenter"/>
            </w:pPr>
            <w:r w:rsidRPr="007A5049">
              <w:t>Subject</w:t>
            </w:r>
          </w:p>
        </w:tc>
        <w:tc>
          <w:tcPr>
            <w:tcW w:w="1435" w:type="pct"/>
          </w:tcPr>
          <w:p w14:paraId="16DDF827" w14:textId="4BBB810C" w:rsidR="00107CBA" w:rsidRPr="00322B2C" w:rsidRDefault="00107CBA" w:rsidP="00322B2C">
            <w:pPr>
              <w:pStyle w:val="TableColHeadingCenter"/>
            </w:pPr>
            <w:r w:rsidRPr="00322B2C">
              <w:t>Curriculum</w:t>
            </w:r>
          </w:p>
        </w:tc>
        <w:tc>
          <w:tcPr>
            <w:tcW w:w="782" w:type="pct"/>
          </w:tcPr>
          <w:p w14:paraId="5B413269" w14:textId="7EF7A0FA" w:rsidR="00107CBA" w:rsidRPr="00322B2C" w:rsidRDefault="00107CBA" w:rsidP="00322B2C">
            <w:pPr>
              <w:pStyle w:val="TableColHeadingCenter"/>
            </w:pPr>
            <w:r w:rsidRPr="00322B2C">
              <w:t>Type</w:t>
            </w:r>
          </w:p>
        </w:tc>
        <w:tc>
          <w:tcPr>
            <w:tcW w:w="801" w:type="pct"/>
          </w:tcPr>
          <w:p w14:paraId="43F454C5" w14:textId="56AED2B2" w:rsidR="00107CBA" w:rsidRPr="00322B2C" w:rsidRDefault="00107CBA" w:rsidP="00322B2C">
            <w:pPr>
              <w:pStyle w:val="TableColHeadingCenter"/>
            </w:pPr>
            <w:r w:rsidRPr="00322B2C">
              <w:t>CURATE</w:t>
            </w:r>
            <w:r w:rsidR="13E3D495" w:rsidRPr="00322B2C">
              <w:t xml:space="preserve"> Rating</w:t>
            </w:r>
          </w:p>
        </w:tc>
        <w:tc>
          <w:tcPr>
            <w:tcW w:w="801" w:type="pct"/>
          </w:tcPr>
          <w:p w14:paraId="703F0D85" w14:textId="154888EF" w:rsidR="00107CBA" w:rsidRPr="00322B2C" w:rsidRDefault="00107CBA" w:rsidP="00322B2C">
            <w:pPr>
              <w:pStyle w:val="TableColHeadingCenter"/>
            </w:pPr>
            <w:r w:rsidRPr="00322B2C">
              <w:t>EdReports</w:t>
            </w:r>
            <w:r w:rsidR="222ADEEF" w:rsidRPr="00322B2C">
              <w:t xml:space="preserve"> Rating</w:t>
            </w:r>
          </w:p>
        </w:tc>
      </w:tr>
      <w:tr w:rsidR="00107CBA" w:rsidRPr="00322B2C" w14:paraId="51F53E0C" w14:textId="2DAA80B0"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600858AF" w14:textId="02A42507" w:rsidR="00107CBA" w:rsidRPr="009C5B85" w:rsidRDefault="00374114" w:rsidP="009C5B85">
            <w:pPr>
              <w:pStyle w:val="TableSubheading"/>
            </w:pPr>
            <w:r w:rsidRPr="009C5B85">
              <w:t>K</w:t>
            </w:r>
            <w:r w:rsidR="0005190B" w:rsidRPr="009C5B85">
              <w:t>-5</w:t>
            </w:r>
          </w:p>
        </w:tc>
        <w:tc>
          <w:tcPr>
            <w:tcW w:w="771" w:type="pct"/>
          </w:tcPr>
          <w:p w14:paraId="3B3F20B2" w14:textId="272DC78F" w:rsidR="00107CBA" w:rsidRPr="00322B2C" w:rsidRDefault="00374114" w:rsidP="00322B2C">
            <w:pPr>
              <w:pStyle w:val="TableText"/>
              <w:rPr>
                <w:szCs w:val="20"/>
              </w:rPr>
            </w:pPr>
            <w:r w:rsidRPr="00322B2C">
              <w:rPr>
                <w:szCs w:val="20"/>
              </w:rPr>
              <w:t>ELA</w:t>
            </w:r>
          </w:p>
        </w:tc>
        <w:tc>
          <w:tcPr>
            <w:tcW w:w="1435" w:type="pct"/>
          </w:tcPr>
          <w:p w14:paraId="4157BF26" w14:textId="4ADA06C1" w:rsidR="00107CBA" w:rsidRPr="00322B2C" w:rsidRDefault="00374114" w:rsidP="00322B2C">
            <w:pPr>
              <w:pStyle w:val="TableText"/>
              <w:rPr>
                <w:szCs w:val="20"/>
              </w:rPr>
            </w:pPr>
            <w:r w:rsidRPr="00322B2C">
              <w:rPr>
                <w:szCs w:val="20"/>
              </w:rPr>
              <w:t>McGraw-Hill</w:t>
            </w:r>
            <w:r w:rsidR="00677017">
              <w:rPr>
                <w:szCs w:val="20"/>
              </w:rPr>
              <w:t>—</w:t>
            </w:r>
            <w:r w:rsidRPr="00322B2C">
              <w:rPr>
                <w:szCs w:val="20"/>
              </w:rPr>
              <w:t>Wonders (2023)</w:t>
            </w:r>
          </w:p>
        </w:tc>
        <w:tc>
          <w:tcPr>
            <w:tcW w:w="782" w:type="pct"/>
          </w:tcPr>
          <w:p w14:paraId="3DEFFD8D" w14:textId="0FBC8DAA" w:rsidR="00107CBA" w:rsidRPr="00322B2C" w:rsidRDefault="00374114" w:rsidP="00322B2C">
            <w:pPr>
              <w:pStyle w:val="TableText"/>
              <w:rPr>
                <w:szCs w:val="20"/>
              </w:rPr>
            </w:pPr>
            <w:r w:rsidRPr="00322B2C">
              <w:rPr>
                <w:szCs w:val="20"/>
              </w:rPr>
              <w:t>Comprehensive</w:t>
            </w:r>
          </w:p>
        </w:tc>
        <w:tc>
          <w:tcPr>
            <w:tcW w:w="801" w:type="pct"/>
          </w:tcPr>
          <w:p w14:paraId="0F62214C" w14:textId="4F936F1D" w:rsidR="00107CBA" w:rsidRPr="00322B2C" w:rsidRDefault="00374114" w:rsidP="00322B2C">
            <w:pPr>
              <w:pStyle w:val="TableText"/>
              <w:rPr>
                <w:szCs w:val="20"/>
              </w:rPr>
            </w:pPr>
            <w:r w:rsidRPr="00322B2C">
              <w:rPr>
                <w:szCs w:val="20"/>
              </w:rPr>
              <w:t>Meets Expectations</w:t>
            </w:r>
          </w:p>
        </w:tc>
        <w:tc>
          <w:tcPr>
            <w:tcW w:w="801" w:type="pct"/>
          </w:tcPr>
          <w:p w14:paraId="011798F6" w14:textId="661A7E24" w:rsidR="00107CBA" w:rsidRPr="00322B2C" w:rsidRDefault="00374114" w:rsidP="00322B2C">
            <w:pPr>
              <w:pStyle w:val="TableText"/>
              <w:rPr>
                <w:szCs w:val="20"/>
              </w:rPr>
            </w:pPr>
            <w:r w:rsidRPr="00322B2C">
              <w:rPr>
                <w:szCs w:val="20"/>
              </w:rPr>
              <w:t>Meets Expectations</w:t>
            </w:r>
          </w:p>
        </w:tc>
      </w:tr>
      <w:tr w:rsidR="00107CBA" w:rsidRPr="00322B2C" w14:paraId="19FEA9CA" w14:textId="333B272D" w:rsidTr="00322B2C">
        <w:tc>
          <w:tcPr>
            <w:tcW w:w="410" w:type="pct"/>
          </w:tcPr>
          <w:p w14:paraId="51A4AEF1" w14:textId="2D5DFE9E" w:rsidR="00107CBA" w:rsidRPr="009C5B85" w:rsidRDefault="00374114" w:rsidP="009C5B85">
            <w:pPr>
              <w:pStyle w:val="TableSubheading"/>
            </w:pPr>
            <w:r w:rsidRPr="009C5B85">
              <w:t>K</w:t>
            </w:r>
            <w:r w:rsidR="000C27BA" w:rsidRPr="009C5B85">
              <w:t>-2</w:t>
            </w:r>
          </w:p>
        </w:tc>
        <w:tc>
          <w:tcPr>
            <w:tcW w:w="771" w:type="pct"/>
          </w:tcPr>
          <w:p w14:paraId="35D83123" w14:textId="6635AABC" w:rsidR="00107CBA" w:rsidRPr="00322B2C" w:rsidRDefault="00374114" w:rsidP="00322B2C">
            <w:pPr>
              <w:pStyle w:val="TableText"/>
              <w:rPr>
                <w:szCs w:val="20"/>
              </w:rPr>
            </w:pPr>
            <w:r w:rsidRPr="00322B2C">
              <w:rPr>
                <w:szCs w:val="20"/>
              </w:rPr>
              <w:t>ELA</w:t>
            </w:r>
          </w:p>
        </w:tc>
        <w:tc>
          <w:tcPr>
            <w:tcW w:w="1435" w:type="pct"/>
          </w:tcPr>
          <w:p w14:paraId="41E1E089" w14:textId="2941F561" w:rsidR="00107CBA" w:rsidRPr="00322B2C" w:rsidRDefault="00623297" w:rsidP="00322B2C">
            <w:pPr>
              <w:pStyle w:val="TableText"/>
              <w:rPr>
                <w:szCs w:val="20"/>
              </w:rPr>
            </w:pPr>
            <w:r w:rsidRPr="190DD215">
              <w:t xml:space="preserve">Enhanced Core Reading Instruction </w:t>
            </w:r>
            <w:r w:rsidR="00374114" w:rsidRPr="00322B2C">
              <w:rPr>
                <w:szCs w:val="20"/>
              </w:rPr>
              <w:t xml:space="preserve">(aligned to Wonders) </w:t>
            </w:r>
          </w:p>
        </w:tc>
        <w:tc>
          <w:tcPr>
            <w:tcW w:w="782" w:type="pct"/>
          </w:tcPr>
          <w:p w14:paraId="116FB2ED" w14:textId="45A9CB11" w:rsidR="00107CBA" w:rsidRPr="00322B2C" w:rsidRDefault="00374114" w:rsidP="00322B2C">
            <w:pPr>
              <w:pStyle w:val="TableText"/>
              <w:rPr>
                <w:szCs w:val="20"/>
              </w:rPr>
            </w:pPr>
            <w:r w:rsidRPr="00322B2C">
              <w:rPr>
                <w:szCs w:val="20"/>
              </w:rPr>
              <w:t>Supplemental</w:t>
            </w:r>
          </w:p>
        </w:tc>
        <w:tc>
          <w:tcPr>
            <w:tcW w:w="801" w:type="pct"/>
          </w:tcPr>
          <w:p w14:paraId="052FE8B2" w14:textId="1DE02218" w:rsidR="00107CBA" w:rsidRPr="00322B2C" w:rsidRDefault="00374114" w:rsidP="00322B2C">
            <w:pPr>
              <w:pStyle w:val="TableText"/>
              <w:rPr>
                <w:szCs w:val="20"/>
              </w:rPr>
            </w:pPr>
            <w:r w:rsidRPr="00322B2C">
              <w:rPr>
                <w:szCs w:val="20"/>
              </w:rPr>
              <w:t>Not Rated</w:t>
            </w:r>
          </w:p>
        </w:tc>
        <w:tc>
          <w:tcPr>
            <w:tcW w:w="801" w:type="pct"/>
          </w:tcPr>
          <w:p w14:paraId="7F5AB4B2" w14:textId="3A88C12B" w:rsidR="00107CBA" w:rsidRPr="00322B2C" w:rsidRDefault="00374114" w:rsidP="00322B2C">
            <w:pPr>
              <w:pStyle w:val="TableText"/>
              <w:rPr>
                <w:szCs w:val="20"/>
              </w:rPr>
            </w:pPr>
            <w:r w:rsidRPr="00322B2C">
              <w:rPr>
                <w:szCs w:val="20"/>
              </w:rPr>
              <w:t>Not Rated</w:t>
            </w:r>
          </w:p>
        </w:tc>
      </w:tr>
      <w:tr w:rsidR="00107CBA" w:rsidRPr="00322B2C" w14:paraId="5B904DA1" w14:textId="607868D5"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32E82E63" w14:textId="67CE9895" w:rsidR="00107CBA" w:rsidRPr="009C5B85" w:rsidRDefault="00374114" w:rsidP="009C5B85">
            <w:pPr>
              <w:pStyle w:val="TableSubheading"/>
            </w:pPr>
            <w:r w:rsidRPr="009C5B85">
              <w:t>K</w:t>
            </w:r>
            <w:r w:rsidR="00D31005" w:rsidRPr="009C5B85">
              <w:t>-5</w:t>
            </w:r>
          </w:p>
        </w:tc>
        <w:tc>
          <w:tcPr>
            <w:tcW w:w="771" w:type="pct"/>
          </w:tcPr>
          <w:p w14:paraId="10486116" w14:textId="3A24DCC5" w:rsidR="00107CBA" w:rsidRPr="00322B2C" w:rsidRDefault="00374114" w:rsidP="00322B2C">
            <w:pPr>
              <w:pStyle w:val="TableText"/>
              <w:rPr>
                <w:szCs w:val="20"/>
              </w:rPr>
            </w:pPr>
            <w:r w:rsidRPr="00322B2C">
              <w:rPr>
                <w:szCs w:val="20"/>
              </w:rPr>
              <w:t>ELA</w:t>
            </w:r>
          </w:p>
        </w:tc>
        <w:tc>
          <w:tcPr>
            <w:tcW w:w="1435" w:type="pct"/>
          </w:tcPr>
          <w:p w14:paraId="43C149A8" w14:textId="33365393" w:rsidR="00107CBA" w:rsidRPr="00322B2C" w:rsidRDefault="00374114" w:rsidP="00322B2C">
            <w:pPr>
              <w:pStyle w:val="TableText"/>
              <w:rPr>
                <w:szCs w:val="20"/>
              </w:rPr>
            </w:pPr>
            <w:r w:rsidRPr="00322B2C">
              <w:rPr>
                <w:szCs w:val="20"/>
              </w:rPr>
              <w:t>Lexia Core 5</w:t>
            </w:r>
          </w:p>
        </w:tc>
        <w:tc>
          <w:tcPr>
            <w:tcW w:w="782" w:type="pct"/>
          </w:tcPr>
          <w:p w14:paraId="69338281" w14:textId="4630F85B" w:rsidR="00107CBA" w:rsidRPr="00322B2C" w:rsidRDefault="00374114" w:rsidP="00322B2C">
            <w:pPr>
              <w:pStyle w:val="TableText"/>
              <w:rPr>
                <w:szCs w:val="20"/>
              </w:rPr>
            </w:pPr>
            <w:r w:rsidRPr="00322B2C">
              <w:rPr>
                <w:szCs w:val="20"/>
              </w:rPr>
              <w:t>Supplemental</w:t>
            </w:r>
          </w:p>
        </w:tc>
        <w:tc>
          <w:tcPr>
            <w:tcW w:w="801" w:type="pct"/>
          </w:tcPr>
          <w:p w14:paraId="78226BD9" w14:textId="5FB49F9C" w:rsidR="00107CBA" w:rsidRPr="00322B2C" w:rsidRDefault="00374114" w:rsidP="00322B2C">
            <w:pPr>
              <w:pStyle w:val="TableText"/>
              <w:rPr>
                <w:szCs w:val="20"/>
              </w:rPr>
            </w:pPr>
            <w:r w:rsidRPr="00322B2C">
              <w:rPr>
                <w:szCs w:val="20"/>
              </w:rPr>
              <w:t>Not Rated</w:t>
            </w:r>
          </w:p>
        </w:tc>
        <w:tc>
          <w:tcPr>
            <w:tcW w:w="801" w:type="pct"/>
          </w:tcPr>
          <w:p w14:paraId="065A93AA" w14:textId="2F5C1ABC" w:rsidR="00107CBA" w:rsidRPr="00322B2C" w:rsidRDefault="00374114" w:rsidP="00322B2C">
            <w:pPr>
              <w:pStyle w:val="TableText"/>
              <w:rPr>
                <w:szCs w:val="20"/>
              </w:rPr>
            </w:pPr>
            <w:r w:rsidRPr="00322B2C">
              <w:rPr>
                <w:szCs w:val="20"/>
              </w:rPr>
              <w:t>Not Rated</w:t>
            </w:r>
          </w:p>
        </w:tc>
      </w:tr>
      <w:tr w:rsidR="00146595" w:rsidRPr="00322B2C" w14:paraId="5B041678" w14:textId="77777777" w:rsidTr="00322B2C">
        <w:tc>
          <w:tcPr>
            <w:tcW w:w="410" w:type="pct"/>
          </w:tcPr>
          <w:p w14:paraId="4719D199" w14:textId="6BCCD1DA" w:rsidR="00146595" w:rsidRPr="009C5B85" w:rsidRDefault="00B800CE" w:rsidP="009C5B85">
            <w:pPr>
              <w:pStyle w:val="TableSubheading"/>
            </w:pPr>
            <w:r w:rsidRPr="009C5B85">
              <w:t>6</w:t>
            </w:r>
            <w:r w:rsidR="00EA3534" w:rsidRPr="009C5B85">
              <w:t>-8</w:t>
            </w:r>
          </w:p>
        </w:tc>
        <w:tc>
          <w:tcPr>
            <w:tcW w:w="771" w:type="pct"/>
          </w:tcPr>
          <w:p w14:paraId="448AAC42" w14:textId="375FE01A" w:rsidR="00146595" w:rsidRPr="00322B2C" w:rsidRDefault="00B800CE" w:rsidP="00322B2C">
            <w:pPr>
              <w:pStyle w:val="TableText"/>
              <w:rPr>
                <w:szCs w:val="20"/>
              </w:rPr>
            </w:pPr>
            <w:r w:rsidRPr="00322B2C">
              <w:rPr>
                <w:szCs w:val="20"/>
              </w:rPr>
              <w:t>ELA</w:t>
            </w:r>
          </w:p>
        </w:tc>
        <w:tc>
          <w:tcPr>
            <w:tcW w:w="1435" w:type="pct"/>
          </w:tcPr>
          <w:p w14:paraId="16FF2A02" w14:textId="742513BE" w:rsidR="00146595" w:rsidRPr="00322B2C" w:rsidRDefault="00B800CE" w:rsidP="00322B2C">
            <w:pPr>
              <w:pStyle w:val="TableText"/>
              <w:rPr>
                <w:szCs w:val="20"/>
              </w:rPr>
            </w:pPr>
            <w:r w:rsidRPr="00322B2C">
              <w:rPr>
                <w:rFonts w:cs="Calibri"/>
                <w:szCs w:val="20"/>
              </w:rPr>
              <w:t>StudySync ELA (2021)</w:t>
            </w:r>
          </w:p>
        </w:tc>
        <w:tc>
          <w:tcPr>
            <w:tcW w:w="782" w:type="pct"/>
          </w:tcPr>
          <w:p w14:paraId="55FB53E2" w14:textId="4D73591B" w:rsidR="00146595" w:rsidRPr="00322B2C" w:rsidRDefault="00B800CE" w:rsidP="00322B2C">
            <w:pPr>
              <w:pStyle w:val="TableText"/>
              <w:rPr>
                <w:szCs w:val="20"/>
              </w:rPr>
            </w:pPr>
            <w:r w:rsidRPr="00322B2C">
              <w:rPr>
                <w:szCs w:val="20"/>
              </w:rPr>
              <w:t>Comprehensive</w:t>
            </w:r>
          </w:p>
        </w:tc>
        <w:tc>
          <w:tcPr>
            <w:tcW w:w="801" w:type="pct"/>
          </w:tcPr>
          <w:p w14:paraId="25CDF80B" w14:textId="5D2E4F07" w:rsidR="00146595" w:rsidRPr="00322B2C" w:rsidRDefault="00B800CE" w:rsidP="00322B2C">
            <w:pPr>
              <w:pStyle w:val="TableText"/>
              <w:rPr>
                <w:szCs w:val="20"/>
              </w:rPr>
            </w:pPr>
            <w:r w:rsidRPr="00322B2C">
              <w:rPr>
                <w:szCs w:val="20"/>
              </w:rPr>
              <w:t>Partially Meets Expectations</w:t>
            </w:r>
          </w:p>
        </w:tc>
        <w:tc>
          <w:tcPr>
            <w:tcW w:w="801" w:type="pct"/>
          </w:tcPr>
          <w:p w14:paraId="69B189E5" w14:textId="549AA0CD" w:rsidR="00146595" w:rsidRPr="00322B2C" w:rsidRDefault="00B800CE" w:rsidP="00322B2C">
            <w:pPr>
              <w:pStyle w:val="TableText"/>
              <w:rPr>
                <w:szCs w:val="20"/>
              </w:rPr>
            </w:pPr>
            <w:r w:rsidRPr="00322B2C">
              <w:rPr>
                <w:szCs w:val="20"/>
              </w:rPr>
              <w:t>Meets Expectations</w:t>
            </w:r>
          </w:p>
        </w:tc>
      </w:tr>
      <w:tr w:rsidR="00146595" w:rsidRPr="00322B2C" w14:paraId="26AA6CAD"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457DA41D" w14:textId="1701631D" w:rsidR="00146595" w:rsidRPr="009C5B85" w:rsidRDefault="00B800CE" w:rsidP="009C5B85">
            <w:pPr>
              <w:pStyle w:val="TableSubheading"/>
            </w:pPr>
            <w:r w:rsidRPr="009C5B85">
              <w:t>6</w:t>
            </w:r>
            <w:r w:rsidR="00EA3534" w:rsidRPr="009C5B85">
              <w:t>-8</w:t>
            </w:r>
          </w:p>
        </w:tc>
        <w:tc>
          <w:tcPr>
            <w:tcW w:w="771" w:type="pct"/>
          </w:tcPr>
          <w:p w14:paraId="000DCB8C" w14:textId="65CD47FE" w:rsidR="00146595" w:rsidRPr="00322B2C" w:rsidRDefault="00B800CE" w:rsidP="00322B2C">
            <w:pPr>
              <w:pStyle w:val="TableText"/>
              <w:rPr>
                <w:szCs w:val="20"/>
              </w:rPr>
            </w:pPr>
            <w:r w:rsidRPr="00322B2C">
              <w:rPr>
                <w:szCs w:val="20"/>
              </w:rPr>
              <w:t>ELA</w:t>
            </w:r>
          </w:p>
        </w:tc>
        <w:tc>
          <w:tcPr>
            <w:tcW w:w="1435" w:type="pct"/>
          </w:tcPr>
          <w:p w14:paraId="2C4679A0" w14:textId="0F4FCE97" w:rsidR="00146595" w:rsidRPr="00322B2C" w:rsidRDefault="00B800CE" w:rsidP="00322B2C">
            <w:pPr>
              <w:pStyle w:val="TableText"/>
              <w:rPr>
                <w:szCs w:val="20"/>
              </w:rPr>
            </w:pPr>
            <w:r w:rsidRPr="00322B2C">
              <w:rPr>
                <w:rFonts w:cs="Calibri"/>
                <w:szCs w:val="20"/>
              </w:rPr>
              <w:t>Lexia Power Up</w:t>
            </w:r>
          </w:p>
        </w:tc>
        <w:tc>
          <w:tcPr>
            <w:tcW w:w="782" w:type="pct"/>
          </w:tcPr>
          <w:p w14:paraId="26B4B8B5" w14:textId="03B53F3D" w:rsidR="00146595" w:rsidRPr="00322B2C" w:rsidRDefault="00B800CE" w:rsidP="00322B2C">
            <w:pPr>
              <w:pStyle w:val="TableText"/>
              <w:rPr>
                <w:szCs w:val="20"/>
              </w:rPr>
            </w:pPr>
            <w:r w:rsidRPr="00322B2C">
              <w:rPr>
                <w:szCs w:val="20"/>
              </w:rPr>
              <w:t>Supplemental</w:t>
            </w:r>
          </w:p>
        </w:tc>
        <w:tc>
          <w:tcPr>
            <w:tcW w:w="801" w:type="pct"/>
          </w:tcPr>
          <w:p w14:paraId="7E1EC719" w14:textId="5B47CC78" w:rsidR="00146595" w:rsidRPr="00322B2C" w:rsidRDefault="00B800CE" w:rsidP="00322B2C">
            <w:pPr>
              <w:pStyle w:val="TableText"/>
              <w:rPr>
                <w:szCs w:val="20"/>
              </w:rPr>
            </w:pPr>
            <w:r w:rsidRPr="00322B2C">
              <w:rPr>
                <w:szCs w:val="20"/>
              </w:rPr>
              <w:t>Not Rated</w:t>
            </w:r>
          </w:p>
        </w:tc>
        <w:tc>
          <w:tcPr>
            <w:tcW w:w="801" w:type="pct"/>
          </w:tcPr>
          <w:p w14:paraId="7DC917FE" w14:textId="6C7BF21B" w:rsidR="00146595" w:rsidRPr="00322B2C" w:rsidRDefault="00B800CE" w:rsidP="00322B2C">
            <w:pPr>
              <w:pStyle w:val="TableText"/>
              <w:rPr>
                <w:szCs w:val="20"/>
              </w:rPr>
            </w:pPr>
            <w:r w:rsidRPr="00322B2C">
              <w:rPr>
                <w:szCs w:val="20"/>
              </w:rPr>
              <w:t>Not Rated</w:t>
            </w:r>
          </w:p>
        </w:tc>
      </w:tr>
      <w:tr w:rsidR="00146595" w:rsidRPr="00322B2C" w14:paraId="51538139" w14:textId="77777777" w:rsidTr="00322B2C">
        <w:tc>
          <w:tcPr>
            <w:tcW w:w="410" w:type="pct"/>
          </w:tcPr>
          <w:p w14:paraId="552C985F" w14:textId="2B9B0807" w:rsidR="00146595" w:rsidRPr="009C5B85" w:rsidRDefault="00B800CE" w:rsidP="009C5B85">
            <w:pPr>
              <w:pStyle w:val="TableSubheading"/>
            </w:pPr>
            <w:r w:rsidRPr="009C5B85">
              <w:t>9</w:t>
            </w:r>
            <w:r w:rsidR="00EA3534" w:rsidRPr="009C5B85">
              <w:t>-12</w:t>
            </w:r>
          </w:p>
        </w:tc>
        <w:tc>
          <w:tcPr>
            <w:tcW w:w="771" w:type="pct"/>
          </w:tcPr>
          <w:p w14:paraId="2ADE6342" w14:textId="52460EDB" w:rsidR="00146595" w:rsidRPr="00322B2C" w:rsidRDefault="00B800CE" w:rsidP="00322B2C">
            <w:pPr>
              <w:pStyle w:val="TableText"/>
              <w:rPr>
                <w:szCs w:val="20"/>
              </w:rPr>
            </w:pPr>
            <w:r w:rsidRPr="00322B2C">
              <w:rPr>
                <w:szCs w:val="20"/>
              </w:rPr>
              <w:t>ELA</w:t>
            </w:r>
          </w:p>
        </w:tc>
        <w:tc>
          <w:tcPr>
            <w:tcW w:w="1435" w:type="pct"/>
          </w:tcPr>
          <w:p w14:paraId="3092A049" w14:textId="5274EDE2" w:rsidR="00146595" w:rsidRPr="00322B2C" w:rsidRDefault="00B800CE" w:rsidP="00322B2C">
            <w:pPr>
              <w:pStyle w:val="TableText"/>
              <w:rPr>
                <w:szCs w:val="20"/>
              </w:rPr>
            </w:pPr>
            <w:r w:rsidRPr="00322B2C">
              <w:rPr>
                <w:szCs w:val="20"/>
              </w:rPr>
              <w:t>Carnegie Learning: Lenses on Literature</w:t>
            </w:r>
          </w:p>
        </w:tc>
        <w:tc>
          <w:tcPr>
            <w:tcW w:w="782" w:type="pct"/>
          </w:tcPr>
          <w:p w14:paraId="041BEB09" w14:textId="046F431C" w:rsidR="00146595" w:rsidRPr="00322B2C" w:rsidRDefault="00B800CE" w:rsidP="00322B2C">
            <w:pPr>
              <w:pStyle w:val="TableText"/>
              <w:rPr>
                <w:szCs w:val="20"/>
              </w:rPr>
            </w:pPr>
            <w:r w:rsidRPr="00322B2C">
              <w:rPr>
                <w:szCs w:val="20"/>
              </w:rPr>
              <w:t>Comprehensive</w:t>
            </w:r>
          </w:p>
        </w:tc>
        <w:tc>
          <w:tcPr>
            <w:tcW w:w="801" w:type="pct"/>
          </w:tcPr>
          <w:p w14:paraId="3E147BEE" w14:textId="3B6E4D95" w:rsidR="00146595" w:rsidRPr="00322B2C" w:rsidRDefault="00B800CE" w:rsidP="00322B2C">
            <w:pPr>
              <w:pStyle w:val="TableText"/>
              <w:rPr>
                <w:szCs w:val="20"/>
              </w:rPr>
            </w:pPr>
            <w:r w:rsidRPr="00322B2C">
              <w:rPr>
                <w:szCs w:val="20"/>
              </w:rPr>
              <w:t>Not Rated</w:t>
            </w:r>
          </w:p>
        </w:tc>
        <w:tc>
          <w:tcPr>
            <w:tcW w:w="801" w:type="pct"/>
          </w:tcPr>
          <w:p w14:paraId="32E33420" w14:textId="11A320C1" w:rsidR="00146595" w:rsidRPr="00322B2C" w:rsidRDefault="00B800CE" w:rsidP="00322B2C">
            <w:pPr>
              <w:pStyle w:val="TableText"/>
              <w:rPr>
                <w:szCs w:val="20"/>
              </w:rPr>
            </w:pPr>
            <w:r w:rsidRPr="00322B2C">
              <w:rPr>
                <w:szCs w:val="20"/>
              </w:rPr>
              <w:t>Under Review</w:t>
            </w:r>
          </w:p>
        </w:tc>
      </w:tr>
      <w:tr w:rsidR="00146595" w:rsidRPr="00322B2C" w14:paraId="76438B06"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203C639D" w14:textId="622F0E63" w:rsidR="00146595" w:rsidRPr="009C5B85" w:rsidRDefault="00B800CE" w:rsidP="009C5B85">
            <w:pPr>
              <w:pStyle w:val="TableSubheading"/>
            </w:pPr>
            <w:r w:rsidRPr="009C5B85">
              <w:t>K</w:t>
            </w:r>
            <w:r w:rsidR="00EA3534" w:rsidRPr="009C5B85">
              <w:t>-5</w:t>
            </w:r>
          </w:p>
        </w:tc>
        <w:tc>
          <w:tcPr>
            <w:tcW w:w="771" w:type="pct"/>
          </w:tcPr>
          <w:p w14:paraId="47C62E83" w14:textId="35FCE5DB" w:rsidR="00146595" w:rsidRPr="00322B2C" w:rsidRDefault="00B800CE" w:rsidP="00322B2C">
            <w:pPr>
              <w:pStyle w:val="TableText"/>
              <w:rPr>
                <w:szCs w:val="20"/>
              </w:rPr>
            </w:pPr>
            <w:r w:rsidRPr="00322B2C">
              <w:rPr>
                <w:szCs w:val="20"/>
              </w:rPr>
              <w:t>Math</w:t>
            </w:r>
          </w:p>
        </w:tc>
        <w:tc>
          <w:tcPr>
            <w:tcW w:w="1435" w:type="pct"/>
          </w:tcPr>
          <w:p w14:paraId="18F34570" w14:textId="420ADB6C" w:rsidR="00146595" w:rsidRPr="00322B2C" w:rsidRDefault="00B800CE" w:rsidP="00322B2C">
            <w:pPr>
              <w:pStyle w:val="TableText"/>
              <w:rPr>
                <w:szCs w:val="20"/>
              </w:rPr>
            </w:pPr>
            <w:r w:rsidRPr="00322B2C">
              <w:rPr>
                <w:rFonts w:cs="Calibri"/>
                <w:szCs w:val="20"/>
              </w:rPr>
              <w:t>Illustrative Mathematics (2021)</w:t>
            </w:r>
          </w:p>
        </w:tc>
        <w:tc>
          <w:tcPr>
            <w:tcW w:w="782" w:type="pct"/>
          </w:tcPr>
          <w:p w14:paraId="47BB981A" w14:textId="3590A869" w:rsidR="00146595" w:rsidRPr="00322B2C" w:rsidRDefault="00B800CE" w:rsidP="00322B2C">
            <w:pPr>
              <w:pStyle w:val="TableText"/>
              <w:rPr>
                <w:szCs w:val="20"/>
              </w:rPr>
            </w:pPr>
            <w:r w:rsidRPr="00322B2C">
              <w:rPr>
                <w:szCs w:val="20"/>
              </w:rPr>
              <w:t>Comprehensive</w:t>
            </w:r>
          </w:p>
        </w:tc>
        <w:tc>
          <w:tcPr>
            <w:tcW w:w="801" w:type="pct"/>
          </w:tcPr>
          <w:p w14:paraId="02C7030D" w14:textId="09998663" w:rsidR="00146595" w:rsidRPr="00322B2C" w:rsidRDefault="00B800CE" w:rsidP="00322B2C">
            <w:pPr>
              <w:pStyle w:val="TableText"/>
              <w:rPr>
                <w:szCs w:val="20"/>
              </w:rPr>
            </w:pPr>
            <w:r w:rsidRPr="00322B2C">
              <w:rPr>
                <w:szCs w:val="20"/>
              </w:rPr>
              <w:t>Partially Meets Expectations</w:t>
            </w:r>
          </w:p>
        </w:tc>
        <w:tc>
          <w:tcPr>
            <w:tcW w:w="801" w:type="pct"/>
          </w:tcPr>
          <w:p w14:paraId="27CCC8E4" w14:textId="61C526F4" w:rsidR="00146595" w:rsidRPr="00322B2C" w:rsidRDefault="00B800CE" w:rsidP="00322B2C">
            <w:pPr>
              <w:pStyle w:val="TableText"/>
              <w:rPr>
                <w:szCs w:val="20"/>
              </w:rPr>
            </w:pPr>
            <w:r w:rsidRPr="00322B2C">
              <w:rPr>
                <w:szCs w:val="20"/>
              </w:rPr>
              <w:t>Meets Expectations</w:t>
            </w:r>
          </w:p>
        </w:tc>
      </w:tr>
      <w:tr w:rsidR="00146595" w:rsidRPr="00322B2C" w14:paraId="0A167EE5" w14:textId="77777777" w:rsidTr="00322B2C">
        <w:tc>
          <w:tcPr>
            <w:tcW w:w="410" w:type="pct"/>
          </w:tcPr>
          <w:p w14:paraId="79901D06" w14:textId="30C7B2B4" w:rsidR="00146595" w:rsidRPr="009C5B85" w:rsidRDefault="00B800CE" w:rsidP="009C5B85">
            <w:pPr>
              <w:pStyle w:val="TableSubheading"/>
            </w:pPr>
            <w:r w:rsidRPr="009C5B85">
              <w:lastRenderedPageBreak/>
              <w:t>6</w:t>
            </w:r>
            <w:r w:rsidR="00EA3534" w:rsidRPr="009C5B85">
              <w:t>-12</w:t>
            </w:r>
          </w:p>
        </w:tc>
        <w:tc>
          <w:tcPr>
            <w:tcW w:w="771" w:type="pct"/>
          </w:tcPr>
          <w:p w14:paraId="28B664AB" w14:textId="1CCD2FA7" w:rsidR="00146595" w:rsidRPr="00322B2C" w:rsidRDefault="00B800CE" w:rsidP="00322B2C">
            <w:pPr>
              <w:pStyle w:val="TableText"/>
              <w:rPr>
                <w:szCs w:val="20"/>
              </w:rPr>
            </w:pPr>
            <w:r w:rsidRPr="00322B2C">
              <w:rPr>
                <w:szCs w:val="20"/>
              </w:rPr>
              <w:t>Math</w:t>
            </w:r>
          </w:p>
        </w:tc>
        <w:tc>
          <w:tcPr>
            <w:tcW w:w="1435" w:type="pct"/>
          </w:tcPr>
          <w:p w14:paraId="7840C6C4" w14:textId="0EA9EEFB" w:rsidR="00146595" w:rsidRPr="00322B2C" w:rsidRDefault="6FCACE1C" w:rsidP="00322B2C">
            <w:pPr>
              <w:pStyle w:val="TableText"/>
              <w:rPr>
                <w:szCs w:val="20"/>
              </w:rPr>
            </w:pPr>
            <w:r w:rsidRPr="00322B2C">
              <w:rPr>
                <w:rFonts w:cs="Calibri"/>
                <w:szCs w:val="20"/>
              </w:rPr>
              <w:t>Carnegie Learning</w:t>
            </w:r>
            <w:r w:rsidR="006159E7">
              <w:rPr>
                <w:rFonts w:cs="Calibri"/>
                <w:szCs w:val="20"/>
              </w:rPr>
              <w:t>/</w:t>
            </w:r>
            <w:r w:rsidR="32786A7E" w:rsidRPr="00322B2C">
              <w:rPr>
                <w:rFonts w:cs="Calibri"/>
                <w:szCs w:val="20"/>
              </w:rPr>
              <w:t xml:space="preserve">High </w:t>
            </w:r>
            <w:r w:rsidRPr="00322B2C">
              <w:rPr>
                <w:rFonts w:cs="Calibri"/>
                <w:szCs w:val="20"/>
              </w:rPr>
              <w:t>School Math Solution (2018)</w:t>
            </w:r>
          </w:p>
        </w:tc>
        <w:tc>
          <w:tcPr>
            <w:tcW w:w="782" w:type="pct"/>
          </w:tcPr>
          <w:p w14:paraId="68163474" w14:textId="3CED7912" w:rsidR="00146595" w:rsidRPr="00322B2C" w:rsidRDefault="00B800CE" w:rsidP="00322B2C">
            <w:pPr>
              <w:pStyle w:val="TableText"/>
              <w:rPr>
                <w:szCs w:val="20"/>
              </w:rPr>
            </w:pPr>
            <w:r w:rsidRPr="00322B2C">
              <w:rPr>
                <w:szCs w:val="20"/>
              </w:rPr>
              <w:t>Comprehensive</w:t>
            </w:r>
          </w:p>
        </w:tc>
        <w:tc>
          <w:tcPr>
            <w:tcW w:w="801" w:type="pct"/>
          </w:tcPr>
          <w:p w14:paraId="36E72BAB" w14:textId="7D4A8545" w:rsidR="00146595" w:rsidRPr="00322B2C" w:rsidRDefault="00B800CE" w:rsidP="00322B2C">
            <w:pPr>
              <w:pStyle w:val="TableText"/>
              <w:rPr>
                <w:szCs w:val="20"/>
              </w:rPr>
            </w:pPr>
            <w:r w:rsidRPr="00322B2C">
              <w:rPr>
                <w:szCs w:val="20"/>
              </w:rPr>
              <w:t>Not Rated</w:t>
            </w:r>
          </w:p>
        </w:tc>
        <w:tc>
          <w:tcPr>
            <w:tcW w:w="801" w:type="pct"/>
          </w:tcPr>
          <w:p w14:paraId="5D831DAE" w14:textId="2EE7B130" w:rsidR="00146595" w:rsidRPr="00322B2C" w:rsidRDefault="00B800CE" w:rsidP="00322B2C">
            <w:pPr>
              <w:pStyle w:val="TableText"/>
              <w:rPr>
                <w:szCs w:val="20"/>
              </w:rPr>
            </w:pPr>
            <w:r w:rsidRPr="00322B2C">
              <w:rPr>
                <w:szCs w:val="20"/>
              </w:rPr>
              <w:t>Meets Expectations</w:t>
            </w:r>
          </w:p>
        </w:tc>
      </w:tr>
      <w:tr w:rsidR="00146595" w:rsidRPr="00322B2C" w14:paraId="549B9F1C"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751F5FAC" w14:textId="76665A13" w:rsidR="00146595" w:rsidRPr="009C5B85" w:rsidRDefault="00B800CE" w:rsidP="009C5B85">
            <w:pPr>
              <w:pStyle w:val="TableSubheading"/>
            </w:pPr>
            <w:r w:rsidRPr="009C5B85">
              <w:t>11-12</w:t>
            </w:r>
          </w:p>
        </w:tc>
        <w:tc>
          <w:tcPr>
            <w:tcW w:w="771" w:type="pct"/>
          </w:tcPr>
          <w:p w14:paraId="4FA63AED" w14:textId="4F9A742D" w:rsidR="00146595" w:rsidRPr="00322B2C" w:rsidRDefault="00B800CE" w:rsidP="00322B2C">
            <w:pPr>
              <w:pStyle w:val="TableText"/>
              <w:rPr>
                <w:szCs w:val="20"/>
              </w:rPr>
            </w:pPr>
            <w:r w:rsidRPr="00322B2C">
              <w:rPr>
                <w:szCs w:val="20"/>
              </w:rPr>
              <w:t>Math</w:t>
            </w:r>
          </w:p>
        </w:tc>
        <w:tc>
          <w:tcPr>
            <w:tcW w:w="1435" w:type="pct"/>
          </w:tcPr>
          <w:p w14:paraId="372F703D" w14:textId="2EC3A0EA" w:rsidR="00146595" w:rsidRPr="00322B2C" w:rsidRDefault="00B800CE" w:rsidP="00322B2C">
            <w:pPr>
              <w:pStyle w:val="TableText"/>
              <w:rPr>
                <w:szCs w:val="20"/>
              </w:rPr>
            </w:pPr>
            <w:r w:rsidRPr="00322B2C">
              <w:rPr>
                <w:szCs w:val="20"/>
              </w:rPr>
              <w:t>Cengage Learning Pre</w:t>
            </w:r>
            <w:r w:rsidR="00C22123">
              <w:rPr>
                <w:szCs w:val="20"/>
              </w:rPr>
              <w:t>c</w:t>
            </w:r>
            <w:r w:rsidRPr="00322B2C">
              <w:rPr>
                <w:szCs w:val="20"/>
              </w:rPr>
              <w:t>alculus with Limits (</w:t>
            </w:r>
            <w:r w:rsidR="00677017">
              <w:rPr>
                <w:szCs w:val="20"/>
              </w:rPr>
              <w:t>L</w:t>
            </w:r>
            <w:r w:rsidRPr="00322B2C">
              <w:rPr>
                <w:szCs w:val="20"/>
              </w:rPr>
              <w:t>arson/Battaglia</w:t>
            </w:r>
            <w:r w:rsidR="00677017">
              <w:rPr>
                <w:szCs w:val="20"/>
              </w:rPr>
              <w:t xml:space="preserve"> </w:t>
            </w:r>
            <w:r w:rsidRPr="00322B2C">
              <w:rPr>
                <w:szCs w:val="20"/>
              </w:rPr>
              <w:t>2018</w:t>
            </w:r>
            <w:r w:rsidR="00677017">
              <w:rPr>
                <w:szCs w:val="20"/>
              </w:rPr>
              <w:t>)</w:t>
            </w:r>
          </w:p>
        </w:tc>
        <w:tc>
          <w:tcPr>
            <w:tcW w:w="782" w:type="pct"/>
          </w:tcPr>
          <w:p w14:paraId="31F19B58" w14:textId="6EDC0166" w:rsidR="00146595" w:rsidRPr="00322B2C" w:rsidRDefault="00B800CE" w:rsidP="00322B2C">
            <w:pPr>
              <w:pStyle w:val="TableText"/>
              <w:rPr>
                <w:szCs w:val="20"/>
              </w:rPr>
            </w:pPr>
            <w:r w:rsidRPr="00322B2C">
              <w:rPr>
                <w:szCs w:val="20"/>
              </w:rPr>
              <w:t>Comprehensive</w:t>
            </w:r>
          </w:p>
        </w:tc>
        <w:tc>
          <w:tcPr>
            <w:tcW w:w="801" w:type="pct"/>
          </w:tcPr>
          <w:p w14:paraId="1CE147E0" w14:textId="092E96FA" w:rsidR="00146595" w:rsidRPr="00322B2C" w:rsidRDefault="00B800CE" w:rsidP="00322B2C">
            <w:pPr>
              <w:pStyle w:val="TableText"/>
              <w:rPr>
                <w:szCs w:val="20"/>
              </w:rPr>
            </w:pPr>
            <w:r w:rsidRPr="00322B2C">
              <w:rPr>
                <w:szCs w:val="20"/>
              </w:rPr>
              <w:t>Not Rated</w:t>
            </w:r>
          </w:p>
        </w:tc>
        <w:tc>
          <w:tcPr>
            <w:tcW w:w="801" w:type="pct"/>
          </w:tcPr>
          <w:p w14:paraId="098F2C1A" w14:textId="5B629E1B" w:rsidR="00146595" w:rsidRPr="00322B2C" w:rsidRDefault="00B800CE" w:rsidP="00322B2C">
            <w:pPr>
              <w:pStyle w:val="TableText"/>
              <w:rPr>
                <w:szCs w:val="20"/>
              </w:rPr>
            </w:pPr>
            <w:r w:rsidRPr="00322B2C">
              <w:rPr>
                <w:szCs w:val="20"/>
              </w:rPr>
              <w:t>Not Rated</w:t>
            </w:r>
          </w:p>
        </w:tc>
      </w:tr>
      <w:tr w:rsidR="00146595" w:rsidRPr="00322B2C" w14:paraId="59415779" w14:textId="77777777" w:rsidTr="00322B2C">
        <w:tc>
          <w:tcPr>
            <w:tcW w:w="410" w:type="pct"/>
          </w:tcPr>
          <w:p w14:paraId="79E93DF3" w14:textId="71584EDE" w:rsidR="00146595" w:rsidRPr="009C5B85" w:rsidRDefault="00B800CE" w:rsidP="009C5B85">
            <w:pPr>
              <w:pStyle w:val="TableSubheading"/>
            </w:pPr>
            <w:r w:rsidRPr="009C5B85">
              <w:t>12</w:t>
            </w:r>
          </w:p>
        </w:tc>
        <w:tc>
          <w:tcPr>
            <w:tcW w:w="771" w:type="pct"/>
          </w:tcPr>
          <w:p w14:paraId="03FA9B80" w14:textId="63D68B6A" w:rsidR="00146595" w:rsidRPr="00322B2C" w:rsidRDefault="00B800CE" w:rsidP="00322B2C">
            <w:pPr>
              <w:pStyle w:val="TableText"/>
              <w:rPr>
                <w:szCs w:val="20"/>
              </w:rPr>
            </w:pPr>
            <w:r w:rsidRPr="00322B2C">
              <w:rPr>
                <w:szCs w:val="20"/>
              </w:rPr>
              <w:t>Math</w:t>
            </w:r>
          </w:p>
        </w:tc>
        <w:tc>
          <w:tcPr>
            <w:tcW w:w="1435" w:type="pct"/>
          </w:tcPr>
          <w:p w14:paraId="402C39AB" w14:textId="2200F545" w:rsidR="00146595" w:rsidRPr="00322B2C" w:rsidRDefault="00B800CE" w:rsidP="00322B2C">
            <w:pPr>
              <w:pStyle w:val="TableText"/>
              <w:rPr>
                <w:szCs w:val="20"/>
              </w:rPr>
            </w:pPr>
            <w:r w:rsidRPr="00322B2C">
              <w:rPr>
                <w:szCs w:val="20"/>
              </w:rPr>
              <w:t>Cengage Learning Calculus</w:t>
            </w:r>
            <w:r w:rsidR="00322B2C">
              <w:rPr>
                <w:szCs w:val="20"/>
              </w:rPr>
              <w:t xml:space="preserve"> </w:t>
            </w:r>
            <w:r w:rsidRPr="00322B2C">
              <w:rPr>
                <w:szCs w:val="20"/>
              </w:rPr>
              <w:t>(Larson/Battaglia 2017</w:t>
            </w:r>
            <w:r w:rsidR="00677017">
              <w:rPr>
                <w:szCs w:val="20"/>
              </w:rPr>
              <w:t>)</w:t>
            </w:r>
          </w:p>
        </w:tc>
        <w:tc>
          <w:tcPr>
            <w:tcW w:w="782" w:type="pct"/>
          </w:tcPr>
          <w:p w14:paraId="7BAD297D" w14:textId="37A6BE6F" w:rsidR="00146595" w:rsidRPr="00322B2C" w:rsidRDefault="00B800CE" w:rsidP="00322B2C">
            <w:pPr>
              <w:pStyle w:val="TableText"/>
              <w:rPr>
                <w:szCs w:val="20"/>
              </w:rPr>
            </w:pPr>
            <w:r w:rsidRPr="00322B2C">
              <w:rPr>
                <w:szCs w:val="20"/>
              </w:rPr>
              <w:t>Comprehensive</w:t>
            </w:r>
          </w:p>
        </w:tc>
        <w:tc>
          <w:tcPr>
            <w:tcW w:w="801" w:type="pct"/>
          </w:tcPr>
          <w:p w14:paraId="3D1D8E7B" w14:textId="12E471FB" w:rsidR="00146595" w:rsidRPr="00322B2C" w:rsidRDefault="00B800CE" w:rsidP="00322B2C">
            <w:pPr>
              <w:pStyle w:val="TableText"/>
              <w:rPr>
                <w:szCs w:val="20"/>
              </w:rPr>
            </w:pPr>
            <w:r w:rsidRPr="00322B2C">
              <w:rPr>
                <w:szCs w:val="20"/>
              </w:rPr>
              <w:t>Not Rated</w:t>
            </w:r>
          </w:p>
        </w:tc>
        <w:tc>
          <w:tcPr>
            <w:tcW w:w="801" w:type="pct"/>
          </w:tcPr>
          <w:p w14:paraId="31EFD814" w14:textId="60F572DD" w:rsidR="00146595" w:rsidRPr="00322B2C" w:rsidRDefault="00B800CE" w:rsidP="00322B2C">
            <w:pPr>
              <w:pStyle w:val="TableText"/>
              <w:rPr>
                <w:szCs w:val="20"/>
              </w:rPr>
            </w:pPr>
            <w:r w:rsidRPr="00322B2C">
              <w:rPr>
                <w:szCs w:val="20"/>
              </w:rPr>
              <w:t>Not Rated</w:t>
            </w:r>
          </w:p>
        </w:tc>
      </w:tr>
      <w:tr w:rsidR="00146595" w:rsidRPr="00322B2C" w14:paraId="7185A7A7"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2107943D" w14:textId="1AC12872" w:rsidR="00146595" w:rsidRPr="009C5B85" w:rsidRDefault="00B800CE" w:rsidP="009C5B85">
            <w:pPr>
              <w:pStyle w:val="TableSubheading"/>
            </w:pPr>
            <w:r w:rsidRPr="009C5B85">
              <w:t>K</w:t>
            </w:r>
            <w:r w:rsidR="000B329E" w:rsidRPr="009C5B85">
              <w:t>-5</w:t>
            </w:r>
          </w:p>
        </w:tc>
        <w:tc>
          <w:tcPr>
            <w:tcW w:w="771" w:type="pct"/>
          </w:tcPr>
          <w:p w14:paraId="3ACE9B0A" w14:textId="328EEAA0" w:rsidR="00146595" w:rsidRPr="00322B2C" w:rsidRDefault="00B800CE" w:rsidP="00322B2C">
            <w:pPr>
              <w:pStyle w:val="TableText"/>
              <w:rPr>
                <w:szCs w:val="20"/>
              </w:rPr>
            </w:pPr>
            <w:r w:rsidRPr="00322B2C">
              <w:rPr>
                <w:szCs w:val="20"/>
              </w:rPr>
              <w:t>Science</w:t>
            </w:r>
          </w:p>
        </w:tc>
        <w:tc>
          <w:tcPr>
            <w:tcW w:w="1435" w:type="pct"/>
          </w:tcPr>
          <w:p w14:paraId="231E8EEC" w14:textId="2FCBC149" w:rsidR="00146595" w:rsidRPr="00322B2C" w:rsidRDefault="00B800CE" w:rsidP="00322B2C">
            <w:pPr>
              <w:pStyle w:val="TableText"/>
              <w:rPr>
                <w:szCs w:val="20"/>
              </w:rPr>
            </w:pPr>
            <w:r w:rsidRPr="00322B2C">
              <w:rPr>
                <w:szCs w:val="20"/>
              </w:rPr>
              <w:t>Discovery Education Science Techbook/Mystery Science (2025)</w:t>
            </w:r>
          </w:p>
        </w:tc>
        <w:tc>
          <w:tcPr>
            <w:tcW w:w="782" w:type="pct"/>
          </w:tcPr>
          <w:p w14:paraId="665DC7BA" w14:textId="36C2DA19" w:rsidR="00146595" w:rsidRPr="00322B2C" w:rsidRDefault="00B800CE" w:rsidP="00322B2C">
            <w:pPr>
              <w:pStyle w:val="TableText"/>
              <w:rPr>
                <w:szCs w:val="20"/>
              </w:rPr>
            </w:pPr>
            <w:r w:rsidRPr="00322B2C">
              <w:rPr>
                <w:szCs w:val="20"/>
              </w:rPr>
              <w:t>Comprehensive</w:t>
            </w:r>
          </w:p>
        </w:tc>
        <w:tc>
          <w:tcPr>
            <w:tcW w:w="801" w:type="pct"/>
          </w:tcPr>
          <w:p w14:paraId="36C41C2A" w14:textId="6C35BCFB" w:rsidR="00146595" w:rsidRPr="00322B2C" w:rsidRDefault="00B800CE" w:rsidP="00322B2C">
            <w:pPr>
              <w:pStyle w:val="TableText"/>
              <w:rPr>
                <w:szCs w:val="20"/>
              </w:rPr>
            </w:pPr>
            <w:r w:rsidRPr="00322B2C">
              <w:rPr>
                <w:szCs w:val="20"/>
              </w:rPr>
              <w:t>Not Rated</w:t>
            </w:r>
          </w:p>
        </w:tc>
        <w:tc>
          <w:tcPr>
            <w:tcW w:w="801" w:type="pct"/>
          </w:tcPr>
          <w:p w14:paraId="1C7938D3" w14:textId="649FE975" w:rsidR="00146595" w:rsidRPr="00322B2C" w:rsidRDefault="00B800CE" w:rsidP="00322B2C">
            <w:pPr>
              <w:pStyle w:val="TableText"/>
              <w:rPr>
                <w:szCs w:val="20"/>
              </w:rPr>
            </w:pPr>
            <w:r w:rsidRPr="00322B2C">
              <w:rPr>
                <w:szCs w:val="20"/>
              </w:rPr>
              <w:t>Not Rated</w:t>
            </w:r>
          </w:p>
        </w:tc>
      </w:tr>
      <w:tr w:rsidR="00493E18" w:rsidRPr="00322B2C" w14:paraId="46E59AE6" w14:textId="77777777" w:rsidTr="00322B2C">
        <w:tc>
          <w:tcPr>
            <w:tcW w:w="410" w:type="pct"/>
          </w:tcPr>
          <w:p w14:paraId="5C21AD4F" w14:textId="289A3B17" w:rsidR="00493E18" w:rsidRPr="009C5B85" w:rsidRDefault="00210A8B" w:rsidP="009C5B85">
            <w:pPr>
              <w:pStyle w:val="TableSubheading"/>
            </w:pPr>
            <w:r w:rsidRPr="009C5B85">
              <w:t>6</w:t>
            </w:r>
            <w:r w:rsidR="000B329E" w:rsidRPr="009C5B85">
              <w:t>-8</w:t>
            </w:r>
          </w:p>
        </w:tc>
        <w:tc>
          <w:tcPr>
            <w:tcW w:w="771" w:type="pct"/>
          </w:tcPr>
          <w:p w14:paraId="1302A710" w14:textId="181BEE35" w:rsidR="00493E18" w:rsidRPr="00322B2C" w:rsidRDefault="00210A8B" w:rsidP="00322B2C">
            <w:pPr>
              <w:pStyle w:val="TableText"/>
              <w:rPr>
                <w:szCs w:val="20"/>
              </w:rPr>
            </w:pPr>
            <w:r w:rsidRPr="00322B2C">
              <w:rPr>
                <w:szCs w:val="20"/>
              </w:rPr>
              <w:t>Science</w:t>
            </w:r>
          </w:p>
        </w:tc>
        <w:tc>
          <w:tcPr>
            <w:tcW w:w="1435" w:type="pct"/>
          </w:tcPr>
          <w:p w14:paraId="67CFD1D9" w14:textId="028E2599" w:rsidR="00493E18" w:rsidRPr="00322B2C" w:rsidRDefault="00210A8B" w:rsidP="00322B2C">
            <w:pPr>
              <w:pStyle w:val="TableText"/>
              <w:rPr>
                <w:szCs w:val="20"/>
              </w:rPr>
            </w:pPr>
            <w:r w:rsidRPr="00322B2C">
              <w:rPr>
                <w:szCs w:val="20"/>
              </w:rPr>
              <w:t>Amplify Science (2018)</w:t>
            </w:r>
          </w:p>
        </w:tc>
        <w:tc>
          <w:tcPr>
            <w:tcW w:w="782" w:type="pct"/>
          </w:tcPr>
          <w:p w14:paraId="2AB26526" w14:textId="224516DB" w:rsidR="00493E18" w:rsidRPr="00322B2C" w:rsidRDefault="00210A8B" w:rsidP="00322B2C">
            <w:pPr>
              <w:pStyle w:val="TableText"/>
              <w:rPr>
                <w:szCs w:val="20"/>
              </w:rPr>
            </w:pPr>
            <w:r w:rsidRPr="00322B2C">
              <w:rPr>
                <w:szCs w:val="20"/>
              </w:rPr>
              <w:t>Comprehensive</w:t>
            </w:r>
          </w:p>
        </w:tc>
        <w:tc>
          <w:tcPr>
            <w:tcW w:w="801" w:type="pct"/>
          </w:tcPr>
          <w:p w14:paraId="18DF2B30" w14:textId="4F8A92D9" w:rsidR="00493E18" w:rsidRPr="00322B2C" w:rsidRDefault="00210A8B" w:rsidP="00322B2C">
            <w:pPr>
              <w:pStyle w:val="TableText"/>
              <w:rPr>
                <w:szCs w:val="20"/>
              </w:rPr>
            </w:pPr>
            <w:r w:rsidRPr="00322B2C">
              <w:rPr>
                <w:szCs w:val="20"/>
              </w:rPr>
              <w:t>Meets Expectations</w:t>
            </w:r>
          </w:p>
        </w:tc>
        <w:tc>
          <w:tcPr>
            <w:tcW w:w="801" w:type="pct"/>
          </w:tcPr>
          <w:p w14:paraId="448895BF" w14:textId="12305DA9" w:rsidR="00493E18" w:rsidRPr="00322B2C" w:rsidRDefault="00210A8B" w:rsidP="00322B2C">
            <w:pPr>
              <w:pStyle w:val="TableText"/>
              <w:rPr>
                <w:szCs w:val="20"/>
              </w:rPr>
            </w:pPr>
            <w:r w:rsidRPr="00322B2C">
              <w:rPr>
                <w:szCs w:val="20"/>
              </w:rPr>
              <w:t>Meets Expectations</w:t>
            </w:r>
          </w:p>
        </w:tc>
      </w:tr>
      <w:tr w:rsidR="00493E18" w:rsidRPr="00322B2C" w14:paraId="3A4FB50F"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58B8BEF9" w14:textId="326D8F43" w:rsidR="00493E18" w:rsidRPr="009C5B85" w:rsidRDefault="00210A8B" w:rsidP="009C5B85">
            <w:pPr>
              <w:pStyle w:val="TableSubheading"/>
            </w:pPr>
            <w:r w:rsidRPr="009C5B85">
              <w:t>9-10</w:t>
            </w:r>
          </w:p>
        </w:tc>
        <w:tc>
          <w:tcPr>
            <w:tcW w:w="771" w:type="pct"/>
          </w:tcPr>
          <w:p w14:paraId="428336BD" w14:textId="301DCD37" w:rsidR="00493E18" w:rsidRPr="00322B2C" w:rsidRDefault="00210A8B" w:rsidP="00322B2C">
            <w:pPr>
              <w:pStyle w:val="TableText"/>
              <w:rPr>
                <w:szCs w:val="20"/>
              </w:rPr>
            </w:pPr>
            <w:r w:rsidRPr="00322B2C">
              <w:rPr>
                <w:szCs w:val="20"/>
              </w:rPr>
              <w:t>Science - Biology</w:t>
            </w:r>
          </w:p>
        </w:tc>
        <w:tc>
          <w:tcPr>
            <w:tcW w:w="1435" w:type="pct"/>
          </w:tcPr>
          <w:p w14:paraId="3ED7DA29" w14:textId="19CE1DC1" w:rsidR="00493E18" w:rsidRPr="00322B2C" w:rsidRDefault="00210A8B" w:rsidP="00322B2C">
            <w:pPr>
              <w:pStyle w:val="TableText"/>
              <w:rPr>
                <w:szCs w:val="20"/>
              </w:rPr>
            </w:pPr>
            <w:r w:rsidRPr="00322B2C">
              <w:rPr>
                <w:szCs w:val="20"/>
              </w:rPr>
              <w:t xml:space="preserve">SAVVAS </w:t>
            </w:r>
            <w:r w:rsidR="00677017">
              <w:rPr>
                <w:szCs w:val="20"/>
              </w:rPr>
              <w:t>(</w:t>
            </w:r>
            <w:r w:rsidRPr="00322B2C">
              <w:rPr>
                <w:szCs w:val="20"/>
              </w:rPr>
              <w:t>Miller</w:t>
            </w:r>
            <w:r w:rsidR="00677017">
              <w:rPr>
                <w:szCs w:val="20"/>
              </w:rPr>
              <w:t>/</w:t>
            </w:r>
            <w:r w:rsidRPr="00322B2C">
              <w:rPr>
                <w:szCs w:val="20"/>
              </w:rPr>
              <w:t>Levine</w:t>
            </w:r>
            <w:r w:rsidR="00677017">
              <w:rPr>
                <w:szCs w:val="20"/>
              </w:rPr>
              <w:t>)</w:t>
            </w:r>
          </w:p>
        </w:tc>
        <w:tc>
          <w:tcPr>
            <w:tcW w:w="782" w:type="pct"/>
          </w:tcPr>
          <w:p w14:paraId="79D92724" w14:textId="4BDC7288" w:rsidR="00493E18" w:rsidRPr="00322B2C" w:rsidRDefault="00210A8B" w:rsidP="00322B2C">
            <w:pPr>
              <w:pStyle w:val="TableText"/>
              <w:rPr>
                <w:szCs w:val="20"/>
              </w:rPr>
            </w:pPr>
            <w:r w:rsidRPr="00322B2C">
              <w:rPr>
                <w:szCs w:val="20"/>
              </w:rPr>
              <w:t>Supplemental</w:t>
            </w:r>
          </w:p>
        </w:tc>
        <w:tc>
          <w:tcPr>
            <w:tcW w:w="801" w:type="pct"/>
          </w:tcPr>
          <w:p w14:paraId="1ABF7E86" w14:textId="6322B488" w:rsidR="00493E18" w:rsidRPr="00322B2C" w:rsidRDefault="00210A8B" w:rsidP="00322B2C">
            <w:pPr>
              <w:pStyle w:val="TableText"/>
              <w:rPr>
                <w:szCs w:val="20"/>
              </w:rPr>
            </w:pPr>
            <w:r w:rsidRPr="00322B2C">
              <w:rPr>
                <w:szCs w:val="20"/>
              </w:rPr>
              <w:t>Not Rated</w:t>
            </w:r>
          </w:p>
        </w:tc>
        <w:tc>
          <w:tcPr>
            <w:tcW w:w="801" w:type="pct"/>
          </w:tcPr>
          <w:p w14:paraId="3F65AAA1" w14:textId="4574B02E" w:rsidR="00493E18" w:rsidRPr="00322B2C" w:rsidRDefault="00210A8B" w:rsidP="00322B2C">
            <w:pPr>
              <w:pStyle w:val="TableText"/>
              <w:rPr>
                <w:szCs w:val="20"/>
              </w:rPr>
            </w:pPr>
            <w:r w:rsidRPr="00322B2C">
              <w:rPr>
                <w:szCs w:val="20"/>
              </w:rPr>
              <w:t>Not Rated</w:t>
            </w:r>
          </w:p>
        </w:tc>
      </w:tr>
      <w:tr w:rsidR="00493E18" w:rsidRPr="00322B2C" w14:paraId="0508E027" w14:textId="77777777" w:rsidTr="00322B2C">
        <w:tc>
          <w:tcPr>
            <w:tcW w:w="410" w:type="pct"/>
          </w:tcPr>
          <w:p w14:paraId="6AA806C1" w14:textId="2897A855" w:rsidR="00493E18" w:rsidRPr="009C5B85" w:rsidRDefault="00210A8B" w:rsidP="009C5B85">
            <w:pPr>
              <w:pStyle w:val="TableSubheading"/>
            </w:pPr>
            <w:r w:rsidRPr="009C5B85">
              <w:t>10-12</w:t>
            </w:r>
          </w:p>
        </w:tc>
        <w:tc>
          <w:tcPr>
            <w:tcW w:w="771" w:type="pct"/>
          </w:tcPr>
          <w:p w14:paraId="4B1802DD" w14:textId="6270F017" w:rsidR="00493E18" w:rsidRPr="00322B2C" w:rsidRDefault="00210A8B" w:rsidP="00322B2C">
            <w:pPr>
              <w:pStyle w:val="TableText"/>
              <w:rPr>
                <w:szCs w:val="20"/>
              </w:rPr>
            </w:pPr>
            <w:r w:rsidRPr="00322B2C">
              <w:rPr>
                <w:szCs w:val="20"/>
              </w:rPr>
              <w:t>Science</w:t>
            </w:r>
            <w:r w:rsidR="009C5B85">
              <w:rPr>
                <w:szCs w:val="20"/>
              </w:rPr>
              <w:t xml:space="preserve"> </w:t>
            </w:r>
            <w:r w:rsidRPr="00322B2C">
              <w:rPr>
                <w:szCs w:val="20"/>
              </w:rPr>
              <w:t>- Chemistry</w:t>
            </w:r>
          </w:p>
        </w:tc>
        <w:tc>
          <w:tcPr>
            <w:tcW w:w="1435" w:type="pct"/>
          </w:tcPr>
          <w:p w14:paraId="7332AF93" w14:textId="16EADE6D" w:rsidR="00493E18" w:rsidRPr="00322B2C" w:rsidRDefault="00210A8B" w:rsidP="00322B2C">
            <w:pPr>
              <w:pStyle w:val="TableText"/>
              <w:rPr>
                <w:szCs w:val="20"/>
              </w:rPr>
            </w:pPr>
            <w:r w:rsidRPr="00322B2C">
              <w:rPr>
                <w:szCs w:val="20"/>
              </w:rPr>
              <w:t>McGraw-Hill Inspire</w:t>
            </w:r>
            <w:r w:rsidR="006159E7">
              <w:rPr>
                <w:szCs w:val="20"/>
              </w:rPr>
              <w:t>—</w:t>
            </w:r>
            <w:r w:rsidRPr="00322B2C">
              <w:rPr>
                <w:szCs w:val="20"/>
              </w:rPr>
              <w:t>Chemistry</w:t>
            </w:r>
          </w:p>
        </w:tc>
        <w:tc>
          <w:tcPr>
            <w:tcW w:w="782" w:type="pct"/>
          </w:tcPr>
          <w:p w14:paraId="7A868BB1" w14:textId="09FACB87" w:rsidR="00493E18" w:rsidRPr="00322B2C" w:rsidRDefault="00210A8B" w:rsidP="00322B2C">
            <w:pPr>
              <w:pStyle w:val="TableText"/>
              <w:rPr>
                <w:szCs w:val="20"/>
              </w:rPr>
            </w:pPr>
            <w:r w:rsidRPr="00322B2C">
              <w:rPr>
                <w:szCs w:val="20"/>
              </w:rPr>
              <w:t>Supplemental</w:t>
            </w:r>
          </w:p>
        </w:tc>
        <w:tc>
          <w:tcPr>
            <w:tcW w:w="801" w:type="pct"/>
          </w:tcPr>
          <w:p w14:paraId="16A9F7B8" w14:textId="755EB742" w:rsidR="00493E18" w:rsidRPr="00322B2C" w:rsidRDefault="00210A8B" w:rsidP="00322B2C">
            <w:pPr>
              <w:pStyle w:val="TableText"/>
              <w:rPr>
                <w:szCs w:val="20"/>
              </w:rPr>
            </w:pPr>
            <w:r w:rsidRPr="00322B2C">
              <w:rPr>
                <w:szCs w:val="20"/>
              </w:rPr>
              <w:t>Not Rated</w:t>
            </w:r>
          </w:p>
        </w:tc>
        <w:tc>
          <w:tcPr>
            <w:tcW w:w="801" w:type="pct"/>
          </w:tcPr>
          <w:p w14:paraId="11910F69" w14:textId="4DA9482D" w:rsidR="00493E18" w:rsidRPr="00322B2C" w:rsidRDefault="00210A8B" w:rsidP="00322B2C">
            <w:pPr>
              <w:pStyle w:val="TableText"/>
              <w:rPr>
                <w:szCs w:val="20"/>
              </w:rPr>
            </w:pPr>
            <w:r w:rsidRPr="00322B2C">
              <w:rPr>
                <w:szCs w:val="20"/>
              </w:rPr>
              <w:t>Not Rated</w:t>
            </w:r>
          </w:p>
        </w:tc>
      </w:tr>
      <w:tr w:rsidR="00493E18" w:rsidRPr="00322B2C" w14:paraId="6C7E5CFC"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1B149960" w14:textId="7242C115" w:rsidR="00493E18" w:rsidRPr="009C5B85" w:rsidRDefault="00210A8B" w:rsidP="009C5B85">
            <w:pPr>
              <w:pStyle w:val="TableSubheading"/>
            </w:pPr>
            <w:r w:rsidRPr="009C5B85">
              <w:t>10-12</w:t>
            </w:r>
          </w:p>
        </w:tc>
        <w:tc>
          <w:tcPr>
            <w:tcW w:w="771" w:type="pct"/>
          </w:tcPr>
          <w:p w14:paraId="004CBA57" w14:textId="4B097485" w:rsidR="00493E18" w:rsidRPr="00322B2C" w:rsidRDefault="00210A8B" w:rsidP="00322B2C">
            <w:pPr>
              <w:pStyle w:val="TableText"/>
              <w:rPr>
                <w:szCs w:val="20"/>
              </w:rPr>
            </w:pPr>
            <w:r w:rsidRPr="00322B2C">
              <w:rPr>
                <w:szCs w:val="20"/>
              </w:rPr>
              <w:t>Science</w:t>
            </w:r>
            <w:r w:rsidR="009C5B85">
              <w:rPr>
                <w:szCs w:val="20"/>
              </w:rPr>
              <w:t xml:space="preserve"> </w:t>
            </w:r>
            <w:r w:rsidRPr="00322B2C">
              <w:rPr>
                <w:szCs w:val="20"/>
              </w:rPr>
              <w:t>- Earth/Enviro</w:t>
            </w:r>
          </w:p>
        </w:tc>
        <w:tc>
          <w:tcPr>
            <w:tcW w:w="1435" w:type="pct"/>
          </w:tcPr>
          <w:p w14:paraId="1A955381" w14:textId="4C01C60A" w:rsidR="00493E18" w:rsidRPr="00322B2C" w:rsidRDefault="00210A8B" w:rsidP="00322B2C">
            <w:pPr>
              <w:pStyle w:val="TableText"/>
              <w:rPr>
                <w:szCs w:val="20"/>
              </w:rPr>
            </w:pPr>
            <w:r w:rsidRPr="00322B2C">
              <w:rPr>
                <w:szCs w:val="20"/>
              </w:rPr>
              <w:t>McGraw-Hill Inspire</w:t>
            </w:r>
            <w:r w:rsidR="006159E7">
              <w:rPr>
                <w:szCs w:val="20"/>
              </w:rPr>
              <w:t>—</w:t>
            </w:r>
            <w:r w:rsidR="0051603E">
              <w:rPr>
                <w:szCs w:val="20"/>
              </w:rPr>
              <w:t>-</w:t>
            </w:r>
            <w:r w:rsidRPr="00322B2C">
              <w:rPr>
                <w:szCs w:val="20"/>
              </w:rPr>
              <w:t>Earth Science</w:t>
            </w:r>
          </w:p>
        </w:tc>
        <w:tc>
          <w:tcPr>
            <w:tcW w:w="782" w:type="pct"/>
          </w:tcPr>
          <w:p w14:paraId="6DB142AB" w14:textId="06C9FEB7" w:rsidR="00493E18" w:rsidRPr="00322B2C" w:rsidRDefault="00210A8B" w:rsidP="00322B2C">
            <w:pPr>
              <w:pStyle w:val="TableText"/>
              <w:rPr>
                <w:szCs w:val="20"/>
              </w:rPr>
            </w:pPr>
            <w:r w:rsidRPr="00322B2C">
              <w:rPr>
                <w:szCs w:val="20"/>
              </w:rPr>
              <w:t>Supplemental</w:t>
            </w:r>
          </w:p>
        </w:tc>
        <w:tc>
          <w:tcPr>
            <w:tcW w:w="801" w:type="pct"/>
          </w:tcPr>
          <w:p w14:paraId="44579B47" w14:textId="0E3D7219" w:rsidR="00493E18" w:rsidRPr="00322B2C" w:rsidRDefault="00210A8B" w:rsidP="00322B2C">
            <w:pPr>
              <w:pStyle w:val="TableText"/>
              <w:rPr>
                <w:szCs w:val="20"/>
              </w:rPr>
            </w:pPr>
            <w:r w:rsidRPr="00322B2C">
              <w:rPr>
                <w:szCs w:val="20"/>
              </w:rPr>
              <w:t>Not Rated</w:t>
            </w:r>
          </w:p>
        </w:tc>
        <w:tc>
          <w:tcPr>
            <w:tcW w:w="801" w:type="pct"/>
          </w:tcPr>
          <w:p w14:paraId="6FECDA44" w14:textId="664EE4B9" w:rsidR="00493E18" w:rsidRPr="00322B2C" w:rsidRDefault="00210A8B" w:rsidP="00322B2C">
            <w:pPr>
              <w:pStyle w:val="TableText"/>
              <w:rPr>
                <w:szCs w:val="20"/>
              </w:rPr>
            </w:pPr>
            <w:r w:rsidRPr="00322B2C">
              <w:rPr>
                <w:szCs w:val="20"/>
              </w:rPr>
              <w:t>Not Rated</w:t>
            </w:r>
          </w:p>
        </w:tc>
      </w:tr>
      <w:tr w:rsidR="00493E18" w:rsidRPr="00322B2C" w14:paraId="2C1370C3" w14:textId="77777777" w:rsidTr="00322B2C">
        <w:tc>
          <w:tcPr>
            <w:tcW w:w="410" w:type="pct"/>
          </w:tcPr>
          <w:p w14:paraId="7B63D407" w14:textId="7BA97D85" w:rsidR="00493E18" w:rsidRPr="009C5B85" w:rsidRDefault="00210A8B" w:rsidP="009C5B85">
            <w:pPr>
              <w:pStyle w:val="TableSubheading"/>
            </w:pPr>
            <w:r w:rsidRPr="009C5B85">
              <w:t>10-12</w:t>
            </w:r>
          </w:p>
        </w:tc>
        <w:tc>
          <w:tcPr>
            <w:tcW w:w="771" w:type="pct"/>
          </w:tcPr>
          <w:p w14:paraId="3FCA1A69" w14:textId="3041623C" w:rsidR="00493E18" w:rsidRPr="00322B2C" w:rsidRDefault="00210A8B" w:rsidP="00322B2C">
            <w:pPr>
              <w:pStyle w:val="TableText"/>
              <w:rPr>
                <w:szCs w:val="20"/>
              </w:rPr>
            </w:pPr>
            <w:r w:rsidRPr="00322B2C">
              <w:rPr>
                <w:szCs w:val="20"/>
              </w:rPr>
              <w:t>Science - Physics</w:t>
            </w:r>
          </w:p>
        </w:tc>
        <w:tc>
          <w:tcPr>
            <w:tcW w:w="1435" w:type="pct"/>
          </w:tcPr>
          <w:p w14:paraId="47641060" w14:textId="66EDAFA8" w:rsidR="00493E18" w:rsidRPr="00322B2C" w:rsidRDefault="00210A8B" w:rsidP="00322B2C">
            <w:pPr>
              <w:pStyle w:val="TableText"/>
              <w:rPr>
                <w:szCs w:val="20"/>
              </w:rPr>
            </w:pPr>
            <w:r w:rsidRPr="00322B2C">
              <w:rPr>
                <w:szCs w:val="20"/>
              </w:rPr>
              <w:t>McGraw-Hill Inspire</w:t>
            </w:r>
            <w:r w:rsidR="001E7F8B">
              <w:rPr>
                <w:szCs w:val="20"/>
              </w:rPr>
              <w:t>—</w:t>
            </w:r>
            <w:r w:rsidRPr="00322B2C">
              <w:rPr>
                <w:szCs w:val="20"/>
              </w:rPr>
              <w:t>Physics</w:t>
            </w:r>
          </w:p>
        </w:tc>
        <w:tc>
          <w:tcPr>
            <w:tcW w:w="782" w:type="pct"/>
          </w:tcPr>
          <w:p w14:paraId="64D511BB" w14:textId="75555B67" w:rsidR="00493E18" w:rsidRPr="00322B2C" w:rsidRDefault="00210A8B" w:rsidP="00322B2C">
            <w:pPr>
              <w:pStyle w:val="TableText"/>
              <w:rPr>
                <w:szCs w:val="20"/>
              </w:rPr>
            </w:pPr>
            <w:r w:rsidRPr="00322B2C">
              <w:rPr>
                <w:szCs w:val="20"/>
              </w:rPr>
              <w:t>Supplemental</w:t>
            </w:r>
          </w:p>
        </w:tc>
        <w:tc>
          <w:tcPr>
            <w:tcW w:w="801" w:type="pct"/>
          </w:tcPr>
          <w:p w14:paraId="5D16317C" w14:textId="66A079F9" w:rsidR="00493E18" w:rsidRPr="00322B2C" w:rsidRDefault="00210A8B" w:rsidP="00322B2C">
            <w:pPr>
              <w:pStyle w:val="TableText"/>
              <w:rPr>
                <w:szCs w:val="20"/>
              </w:rPr>
            </w:pPr>
            <w:r w:rsidRPr="00322B2C">
              <w:rPr>
                <w:szCs w:val="20"/>
              </w:rPr>
              <w:t>Not Rated</w:t>
            </w:r>
          </w:p>
        </w:tc>
        <w:tc>
          <w:tcPr>
            <w:tcW w:w="801" w:type="pct"/>
          </w:tcPr>
          <w:p w14:paraId="37755A3C" w14:textId="35743387" w:rsidR="00493E18" w:rsidRPr="00322B2C" w:rsidRDefault="00210A8B" w:rsidP="00322B2C">
            <w:pPr>
              <w:pStyle w:val="TableText"/>
              <w:rPr>
                <w:szCs w:val="20"/>
              </w:rPr>
            </w:pPr>
            <w:r w:rsidRPr="00322B2C">
              <w:rPr>
                <w:szCs w:val="20"/>
              </w:rPr>
              <w:t>Not Rated</w:t>
            </w:r>
          </w:p>
        </w:tc>
      </w:tr>
      <w:tr w:rsidR="00493E18" w:rsidRPr="00322B2C" w14:paraId="082B3BC9"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0BCB7155" w14:textId="585EB3BA" w:rsidR="00493E18" w:rsidRPr="009C5B85" w:rsidRDefault="00210A8B" w:rsidP="009C5B85">
            <w:pPr>
              <w:pStyle w:val="TableSubheading"/>
            </w:pPr>
            <w:r w:rsidRPr="009C5B85">
              <w:t>K</w:t>
            </w:r>
            <w:r w:rsidR="006019CB" w:rsidRPr="009C5B85">
              <w:t>-5</w:t>
            </w:r>
          </w:p>
        </w:tc>
        <w:tc>
          <w:tcPr>
            <w:tcW w:w="771" w:type="pct"/>
          </w:tcPr>
          <w:p w14:paraId="16C78E84" w14:textId="67F10900" w:rsidR="00493E18" w:rsidRPr="00322B2C" w:rsidRDefault="00210A8B" w:rsidP="00322B2C">
            <w:pPr>
              <w:pStyle w:val="TableText"/>
              <w:rPr>
                <w:szCs w:val="20"/>
              </w:rPr>
            </w:pPr>
            <w:r w:rsidRPr="00322B2C">
              <w:rPr>
                <w:szCs w:val="20"/>
              </w:rPr>
              <w:t>History/Social Science</w:t>
            </w:r>
          </w:p>
        </w:tc>
        <w:tc>
          <w:tcPr>
            <w:tcW w:w="1435" w:type="pct"/>
          </w:tcPr>
          <w:p w14:paraId="00B3201E" w14:textId="5B01E9DD" w:rsidR="00493E18" w:rsidRPr="00322B2C" w:rsidRDefault="00210A8B" w:rsidP="00322B2C">
            <w:pPr>
              <w:pStyle w:val="TableText"/>
              <w:rPr>
                <w:szCs w:val="20"/>
              </w:rPr>
            </w:pPr>
            <w:r w:rsidRPr="00322B2C">
              <w:rPr>
                <w:szCs w:val="20"/>
              </w:rPr>
              <w:t>District-developed</w:t>
            </w:r>
          </w:p>
        </w:tc>
        <w:tc>
          <w:tcPr>
            <w:tcW w:w="782" w:type="pct"/>
          </w:tcPr>
          <w:p w14:paraId="72E3E148" w14:textId="29DC9560" w:rsidR="00493E18" w:rsidRPr="00322B2C" w:rsidRDefault="00210A8B" w:rsidP="00322B2C">
            <w:pPr>
              <w:pStyle w:val="TableText"/>
              <w:rPr>
                <w:szCs w:val="20"/>
              </w:rPr>
            </w:pPr>
            <w:r w:rsidRPr="00322B2C">
              <w:rPr>
                <w:szCs w:val="20"/>
              </w:rPr>
              <w:t>Comprehensive</w:t>
            </w:r>
          </w:p>
        </w:tc>
        <w:tc>
          <w:tcPr>
            <w:tcW w:w="801" w:type="pct"/>
          </w:tcPr>
          <w:p w14:paraId="2B4684D0" w14:textId="0E5B4F2E" w:rsidR="00493E18" w:rsidRPr="00322B2C" w:rsidRDefault="00210A8B" w:rsidP="00322B2C">
            <w:pPr>
              <w:pStyle w:val="TableText"/>
              <w:rPr>
                <w:szCs w:val="20"/>
              </w:rPr>
            </w:pPr>
            <w:r w:rsidRPr="00322B2C">
              <w:rPr>
                <w:szCs w:val="20"/>
              </w:rPr>
              <w:t>Not Rated</w:t>
            </w:r>
          </w:p>
        </w:tc>
        <w:tc>
          <w:tcPr>
            <w:tcW w:w="801" w:type="pct"/>
          </w:tcPr>
          <w:p w14:paraId="4B61F61B" w14:textId="5FF9603D" w:rsidR="00493E18" w:rsidRPr="00322B2C" w:rsidRDefault="00210A8B" w:rsidP="00322B2C">
            <w:pPr>
              <w:pStyle w:val="TableText"/>
              <w:rPr>
                <w:szCs w:val="20"/>
              </w:rPr>
            </w:pPr>
            <w:r w:rsidRPr="00322B2C">
              <w:rPr>
                <w:szCs w:val="20"/>
              </w:rPr>
              <w:t>Not Rated</w:t>
            </w:r>
          </w:p>
        </w:tc>
      </w:tr>
      <w:tr w:rsidR="00493E18" w:rsidRPr="00322B2C" w14:paraId="0539552C" w14:textId="77777777" w:rsidTr="00322B2C">
        <w:tc>
          <w:tcPr>
            <w:tcW w:w="410" w:type="pct"/>
          </w:tcPr>
          <w:p w14:paraId="5B7BDAE1" w14:textId="60719033" w:rsidR="00493E18" w:rsidRPr="009C5B85" w:rsidRDefault="00210A8B" w:rsidP="009C5B85">
            <w:pPr>
              <w:pStyle w:val="TableSubheading"/>
            </w:pPr>
            <w:r w:rsidRPr="009C5B85">
              <w:t>K</w:t>
            </w:r>
            <w:r w:rsidR="006019CB" w:rsidRPr="009C5B85">
              <w:t>-5</w:t>
            </w:r>
          </w:p>
        </w:tc>
        <w:tc>
          <w:tcPr>
            <w:tcW w:w="771" w:type="pct"/>
          </w:tcPr>
          <w:p w14:paraId="3988BF75" w14:textId="737597A7" w:rsidR="00493E18" w:rsidRPr="00322B2C" w:rsidRDefault="00210A8B" w:rsidP="00322B2C">
            <w:pPr>
              <w:pStyle w:val="TableText"/>
              <w:rPr>
                <w:szCs w:val="20"/>
              </w:rPr>
            </w:pPr>
            <w:r w:rsidRPr="00322B2C">
              <w:rPr>
                <w:szCs w:val="20"/>
              </w:rPr>
              <w:t>History/Social Science</w:t>
            </w:r>
          </w:p>
        </w:tc>
        <w:tc>
          <w:tcPr>
            <w:tcW w:w="1435" w:type="pct"/>
          </w:tcPr>
          <w:p w14:paraId="4E25BD8D" w14:textId="501D3CAA" w:rsidR="00493E18" w:rsidRPr="00322B2C" w:rsidRDefault="00210A8B" w:rsidP="00322B2C">
            <w:pPr>
              <w:pStyle w:val="TableText"/>
              <w:rPr>
                <w:szCs w:val="20"/>
              </w:rPr>
            </w:pPr>
            <w:r w:rsidRPr="00322B2C">
              <w:rPr>
                <w:szCs w:val="20"/>
              </w:rPr>
              <w:t>Children Discovering Justice</w:t>
            </w:r>
          </w:p>
        </w:tc>
        <w:tc>
          <w:tcPr>
            <w:tcW w:w="782" w:type="pct"/>
          </w:tcPr>
          <w:p w14:paraId="18E5A018" w14:textId="0CAD2751" w:rsidR="00493E18" w:rsidRPr="00322B2C" w:rsidRDefault="00210A8B" w:rsidP="00322B2C">
            <w:pPr>
              <w:pStyle w:val="TableText"/>
              <w:rPr>
                <w:szCs w:val="20"/>
              </w:rPr>
            </w:pPr>
            <w:r w:rsidRPr="00322B2C">
              <w:rPr>
                <w:szCs w:val="20"/>
              </w:rPr>
              <w:t>Supplemental</w:t>
            </w:r>
          </w:p>
        </w:tc>
        <w:tc>
          <w:tcPr>
            <w:tcW w:w="801" w:type="pct"/>
          </w:tcPr>
          <w:p w14:paraId="3C3B7257" w14:textId="69CA14EE" w:rsidR="00493E18" w:rsidRPr="00322B2C" w:rsidRDefault="00210A8B" w:rsidP="00322B2C">
            <w:pPr>
              <w:pStyle w:val="TableText"/>
              <w:rPr>
                <w:szCs w:val="20"/>
              </w:rPr>
            </w:pPr>
            <w:r w:rsidRPr="00322B2C">
              <w:rPr>
                <w:szCs w:val="20"/>
              </w:rPr>
              <w:t>Not Rated</w:t>
            </w:r>
          </w:p>
        </w:tc>
        <w:tc>
          <w:tcPr>
            <w:tcW w:w="801" w:type="pct"/>
          </w:tcPr>
          <w:p w14:paraId="4F9E413B" w14:textId="0891EBBF" w:rsidR="00493E18" w:rsidRPr="00322B2C" w:rsidRDefault="00210A8B" w:rsidP="00322B2C">
            <w:pPr>
              <w:pStyle w:val="TableText"/>
              <w:rPr>
                <w:szCs w:val="20"/>
              </w:rPr>
            </w:pPr>
            <w:r w:rsidRPr="00322B2C">
              <w:rPr>
                <w:szCs w:val="20"/>
              </w:rPr>
              <w:t>Not Rated</w:t>
            </w:r>
          </w:p>
        </w:tc>
      </w:tr>
      <w:tr w:rsidR="00316DAB" w:rsidRPr="00322B2C" w14:paraId="3A746469"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072607C9" w14:textId="6F4D0779" w:rsidR="00316DAB" w:rsidRPr="009C5B85" w:rsidRDefault="00316DAB" w:rsidP="009C5B85">
            <w:pPr>
              <w:pStyle w:val="TableSubheading"/>
            </w:pPr>
            <w:r w:rsidRPr="009C5B85">
              <w:t>6</w:t>
            </w:r>
            <w:r w:rsidR="007F0763" w:rsidRPr="009C5B85">
              <w:t>-8</w:t>
            </w:r>
          </w:p>
        </w:tc>
        <w:tc>
          <w:tcPr>
            <w:tcW w:w="771" w:type="pct"/>
          </w:tcPr>
          <w:p w14:paraId="590564D6" w14:textId="0147CFBE" w:rsidR="00316DAB" w:rsidRPr="00322B2C" w:rsidRDefault="00316DAB" w:rsidP="00322B2C">
            <w:pPr>
              <w:pStyle w:val="TableText"/>
              <w:rPr>
                <w:szCs w:val="20"/>
              </w:rPr>
            </w:pPr>
            <w:r w:rsidRPr="00322B2C">
              <w:rPr>
                <w:szCs w:val="20"/>
              </w:rPr>
              <w:t>History/Social Science</w:t>
            </w:r>
          </w:p>
        </w:tc>
        <w:tc>
          <w:tcPr>
            <w:tcW w:w="1435" w:type="pct"/>
          </w:tcPr>
          <w:p w14:paraId="3EFA5623" w14:textId="11FC9022" w:rsidR="00316DAB" w:rsidRPr="00322B2C" w:rsidRDefault="00316DAB" w:rsidP="00322B2C">
            <w:pPr>
              <w:pStyle w:val="TableText"/>
              <w:rPr>
                <w:szCs w:val="20"/>
              </w:rPr>
            </w:pPr>
            <w:r w:rsidRPr="00322B2C">
              <w:rPr>
                <w:szCs w:val="20"/>
              </w:rPr>
              <w:t>Discovery Education Social Studies (2025)</w:t>
            </w:r>
          </w:p>
        </w:tc>
        <w:tc>
          <w:tcPr>
            <w:tcW w:w="782" w:type="pct"/>
          </w:tcPr>
          <w:p w14:paraId="24C741E0" w14:textId="213227F8" w:rsidR="00316DAB" w:rsidRPr="00322B2C" w:rsidRDefault="00316DAB" w:rsidP="00322B2C">
            <w:pPr>
              <w:pStyle w:val="TableText"/>
              <w:rPr>
                <w:szCs w:val="20"/>
              </w:rPr>
            </w:pPr>
            <w:r w:rsidRPr="00322B2C">
              <w:rPr>
                <w:szCs w:val="20"/>
              </w:rPr>
              <w:t>Comprehensive</w:t>
            </w:r>
          </w:p>
        </w:tc>
        <w:tc>
          <w:tcPr>
            <w:tcW w:w="801" w:type="pct"/>
          </w:tcPr>
          <w:p w14:paraId="0B36FAF5" w14:textId="1C3410BD" w:rsidR="00316DAB" w:rsidRPr="00322B2C" w:rsidRDefault="00316DAB" w:rsidP="00322B2C">
            <w:pPr>
              <w:pStyle w:val="TableText"/>
              <w:rPr>
                <w:szCs w:val="20"/>
              </w:rPr>
            </w:pPr>
            <w:r w:rsidRPr="00322B2C">
              <w:rPr>
                <w:szCs w:val="20"/>
              </w:rPr>
              <w:t>Not Rated</w:t>
            </w:r>
          </w:p>
        </w:tc>
        <w:tc>
          <w:tcPr>
            <w:tcW w:w="801" w:type="pct"/>
          </w:tcPr>
          <w:p w14:paraId="57462E8B" w14:textId="1472EC9E" w:rsidR="00316DAB" w:rsidRPr="00322B2C" w:rsidRDefault="00316DAB" w:rsidP="00322B2C">
            <w:pPr>
              <w:pStyle w:val="TableText"/>
              <w:rPr>
                <w:szCs w:val="20"/>
              </w:rPr>
            </w:pPr>
            <w:r w:rsidRPr="00322B2C">
              <w:rPr>
                <w:szCs w:val="20"/>
              </w:rPr>
              <w:t>Not Rated</w:t>
            </w:r>
          </w:p>
        </w:tc>
      </w:tr>
      <w:tr w:rsidR="00316DAB" w:rsidRPr="00322B2C" w14:paraId="74B44409" w14:textId="77777777" w:rsidTr="00322B2C">
        <w:tc>
          <w:tcPr>
            <w:tcW w:w="410" w:type="pct"/>
          </w:tcPr>
          <w:p w14:paraId="57559A31" w14:textId="3ACD6BF6" w:rsidR="00316DAB" w:rsidRPr="009C5B85" w:rsidRDefault="00316DAB" w:rsidP="009C5B85">
            <w:pPr>
              <w:pStyle w:val="TableSubheading"/>
            </w:pPr>
            <w:r w:rsidRPr="009C5B85">
              <w:t>9</w:t>
            </w:r>
            <w:r w:rsidR="00D03581" w:rsidRPr="009C5B85">
              <w:t>-11</w:t>
            </w:r>
          </w:p>
        </w:tc>
        <w:tc>
          <w:tcPr>
            <w:tcW w:w="771" w:type="pct"/>
          </w:tcPr>
          <w:p w14:paraId="0A091DE0" w14:textId="3AF9590E" w:rsidR="00316DAB" w:rsidRPr="00322B2C" w:rsidRDefault="00316DAB" w:rsidP="00322B2C">
            <w:pPr>
              <w:pStyle w:val="TableText"/>
              <w:rPr>
                <w:szCs w:val="20"/>
              </w:rPr>
            </w:pPr>
            <w:r w:rsidRPr="00322B2C">
              <w:rPr>
                <w:szCs w:val="20"/>
              </w:rPr>
              <w:t>History/Social Science</w:t>
            </w:r>
          </w:p>
        </w:tc>
        <w:tc>
          <w:tcPr>
            <w:tcW w:w="1435" w:type="pct"/>
          </w:tcPr>
          <w:p w14:paraId="1ACBC636" w14:textId="4A1D9F50" w:rsidR="00316DAB" w:rsidRPr="00322B2C" w:rsidRDefault="004822AD" w:rsidP="00322B2C">
            <w:pPr>
              <w:pStyle w:val="TableText"/>
              <w:rPr>
                <w:szCs w:val="20"/>
              </w:rPr>
            </w:pPr>
            <w:r>
              <w:t>Open Education Resources</w:t>
            </w:r>
            <w:r w:rsidR="00316DAB" w:rsidRPr="00322B2C">
              <w:rPr>
                <w:szCs w:val="20"/>
              </w:rPr>
              <w:t xml:space="preserve"> Project (C3 Inquiry) J</w:t>
            </w:r>
            <w:r w:rsidR="00232245">
              <w:rPr>
                <w:szCs w:val="20"/>
              </w:rPr>
              <w:t xml:space="preserve">effeson </w:t>
            </w:r>
            <w:r w:rsidR="00316DAB" w:rsidRPr="00322B2C">
              <w:rPr>
                <w:szCs w:val="20"/>
              </w:rPr>
              <w:t>C</w:t>
            </w:r>
            <w:r w:rsidR="00232245">
              <w:rPr>
                <w:szCs w:val="20"/>
              </w:rPr>
              <w:t xml:space="preserve">ounty </w:t>
            </w:r>
            <w:r w:rsidR="00316DAB" w:rsidRPr="00322B2C">
              <w:rPr>
                <w:szCs w:val="20"/>
              </w:rPr>
              <w:t>P</w:t>
            </w:r>
            <w:r w:rsidR="00232245">
              <w:rPr>
                <w:szCs w:val="20"/>
              </w:rPr>
              <w:t xml:space="preserve">ublic </w:t>
            </w:r>
            <w:r w:rsidR="00316DAB" w:rsidRPr="00322B2C">
              <w:rPr>
                <w:szCs w:val="20"/>
              </w:rPr>
              <w:t>S</w:t>
            </w:r>
            <w:r w:rsidR="00232245">
              <w:rPr>
                <w:szCs w:val="20"/>
              </w:rPr>
              <w:t>chools</w:t>
            </w:r>
            <w:r w:rsidR="00316DAB" w:rsidRPr="00322B2C">
              <w:rPr>
                <w:szCs w:val="20"/>
              </w:rPr>
              <w:t xml:space="preserve"> and district</w:t>
            </w:r>
            <w:r w:rsidR="001E7F8B">
              <w:rPr>
                <w:szCs w:val="20"/>
              </w:rPr>
              <w:t>-</w:t>
            </w:r>
            <w:r w:rsidR="00316DAB" w:rsidRPr="00322B2C">
              <w:rPr>
                <w:szCs w:val="20"/>
              </w:rPr>
              <w:t>developed</w:t>
            </w:r>
          </w:p>
        </w:tc>
        <w:tc>
          <w:tcPr>
            <w:tcW w:w="782" w:type="pct"/>
          </w:tcPr>
          <w:p w14:paraId="167FC310" w14:textId="230683DA" w:rsidR="00316DAB" w:rsidRPr="00322B2C" w:rsidRDefault="00316DAB" w:rsidP="00322B2C">
            <w:pPr>
              <w:pStyle w:val="TableText"/>
              <w:rPr>
                <w:szCs w:val="20"/>
              </w:rPr>
            </w:pPr>
            <w:r w:rsidRPr="00322B2C">
              <w:rPr>
                <w:szCs w:val="20"/>
              </w:rPr>
              <w:t xml:space="preserve">Comprehensive </w:t>
            </w:r>
          </w:p>
        </w:tc>
        <w:tc>
          <w:tcPr>
            <w:tcW w:w="801" w:type="pct"/>
          </w:tcPr>
          <w:p w14:paraId="3E6AEE31" w14:textId="4BFD0B40" w:rsidR="00316DAB" w:rsidRPr="00322B2C" w:rsidRDefault="00316DAB" w:rsidP="00322B2C">
            <w:pPr>
              <w:pStyle w:val="TableText"/>
              <w:rPr>
                <w:szCs w:val="20"/>
              </w:rPr>
            </w:pPr>
            <w:r w:rsidRPr="00322B2C">
              <w:rPr>
                <w:szCs w:val="20"/>
              </w:rPr>
              <w:t>Not Rated</w:t>
            </w:r>
          </w:p>
        </w:tc>
        <w:tc>
          <w:tcPr>
            <w:tcW w:w="801" w:type="pct"/>
          </w:tcPr>
          <w:p w14:paraId="27409C2D" w14:textId="45A573E9" w:rsidR="00316DAB" w:rsidRPr="00322B2C" w:rsidRDefault="00316DAB" w:rsidP="00322B2C">
            <w:pPr>
              <w:pStyle w:val="TableText"/>
              <w:rPr>
                <w:szCs w:val="20"/>
              </w:rPr>
            </w:pPr>
            <w:r w:rsidRPr="00322B2C">
              <w:rPr>
                <w:szCs w:val="20"/>
              </w:rPr>
              <w:t>Not Rated</w:t>
            </w:r>
          </w:p>
        </w:tc>
      </w:tr>
      <w:tr w:rsidR="00316DAB" w:rsidRPr="00322B2C" w14:paraId="69498371" w14:textId="77777777" w:rsidTr="00322B2C">
        <w:trPr>
          <w:cnfStyle w:val="000000100000" w:firstRow="0" w:lastRow="0" w:firstColumn="0" w:lastColumn="0" w:oddVBand="0" w:evenVBand="0" w:oddHBand="1" w:evenHBand="0" w:firstRowFirstColumn="0" w:firstRowLastColumn="0" w:lastRowFirstColumn="0" w:lastRowLastColumn="0"/>
        </w:trPr>
        <w:tc>
          <w:tcPr>
            <w:tcW w:w="410" w:type="pct"/>
          </w:tcPr>
          <w:p w14:paraId="7F23B762" w14:textId="113BE91A" w:rsidR="00316DAB" w:rsidRPr="009C5B85" w:rsidRDefault="00316DAB" w:rsidP="009C5B85">
            <w:pPr>
              <w:pStyle w:val="TableSubheading"/>
            </w:pPr>
            <w:r w:rsidRPr="009C5B85">
              <w:t>12</w:t>
            </w:r>
          </w:p>
        </w:tc>
        <w:tc>
          <w:tcPr>
            <w:tcW w:w="771" w:type="pct"/>
          </w:tcPr>
          <w:p w14:paraId="183F32D3" w14:textId="0ADA4E4C" w:rsidR="00316DAB" w:rsidRPr="00322B2C" w:rsidRDefault="00316DAB" w:rsidP="00322B2C">
            <w:pPr>
              <w:pStyle w:val="TableText"/>
              <w:rPr>
                <w:szCs w:val="20"/>
              </w:rPr>
            </w:pPr>
            <w:r w:rsidRPr="00322B2C">
              <w:rPr>
                <w:szCs w:val="20"/>
              </w:rPr>
              <w:t>History/Social Science</w:t>
            </w:r>
          </w:p>
        </w:tc>
        <w:tc>
          <w:tcPr>
            <w:tcW w:w="1435" w:type="pct"/>
          </w:tcPr>
          <w:p w14:paraId="4B8D84D2" w14:textId="73FA813D" w:rsidR="00316DAB" w:rsidRPr="00322B2C" w:rsidRDefault="00316DAB" w:rsidP="00322B2C">
            <w:pPr>
              <w:pStyle w:val="TableText"/>
              <w:rPr>
                <w:szCs w:val="20"/>
              </w:rPr>
            </w:pPr>
            <w:r w:rsidRPr="00322B2C">
              <w:rPr>
                <w:szCs w:val="20"/>
              </w:rPr>
              <w:t>District-developed</w:t>
            </w:r>
          </w:p>
        </w:tc>
        <w:tc>
          <w:tcPr>
            <w:tcW w:w="782" w:type="pct"/>
          </w:tcPr>
          <w:p w14:paraId="0F2D40A9" w14:textId="6226FA3F" w:rsidR="00316DAB" w:rsidRPr="00322B2C" w:rsidRDefault="00066197" w:rsidP="00322B2C">
            <w:pPr>
              <w:pStyle w:val="TableText"/>
              <w:rPr>
                <w:szCs w:val="20"/>
              </w:rPr>
            </w:pPr>
            <w:r>
              <w:rPr>
                <w:color w:val="000000" w:themeColor="text1"/>
                <w:szCs w:val="20"/>
              </w:rPr>
              <w:t>Unknown</w:t>
            </w:r>
          </w:p>
        </w:tc>
        <w:tc>
          <w:tcPr>
            <w:tcW w:w="801" w:type="pct"/>
          </w:tcPr>
          <w:p w14:paraId="56165B1A" w14:textId="2425B19D" w:rsidR="00316DAB" w:rsidRPr="00322B2C" w:rsidRDefault="00316DAB" w:rsidP="00322B2C">
            <w:pPr>
              <w:pStyle w:val="TableText"/>
              <w:rPr>
                <w:szCs w:val="20"/>
              </w:rPr>
            </w:pPr>
            <w:r w:rsidRPr="00322B2C">
              <w:rPr>
                <w:szCs w:val="20"/>
              </w:rPr>
              <w:t>Not Rated</w:t>
            </w:r>
          </w:p>
        </w:tc>
        <w:tc>
          <w:tcPr>
            <w:tcW w:w="801" w:type="pct"/>
          </w:tcPr>
          <w:p w14:paraId="32B1C7C4" w14:textId="551BAA5B" w:rsidR="00316DAB" w:rsidRPr="00322B2C" w:rsidRDefault="00316DAB" w:rsidP="00322B2C">
            <w:pPr>
              <w:pStyle w:val="TableText"/>
              <w:rPr>
                <w:szCs w:val="20"/>
              </w:rPr>
            </w:pPr>
            <w:r w:rsidRPr="00322B2C">
              <w:rPr>
                <w:szCs w:val="20"/>
              </w:rPr>
              <w:t>Not Rated</w:t>
            </w:r>
          </w:p>
        </w:tc>
      </w:tr>
      <w:tr w:rsidR="00316DAB" w:rsidRPr="00322B2C" w14:paraId="59A7E08C" w14:textId="77777777" w:rsidTr="00322B2C">
        <w:tc>
          <w:tcPr>
            <w:tcW w:w="410" w:type="pct"/>
          </w:tcPr>
          <w:p w14:paraId="1CBA16EE" w14:textId="6E2F44E8" w:rsidR="00316DAB" w:rsidRPr="009C5B85" w:rsidRDefault="00316DAB" w:rsidP="009C5B85">
            <w:pPr>
              <w:pStyle w:val="TableSubheading"/>
            </w:pPr>
            <w:r w:rsidRPr="009C5B85">
              <w:t>K</w:t>
            </w:r>
            <w:r w:rsidR="00310C7C" w:rsidRPr="009C5B85">
              <w:t>-8</w:t>
            </w:r>
          </w:p>
        </w:tc>
        <w:tc>
          <w:tcPr>
            <w:tcW w:w="771" w:type="pct"/>
          </w:tcPr>
          <w:p w14:paraId="2A0E6142" w14:textId="7693792E" w:rsidR="00316DAB" w:rsidRPr="00322B2C" w:rsidRDefault="00316DAB" w:rsidP="00322B2C">
            <w:pPr>
              <w:pStyle w:val="TableText"/>
              <w:rPr>
                <w:szCs w:val="20"/>
              </w:rPr>
            </w:pPr>
            <w:r w:rsidRPr="00322B2C">
              <w:rPr>
                <w:szCs w:val="20"/>
              </w:rPr>
              <w:t>Digital Literacy/ Computer Science</w:t>
            </w:r>
          </w:p>
        </w:tc>
        <w:tc>
          <w:tcPr>
            <w:tcW w:w="1435" w:type="pct"/>
          </w:tcPr>
          <w:p w14:paraId="04B5EEAE" w14:textId="539EE23D" w:rsidR="00316DAB" w:rsidRPr="00322B2C" w:rsidRDefault="00316DAB" w:rsidP="00322B2C">
            <w:pPr>
              <w:pStyle w:val="TableText"/>
              <w:rPr>
                <w:szCs w:val="20"/>
              </w:rPr>
            </w:pPr>
            <w:r w:rsidRPr="00322B2C">
              <w:rPr>
                <w:szCs w:val="20"/>
              </w:rPr>
              <w:t>District-developed</w:t>
            </w:r>
          </w:p>
        </w:tc>
        <w:tc>
          <w:tcPr>
            <w:tcW w:w="782" w:type="pct"/>
          </w:tcPr>
          <w:p w14:paraId="52924A8C" w14:textId="27DF067B" w:rsidR="00316DAB" w:rsidRPr="00322B2C" w:rsidRDefault="00316DAB" w:rsidP="00322B2C">
            <w:pPr>
              <w:pStyle w:val="TableText"/>
              <w:rPr>
                <w:szCs w:val="20"/>
              </w:rPr>
            </w:pPr>
            <w:r w:rsidRPr="00322B2C">
              <w:rPr>
                <w:szCs w:val="20"/>
              </w:rPr>
              <w:t>Supplemental</w:t>
            </w:r>
          </w:p>
        </w:tc>
        <w:tc>
          <w:tcPr>
            <w:tcW w:w="801" w:type="pct"/>
          </w:tcPr>
          <w:p w14:paraId="5142C5AF" w14:textId="32086B0F" w:rsidR="00316DAB" w:rsidRPr="00322B2C" w:rsidRDefault="00316DAB" w:rsidP="00322B2C">
            <w:pPr>
              <w:pStyle w:val="TableText"/>
              <w:rPr>
                <w:szCs w:val="20"/>
              </w:rPr>
            </w:pPr>
            <w:r w:rsidRPr="00322B2C">
              <w:rPr>
                <w:szCs w:val="20"/>
              </w:rPr>
              <w:t>Not Rated</w:t>
            </w:r>
          </w:p>
        </w:tc>
        <w:tc>
          <w:tcPr>
            <w:tcW w:w="801" w:type="pct"/>
          </w:tcPr>
          <w:p w14:paraId="09A6A8D6" w14:textId="07FFF824" w:rsidR="00316DAB" w:rsidRPr="00322B2C" w:rsidRDefault="00316DAB" w:rsidP="00322B2C">
            <w:pPr>
              <w:pStyle w:val="TableText"/>
              <w:rPr>
                <w:szCs w:val="20"/>
              </w:rPr>
            </w:pPr>
            <w:r w:rsidRPr="00322B2C">
              <w:rPr>
                <w:szCs w:val="20"/>
              </w:rPr>
              <w:t>Not Rated</w:t>
            </w:r>
          </w:p>
        </w:tc>
      </w:tr>
    </w:tbl>
    <w:p w14:paraId="1A98FE05" w14:textId="1F07D445" w:rsidR="007F5160" w:rsidRPr="004F06DD" w:rsidRDefault="006F2AA0" w:rsidP="001F6C3D">
      <w:pPr>
        <w:pStyle w:val="TableNote"/>
      </w:pPr>
      <w:r w:rsidRPr="0083B753">
        <w:rPr>
          <w:i/>
          <w:iCs/>
        </w:rPr>
        <w:t>Note</w:t>
      </w:r>
      <w:r>
        <w:t xml:space="preserve">: </w:t>
      </w:r>
      <w:r w:rsidR="64E96642">
        <w:t>CURATE = CUrriculum RAtings by TEachers</w:t>
      </w:r>
      <w:r w:rsidR="001E7F8B">
        <w:t>.</w:t>
      </w:r>
    </w:p>
    <w:p w14:paraId="577ACB2C" w14:textId="2FBDC238" w:rsidR="00A27DDE" w:rsidRPr="00B1622A" w:rsidRDefault="59A79969" w:rsidP="008500D5">
      <w:pPr>
        <w:pStyle w:val="BodyText"/>
        <w:rPr>
          <w:color w:val="000000" w:themeColor="text1"/>
        </w:rPr>
      </w:pPr>
      <w:bookmarkStart w:id="39" w:name="_Student_Access_to"/>
      <w:bookmarkStart w:id="40" w:name="_Equitable_Practices_and"/>
      <w:bookmarkEnd w:id="39"/>
      <w:bookmarkEnd w:id="40"/>
      <w:r>
        <w:t xml:space="preserve">Teachers identified both strengths and limitations in adopted materials. Elementary educators described early challenges with Wonders, particularly around explicit phonics instruction, which prompted the district to supplement </w:t>
      </w:r>
      <w:r w:rsidR="00162574">
        <w:t xml:space="preserve">instruction </w:t>
      </w:r>
      <w:r>
        <w:t xml:space="preserve">with Enhanced Core Reading Instruction (ECRI); </w:t>
      </w:r>
      <w:r w:rsidR="00AF763E">
        <w:t xml:space="preserve">as one </w:t>
      </w:r>
      <w:r>
        <w:t>teacher reported</w:t>
      </w:r>
      <w:r w:rsidR="00AF763E">
        <w:t>,</w:t>
      </w:r>
      <w:r>
        <w:t xml:space="preserve"> </w:t>
      </w:r>
      <w:r w:rsidR="00AF763E">
        <w:t>the</w:t>
      </w:r>
      <w:r>
        <w:t xml:space="preserve"> challenges around phonics instruction have since been “cleaned up” as a result. Middle school teachers expressed positive perceptions of StudySync, citing its literature </w:t>
      </w:r>
      <w:r>
        <w:lastRenderedPageBreak/>
        <w:t>selections</w:t>
      </w:r>
      <w:r w:rsidR="036AE6CB">
        <w:t xml:space="preserve"> for having</w:t>
      </w:r>
      <w:r w:rsidR="523C12E1">
        <w:t xml:space="preserve"> representation of</w:t>
      </w:r>
      <w:r w:rsidR="036AE6CB">
        <w:t xml:space="preserve"> </w:t>
      </w:r>
      <w:r w:rsidR="523C12E1">
        <w:t>authors from a range of backgrounds</w:t>
      </w:r>
      <w:r>
        <w:t>, adaptable scaffolds, and embedded student model videos as effective supports for a wide range of learners. One middle school teacher reported that those built</w:t>
      </w:r>
      <w:r w:rsidR="00414872">
        <w:t>-</w:t>
      </w:r>
      <w:r>
        <w:t>in scaffolds “keep that higher standard</w:t>
      </w:r>
      <w:r w:rsidR="00414872">
        <w:t xml:space="preserve"> . . . </w:t>
      </w:r>
      <w:r>
        <w:t xml:space="preserve">so all students can read on grade level and answer questions at grade level.” However, teachers identified limitations in other materials, including </w:t>
      </w:r>
      <w:r w:rsidR="523C12E1">
        <w:t>out</w:t>
      </w:r>
      <w:r>
        <w:t xml:space="preserve">dated media in Discovery Education and limited translation options, which are available only in Spanish and pose challenges for supporting Haitian Creole-speaking students. Despite those challenges, leaders described coordinated efforts across the Teaching and Learning, </w:t>
      </w:r>
      <w:r w:rsidR="00DC183E">
        <w:t>B</w:t>
      </w:r>
      <w:r>
        <w:t xml:space="preserve">ilingual </w:t>
      </w:r>
      <w:r w:rsidR="00DC183E">
        <w:t>E</w:t>
      </w:r>
      <w:r>
        <w:t xml:space="preserve">ducation, and </w:t>
      </w:r>
      <w:r w:rsidR="00DC183E">
        <w:t>E</w:t>
      </w:r>
      <w:r>
        <w:t xml:space="preserve">xceptional </w:t>
      </w:r>
      <w:r w:rsidR="00DC183E">
        <w:t>L</w:t>
      </w:r>
      <w:r>
        <w:t xml:space="preserve">earning departments to ensure Tier 1 materials are accessible to </w:t>
      </w:r>
      <w:r w:rsidR="082C1944">
        <w:t>English</w:t>
      </w:r>
      <w:r>
        <w:t xml:space="preserve"> learners and students with disabilities. Supports include embedded language scaffolds within core curricula, coaching from language acquisition specialists, </w:t>
      </w:r>
      <w:r w:rsidRPr="00B1622A">
        <w:rPr>
          <w:color w:val="000000" w:themeColor="text1"/>
        </w:rPr>
        <w:t xml:space="preserve">a districtwide </w:t>
      </w:r>
      <w:r w:rsidR="082C1944" w:rsidRPr="00B1622A">
        <w:rPr>
          <w:color w:val="000000" w:themeColor="text1"/>
        </w:rPr>
        <w:t>English</w:t>
      </w:r>
      <w:r w:rsidRPr="00B1622A">
        <w:rPr>
          <w:color w:val="000000" w:themeColor="text1"/>
        </w:rPr>
        <w:t xml:space="preserve"> learner scaffolding document, and vetted specialized curricula such as TeachTown for life skills classrooms. These efforts to ensure curricular materials </w:t>
      </w:r>
      <w:r w:rsidR="61B9EDB8" w:rsidRPr="00B1622A">
        <w:rPr>
          <w:color w:val="000000" w:themeColor="text1"/>
        </w:rPr>
        <w:t>meet</w:t>
      </w:r>
      <w:r w:rsidRPr="00B1622A">
        <w:rPr>
          <w:color w:val="000000" w:themeColor="text1"/>
        </w:rPr>
        <w:t xml:space="preserve"> the needs of all learners, including </w:t>
      </w:r>
      <w:r w:rsidR="00965828" w:rsidRPr="00B1622A">
        <w:rPr>
          <w:color w:val="000000" w:themeColor="text1"/>
        </w:rPr>
        <w:t xml:space="preserve">students who are </w:t>
      </w:r>
      <w:r w:rsidR="082C1944" w:rsidRPr="00B1622A">
        <w:rPr>
          <w:color w:val="000000" w:themeColor="text1"/>
        </w:rPr>
        <w:t>English</w:t>
      </w:r>
      <w:r w:rsidR="00965828" w:rsidRPr="00B1622A">
        <w:rPr>
          <w:color w:val="000000" w:themeColor="text1"/>
        </w:rPr>
        <w:t xml:space="preserve"> learners</w:t>
      </w:r>
      <w:r w:rsidRPr="00B1622A">
        <w:rPr>
          <w:color w:val="000000" w:themeColor="text1"/>
        </w:rPr>
        <w:t xml:space="preserve"> and students with disabilities, </w:t>
      </w:r>
      <w:r w:rsidR="544D3BE6" w:rsidRPr="00B1622A">
        <w:rPr>
          <w:color w:val="000000" w:themeColor="text1"/>
        </w:rPr>
        <w:t>are</w:t>
      </w:r>
      <w:r w:rsidRPr="00B1622A">
        <w:rPr>
          <w:color w:val="000000" w:themeColor="text1"/>
        </w:rPr>
        <w:t xml:space="preserve"> a strength of the district.</w:t>
      </w:r>
    </w:p>
    <w:p w14:paraId="5B29549C" w14:textId="27F6E60D" w:rsidR="00473308" w:rsidRDefault="0037284E" w:rsidP="008500D5">
      <w:pPr>
        <w:pStyle w:val="Heading3"/>
      </w:pPr>
      <w:r>
        <w:t>Equitable Practices and</w:t>
      </w:r>
      <w:r w:rsidR="00473308" w:rsidRPr="00CB0607">
        <w:t xml:space="preserve"> </w:t>
      </w:r>
      <w:r w:rsidR="00473308" w:rsidRPr="008500D5">
        <w:t>Acces</w:t>
      </w:r>
      <w:r w:rsidRPr="008500D5">
        <w:t>s</w:t>
      </w:r>
    </w:p>
    <w:p w14:paraId="248EC6D9" w14:textId="0CF6685F" w:rsidR="000471C8" w:rsidRPr="00B97C94" w:rsidRDefault="52132B4A" w:rsidP="008500D5">
      <w:pPr>
        <w:pStyle w:val="BodyTextposthead"/>
      </w:pPr>
      <w:r w:rsidRPr="190DD215">
        <w:t xml:space="preserve">Evidence from interviews, focus groups, and document review highlight the various academic interventions that Brockton offers to students. The district uses multiple assessment tools, including DIBELS, STAR, ACCESS, MCAS, and Lexia, to identify students needing additional academic support and to monitor progress over time (see </w:t>
      </w:r>
      <w:r w:rsidRPr="00FA0D19">
        <w:rPr>
          <w:i/>
          <w:iCs/>
        </w:rPr>
        <w:t>Assessment</w:t>
      </w:r>
      <w:r w:rsidRPr="190DD215">
        <w:t xml:space="preserve"> section). Elementary principals described using these data routinely within school-based structures, including Student Success Planning Time (SSPT) and PCLT</w:t>
      </w:r>
      <w:r w:rsidR="00FA0D19">
        <w:t>s</w:t>
      </w:r>
      <w:r w:rsidRPr="190DD215">
        <w:t xml:space="preserve">, to plan Tier 2 and Tier 3 supports and to monitor progress toward </w:t>
      </w:r>
      <w:r w:rsidR="00FA0D19">
        <w:t>SIP</w:t>
      </w:r>
      <w:r w:rsidRPr="190DD215">
        <w:t xml:space="preserve"> goals. According to elementary staff and district documents, Tier 2 academic interventions at the elementary level include Lexia Core 5, ECRI, Wonders small groups, IM Digital Centers, and ST Math Individual assignments. For Tier 3, Orton</w:t>
      </w:r>
      <w:r w:rsidR="00FA0D19">
        <w:t>-</w:t>
      </w:r>
      <w:r w:rsidRPr="190DD215">
        <w:t>Gillingham, ECRI, and Bridges Intervention are available. Elementary principals also reported that the district has established a designated, uninterrupted ELA block across schools, which allows for Tier 2 intervention delivery while maintaining access to core instruction. At the secondary level, Tier 2 interventions include Lexia PowerUp, ELA small groups, Mathia, and Mathstream. Tier 3 interventions include Orton</w:t>
      </w:r>
      <w:r w:rsidR="00FA0D19">
        <w:t>-</w:t>
      </w:r>
      <w:r w:rsidRPr="190DD215">
        <w:t>Gillingham</w:t>
      </w:r>
      <w:r w:rsidR="00FA0D19">
        <w:t>,</w:t>
      </w:r>
      <w:r w:rsidR="00FA0D19" w:rsidRPr="190DD215">
        <w:t xml:space="preserve"> </w:t>
      </w:r>
      <w:r w:rsidRPr="190DD215">
        <w:t xml:space="preserve">Lexia PowerUp, Bridges </w:t>
      </w:r>
      <w:r w:rsidR="009C6852">
        <w:t>I</w:t>
      </w:r>
      <w:r w:rsidRPr="190DD215">
        <w:t xml:space="preserve">ntervention, Math Fact Lab, and Braincamp software. Middle school teachers described a </w:t>
      </w:r>
      <w:r w:rsidR="007513C3">
        <w:t xml:space="preserve">What I Need </w:t>
      </w:r>
      <w:r w:rsidRPr="190DD215">
        <w:t xml:space="preserve">block schedule and Study Skills courses as vehicles for delivering targeted academic support. They also described regular data meetings involving reading specialists, content specialists, English </w:t>
      </w:r>
      <w:r w:rsidR="006A5D4E" w:rsidRPr="00B1622A">
        <w:rPr>
          <w:color w:val="000000" w:themeColor="text1"/>
        </w:rPr>
        <w:t>L</w:t>
      </w:r>
      <w:r w:rsidRPr="00B1622A">
        <w:rPr>
          <w:color w:val="000000" w:themeColor="text1"/>
        </w:rPr>
        <w:t>earner teachers, special education staff, and principals to coordinate intervention planning. Deploying a variety of well</w:t>
      </w:r>
      <w:r w:rsidR="008500D5" w:rsidRPr="00B1622A">
        <w:rPr>
          <w:color w:val="000000" w:themeColor="text1"/>
        </w:rPr>
        <w:noBreakHyphen/>
      </w:r>
      <w:r w:rsidRPr="00B1622A">
        <w:rPr>
          <w:color w:val="000000" w:themeColor="text1"/>
        </w:rPr>
        <w:t xml:space="preserve">documented academic interventions, based on data collection and review, is a strength of the district. More information on the MTSS system can be found in the </w:t>
      </w:r>
      <w:r w:rsidRPr="00B1622A">
        <w:rPr>
          <w:i/>
          <w:iCs/>
          <w:color w:val="000000" w:themeColor="text1"/>
        </w:rPr>
        <w:t xml:space="preserve">Student </w:t>
      </w:r>
      <w:r w:rsidRPr="007513C3">
        <w:rPr>
          <w:i/>
          <w:iCs/>
        </w:rPr>
        <w:t>Support</w:t>
      </w:r>
      <w:r w:rsidRPr="190DD215">
        <w:t xml:space="preserve"> Section.</w:t>
      </w:r>
    </w:p>
    <w:p w14:paraId="7DDEAF26" w14:textId="1CFC762A" w:rsidR="000471C8" w:rsidRPr="00B1622A" w:rsidRDefault="000471C8" w:rsidP="008500D5">
      <w:pPr>
        <w:pStyle w:val="BodyText"/>
        <w:rPr>
          <w:color w:val="000000" w:themeColor="text1"/>
        </w:rPr>
      </w:pPr>
      <w:r>
        <w:t xml:space="preserve">Family focus group participants confirmed that students with </w:t>
      </w:r>
      <w:r w:rsidR="00EE6BEC">
        <w:t>disabilities</w:t>
      </w:r>
      <w:r>
        <w:t xml:space="preserve"> routinely receive</w:t>
      </w:r>
      <w:r w:rsidR="00031C67">
        <w:t>d</w:t>
      </w:r>
      <w:r>
        <w:t xml:space="preserve"> accommodations and services such as extended time, speech therapy, and targeted reading and writing support. However, some parents described intervention time, particularly with special educators in mathematics and reading, as insufficient to meet student needs. </w:t>
      </w:r>
      <w:r w:rsidR="02427BE9">
        <w:t xml:space="preserve">Some parents of students with disabilities also expressed frustration about how </w:t>
      </w:r>
      <w:r w:rsidR="6C53D33D">
        <w:t xml:space="preserve">best to support their children. </w:t>
      </w:r>
      <w:r>
        <w:t xml:space="preserve">Family focus group participants also reported challenges understanding how digital intervention programs, such as ST Math, support learning and how to reinforce skills at home, citing limited guidance from </w:t>
      </w:r>
      <w:r>
        <w:lastRenderedPageBreak/>
        <w:t xml:space="preserve">schools on how to use or contextualize these tools. These perspectives indicate a gap between the systems as designed by district and school leaders and the experience of families navigating those systems. </w:t>
      </w:r>
      <w:r w:rsidR="52132B4A">
        <w:t xml:space="preserve">District leaders and principals described a coordinated approach </w:t>
      </w:r>
      <w:r w:rsidR="00457FB9">
        <w:t xml:space="preserve">among </w:t>
      </w:r>
      <w:r w:rsidR="0ADD9AD4">
        <w:t>t</w:t>
      </w:r>
      <w:r w:rsidR="52132B4A">
        <w:t xml:space="preserve">eaching and </w:t>
      </w:r>
      <w:r w:rsidR="1864CEB2">
        <w:t>l</w:t>
      </w:r>
      <w:r w:rsidR="52132B4A">
        <w:t>earning, special education, bilingual education, and</w:t>
      </w:r>
      <w:r w:rsidR="333E3BF6">
        <w:t xml:space="preserve"> student supports</w:t>
      </w:r>
      <w:r w:rsidR="52132B4A">
        <w:t xml:space="preserve"> </w:t>
      </w:r>
      <w:r w:rsidR="00E80E51">
        <w:t>(</w:t>
      </w:r>
      <w:r w:rsidR="00965828">
        <w:t xml:space="preserve">i.e., </w:t>
      </w:r>
      <w:r w:rsidR="52132B4A">
        <w:t>Unified Student Services</w:t>
      </w:r>
      <w:r w:rsidR="0BE6262A">
        <w:t>)</w:t>
      </w:r>
      <w:r w:rsidR="52132B4A">
        <w:t xml:space="preserve"> to ensure access to instruction and supports for </w:t>
      </w:r>
      <w:r w:rsidR="1D77D98A">
        <w:t>all students</w:t>
      </w:r>
      <w:r w:rsidR="52132B4A">
        <w:t xml:space="preserve">. </w:t>
      </w:r>
      <w:r w:rsidR="69A001CA">
        <w:t xml:space="preserve">Supports for students with disabilities </w:t>
      </w:r>
      <w:r w:rsidR="00E80E51">
        <w:t>include</w:t>
      </w:r>
      <w:r w:rsidR="69A001CA">
        <w:t xml:space="preserve"> </w:t>
      </w:r>
      <w:r w:rsidR="7EB8663D">
        <w:t xml:space="preserve">cotaught classes, </w:t>
      </w:r>
      <w:r w:rsidR="69A001CA">
        <w:t xml:space="preserve">Moderate Special Needs teachers providing push-in and pull-out services, </w:t>
      </w:r>
      <w:r w:rsidR="36EB167A">
        <w:t xml:space="preserve">academic support classes, </w:t>
      </w:r>
      <w:r w:rsidR="00457FB9">
        <w:t>substantially separate</w:t>
      </w:r>
      <w:r w:rsidR="36EB167A">
        <w:t xml:space="preserve"> p</w:t>
      </w:r>
      <w:r w:rsidR="35F011E8">
        <w:t xml:space="preserve">rograms, and </w:t>
      </w:r>
      <w:r w:rsidR="00965828">
        <w:t xml:space="preserve">life </w:t>
      </w:r>
      <w:r w:rsidR="35F011E8">
        <w:t xml:space="preserve">skills classrooms. </w:t>
      </w:r>
      <w:r w:rsidR="69A001CA">
        <w:t>Life skills classrooms use a consistent curriculum</w:t>
      </w:r>
      <w:r w:rsidR="4F659594">
        <w:t xml:space="preserve"> (</w:t>
      </w:r>
      <w:r w:rsidR="00457FB9">
        <w:t>e.g.,</w:t>
      </w:r>
      <w:r w:rsidR="00965828">
        <w:t xml:space="preserve"> </w:t>
      </w:r>
      <w:r w:rsidR="4F659594">
        <w:t>TeachTown)</w:t>
      </w:r>
      <w:r w:rsidR="69A001CA">
        <w:t>, and materials for specialized populations are vetted and monitored by central office departments</w:t>
      </w:r>
      <w:r w:rsidR="44A9A3C9">
        <w:t xml:space="preserve">. For </w:t>
      </w:r>
      <w:r w:rsidR="082C1944">
        <w:t>English</w:t>
      </w:r>
      <w:r w:rsidR="44A9A3C9">
        <w:t xml:space="preserve"> learners</w:t>
      </w:r>
      <w:r w:rsidR="00965828">
        <w:t xml:space="preserve"> </w:t>
      </w:r>
      <w:r w:rsidR="44A9A3C9">
        <w:t>in the district,</w:t>
      </w:r>
      <w:r w:rsidR="52132B4A">
        <w:t xml:space="preserve"> </w:t>
      </w:r>
      <w:r w:rsidR="00D13B4C">
        <w:t xml:space="preserve">English as a </w:t>
      </w:r>
      <w:r w:rsidR="00457FB9">
        <w:t>S</w:t>
      </w:r>
      <w:r w:rsidR="00D13B4C">
        <w:t xml:space="preserve">econd </w:t>
      </w:r>
      <w:r w:rsidR="00457FB9">
        <w:t>L</w:t>
      </w:r>
      <w:r w:rsidR="00D13B4C">
        <w:t xml:space="preserve">anguage </w:t>
      </w:r>
      <w:r w:rsidR="52132B4A">
        <w:t xml:space="preserve">instruction is aligned to the core ELA curriculum, with language acquisition coaches supporting implementation and adaptation for English </w:t>
      </w:r>
      <w:r w:rsidR="007030AA">
        <w:t>L</w:t>
      </w:r>
      <w:r w:rsidR="52132B4A">
        <w:t xml:space="preserve">earners. With more than 5,100 English </w:t>
      </w:r>
      <w:r w:rsidR="007030AA">
        <w:t>L</w:t>
      </w:r>
      <w:r w:rsidR="52132B4A">
        <w:t xml:space="preserve">earners representing over 30 percent of the student population, the district has developed multiple approaches to support language access within content instruction. District curriculum and instruction leaders described </w:t>
      </w:r>
      <w:r w:rsidR="00D13B4C">
        <w:t xml:space="preserve">English as a </w:t>
      </w:r>
      <w:r w:rsidR="00457FB9">
        <w:t>S</w:t>
      </w:r>
      <w:r w:rsidR="00D13B4C">
        <w:t xml:space="preserve">econd </w:t>
      </w:r>
      <w:r w:rsidR="00457FB9">
        <w:t>L</w:t>
      </w:r>
      <w:r w:rsidR="00D13B4C">
        <w:t>anguage</w:t>
      </w:r>
      <w:r w:rsidR="52132B4A">
        <w:t xml:space="preserve"> instruction </w:t>
      </w:r>
      <w:r w:rsidR="00D13B4C">
        <w:t xml:space="preserve">as </w:t>
      </w:r>
      <w:r w:rsidR="52132B4A">
        <w:t>embedded within core ELA and mathematics materials</w:t>
      </w:r>
      <w:r w:rsidR="00D13B4C">
        <w:t xml:space="preserve">. It is also included in </w:t>
      </w:r>
      <w:r w:rsidR="52132B4A">
        <w:t xml:space="preserve">summer professional development convenings </w:t>
      </w:r>
      <w:r w:rsidR="00D13B4C">
        <w:t xml:space="preserve">paid </w:t>
      </w:r>
      <w:r w:rsidR="52132B4A">
        <w:t xml:space="preserve">with Title II funding and organized </w:t>
      </w:r>
      <w:r w:rsidR="00D13B4C">
        <w:t xml:space="preserve">in </w:t>
      </w:r>
      <w:r w:rsidR="52132B4A">
        <w:t>language access and content instruction</w:t>
      </w:r>
      <w:r w:rsidR="00D13B4C">
        <w:t>. I</w:t>
      </w:r>
      <w:r w:rsidR="52132B4A">
        <w:t xml:space="preserve">n-service professional learning sessions consistently include a component focused on supporting </w:t>
      </w:r>
      <w:r w:rsidR="082C1944">
        <w:t>English</w:t>
      </w:r>
      <w:r w:rsidR="52132B4A">
        <w:t xml:space="preserve"> learners and students with disabilities. Teacher leaders have delivered small-group workshops on </w:t>
      </w:r>
      <w:r w:rsidR="082C1944">
        <w:t>English</w:t>
      </w:r>
      <w:r w:rsidR="00A521D2">
        <w:t xml:space="preserve"> learner</w:t>
      </w:r>
      <w:r w:rsidR="52132B4A">
        <w:t xml:space="preserve"> instruction in content areas, and the district has piloted peer observation structures </w:t>
      </w:r>
      <w:r w:rsidR="52132B4A" w:rsidRPr="00B1622A">
        <w:rPr>
          <w:color w:val="000000" w:themeColor="text1"/>
        </w:rPr>
        <w:t xml:space="preserve">to allow teachers to observe effective </w:t>
      </w:r>
      <w:r w:rsidR="082C1944" w:rsidRPr="00B1622A">
        <w:rPr>
          <w:color w:val="000000" w:themeColor="text1"/>
        </w:rPr>
        <w:t>English</w:t>
      </w:r>
      <w:r w:rsidR="00A54B56" w:rsidRPr="00B1622A">
        <w:rPr>
          <w:color w:val="000000" w:themeColor="text1"/>
        </w:rPr>
        <w:t xml:space="preserve"> learner</w:t>
      </w:r>
      <w:r w:rsidR="52132B4A" w:rsidRPr="00B1622A">
        <w:rPr>
          <w:color w:val="000000" w:themeColor="text1"/>
        </w:rPr>
        <w:t xml:space="preserve"> instructional practices in peer classrooms. The districtwide focus on </w:t>
      </w:r>
      <w:r w:rsidR="082C1944" w:rsidRPr="00B1622A">
        <w:rPr>
          <w:color w:val="000000" w:themeColor="text1"/>
        </w:rPr>
        <w:t>English</w:t>
      </w:r>
      <w:r w:rsidR="00E761E0" w:rsidRPr="00B1622A">
        <w:rPr>
          <w:color w:val="000000" w:themeColor="text1"/>
        </w:rPr>
        <w:t xml:space="preserve"> learner</w:t>
      </w:r>
      <w:r w:rsidR="52132B4A" w:rsidRPr="00B1622A">
        <w:rPr>
          <w:color w:val="000000" w:themeColor="text1"/>
        </w:rPr>
        <w:t xml:space="preserve"> instruction, specifically </w:t>
      </w:r>
      <w:r w:rsidR="00E761E0" w:rsidRPr="00B1622A">
        <w:rPr>
          <w:color w:val="000000" w:themeColor="text1"/>
        </w:rPr>
        <w:t>related</w:t>
      </w:r>
      <w:r w:rsidR="52132B4A" w:rsidRPr="00B1622A">
        <w:rPr>
          <w:color w:val="000000" w:themeColor="text1"/>
        </w:rPr>
        <w:t xml:space="preserve"> to developing systems, structures, and supports available to teachers to improve instruction for </w:t>
      </w:r>
      <w:r w:rsidR="082C1944" w:rsidRPr="00B1622A">
        <w:rPr>
          <w:color w:val="000000" w:themeColor="text1"/>
        </w:rPr>
        <w:t>English</w:t>
      </w:r>
      <w:r w:rsidR="00E761E0" w:rsidRPr="00B1622A">
        <w:rPr>
          <w:color w:val="000000" w:themeColor="text1"/>
        </w:rPr>
        <w:t xml:space="preserve"> learner</w:t>
      </w:r>
      <w:r w:rsidR="2259A087" w:rsidRPr="00B1622A">
        <w:rPr>
          <w:color w:val="000000" w:themeColor="text1"/>
        </w:rPr>
        <w:t>s</w:t>
      </w:r>
      <w:r w:rsidR="52132B4A" w:rsidRPr="00B1622A">
        <w:rPr>
          <w:color w:val="000000" w:themeColor="text1"/>
        </w:rPr>
        <w:t>, is a strength of the district</w:t>
      </w:r>
      <w:r w:rsidR="008500D5" w:rsidRPr="00B1622A">
        <w:rPr>
          <w:color w:val="000000" w:themeColor="text1"/>
        </w:rPr>
        <w:t>.</w:t>
      </w:r>
    </w:p>
    <w:p w14:paraId="62F2326C" w14:textId="235F8A73" w:rsidR="000471C8" w:rsidRPr="00B97C94" w:rsidRDefault="25A46511" w:rsidP="008500D5">
      <w:pPr>
        <w:pStyle w:val="BodyText"/>
      </w:pPr>
      <w:r w:rsidRPr="190DD215">
        <w:t>The Office of Unified Student Services coordinates a broad set of student support programs across Brockton. It brings together services related to counseling, special education, social-emotional and health supports, equity, mentoring, homelessness and foster care, transportation, restorative practices, and community partnerships to help address students’ academic, social</w:t>
      </w:r>
      <w:r w:rsidR="00A521D2">
        <w:t>-</w:t>
      </w:r>
      <w:r w:rsidRPr="190DD215">
        <w:t xml:space="preserve">emotional, and logistical needs. </w:t>
      </w:r>
      <w:r w:rsidR="52132B4A" w:rsidRPr="190DD215">
        <w:t>Unified Student Services leaders described districtwide systems to support historically underserved students through a multidimensional lens, including training on civil rights protections under Titles VI and IX, discipline procedures, and bias-aware decision</w:t>
      </w:r>
      <w:r w:rsidR="000F2188">
        <w:t xml:space="preserve"> </w:t>
      </w:r>
      <w:r w:rsidR="52132B4A" w:rsidRPr="190DD215">
        <w:t>making</w:t>
      </w:r>
      <w:r w:rsidR="000F2188">
        <w:t>.</w:t>
      </w:r>
      <w:r w:rsidR="52132B4A" w:rsidRPr="190DD215">
        <w:t xml:space="preserve"> </w:t>
      </w:r>
      <w:r w:rsidR="000F2188">
        <w:t>Support includes</w:t>
      </w:r>
      <w:r w:rsidR="52132B4A" w:rsidRPr="190DD215">
        <w:t xml:space="preserve"> monitoring </w:t>
      </w:r>
      <w:r w:rsidR="000F2188">
        <w:t xml:space="preserve">for </w:t>
      </w:r>
      <w:r w:rsidR="52132B4A" w:rsidRPr="190DD215">
        <w:t>discipline, complaint, and investigation patterns across schools to identify potential disparities. One staff member reported that these systems “really focus on the process, ensures documentation</w:t>
      </w:r>
      <w:r w:rsidR="000F2188">
        <w:t xml:space="preserve"> . . . </w:t>
      </w:r>
      <w:r w:rsidR="52132B4A" w:rsidRPr="190DD215">
        <w:t>intervention and tracking the progress</w:t>
      </w:r>
      <w:r w:rsidR="000F2188">
        <w:t xml:space="preserve"> . . . </w:t>
      </w:r>
      <w:r w:rsidR="52132B4A" w:rsidRPr="190DD215">
        <w:t>it’s all-inclusive.”</w:t>
      </w:r>
    </w:p>
    <w:p w14:paraId="00854F8D" w14:textId="2F33701B" w:rsidR="000471C8" w:rsidRPr="00B1622A" w:rsidRDefault="52132B4A" w:rsidP="008500D5">
      <w:pPr>
        <w:pStyle w:val="BodyText"/>
        <w:rPr>
          <w:color w:val="000000" w:themeColor="text1"/>
        </w:rPr>
      </w:pPr>
      <w:r>
        <w:t xml:space="preserve">Family focus group participants of students with </w:t>
      </w:r>
      <w:r w:rsidR="00351A2F">
        <w:t>disabilities</w:t>
      </w:r>
      <w:r>
        <w:t xml:space="preserve"> and 504 plans reported regular communication </w:t>
      </w:r>
      <w:r w:rsidR="47B9C22B">
        <w:t>from teachers and school</w:t>
      </w:r>
      <w:r w:rsidR="00545614">
        <w:t>s</w:t>
      </w:r>
      <w:r w:rsidR="47B9C22B">
        <w:t xml:space="preserve"> </w:t>
      </w:r>
      <w:r>
        <w:t>related to behavior and compliance requirements, but expressed concern that communication is often focused on deficits rather than academic progress or student strengths. Some families described inconsistent implementation of accommodations across teachers, particularly at the high school level. These perspectives differ from district leaders</w:t>
      </w:r>
      <w:r w:rsidR="00545614">
        <w:t>’</w:t>
      </w:r>
      <w:r>
        <w:t xml:space="preserve"> descriptions of coordinated departmental systems</w:t>
      </w:r>
      <w:r w:rsidR="009D26F7">
        <w:t xml:space="preserve">, suggesting </w:t>
      </w:r>
      <w:r>
        <w:t xml:space="preserve">that variability in accommodation </w:t>
      </w:r>
      <w:r w:rsidRPr="00B1622A">
        <w:rPr>
          <w:color w:val="000000" w:themeColor="text1"/>
        </w:rPr>
        <w:t xml:space="preserve">implementation and family-facing communication remains an unresolved challenge. </w:t>
      </w:r>
    </w:p>
    <w:p w14:paraId="790C1463" w14:textId="57E8CD6B" w:rsidR="0046023A" w:rsidRDefault="409E10D3" w:rsidP="00E813F9">
      <w:pPr>
        <w:pStyle w:val="BodyText"/>
      </w:pPr>
      <w:r>
        <w:t>High school teachers described a wide range of available coursework, including college preparatory, honors, Advanced Placement</w:t>
      </w:r>
      <w:r w:rsidR="00A521D2">
        <w:t xml:space="preserve"> (AP)</w:t>
      </w:r>
      <w:r>
        <w:t>, and International Baccalaureate</w:t>
      </w:r>
      <w:r w:rsidR="00A521D2">
        <w:t xml:space="preserve"> (IB)</w:t>
      </w:r>
      <w:r>
        <w:t xml:space="preserve"> options, as well as world </w:t>
      </w:r>
      <w:r>
        <w:lastRenderedPageBreak/>
        <w:t xml:space="preserve">languages, arts electives, and </w:t>
      </w:r>
      <w:r w:rsidR="00A521D2">
        <w:t>CT</w:t>
      </w:r>
      <w:r w:rsidR="009332D8">
        <w:t>E</w:t>
      </w:r>
      <w:r>
        <w:t xml:space="preserve"> pathways. The Brockton High School Program of Studies catalogue </w:t>
      </w:r>
      <w:r w:rsidR="00E936E5">
        <w:t xml:space="preserve">describes </w:t>
      </w:r>
      <w:r>
        <w:t xml:space="preserve">course options in </w:t>
      </w:r>
      <w:r w:rsidR="00810162">
        <w:t>CTE</w:t>
      </w:r>
      <w:r>
        <w:t xml:space="preserve">, such as </w:t>
      </w:r>
      <w:r w:rsidR="00E936E5">
        <w:t>a</w:t>
      </w:r>
      <w:r>
        <w:t xml:space="preserve">utomotive </w:t>
      </w:r>
      <w:r w:rsidR="00E936E5">
        <w:t>t</w:t>
      </w:r>
      <w:r>
        <w:t xml:space="preserve">echnology, </w:t>
      </w:r>
      <w:r w:rsidR="00E936E5">
        <w:t>c</w:t>
      </w:r>
      <w:r>
        <w:t xml:space="preserve">omputer </w:t>
      </w:r>
      <w:r w:rsidR="00E936E5">
        <w:t>s</w:t>
      </w:r>
      <w:r>
        <w:t xml:space="preserve">cience, and </w:t>
      </w:r>
      <w:r w:rsidR="00E936E5">
        <w:t>h</w:t>
      </w:r>
      <w:r>
        <w:t xml:space="preserve">ealthcare. High school students confirmed these options, </w:t>
      </w:r>
      <w:r w:rsidR="65C74E2A">
        <w:t>along with</w:t>
      </w:r>
      <w:r w:rsidR="45D8BF9A">
        <w:t xml:space="preserve"> other CTE </w:t>
      </w:r>
      <w:r w:rsidR="47A86569">
        <w:t>classes</w:t>
      </w:r>
      <w:r w:rsidR="45D8BF9A">
        <w:t xml:space="preserve">, as well as arts electives such as </w:t>
      </w:r>
      <w:r>
        <w:t>chorus</w:t>
      </w:r>
      <w:r w:rsidR="44485434">
        <w:t xml:space="preserve"> and </w:t>
      </w:r>
      <w:r w:rsidR="33B9663E">
        <w:t>drama</w:t>
      </w:r>
      <w:r w:rsidR="076C5E08">
        <w:t>.</w:t>
      </w:r>
      <w:r>
        <w:t xml:space="preserve"> Family focus group participants confirmed broad access to music, chorus, band, and other enrichment electives for students in the general education program. District curriculum and instruction leaders described efforts to create structured pathways for English </w:t>
      </w:r>
      <w:r w:rsidR="00810162">
        <w:t>L</w:t>
      </w:r>
      <w:r>
        <w:t xml:space="preserve">earners to access rigorous coursework, including a transition at WIDA </w:t>
      </w:r>
      <w:r w:rsidR="00F451B8">
        <w:t>Level</w:t>
      </w:r>
      <w:r>
        <w:t xml:space="preserve"> three into core English classes alongside ESL instruction, and a new co-taught class for long-term English learners that will be delivered jointly by an ESL teacher and an ELA teacher, replacing a standalone </w:t>
      </w:r>
      <w:r w:rsidR="00810162">
        <w:t xml:space="preserve">English as a </w:t>
      </w:r>
      <w:r w:rsidR="009332D8">
        <w:t>S</w:t>
      </w:r>
      <w:r w:rsidR="00810162">
        <w:t xml:space="preserve">econd </w:t>
      </w:r>
      <w:r w:rsidR="009332D8">
        <w:t>L</w:t>
      </w:r>
      <w:r w:rsidR="00810162">
        <w:t>anguage</w:t>
      </w:r>
      <w:r>
        <w:t xml:space="preserve"> course with an integrated model that provides targeted language supports within content instruction. The district</w:t>
      </w:r>
      <w:r w:rsidR="004B6E12">
        <w:t>’</w:t>
      </w:r>
      <w:r>
        <w:t xml:space="preserve">s broad course offerings across levels and content areas, combined with developing pathways for English </w:t>
      </w:r>
      <w:r w:rsidR="001A37AE">
        <w:t>L</w:t>
      </w:r>
      <w:r>
        <w:t>earners to access rigorous coursework alongside their peers, reflect a commitment to equitable access to a challenging and enriching curriculum</w:t>
      </w:r>
      <w:r w:rsidR="0046023A">
        <w:t>.</w:t>
      </w:r>
    </w:p>
    <w:p w14:paraId="0D92C3B6" w14:textId="7BB565B7" w:rsidR="00320588" w:rsidRDefault="29166EA5" w:rsidP="00E813F9">
      <w:pPr>
        <w:pStyle w:val="Heading3"/>
      </w:pPr>
      <w:r>
        <w:t xml:space="preserve">Effective Instruction and Curricular </w:t>
      </w:r>
      <w:r w:rsidRPr="00E813F9">
        <w:t>Implementation</w:t>
      </w:r>
    </w:p>
    <w:p w14:paraId="292C1E9B" w14:textId="718B6F9E" w:rsidR="005A61A9" w:rsidRDefault="005A61A9" w:rsidP="00E813F9">
      <w:pPr>
        <w:pStyle w:val="BodyTextposthead"/>
      </w:pPr>
      <w:r w:rsidRPr="00B97C94">
        <w:t>During the week of March 16, 2026, certified observers conducted 173 classroom observations across 23 schools using CLASS, with a focus primarily on literacy, ELA, and mathematics instruction in grades PK</w:t>
      </w:r>
      <w:r w:rsidR="001A37AE">
        <w:t>-</w:t>
      </w:r>
      <w:r w:rsidRPr="00B97C94">
        <w:t xml:space="preserve">12. The following summary draws on CLASS observation findings </w:t>
      </w:r>
      <w:r w:rsidR="00E80FB4">
        <w:t>and</w:t>
      </w:r>
      <w:r w:rsidR="00E80FB4" w:rsidRPr="00B97C94">
        <w:t xml:space="preserve"> </w:t>
      </w:r>
      <w:r w:rsidRPr="00B97C94">
        <w:t>stakeholder perspectives gathered during focus groups and interviews.</w:t>
      </w:r>
    </w:p>
    <w:p w14:paraId="248B953A" w14:textId="706203E4" w:rsidR="0025487A" w:rsidRDefault="0025487A" w:rsidP="00E813F9">
      <w:pPr>
        <w:pStyle w:val="BodyText"/>
      </w:pPr>
      <w:r>
        <w:t>Classroom observations revealed teachers were clearly using HQIM in 34</w:t>
      </w:r>
      <w:r w:rsidR="00651F13">
        <w:t xml:space="preserve"> percent </w:t>
      </w:r>
      <w:r>
        <w:t>of all classrooms observed. These rates varied by grade level: teachers were clearly using HQIM in 40</w:t>
      </w:r>
      <w:r w:rsidR="00651F13">
        <w:t xml:space="preserve"> percent </w:t>
      </w:r>
      <w:r>
        <w:t>of elementary (</w:t>
      </w:r>
      <w:r w:rsidR="003E5F68">
        <w:t>g</w:t>
      </w:r>
      <w:r w:rsidR="00163D87">
        <w:t xml:space="preserve">rades </w:t>
      </w:r>
      <w:r>
        <w:t>PK-5) classrooms observed, in 33</w:t>
      </w:r>
      <w:r w:rsidR="00651F13">
        <w:t xml:space="preserve"> percent</w:t>
      </w:r>
      <w:r>
        <w:t xml:space="preserve"> of middle school (</w:t>
      </w:r>
      <w:r w:rsidR="003E5F68">
        <w:t>g</w:t>
      </w:r>
      <w:r w:rsidR="00163D87">
        <w:t xml:space="preserve">rades </w:t>
      </w:r>
      <w:r>
        <w:t>6-8) classrooms observed, and in 25</w:t>
      </w:r>
      <w:r w:rsidR="00651F13">
        <w:t xml:space="preserve"> percent</w:t>
      </w:r>
      <w:r>
        <w:t xml:space="preserve"> of high school classrooms</w:t>
      </w:r>
      <w:r w:rsidR="00163D87">
        <w:t xml:space="preserve"> (</w:t>
      </w:r>
      <w:r w:rsidR="003E5F68">
        <w:t>g</w:t>
      </w:r>
      <w:r w:rsidR="00163D87">
        <w:t>rades 9-12)</w:t>
      </w:r>
      <w:r>
        <w:t xml:space="preserve"> observed. These rates varied by content</w:t>
      </w:r>
      <w:r w:rsidR="00651F13">
        <w:t xml:space="preserve">; </w:t>
      </w:r>
      <w:r>
        <w:t>teachers were clearly using HQIM in 37</w:t>
      </w:r>
      <w:r w:rsidR="00651F13">
        <w:t xml:space="preserve"> percent</w:t>
      </w:r>
      <w:r>
        <w:t xml:space="preserve"> of ELA lessons or classrooms observed and in 53</w:t>
      </w:r>
      <w:r w:rsidR="00651F13">
        <w:t xml:space="preserve"> percent</w:t>
      </w:r>
      <w:r>
        <w:t xml:space="preserve"> of mathematics lessons or classrooms observed.</w:t>
      </w:r>
    </w:p>
    <w:p w14:paraId="188DC563" w14:textId="3E7122D2" w:rsidR="005A61A9" w:rsidRPr="00B97C94" w:rsidRDefault="21F752DF" w:rsidP="00E813F9">
      <w:pPr>
        <w:pStyle w:val="BodyText"/>
      </w:pPr>
      <w:r w:rsidRPr="5D62FA98">
        <w:t xml:space="preserve">Students across grade levels described their teachers as effective and engaging, </w:t>
      </w:r>
      <w:r w:rsidR="00443FBE">
        <w:t xml:space="preserve">and they </w:t>
      </w:r>
      <w:r w:rsidRPr="5D62FA98">
        <w:t>often us</w:t>
      </w:r>
      <w:r w:rsidR="00443FBE">
        <w:t>ed</w:t>
      </w:r>
      <w:r w:rsidRPr="5D62FA98">
        <w:t xml:space="preserve"> interactive methods to make content accessible and interesting. Students appreciated the variety of instructional approaches, including group projects, individual work, and the use of technology. </w:t>
      </w:r>
      <w:r w:rsidR="4FEF868E" w:rsidRPr="5D62FA98">
        <w:t>S</w:t>
      </w:r>
      <w:r w:rsidRPr="5D62FA98">
        <w:t>tudents described teachers as engaging students in</w:t>
      </w:r>
      <w:r w:rsidR="00DD1DB9">
        <w:t xml:space="preserve"> the</w:t>
      </w:r>
      <w:r w:rsidRPr="5D62FA98">
        <w:t xml:space="preserve"> content in ways that </w:t>
      </w:r>
      <w:r w:rsidR="00443FBE">
        <w:t>were</w:t>
      </w:r>
      <w:r w:rsidR="00443FBE" w:rsidRPr="5D62FA98">
        <w:t xml:space="preserve"> </w:t>
      </w:r>
      <w:r w:rsidRPr="5D62FA98">
        <w:t>fun and varied, and student focus group participants broadly characterized their classrooms as safe and supportive spaces in which they can focus on learning. Students also reported that teacher</w:t>
      </w:r>
      <w:r w:rsidR="52D561FD" w:rsidRPr="5D62FA98">
        <w:t>s</w:t>
      </w:r>
      <w:r w:rsidRPr="5D62FA98">
        <w:t xml:space="preserve"> frequently ask</w:t>
      </w:r>
      <w:r w:rsidR="00601858">
        <w:t>ed</w:t>
      </w:r>
      <w:r w:rsidRPr="5D62FA98">
        <w:t xml:space="preserve"> them to explain their thinking, creating a culture of academic discourse and ownership of their learning. Teachers</w:t>
      </w:r>
      <w:r w:rsidR="5DAE2808" w:rsidRPr="5D62FA98">
        <w:t xml:space="preserve"> across all levels </w:t>
      </w:r>
      <w:r w:rsidRPr="5D62FA98">
        <w:t xml:space="preserve">echoed a similar sentiment about the learning environment, with one middle school teacher reporting that the district works “to make sure every single student feels they are noticed and they are accepted and they are welcome.” Teachers described opportunities during </w:t>
      </w:r>
      <w:r w:rsidR="00443FBE">
        <w:t>social-emotional learning</w:t>
      </w:r>
      <w:r w:rsidR="00443FBE" w:rsidRPr="5D62FA98">
        <w:t xml:space="preserve"> </w:t>
      </w:r>
      <w:r w:rsidRPr="5D62FA98">
        <w:t xml:space="preserve">time to build student-teacher </w:t>
      </w:r>
      <w:r w:rsidR="0025487A" w:rsidRPr="5D62FA98">
        <w:t>relationships</w:t>
      </w:r>
      <w:r w:rsidR="00406363">
        <w:t>. One teacher</w:t>
      </w:r>
      <w:r w:rsidR="0025487A" w:rsidRPr="5D62FA98">
        <w:t xml:space="preserve"> </w:t>
      </w:r>
      <w:r w:rsidRPr="5D62FA98">
        <w:t xml:space="preserve">highlighted </w:t>
      </w:r>
      <w:r w:rsidR="00406363">
        <w:t>an</w:t>
      </w:r>
      <w:r w:rsidRPr="5D62FA98">
        <w:t xml:space="preserve"> emphasis </w:t>
      </w:r>
      <w:r w:rsidR="030CA629" w:rsidRPr="5D62FA98">
        <w:t>on</w:t>
      </w:r>
      <w:r w:rsidRPr="5D62FA98">
        <w:t xml:space="preserve"> “giving extra time, doing re</w:t>
      </w:r>
      <w:r w:rsidR="00601858">
        <w:t>-</w:t>
      </w:r>
      <w:r w:rsidRPr="5D62FA98">
        <w:t>dos, and encouraging [students] to fix their mistakes</w:t>
      </w:r>
      <w:r w:rsidR="00406363">
        <w:t>,</w:t>
      </w:r>
      <w:r w:rsidRPr="5D62FA98">
        <w:t xml:space="preserve">” </w:t>
      </w:r>
      <w:r w:rsidR="00B278C4">
        <w:t xml:space="preserve">which </w:t>
      </w:r>
      <w:r w:rsidRPr="5D62FA98">
        <w:t>creat</w:t>
      </w:r>
      <w:r w:rsidR="00B278C4">
        <w:t>ed</w:t>
      </w:r>
      <w:r w:rsidRPr="5D62FA98">
        <w:t xml:space="preserve"> a learning environment in which students feel supported to take risks.</w:t>
      </w:r>
    </w:p>
    <w:p w14:paraId="11DA2229" w14:textId="6DA4CAF7" w:rsidR="005A61A9" w:rsidRPr="00B1622A" w:rsidRDefault="005A61A9" w:rsidP="00E813F9">
      <w:pPr>
        <w:pStyle w:val="BodyText"/>
        <w:rPr>
          <w:color w:val="000000" w:themeColor="text1"/>
        </w:rPr>
      </w:pPr>
      <w:r>
        <w:t xml:space="preserve">CLASS scores in the Emotional Support domain were in the middle-to-high range across grade levels, </w:t>
      </w:r>
      <w:r w:rsidR="00B278C4">
        <w:t xml:space="preserve">and </w:t>
      </w:r>
      <w:r>
        <w:t>Positive Climate scores reflect consistently warm and supportive interactions between teachers and students</w:t>
      </w:r>
      <w:r w:rsidR="00B278C4">
        <w:t>.</w:t>
      </w:r>
      <w:r>
        <w:t xml:space="preserve"> Teacher Sensitivity scores indicat</w:t>
      </w:r>
      <w:r w:rsidR="00B278C4">
        <w:t>e</w:t>
      </w:r>
      <w:r>
        <w:t xml:space="preserve"> that most teachers are responsive to students</w:t>
      </w:r>
      <w:r w:rsidR="00166C01">
        <w:t>’</w:t>
      </w:r>
      <w:r>
        <w:t xml:space="preserve"> </w:t>
      </w:r>
      <w:r w:rsidR="00166C01">
        <w:lastRenderedPageBreak/>
        <w:t>social-</w:t>
      </w:r>
      <w:r>
        <w:t xml:space="preserve">emotional and academic needs. Scores in the Classroom Organization domain were similarly </w:t>
      </w:r>
      <w:r w:rsidRPr="00B1622A">
        <w:rPr>
          <w:color w:val="000000" w:themeColor="text1"/>
        </w:rPr>
        <w:t>strong</w:t>
      </w:r>
      <w:r w:rsidR="007D44E2" w:rsidRPr="00B1622A">
        <w:rPr>
          <w:color w:val="000000" w:themeColor="text1"/>
        </w:rPr>
        <w:t>.</w:t>
      </w:r>
      <w:r w:rsidRPr="00B1622A">
        <w:rPr>
          <w:color w:val="000000" w:themeColor="text1"/>
        </w:rPr>
        <w:t xml:space="preserve"> Behavior Management and Productivity scores reflect well-managed, efficiently run classrooms across the district (</w:t>
      </w:r>
      <w:r w:rsidR="007D44E2" w:rsidRPr="00B1622A">
        <w:rPr>
          <w:color w:val="000000" w:themeColor="text1"/>
        </w:rPr>
        <w:t>s</w:t>
      </w:r>
      <w:r w:rsidRPr="00B1622A">
        <w:rPr>
          <w:color w:val="000000" w:themeColor="text1"/>
        </w:rPr>
        <w:t xml:space="preserve">ee Appendix </w:t>
      </w:r>
      <w:r w:rsidR="00B067AD" w:rsidRPr="00B1622A">
        <w:rPr>
          <w:color w:val="000000" w:themeColor="text1"/>
        </w:rPr>
        <w:t>B</w:t>
      </w:r>
      <w:r w:rsidRPr="00B1622A">
        <w:rPr>
          <w:color w:val="000000" w:themeColor="text1"/>
        </w:rPr>
        <w:t>). The district's warm, well-managed, and supportive classroom culture is a strength of the district.</w:t>
      </w:r>
    </w:p>
    <w:p w14:paraId="5AA456FB" w14:textId="4A44276C" w:rsidR="005A61A9" w:rsidRPr="00B1622A" w:rsidRDefault="21F752DF" w:rsidP="00E813F9">
      <w:pPr>
        <w:pStyle w:val="BodyText"/>
        <w:rPr>
          <w:color w:val="000000" w:themeColor="text1"/>
        </w:rPr>
      </w:pPr>
      <w:r>
        <w:t xml:space="preserve">Evidence from </w:t>
      </w:r>
      <w:r w:rsidR="74FE49F7">
        <w:t xml:space="preserve">various stakeholders highlight district efforts to implement </w:t>
      </w:r>
      <w:r w:rsidR="27AF9BEB">
        <w:t>evidence-based teaching practices. District curriculum and instruction leaders described using learning walk</w:t>
      </w:r>
      <w:r w:rsidR="00B92E98">
        <w:t>through</w:t>
      </w:r>
      <w:r w:rsidR="27AF9BEB">
        <w:t xml:space="preserve"> data to monitor the degree to which classroom instruction reflects district instructional priorities, including expectations for student discourse and higher</w:t>
      </w:r>
      <w:r w:rsidR="00B92E98">
        <w:t xml:space="preserve"> </w:t>
      </w:r>
      <w:r w:rsidR="27AF9BEB">
        <w:t xml:space="preserve">order thinking. </w:t>
      </w:r>
      <w:r w:rsidR="004697E4">
        <w:t>Student</w:t>
      </w:r>
      <w:r>
        <w:t xml:space="preserve"> and teacher focus groups </w:t>
      </w:r>
      <w:r w:rsidR="0025487A">
        <w:t>highlight</w:t>
      </w:r>
      <w:r w:rsidR="00B92E98">
        <w:t>ed</w:t>
      </w:r>
      <w:r>
        <w:t xml:space="preserve"> some efforts teachers employ </w:t>
      </w:r>
      <w:r w:rsidR="00B92E98">
        <w:t xml:space="preserve">during </w:t>
      </w:r>
      <w:r>
        <w:t xml:space="preserve">evidence-based teaching practices. </w:t>
      </w:r>
      <w:r w:rsidR="07894549">
        <w:t>High school teachers described using a range of instructional methods, including discussion-based approaches and project-based learning, to engage students in content.</w:t>
      </w:r>
      <w:r w:rsidR="0E642F53">
        <w:t xml:space="preserve"> </w:t>
      </w:r>
      <w:r>
        <w:t>Middle school students described teachers using a variety of instructional methods and encouraging them to explain their thinking, which they valued as preparation for more rigorous coursework in high school. Students appreciated opportunities to examine data, brainstorm, and construct hypotheses, particularly in science and ELA. CLASS scores in the Instructional Support domain, however, indicate that opportunities for deeper learning are not yet consistently present across classrooms. Concept Development scores were in the low-to-middle range districtwide, with an average of 3.2, suggesting that lessons frequently involve rote instruction rather than providing students with opportunities to engage in higher</w:t>
      </w:r>
      <w:r w:rsidR="00B92E98">
        <w:t xml:space="preserve"> </w:t>
      </w:r>
      <w:r>
        <w:t xml:space="preserve">order thinking, connect concepts to broader ideas, or apply knowledge in novel contexts. Analysis and Inquiry scores were </w:t>
      </w:r>
      <w:r w:rsidR="00B92E98">
        <w:t xml:space="preserve">also </w:t>
      </w:r>
      <w:r>
        <w:t>in the low-to-middle range, with a districtwide average of 2.5, indicating that students have limited opportunities to independently reason through open-ended tasks or engage in metacognitive reflection. Language Modeling scores (districtwide average 3.3) and Instructional Dialogue scores (districtwide average 3.6) indicate that most lessons are primarily teacher</w:t>
      </w:r>
      <w:r w:rsidR="00B92E98">
        <w:t>-</w:t>
      </w:r>
      <w:r>
        <w:t xml:space="preserve">driven, with students having limited opportunities to engage in extended, content-related dialogue. Quality of Feedback scores (districtwide average 3.9) suggest that teachers do not consistently scaffold student learning, encourage persistence, or prompt students to expand </w:t>
      </w:r>
      <w:r w:rsidR="5BE17299">
        <w:t>up</w:t>
      </w:r>
      <w:r>
        <w:t xml:space="preserve">on their thinking. </w:t>
      </w:r>
      <w:r w:rsidR="00DF3B4F">
        <w:t>Both s</w:t>
      </w:r>
      <w:r>
        <w:t>tudent focus group participants</w:t>
      </w:r>
      <w:r w:rsidR="00B92E98">
        <w:t>’</w:t>
      </w:r>
      <w:r>
        <w:t xml:space="preserve"> descriptions of teacher-led instruction and the CLASS observation data indicate that, while students experience engaged and orderly classrooms, </w:t>
      </w:r>
      <w:r w:rsidRPr="00B1622A">
        <w:rPr>
          <w:color w:val="000000" w:themeColor="text1"/>
        </w:rPr>
        <w:t>the depth and rigor of instructional interactions vary considerably across classrooms and grade levels. Consistently providing opportunities for students to engage in deeper learning, including through higher</w:t>
      </w:r>
      <w:r w:rsidR="00B92E98" w:rsidRPr="00B1622A">
        <w:rPr>
          <w:color w:val="000000" w:themeColor="text1"/>
        </w:rPr>
        <w:t xml:space="preserve"> </w:t>
      </w:r>
      <w:r w:rsidRPr="00B1622A">
        <w:rPr>
          <w:color w:val="000000" w:themeColor="text1"/>
        </w:rPr>
        <w:t>order questioning, student-driven academic dialogue, and feedback practices that scaffold and extend student thinking, is an area for growth for the district.</w:t>
      </w:r>
    </w:p>
    <w:p w14:paraId="40D5D3FE" w14:textId="0A14DAB2" w:rsidR="002B4CEF" w:rsidRDefault="002B4CEF" w:rsidP="00E813F9">
      <w:pPr>
        <w:pStyle w:val="Heading3"/>
      </w:pPr>
      <w:r w:rsidRPr="00E813F9">
        <w:t>Recommendations</w:t>
      </w:r>
    </w:p>
    <w:p w14:paraId="6A8B9DCE" w14:textId="259A48B5" w:rsidR="00E647F5" w:rsidRPr="00570540" w:rsidRDefault="00E647F5" w:rsidP="2D019F4B">
      <w:pPr>
        <w:pStyle w:val="Bullet1"/>
        <w:rPr>
          <w:i/>
          <w:iCs/>
        </w:rPr>
      </w:pPr>
      <w:r w:rsidRPr="2D019F4B">
        <w:rPr>
          <w:i/>
          <w:iCs/>
        </w:rPr>
        <w:t xml:space="preserve">The district should </w:t>
      </w:r>
      <w:r w:rsidR="009D02A7">
        <w:rPr>
          <w:i/>
          <w:iCs/>
        </w:rPr>
        <w:t>develop</w:t>
      </w:r>
      <w:r w:rsidR="009D02A7" w:rsidRPr="2D019F4B">
        <w:rPr>
          <w:i/>
          <w:iCs/>
        </w:rPr>
        <w:t xml:space="preserve"> </w:t>
      </w:r>
      <w:r w:rsidR="003F0C01" w:rsidRPr="2D019F4B">
        <w:rPr>
          <w:i/>
          <w:iCs/>
        </w:rPr>
        <w:t xml:space="preserve">educators’ </w:t>
      </w:r>
      <w:r w:rsidR="00011991">
        <w:rPr>
          <w:i/>
          <w:iCs/>
        </w:rPr>
        <w:t xml:space="preserve">skills </w:t>
      </w:r>
      <w:r w:rsidR="004019CA">
        <w:rPr>
          <w:i/>
          <w:iCs/>
        </w:rPr>
        <w:t>around</w:t>
      </w:r>
      <w:r w:rsidR="003F0C01" w:rsidRPr="2D019F4B">
        <w:rPr>
          <w:i/>
          <w:iCs/>
        </w:rPr>
        <w:t xml:space="preserve"> </w:t>
      </w:r>
      <w:r w:rsidR="00AB7104" w:rsidRPr="2D019F4B">
        <w:rPr>
          <w:i/>
          <w:iCs/>
        </w:rPr>
        <w:t>cultivat</w:t>
      </w:r>
      <w:r w:rsidR="00011991">
        <w:rPr>
          <w:i/>
          <w:iCs/>
        </w:rPr>
        <w:t>ing</w:t>
      </w:r>
      <w:r w:rsidR="003F0C01" w:rsidRPr="2D019F4B">
        <w:rPr>
          <w:i/>
          <w:iCs/>
        </w:rPr>
        <w:t xml:space="preserve"> </w:t>
      </w:r>
      <w:r w:rsidR="00FF7ED8" w:rsidRPr="2D019F4B">
        <w:rPr>
          <w:i/>
          <w:iCs/>
        </w:rPr>
        <w:t>deeper learning opportunities in which students engage in higher</w:t>
      </w:r>
      <w:r w:rsidR="00B3453F">
        <w:rPr>
          <w:i/>
          <w:iCs/>
        </w:rPr>
        <w:t>-</w:t>
      </w:r>
      <w:r w:rsidR="00FF7ED8" w:rsidRPr="2D019F4B">
        <w:rPr>
          <w:i/>
          <w:iCs/>
        </w:rPr>
        <w:t xml:space="preserve">order thinking, student-driven dialogue, and </w:t>
      </w:r>
      <w:r w:rsidR="00AB7104" w:rsidRPr="2D019F4B">
        <w:rPr>
          <w:i/>
          <w:iCs/>
        </w:rPr>
        <w:t xml:space="preserve">regular feedback loops. </w:t>
      </w:r>
    </w:p>
    <w:p w14:paraId="46DDAA29" w14:textId="271B21A6" w:rsidR="002B4CEF" w:rsidRPr="00E813F9" w:rsidRDefault="00060E1C" w:rsidP="00E813F9">
      <w:pPr>
        <w:pStyle w:val="BodyText"/>
      </w:pPr>
      <w:r w:rsidRPr="00570C12">
        <w:t xml:space="preserve">For </w:t>
      </w:r>
      <w:r w:rsidRPr="00E813F9">
        <w:t>related resources, see Appendix C.</w:t>
      </w:r>
      <w:r w:rsidRPr="00E813F9">
        <w:br w:type="page"/>
      </w:r>
    </w:p>
    <w:p w14:paraId="366F3518" w14:textId="77777777" w:rsidR="008D6102" w:rsidRPr="00CB0607" w:rsidRDefault="008D6102" w:rsidP="00E813F9">
      <w:pPr>
        <w:pStyle w:val="Heading2"/>
      </w:pPr>
      <w:bookmarkStart w:id="41" w:name="_Assessment"/>
      <w:bookmarkStart w:id="42" w:name="_Toc101446229"/>
      <w:bookmarkStart w:id="43" w:name="_Toc235104377"/>
      <w:bookmarkStart w:id="44" w:name="_Toc235104452"/>
      <w:bookmarkEnd w:id="41"/>
      <w:r w:rsidRPr="00E813F9">
        <w:lastRenderedPageBreak/>
        <w:t>Assessment</w:t>
      </w:r>
      <w:bookmarkEnd w:id="42"/>
      <w:bookmarkEnd w:id="43"/>
      <w:bookmarkEnd w:id="44"/>
    </w:p>
    <w:p w14:paraId="55017274" w14:textId="7C3235E9" w:rsidR="002B45D4" w:rsidRDefault="002B45D4" w:rsidP="00E813F9">
      <w:pPr>
        <w:pStyle w:val="BodyTextposthead"/>
      </w:pPr>
      <w:r w:rsidRPr="0051603E">
        <w:t xml:space="preserve">This section examines the extent to which district leaders have established a shared instructional vision that is anchored in culturally and linguistically sustaining practices and guides all curricular and instructional decisions toward equitable outcomes for all students. This section also focuses on the extent to which the district pairs </w:t>
      </w:r>
      <w:r w:rsidR="0051603E">
        <w:t>HQIM and</w:t>
      </w:r>
      <w:r w:rsidRPr="0051603E">
        <w:t xml:space="preserve"> curriculum </w:t>
      </w:r>
      <w:r w:rsidR="0051603E">
        <w:t>with</w:t>
      </w:r>
      <w:r w:rsidRPr="0051603E">
        <w:t xml:space="preserve"> high expectations for all students with individualized supports, so that every student can engage in deeper learning and develop the knowledge and skills that will prepare them to succeed in college and/or the workplace.</w:t>
      </w:r>
    </w:p>
    <w:p w14:paraId="65DF5D4F" w14:textId="16048123" w:rsidR="00C0766E" w:rsidRPr="00CB0607" w:rsidRDefault="00C0766E" w:rsidP="00E813F9">
      <w:pPr>
        <w:pStyle w:val="BodyText"/>
      </w:pPr>
      <w:r w:rsidRPr="00CB0607">
        <w:t xml:space="preserve">Table </w:t>
      </w:r>
      <w:r w:rsidR="000B66D3">
        <w:t>5</w:t>
      </w:r>
      <w:r w:rsidR="00163C7A" w:rsidRPr="00CB0607">
        <w:t xml:space="preserve"> </w:t>
      </w:r>
      <w:r w:rsidRPr="00CB0607">
        <w:t>summarizes key strengths and areas for growth in assessment</w:t>
      </w:r>
      <w:r w:rsidR="00250663">
        <w:t xml:space="preserve"> in </w:t>
      </w:r>
      <w:r w:rsidR="00191835">
        <w:t>Brockton</w:t>
      </w:r>
      <w:r w:rsidRPr="00CB0607">
        <w:t>.</w:t>
      </w:r>
    </w:p>
    <w:p w14:paraId="329E7498" w14:textId="2685B635" w:rsidR="00473308" w:rsidRPr="00CB0607" w:rsidRDefault="00473308" w:rsidP="00E813F9">
      <w:pPr>
        <w:pStyle w:val="TableTitle0"/>
      </w:pPr>
      <w:r w:rsidRPr="00CB0607">
        <w:t xml:space="preserve">Table </w:t>
      </w:r>
      <w:r w:rsidR="000B66D3">
        <w:t>5</w:t>
      </w:r>
      <w:r w:rsidRPr="00CB0607">
        <w:t xml:space="preserve">. Summary of </w:t>
      </w:r>
      <w:r w:rsidR="00C0766E" w:rsidRPr="00CB0607">
        <w:t xml:space="preserve">Key Strengths </w:t>
      </w:r>
      <w:r w:rsidRPr="00CB0607">
        <w:t xml:space="preserve">and </w:t>
      </w:r>
      <w:r w:rsidR="00C0766E" w:rsidRPr="00CB0607">
        <w:t xml:space="preserve">Areas </w:t>
      </w:r>
      <w:r w:rsidRPr="00CB0607">
        <w:t xml:space="preserve">for </w:t>
      </w:r>
      <w:r w:rsidR="00C0766E" w:rsidRPr="00CB0607">
        <w:t>Growth:</w:t>
      </w:r>
      <w:r w:rsidRPr="00CB0607">
        <w:t xml:space="preserve"> Assessment</w:t>
      </w:r>
      <w:r w:rsidR="00C0766E" w:rsidRPr="00CB0607">
        <w:t xml:space="preserve"> Standard</w:t>
      </w:r>
    </w:p>
    <w:tbl>
      <w:tblPr>
        <w:tblStyle w:val="MSVTable1"/>
        <w:tblW w:w="5000" w:type="pct"/>
        <w:tblLook w:val="04A0" w:firstRow="1" w:lastRow="0" w:firstColumn="1" w:lastColumn="0" w:noHBand="0" w:noVBand="1"/>
        <w:tblCaption w:val="Table 5. Summary of Key Strengths and Areas for Growth: Assessment Standard"/>
        <w:tblDescription w:val="Summary of Key Strengths and Areas for Growth: Assessment Standard"/>
      </w:tblPr>
      <w:tblGrid>
        <w:gridCol w:w="1972"/>
        <w:gridCol w:w="3685"/>
        <w:gridCol w:w="3687"/>
      </w:tblGrid>
      <w:tr w:rsidR="00473308" w:rsidRPr="00CB0607" w14:paraId="4528F62A" w14:textId="77777777" w:rsidTr="00E813F9">
        <w:trPr>
          <w:cnfStyle w:val="100000000000" w:firstRow="1" w:lastRow="0" w:firstColumn="0" w:lastColumn="0" w:oddVBand="0" w:evenVBand="0" w:oddHBand="0" w:evenHBand="0" w:firstRowFirstColumn="0" w:firstRowLastColumn="0" w:lastRowFirstColumn="0" w:lastRowLastColumn="0"/>
          <w:tblHeader/>
        </w:trPr>
        <w:tc>
          <w:tcPr>
            <w:tcW w:w="1055" w:type="pct"/>
          </w:tcPr>
          <w:p w14:paraId="03EBB6C0" w14:textId="77777777" w:rsidR="00473308" w:rsidRPr="00E813F9" w:rsidRDefault="00473308" w:rsidP="00E813F9">
            <w:pPr>
              <w:pStyle w:val="TableColHeadingCenter"/>
            </w:pPr>
            <w:r w:rsidRPr="00E813F9">
              <w:t>Indicator</w:t>
            </w:r>
          </w:p>
        </w:tc>
        <w:tc>
          <w:tcPr>
            <w:tcW w:w="1972" w:type="pct"/>
          </w:tcPr>
          <w:p w14:paraId="04CE9AD4" w14:textId="77777777" w:rsidR="00473308" w:rsidRPr="00E813F9" w:rsidRDefault="00473308" w:rsidP="00E813F9">
            <w:pPr>
              <w:pStyle w:val="TableColHeadingCenter"/>
            </w:pPr>
            <w:r w:rsidRPr="00E813F9">
              <w:t>Strengths</w:t>
            </w:r>
          </w:p>
        </w:tc>
        <w:tc>
          <w:tcPr>
            <w:tcW w:w="1973" w:type="pct"/>
          </w:tcPr>
          <w:p w14:paraId="0516578A" w14:textId="6F03A48B" w:rsidR="00473308" w:rsidRPr="00E813F9" w:rsidRDefault="00473308" w:rsidP="00E813F9">
            <w:pPr>
              <w:pStyle w:val="TableColHeadingCenter"/>
            </w:pPr>
            <w:r w:rsidRPr="00E813F9">
              <w:t xml:space="preserve">Areas for </w:t>
            </w:r>
            <w:r w:rsidR="00C0766E" w:rsidRPr="00E813F9">
              <w:t>g</w:t>
            </w:r>
            <w:r w:rsidRPr="00E813F9">
              <w:t>rowth</w:t>
            </w:r>
          </w:p>
        </w:tc>
      </w:tr>
      <w:tr w:rsidR="00473308" w:rsidRPr="00CB0607" w14:paraId="5BE4F452" w14:textId="77777777" w:rsidTr="00E813F9">
        <w:trPr>
          <w:cnfStyle w:val="000000100000" w:firstRow="0" w:lastRow="0" w:firstColumn="0" w:lastColumn="0" w:oddVBand="0" w:evenVBand="0" w:oddHBand="1" w:evenHBand="0" w:firstRowFirstColumn="0" w:firstRowLastColumn="0" w:lastRowFirstColumn="0" w:lastRowLastColumn="0"/>
        </w:trPr>
        <w:tc>
          <w:tcPr>
            <w:tcW w:w="1055" w:type="pct"/>
          </w:tcPr>
          <w:p w14:paraId="4F788977" w14:textId="791F61DD" w:rsidR="00473308" w:rsidRPr="00E813F9" w:rsidRDefault="00473308" w:rsidP="00E813F9">
            <w:pPr>
              <w:pStyle w:val="TableSubheading"/>
            </w:pPr>
            <w:hyperlink w:anchor="_Data_Collection" w:history="1">
              <w:r w:rsidRPr="00E813F9">
                <w:rPr>
                  <w:rStyle w:val="Hyperlink"/>
                  <w:color w:val="auto"/>
                  <w:u w:val="none"/>
                </w:rPr>
                <w:t xml:space="preserve">Data </w:t>
              </w:r>
              <w:r w:rsidR="008E0EE8" w:rsidRPr="00E813F9">
                <w:rPr>
                  <w:rStyle w:val="Hyperlink"/>
                  <w:color w:val="auto"/>
                  <w:u w:val="none"/>
                </w:rPr>
                <w:t>Collection</w:t>
              </w:r>
            </w:hyperlink>
          </w:p>
        </w:tc>
        <w:tc>
          <w:tcPr>
            <w:tcW w:w="1972" w:type="pct"/>
          </w:tcPr>
          <w:p w14:paraId="5E3E7CC2" w14:textId="47F4B340" w:rsidR="00473308" w:rsidRPr="00E813F9" w:rsidRDefault="00B66A16" w:rsidP="008047D4">
            <w:pPr>
              <w:pStyle w:val="TableBullet1"/>
            </w:pPr>
            <w:r w:rsidRPr="008047D4">
              <w:t>The</w:t>
            </w:r>
            <w:r w:rsidR="00E25C8E">
              <w:t xml:space="preserve"> district</w:t>
            </w:r>
            <w:r w:rsidRPr="008047D4">
              <w:t xml:space="preserve"> use</w:t>
            </w:r>
            <w:r w:rsidR="00E25C8E">
              <w:t>s</w:t>
            </w:r>
            <w:r w:rsidRPr="008047D4">
              <w:t xml:space="preserve"> multiple academic and nonacademic data sources to form a comprehensive picture of each student.</w:t>
            </w:r>
          </w:p>
        </w:tc>
        <w:tc>
          <w:tcPr>
            <w:tcW w:w="1973" w:type="pct"/>
          </w:tcPr>
          <w:p w14:paraId="1E451936" w14:textId="17199F9B" w:rsidR="00473308" w:rsidRPr="00E813F9" w:rsidRDefault="00B66A16" w:rsidP="008047D4">
            <w:pPr>
              <w:pStyle w:val="TableBullet1"/>
            </w:pPr>
            <w:r w:rsidRPr="008047D4">
              <w:t>Developing clear expectations for high school teachers regarding assessment frequency</w:t>
            </w:r>
          </w:p>
        </w:tc>
      </w:tr>
      <w:tr w:rsidR="00473308" w:rsidRPr="00CB0607" w14:paraId="3744E5B9" w14:textId="77777777" w:rsidTr="00E813F9">
        <w:tc>
          <w:tcPr>
            <w:tcW w:w="1055" w:type="pct"/>
          </w:tcPr>
          <w:p w14:paraId="797DE778" w14:textId="231F0A7C" w:rsidR="00473308" w:rsidRPr="00E813F9" w:rsidRDefault="00473308" w:rsidP="00E813F9">
            <w:pPr>
              <w:pStyle w:val="TableSubheading"/>
            </w:pPr>
            <w:hyperlink w:anchor="_Data_Use_and" w:history="1">
              <w:r w:rsidRPr="00E813F9">
                <w:rPr>
                  <w:rStyle w:val="Hyperlink"/>
                  <w:color w:val="auto"/>
                  <w:u w:val="none"/>
                </w:rPr>
                <w:t xml:space="preserve">Data </w:t>
              </w:r>
              <w:r w:rsidR="008E0EE8" w:rsidRPr="00E813F9">
                <w:rPr>
                  <w:rStyle w:val="Hyperlink"/>
                  <w:color w:val="auto"/>
                  <w:u w:val="none"/>
                </w:rPr>
                <w:t>U</w:t>
              </w:r>
              <w:r w:rsidRPr="00E813F9">
                <w:rPr>
                  <w:rStyle w:val="Hyperlink"/>
                  <w:color w:val="auto"/>
                  <w:u w:val="none"/>
                </w:rPr>
                <w:t>se</w:t>
              </w:r>
              <w:r w:rsidR="008E0EE8" w:rsidRPr="00E813F9">
                <w:rPr>
                  <w:rStyle w:val="Hyperlink"/>
                  <w:color w:val="auto"/>
                  <w:u w:val="none"/>
                </w:rPr>
                <w:t xml:space="preserve"> and Culture</w:t>
              </w:r>
            </w:hyperlink>
          </w:p>
        </w:tc>
        <w:tc>
          <w:tcPr>
            <w:tcW w:w="1972" w:type="pct"/>
          </w:tcPr>
          <w:p w14:paraId="3EFCF2E4" w14:textId="6DDD19BC" w:rsidR="00473308" w:rsidRPr="00E813F9" w:rsidRDefault="00E25C8E" w:rsidP="00E813F9">
            <w:pPr>
              <w:pStyle w:val="TableBullet1"/>
            </w:pPr>
            <w:r>
              <w:t>N/A</w:t>
            </w:r>
          </w:p>
        </w:tc>
        <w:tc>
          <w:tcPr>
            <w:tcW w:w="1973" w:type="pct"/>
          </w:tcPr>
          <w:p w14:paraId="08FEEFDF" w14:textId="4D0CA8C4" w:rsidR="00473308" w:rsidRPr="00E813F9" w:rsidRDefault="00B66A16" w:rsidP="00E813F9">
            <w:pPr>
              <w:pStyle w:val="TableBullet1"/>
            </w:pPr>
            <w:r w:rsidRPr="00411609">
              <w:t>Developing systems and structures at the secondary level to understand and respond to student needs based on data analysis</w:t>
            </w:r>
          </w:p>
        </w:tc>
      </w:tr>
      <w:tr w:rsidR="00473308" w:rsidRPr="00CB0607" w14:paraId="2BFB5534" w14:textId="77777777" w:rsidTr="00E813F9">
        <w:trPr>
          <w:cnfStyle w:val="000000100000" w:firstRow="0" w:lastRow="0" w:firstColumn="0" w:lastColumn="0" w:oddVBand="0" w:evenVBand="0" w:oddHBand="1" w:evenHBand="0" w:firstRowFirstColumn="0" w:firstRowLastColumn="0" w:lastRowFirstColumn="0" w:lastRowLastColumn="0"/>
        </w:trPr>
        <w:tc>
          <w:tcPr>
            <w:tcW w:w="1055" w:type="pct"/>
          </w:tcPr>
          <w:p w14:paraId="692DCE62" w14:textId="545C52E1" w:rsidR="00473308" w:rsidRPr="00E813F9" w:rsidRDefault="00473308" w:rsidP="00E813F9">
            <w:pPr>
              <w:pStyle w:val="TableSubheading"/>
            </w:pPr>
            <w:hyperlink w:anchor="_Sharing_Data" w:history="1">
              <w:r w:rsidRPr="00E813F9">
                <w:rPr>
                  <w:rStyle w:val="Hyperlink"/>
                  <w:color w:val="auto"/>
                  <w:u w:val="none"/>
                </w:rPr>
                <w:t xml:space="preserve">Sharing </w:t>
              </w:r>
              <w:r w:rsidR="008E0EE8" w:rsidRPr="00E813F9">
                <w:rPr>
                  <w:rStyle w:val="Hyperlink"/>
                  <w:color w:val="auto"/>
                  <w:u w:val="none"/>
                </w:rPr>
                <w:t>Data</w:t>
              </w:r>
            </w:hyperlink>
          </w:p>
        </w:tc>
        <w:tc>
          <w:tcPr>
            <w:tcW w:w="1972" w:type="pct"/>
          </w:tcPr>
          <w:p w14:paraId="1242ABD2" w14:textId="0EA97C7E" w:rsidR="00473308" w:rsidRPr="00E813F9" w:rsidRDefault="00E25C8E" w:rsidP="00E813F9">
            <w:pPr>
              <w:pStyle w:val="TableBullet1"/>
            </w:pPr>
            <w:r>
              <w:t>Brockton provides</w:t>
            </w:r>
            <w:r w:rsidR="008047D4" w:rsidRPr="008047D4">
              <w:t xml:space="preserve"> language access supports and translation services for families, including in Portuguese, Haitian Creole, Cape Verdean Creole, and Spanish</w:t>
            </w:r>
            <w:r w:rsidR="00411609">
              <w:t>.</w:t>
            </w:r>
          </w:p>
        </w:tc>
        <w:tc>
          <w:tcPr>
            <w:tcW w:w="1973" w:type="pct"/>
          </w:tcPr>
          <w:p w14:paraId="4CBC740B" w14:textId="333D3D21" w:rsidR="00473308" w:rsidRPr="008047D4" w:rsidRDefault="008047D4" w:rsidP="00E813F9">
            <w:pPr>
              <w:pStyle w:val="TableBullet1"/>
            </w:pPr>
            <w:r w:rsidRPr="008047D4">
              <w:t>Providing students with clear</w:t>
            </w:r>
            <w:r w:rsidR="00E25C8E">
              <w:t xml:space="preserve"> </w:t>
            </w:r>
            <w:r w:rsidRPr="008047D4">
              <w:t>expectations and feedback on performance</w:t>
            </w:r>
          </w:p>
          <w:p w14:paraId="12A16FB1" w14:textId="77777777" w:rsidR="00FB4D60" w:rsidRDefault="00FB4D60" w:rsidP="00E25C8E">
            <w:pPr>
              <w:pStyle w:val="TableBullet1"/>
            </w:pPr>
            <w:r w:rsidRPr="00FB4D60">
              <w:t>Ensuring that all families receive timely, consistent, and accessible information regarding their students’ progress</w:t>
            </w:r>
          </w:p>
          <w:p w14:paraId="22C6496B" w14:textId="204F05E2" w:rsidR="008047D4" w:rsidRPr="00E813F9" w:rsidRDefault="008047D4" w:rsidP="00E25C8E">
            <w:pPr>
              <w:pStyle w:val="TableBullet1"/>
            </w:pPr>
            <w:r w:rsidRPr="008047D4">
              <w:t>Developing and implementing consistent grading practices</w:t>
            </w:r>
          </w:p>
        </w:tc>
      </w:tr>
    </w:tbl>
    <w:p w14:paraId="3EAD947C" w14:textId="703C93C6" w:rsidR="00E9246A" w:rsidRPr="00E9246A" w:rsidRDefault="208117AE" w:rsidP="00E813F9">
      <w:pPr>
        <w:pStyle w:val="Heading3"/>
      </w:pPr>
      <w:bookmarkStart w:id="45" w:name="_Data_and_Assessment"/>
      <w:bookmarkStart w:id="46" w:name="_Data_Collection"/>
      <w:bookmarkEnd w:id="45"/>
      <w:bookmarkEnd w:id="46"/>
      <w:r>
        <w:t>Data Collection</w:t>
      </w:r>
    </w:p>
    <w:p w14:paraId="2F7A2DCD" w14:textId="1FD6F240" w:rsidR="00622FEF" w:rsidRPr="00797379" w:rsidRDefault="4FFEA80C" w:rsidP="00E813F9">
      <w:pPr>
        <w:pStyle w:val="BodyTextposthead"/>
      </w:pPr>
      <w:r w:rsidRPr="190DD215">
        <w:t>Brockton employs a multilayered approach to data collection, drawing on academic and nonacademic data sources across grade spans to inform instruction and support planning. Stakeholders at the elementary, middle, and high school levels described a consistent practice of using multiple formal and informal measures along</w:t>
      </w:r>
      <w:r w:rsidR="0085556E">
        <w:t xml:space="preserve"> with</w:t>
      </w:r>
      <w:r w:rsidRPr="190DD215">
        <w:t xml:space="preserve"> behavioral and attendance data, reflecting a broadly shared culture of data-informed practice.</w:t>
      </w:r>
      <w:r w:rsidR="01127851" w:rsidRPr="190DD215">
        <w:t xml:space="preserve"> </w:t>
      </w:r>
      <w:r w:rsidR="01127851">
        <w:t>Table 6 outlines the standardized assessments used districtwide.</w:t>
      </w:r>
    </w:p>
    <w:p w14:paraId="2A0EC176" w14:textId="4DD5D858" w:rsidR="00D36742" w:rsidRPr="00CB0607" w:rsidRDefault="00D36742" w:rsidP="001D09C4">
      <w:pPr>
        <w:pStyle w:val="TableTitle0"/>
      </w:pPr>
      <w:r w:rsidRPr="00CB0607">
        <w:t xml:space="preserve">Table </w:t>
      </w:r>
      <w:r w:rsidR="00692016">
        <w:t>6</w:t>
      </w:r>
      <w:r w:rsidRPr="00CB0607">
        <w:t xml:space="preserve">. </w:t>
      </w:r>
      <w:r>
        <w:t xml:space="preserve">Assessments Used in </w:t>
      </w:r>
      <w:r w:rsidR="00A44499">
        <w:t>Brockton</w:t>
      </w:r>
    </w:p>
    <w:tbl>
      <w:tblPr>
        <w:tblStyle w:val="MSVTable1"/>
        <w:tblW w:w="5000" w:type="pct"/>
        <w:tblLook w:val="04A0" w:firstRow="1" w:lastRow="0" w:firstColumn="1" w:lastColumn="0" w:noHBand="0" w:noVBand="1"/>
        <w:tblCaption w:val="Table 6. Assessments Used in Brockton"/>
        <w:tblDescription w:val="Assessments Used in Brockton"/>
      </w:tblPr>
      <w:tblGrid>
        <w:gridCol w:w="5122"/>
        <w:gridCol w:w="1326"/>
        <w:gridCol w:w="2896"/>
      </w:tblGrid>
      <w:tr w:rsidR="00D36742" w:rsidRPr="001159BC" w14:paraId="3ACCC677" w14:textId="77777777" w:rsidTr="2D019F4B">
        <w:trPr>
          <w:cnfStyle w:val="100000000000" w:firstRow="1" w:lastRow="0" w:firstColumn="0" w:lastColumn="0" w:oddVBand="0" w:evenVBand="0" w:oddHBand="0" w:evenHBand="0" w:firstRowFirstColumn="0" w:firstRowLastColumn="0" w:lastRowFirstColumn="0" w:lastRowLastColumn="0"/>
          <w:tblHeader/>
        </w:trPr>
        <w:tc>
          <w:tcPr>
            <w:tcW w:w="5122" w:type="dxa"/>
            <w:hideMark/>
          </w:tcPr>
          <w:p w14:paraId="624ED2CB" w14:textId="642F0339" w:rsidR="00D36742" w:rsidRPr="00232F5F" w:rsidRDefault="00D36742" w:rsidP="00232F5F">
            <w:pPr>
              <w:pStyle w:val="TableColHeadingCenter"/>
            </w:pPr>
            <w:r w:rsidRPr="00232F5F">
              <w:t>Assessment</w:t>
            </w:r>
          </w:p>
        </w:tc>
        <w:tc>
          <w:tcPr>
            <w:tcW w:w="1326" w:type="dxa"/>
            <w:hideMark/>
          </w:tcPr>
          <w:p w14:paraId="04F995E2" w14:textId="7A9B880E" w:rsidR="00D36742" w:rsidRPr="00232F5F" w:rsidRDefault="00D36742" w:rsidP="00232F5F">
            <w:pPr>
              <w:pStyle w:val="TableColHeadingCenter"/>
            </w:pPr>
            <w:r w:rsidRPr="00232F5F">
              <w:t>Grade(s)</w:t>
            </w:r>
          </w:p>
        </w:tc>
        <w:tc>
          <w:tcPr>
            <w:tcW w:w="2896" w:type="dxa"/>
            <w:hideMark/>
          </w:tcPr>
          <w:p w14:paraId="75F7B44C" w14:textId="3BBF85EF" w:rsidR="00D36742" w:rsidRPr="00232F5F" w:rsidRDefault="00D36742" w:rsidP="00232F5F">
            <w:pPr>
              <w:pStyle w:val="TableColHeadingCenter"/>
            </w:pPr>
            <w:r w:rsidRPr="00232F5F">
              <w:t>Time of administration</w:t>
            </w:r>
          </w:p>
        </w:tc>
      </w:tr>
      <w:tr w:rsidR="00387E4D" w14:paraId="6B3237D4" w14:textId="77777777" w:rsidTr="2D019F4B">
        <w:trPr>
          <w:cnfStyle w:val="000000100000" w:firstRow="0" w:lastRow="0" w:firstColumn="0" w:lastColumn="0" w:oddVBand="0" w:evenVBand="0" w:oddHBand="1" w:evenHBand="0" w:firstRowFirstColumn="0" w:firstRowLastColumn="0" w:lastRowFirstColumn="0" w:lastRowLastColumn="0"/>
        </w:trPr>
        <w:tc>
          <w:tcPr>
            <w:tcW w:w="5122" w:type="dxa"/>
            <w:hideMark/>
          </w:tcPr>
          <w:p w14:paraId="656A3069" w14:textId="21276B2B" w:rsidR="00387E4D" w:rsidRDefault="7126A679" w:rsidP="00880055">
            <w:pPr>
              <w:pStyle w:val="TableSubheading"/>
            </w:pPr>
            <w:r w:rsidRPr="190DD215">
              <w:t>STAR (Reading)</w:t>
            </w:r>
          </w:p>
        </w:tc>
        <w:tc>
          <w:tcPr>
            <w:tcW w:w="1326" w:type="dxa"/>
            <w:hideMark/>
          </w:tcPr>
          <w:p w14:paraId="35D02AED" w14:textId="79CA574C" w:rsidR="00387E4D" w:rsidRPr="00232F5F" w:rsidRDefault="265CD726" w:rsidP="00232F5F">
            <w:pPr>
              <w:pStyle w:val="TableTextCentered"/>
            </w:pPr>
            <w:r w:rsidRPr="00232F5F">
              <w:t>4-1</w:t>
            </w:r>
            <w:r w:rsidR="564C7286" w:rsidRPr="00232F5F">
              <w:t>0</w:t>
            </w:r>
          </w:p>
        </w:tc>
        <w:tc>
          <w:tcPr>
            <w:tcW w:w="2896" w:type="dxa"/>
            <w:hideMark/>
          </w:tcPr>
          <w:p w14:paraId="0E0B8677" w14:textId="0B7A4159" w:rsidR="00387E4D" w:rsidRPr="00232F5F" w:rsidRDefault="72848F34" w:rsidP="00232F5F">
            <w:pPr>
              <w:pStyle w:val="TableText"/>
            </w:pPr>
            <w:r w:rsidRPr="00232F5F">
              <w:t>Multiple</w:t>
            </w:r>
          </w:p>
        </w:tc>
      </w:tr>
      <w:tr w:rsidR="00387E4D" w14:paraId="51663D2B" w14:textId="77777777" w:rsidTr="2D019F4B">
        <w:tc>
          <w:tcPr>
            <w:tcW w:w="5122" w:type="dxa"/>
            <w:hideMark/>
          </w:tcPr>
          <w:p w14:paraId="7B177C69" w14:textId="48D00B33" w:rsidR="00387E4D" w:rsidRDefault="72848F34" w:rsidP="00880055">
            <w:pPr>
              <w:pStyle w:val="TableSubheading"/>
            </w:pPr>
            <w:r w:rsidRPr="190DD215">
              <w:t>STAR (Math)</w:t>
            </w:r>
          </w:p>
        </w:tc>
        <w:tc>
          <w:tcPr>
            <w:tcW w:w="1326" w:type="dxa"/>
            <w:hideMark/>
          </w:tcPr>
          <w:p w14:paraId="4F0CBDC8" w14:textId="0493B33D" w:rsidR="00387E4D" w:rsidRPr="00232F5F" w:rsidRDefault="72848F34" w:rsidP="00232F5F">
            <w:pPr>
              <w:pStyle w:val="TableTextCentered"/>
            </w:pPr>
            <w:r w:rsidRPr="00232F5F">
              <w:t>2-10</w:t>
            </w:r>
          </w:p>
        </w:tc>
        <w:tc>
          <w:tcPr>
            <w:tcW w:w="2896" w:type="dxa"/>
            <w:hideMark/>
          </w:tcPr>
          <w:p w14:paraId="36D9823D" w14:textId="23D98867" w:rsidR="00387E4D" w:rsidRPr="00232F5F" w:rsidRDefault="72848F34" w:rsidP="00232F5F">
            <w:pPr>
              <w:pStyle w:val="TableText"/>
            </w:pPr>
            <w:r w:rsidRPr="00232F5F">
              <w:t>Multiple</w:t>
            </w:r>
          </w:p>
        </w:tc>
      </w:tr>
      <w:tr w:rsidR="00387E4D" w14:paraId="463ECF2E" w14:textId="77777777" w:rsidTr="2D019F4B">
        <w:trPr>
          <w:cnfStyle w:val="000000100000" w:firstRow="0" w:lastRow="0" w:firstColumn="0" w:lastColumn="0" w:oddVBand="0" w:evenVBand="0" w:oddHBand="1" w:evenHBand="0" w:firstRowFirstColumn="0" w:firstRowLastColumn="0" w:lastRowFirstColumn="0" w:lastRowLastColumn="0"/>
        </w:trPr>
        <w:tc>
          <w:tcPr>
            <w:tcW w:w="5122" w:type="dxa"/>
            <w:hideMark/>
          </w:tcPr>
          <w:p w14:paraId="4B2F2CB1" w14:textId="019734B8" w:rsidR="00387E4D" w:rsidRDefault="2C9C58A3" w:rsidP="00880055">
            <w:pPr>
              <w:pStyle w:val="TableSubheading"/>
            </w:pPr>
            <w:r w:rsidRPr="190DD215">
              <w:lastRenderedPageBreak/>
              <w:t>DIBE</w:t>
            </w:r>
            <w:r w:rsidR="002761DA">
              <w:t>L</w:t>
            </w:r>
            <w:r w:rsidRPr="190DD215">
              <w:t>S</w:t>
            </w:r>
          </w:p>
        </w:tc>
        <w:tc>
          <w:tcPr>
            <w:tcW w:w="1326" w:type="dxa"/>
            <w:hideMark/>
          </w:tcPr>
          <w:p w14:paraId="6BD270AB" w14:textId="056FB1DD" w:rsidR="00387E4D" w:rsidRPr="00232F5F" w:rsidRDefault="2C9C58A3" w:rsidP="00232F5F">
            <w:pPr>
              <w:pStyle w:val="TableTextCentered"/>
            </w:pPr>
            <w:r w:rsidRPr="00232F5F">
              <w:t>K-4</w:t>
            </w:r>
          </w:p>
        </w:tc>
        <w:tc>
          <w:tcPr>
            <w:tcW w:w="2896" w:type="dxa"/>
            <w:hideMark/>
          </w:tcPr>
          <w:p w14:paraId="03393F52" w14:textId="15011C96" w:rsidR="00387E4D" w:rsidRPr="00232F5F" w:rsidRDefault="2C9C58A3" w:rsidP="00232F5F">
            <w:pPr>
              <w:pStyle w:val="TableText"/>
            </w:pPr>
            <w:r w:rsidRPr="00232F5F">
              <w:t>3x per year</w:t>
            </w:r>
          </w:p>
        </w:tc>
      </w:tr>
      <w:tr w:rsidR="00387E4D" w14:paraId="0D961E6D" w14:textId="77777777" w:rsidTr="2D019F4B">
        <w:tc>
          <w:tcPr>
            <w:tcW w:w="5122" w:type="dxa"/>
            <w:hideMark/>
          </w:tcPr>
          <w:p w14:paraId="597F2DCF" w14:textId="1A4E013C" w:rsidR="00387E4D" w:rsidRDefault="2C9C58A3" w:rsidP="00880055">
            <w:pPr>
              <w:pStyle w:val="TableSubheading"/>
            </w:pPr>
            <w:r w:rsidRPr="190DD215">
              <w:t>Lexia Rapid</w:t>
            </w:r>
            <w:r w:rsidR="3E759755" w:rsidRPr="190DD215">
              <w:t xml:space="preserve"> &amp; PowerUp</w:t>
            </w:r>
          </w:p>
        </w:tc>
        <w:tc>
          <w:tcPr>
            <w:tcW w:w="1326" w:type="dxa"/>
            <w:hideMark/>
          </w:tcPr>
          <w:p w14:paraId="7F0D5256" w14:textId="494F8896" w:rsidR="00387E4D" w:rsidRPr="00232F5F" w:rsidRDefault="2C9C58A3" w:rsidP="00232F5F">
            <w:pPr>
              <w:pStyle w:val="TableTextCentered"/>
            </w:pPr>
            <w:r w:rsidRPr="00232F5F">
              <w:t>K-</w:t>
            </w:r>
            <w:r w:rsidR="504B8644" w:rsidRPr="00232F5F">
              <w:t>4</w:t>
            </w:r>
          </w:p>
        </w:tc>
        <w:tc>
          <w:tcPr>
            <w:tcW w:w="2896" w:type="dxa"/>
            <w:hideMark/>
          </w:tcPr>
          <w:p w14:paraId="3D1C9BE9" w14:textId="4B91005C" w:rsidR="00387E4D" w:rsidRPr="00232F5F" w:rsidRDefault="504B8644" w:rsidP="00232F5F">
            <w:pPr>
              <w:pStyle w:val="TableText"/>
            </w:pPr>
            <w:r w:rsidRPr="00232F5F">
              <w:t>Multiple</w:t>
            </w:r>
          </w:p>
        </w:tc>
      </w:tr>
      <w:tr w:rsidR="00F85604" w14:paraId="055F99FD" w14:textId="77777777" w:rsidTr="2D019F4B">
        <w:trPr>
          <w:cnfStyle w:val="000000100000" w:firstRow="0" w:lastRow="0" w:firstColumn="0" w:lastColumn="0" w:oddVBand="0" w:evenVBand="0" w:oddHBand="1" w:evenHBand="0" w:firstRowFirstColumn="0" w:firstRowLastColumn="0" w:lastRowFirstColumn="0" w:lastRowLastColumn="0"/>
        </w:trPr>
        <w:tc>
          <w:tcPr>
            <w:tcW w:w="5122" w:type="dxa"/>
          </w:tcPr>
          <w:p w14:paraId="7313D3E5" w14:textId="0FE6ADCD" w:rsidR="00F85604" w:rsidRDefault="2C9C58A3" w:rsidP="00880055">
            <w:pPr>
              <w:pStyle w:val="TableSubheading"/>
            </w:pPr>
            <w:r w:rsidRPr="190DD215">
              <w:t>Lexia Core5</w:t>
            </w:r>
          </w:p>
        </w:tc>
        <w:tc>
          <w:tcPr>
            <w:tcW w:w="1326" w:type="dxa"/>
          </w:tcPr>
          <w:p w14:paraId="5AB4FA7E" w14:textId="518C7F13" w:rsidR="00F85604" w:rsidRPr="00232F5F" w:rsidRDefault="504B8644" w:rsidP="00232F5F">
            <w:pPr>
              <w:pStyle w:val="TableTextCentered"/>
            </w:pPr>
            <w:r w:rsidRPr="00232F5F">
              <w:t>5-8</w:t>
            </w:r>
          </w:p>
        </w:tc>
        <w:tc>
          <w:tcPr>
            <w:tcW w:w="2896" w:type="dxa"/>
          </w:tcPr>
          <w:p w14:paraId="6BFA88D1" w14:textId="3E3978E8" w:rsidR="00F85604" w:rsidRPr="00232F5F" w:rsidRDefault="504B8644" w:rsidP="00232F5F">
            <w:pPr>
              <w:pStyle w:val="TableText"/>
            </w:pPr>
            <w:r w:rsidRPr="00232F5F">
              <w:t>Multiple</w:t>
            </w:r>
          </w:p>
        </w:tc>
      </w:tr>
      <w:tr w:rsidR="00E93D62" w14:paraId="3DF96D9B" w14:textId="77777777" w:rsidTr="2D019F4B">
        <w:tc>
          <w:tcPr>
            <w:tcW w:w="5122" w:type="dxa"/>
          </w:tcPr>
          <w:p w14:paraId="36788F86" w14:textId="2AC2A640" w:rsidR="00E93D62" w:rsidRDefault="1B5CCAAA" w:rsidP="00880055">
            <w:pPr>
              <w:pStyle w:val="TableSubheading"/>
            </w:pPr>
            <w:r w:rsidRPr="190DD215">
              <w:t>Carnegie Lessons on Literature Skills Check</w:t>
            </w:r>
          </w:p>
        </w:tc>
        <w:tc>
          <w:tcPr>
            <w:tcW w:w="1326" w:type="dxa"/>
          </w:tcPr>
          <w:p w14:paraId="4A26D23C" w14:textId="1D400D07" w:rsidR="00E93D62" w:rsidRPr="00232F5F" w:rsidRDefault="1B5CCAAA" w:rsidP="00232F5F">
            <w:pPr>
              <w:pStyle w:val="TableTextCentered"/>
            </w:pPr>
            <w:r w:rsidRPr="00232F5F">
              <w:t>9-12</w:t>
            </w:r>
          </w:p>
        </w:tc>
        <w:tc>
          <w:tcPr>
            <w:tcW w:w="2896" w:type="dxa"/>
          </w:tcPr>
          <w:p w14:paraId="4E5C175F" w14:textId="0151AC7F" w:rsidR="00E93D62" w:rsidRPr="00232F5F" w:rsidRDefault="1B5CCAAA" w:rsidP="00232F5F">
            <w:pPr>
              <w:pStyle w:val="TableText"/>
            </w:pPr>
            <w:r w:rsidRPr="00232F5F">
              <w:t>3x per unit</w:t>
            </w:r>
          </w:p>
        </w:tc>
      </w:tr>
      <w:tr w:rsidR="00387E4D" w14:paraId="15D2FB88" w14:textId="77777777" w:rsidTr="2D019F4B">
        <w:trPr>
          <w:cnfStyle w:val="000000100000" w:firstRow="0" w:lastRow="0" w:firstColumn="0" w:lastColumn="0" w:oddVBand="0" w:evenVBand="0" w:oddHBand="1" w:evenHBand="0" w:firstRowFirstColumn="0" w:firstRowLastColumn="0" w:lastRowFirstColumn="0" w:lastRowLastColumn="0"/>
        </w:trPr>
        <w:tc>
          <w:tcPr>
            <w:tcW w:w="5122" w:type="dxa"/>
            <w:hideMark/>
          </w:tcPr>
          <w:p w14:paraId="3DCFA1A7" w14:textId="4032EA3E" w:rsidR="007C53A5" w:rsidRDefault="00387E4D" w:rsidP="00880055">
            <w:pPr>
              <w:pStyle w:val="TableSubheading"/>
            </w:pPr>
            <w:r>
              <w:t xml:space="preserve">Social Skills Improvement </w:t>
            </w:r>
            <w:r w:rsidR="0051603E">
              <w:t xml:space="preserve">Social-Emotional </w:t>
            </w:r>
          </w:p>
          <w:p w14:paraId="5BBB47A7" w14:textId="453B6261" w:rsidR="00387E4D" w:rsidRDefault="007C53A5" w:rsidP="00880055">
            <w:pPr>
              <w:pStyle w:val="TableSubheading"/>
            </w:pPr>
            <w:r>
              <w:t>‘</w:t>
            </w:r>
            <w:r w:rsidR="0051603E">
              <w:t>Learning</w:t>
            </w:r>
            <w:r w:rsidR="00387E4D">
              <w:t xml:space="preserve"> </w:t>
            </w:r>
            <w:r w:rsidR="0051603E">
              <w:t>S</w:t>
            </w:r>
            <w:r w:rsidR="00387E4D">
              <w:t>urvey (SSISEL)</w:t>
            </w:r>
          </w:p>
        </w:tc>
        <w:tc>
          <w:tcPr>
            <w:tcW w:w="1326" w:type="dxa"/>
            <w:hideMark/>
          </w:tcPr>
          <w:p w14:paraId="3AB8BADE" w14:textId="77777777" w:rsidR="00387E4D" w:rsidRPr="00232F5F" w:rsidRDefault="00387E4D" w:rsidP="00232F5F">
            <w:pPr>
              <w:pStyle w:val="TableTextCentered"/>
            </w:pPr>
            <w:r w:rsidRPr="00232F5F">
              <w:t>Not specified</w:t>
            </w:r>
          </w:p>
        </w:tc>
        <w:tc>
          <w:tcPr>
            <w:tcW w:w="2896" w:type="dxa"/>
            <w:hideMark/>
          </w:tcPr>
          <w:p w14:paraId="5BE5B163" w14:textId="77777777" w:rsidR="00387E4D" w:rsidRPr="00232F5F" w:rsidRDefault="00387E4D" w:rsidP="00232F5F">
            <w:pPr>
              <w:pStyle w:val="TableText"/>
            </w:pPr>
            <w:r w:rsidRPr="00232F5F">
              <w:t>Not specified</w:t>
            </w:r>
          </w:p>
        </w:tc>
      </w:tr>
      <w:tr w:rsidR="00387E4D" w14:paraId="2C3BC177" w14:textId="77777777" w:rsidTr="2D019F4B">
        <w:tc>
          <w:tcPr>
            <w:tcW w:w="5122" w:type="dxa"/>
            <w:hideMark/>
          </w:tcPr>
          <w:p w14:paraId="41F4637B" w14:textId="77777777" w:rsidR="00387E4D" w:rsidRDefault="00387E4D" w:rsidP="00880055">
            <w:pPr>
              <w:pStyle w:val="TableSubheading"/>
            </w:pPr>
            <w:r>
              <w:t>Behavioral Assessment System for Children (BASC)</w:t>
            </w:r>
          </w:p>
        </w:tc>
        <w:tc>
          <w:tcPr>
            <w:tcW w:w="1326" w:type="dxa"/>
            <w:hideMark/>
          </w:tcPr>
          <w:p w14:paraId="5799461D" w14:textId="77777777" w:rsidR="00387E4D" w:rsidRPr="00232F5F" w:rsidRDefault="00387E4D" w:rsidP="00232F5F">
            <w:pPr>
              <w:pStyle w:val="TableTextCentered"/>
            </w:pPr>
            <w:r w:rsidRPr="00232F5F">
              <w:t>Not specified</w:t>
            </w:r>
          </w:p>
        </w:tc>
        <w:tc>
          <w:tcPr>
            <w:tcW w:w="2896" w:type="dxa"/>
            <w:hideMark/>
          </w:tcPr>
          <w:p w14:paraId="2E23BDF9" w14:textId="77777777" w:rsidR="00387E4D" w:rsidRPr="00232F5F" w:rsidRDefault="00387E4D" w:rsidP="00232F5F">
            <w:pPr>
              <w:pStyle w:val="TableText"/>
            </w:pPr>
            <w:r w:rsidRPr="00232F5F">
              <w:t>Not specified</w:t>
            </w:r>
          </w:p>
        </w:tc>
      </w:tr>
      <w:tr w:rsidR="00387E4D" w14:paraId="4E3C38E2" w14:textId="77777777" w:rsidTr="2D019F4B">
        <w:trPr>
          <w:cnfStyle w:val="000000100000" w:firstRow="0" w:lastRow="0" w:firstColumn="0" w:lastColumn="0" w:oddVBand="0" w:evenVBand="0" w:oddHBand="1" w:evenHBand="0" w:firstRowFirstColumn="0" w:firstRowLastColumn="0" w:lastRowFirstColumn="0" w:lastRowLastColumn="0"/>
        </w:trPr>
        <w:tc>
          <w:tcPr>
            <w:tcW w:w="5122" w:type="dxa"/>
            <w:hideMark/>
          </w:tcPr>
          <w:p w14:paraId="6F2C3E61" w14:textId="77777777" w:rsidR="00387E4D" w:rsidRDefault="00387E4D" w:rsidP="00880055">
            <w:pPr>
              <w:pStyle w:val="TableSubheading"/>
            </w:pPr>
            <w:r>
              <w:t>Vineland Adaptive Behavioral Scales</w:t>
            </w:r>
          </w:p>
        </w:tc>
        <w:tc>
          <w:tcPr>
            <w:tcW w:w="1326" w:type="dxa"/>
            <w:hideMark/>
          </w:tcPr>
          <w:p w14:paraId="0F620E9F" w14:textId="77777777" w:rsidR="00387E4D" w:rsidRPr="00232F5F" w:rsidRDefault="00387E4D" w:rsidP="00232F5F">
            <w:pPr>
              <w:pStyle w:val="TableTextCentered"/>
            </w:pPr>
            <w:r w:rsidRPr="00232F5F">
              <w:t>Not specified</w:t>
            </w:r>
          </w:p>
        </w:tc>
        <w:tc>
          <w:tcPr>
            <w:tcW w:w="2896" w:type="dxa"/>
            <w:hideMark/>
          </w:tcPr>
          <w:p w14:paraId="3FD7A0AF" w14:textId="77777777" w:rsidR="00387E4D" w:rsidRPr="00232F5F" w:rsidRDefault="00387E4D" w:rsidP="00232F5F">
            <w:pPr>
              <w:pStyle w:val="TableText"/>
            </w:pPr>
            <w:r w:rsidRPr="00232F5F">
              <w:t>Not specified</w:t>
            </w:r>
          </w:p>
        </w:tc>
      </w:tr>
      <w:tr w:rsidR="00154542" w14:paraId="1590ECEF" w14:textId="77777777" w:rsidTr="2D019F4B">
        <w:tc>
          <w:tcPr>
            <w:tcW w:w="5122" w:type="dxa"/>
          </w:tcPr>
          <w:p w14:paraId="39A465E3" w14:textId="621F59B0" w:rsidR="00154542" w:rsidRDefault="098A603E" w:rsidP="00880055">
            <w:pPr>
              <w:pStyle w:val="TableSubheading"/>
            </w:pPr>
            <w:r w:rsidRPr="190DD215">
              <w:t>District</w:t>
            </w:r>
            <w:r w:rsidR="007033C7">
              <w:t>-</w:t>
            </w:r>
            <w:r w:rsidRPr="190DD215">
              <w:t xml:space="preserve">Developed </w:t>
            </w:r>
            <w:r w:rsidR="0051603E">
              <w:t xml:space="preserve">English Language Arts </w:t>
            </w:r>
            <w:r w:rsidRPr="190DD215">
              <w:t>Common Assessments</w:t>
            </w:r>
            <w:r w:rsidR="1AF39A16" w:rsidRPr="190DD215">
              <w:t xml:space="preserve"> </w:t>
            </w:r>
          </w:p>
        </w:tc>
        <w:tc>
          <w:tcPr>
            <w:tcW w:w="1326" w:type="dxa"/>
          </w:tcPr>
          <w:p w14:paraId="72E590CD" w14:textId="60D1D2F7" w:rsidR="00154542" w:rsidRPr="00232F5F" w:rsidRDefault="098A603E" w:rsidP="00232F5F">
            <w:pPr>
              <w:pStyle w:val="TableTextCentered"/>
            </w:pPr>
            <w:r w:rsidRPr="00232F5F">
              <w:t>6-12</w:t>
            </w:r>
          </w:p>
        </w:tc>
        <w:tc>
          <w:tcPr>
            <w:tcW w:w="2896" w:type="dxa"/>
          </w:tcPr>
          <w:p w14:paraId="6BF0F26B" w14:textId="70209EA4" w:rsidR="00154542" w:rsidRPr="00232F5F" w:rsidRDefault="1AF39A16" w:rsidP="00232F5F">
            <w:pPr>
              <w:pStyle w:val="TableText"/>
            </w:pPr>
            <w:r w:rsidRPr="00232F5F">
              <w:t>Multiple times per year</w:t>
            </w:r>
          </w:p>
        </w:tc>
      </w:tr>
      <w:tr w:rsidR="00ED6CE5" w14:paraId="7CA73193" w14:textId="77777777" w:rsidTr="2D019F4B">
        <w:trPr>
          <w:cnfStyle w:val="000000100000" w:firstRow="0" w:lastRow="0" w:firstColumn="0" w:lastColumn="0" w:oddVBand="0" w:evenVBand="0" w:oddHBand="1" w:evenHBand="0" w:firstRowFirstColumn="0" w:firstRowLastColumn="0" w:lastRowFirstColumn="0" w:lastRowLastColumn="0"/>
        </w:trPr>
        <w:tc>
          <w:tcPr>
            <w:tcW w:w="5122" w:type="dxa"/>
          </w:tcPr>
          <w:p w14:paraId="1DE95C37" w14:textId="2D9EC405" w:rsidR="00ED6CE5" w:rsidRDefault="1AF39A16" w:rsidP="00880055">
            <w:pPr>
              <w:pStyle w:val="TableSubheading"/>
            </w:pPr>
            <w:r w:rsidRPr="190DD215">
              <w:t>District</w:t>
            </w:r>
            <w:r w:rsidR="0051603E">
              <w:t>-</w:t>
            </w:r>
            <w:r w:rsidRPr="190DD215">
              <w:t>Developed</w:t>
            </w:r>
            <w:r w:rsidR="11788798" w:rsidRPr="190DD215">
              <w:t xml:space="preserve"> Math</w:t>
            </w:r>
            <w:r w:rsidRPr="190DD215">
              <w:t xml:space="preserve"> Common Assessments</w:t>
            </w:r>
          </w:p>
        </w:tc>
        <w:tc>
          <w:tcPr>
            <w:tcW w:w="1326" w:type="dxa"/>
          </w:tcPr>
          <w:p w14:paraId="1C8372D0" w14:textId="77777777" w:rsidR="00ED6CE5" w:rsidRPr="00232F5F" w:rsidRDefault="1AF39A16" w:rsidP="00232F5F">
            <w:pPr>
              <w:pStyle w:val="TableTextCentered"/>
            </w:pPr>
            <w:r w:rsidRPr="00232F5F">
              <w:t>6-12</w:t>
            </w:r>
          </w:p>
        </w:tc>
        <w:tc>
          <w:tcPr>
            <w:tcW w:w="2896" w:type="dxa"/>
          </w:tcPr>
          <w:p w14:paraId="79D85E51" w14:textId="77777777" w:rsidR="00ED6CE5" w:rsidRPr="00232F5F" w:rsidRDefault="1AF39A16" w:rsidP="00232F5F">
            <w:pPr>
              <w:pStyle w:val="TableText"/>
            </w:pPr>
            <w:r w:rsidRPr="00232F5F">
              <w:t>Multiple times per year</w:t>
            </w:r>
          </w:p>
        </w:tc>
      </w:tr>
      <w:tr w:rsidR="00ED6CE5" w14:paraId="33069F74" w14:textId="77777777" w:rsidTr="2D019F4B">
        <w:tc>
          <w:tcPr>
            <w:tcW w:w="5122" w:type="dxa"/>
          </w:tcPr>
          <w:p w14:paraId="304C9E4B" w14:textId="21AF943B" w:rsidR="00ED6CE5" w:rsidRDefault="1AF39A16" w:rsidP="00880055">
            <w:pPr>
              <w:pStyle w:val="TableSubheading"/>
            </w:pPr>
            <w:r w:rsidRPr="190DD215">
              <w:t>District</w:t>
            </w:r>
            <w:r w:rsidR="0051603E">
              <w:t>-</w:t>
            </w:r>
            <w:r w:rsidRPr="190DD215">
              <w:t xml:space="preserve">Developed </w:t>
            </w:r>
            <w:r w:rsidR="11788798" w:rsidRPr="190DD215">
              <w:t xml:space="preserve">Science </w:t>
            </w:r>
            <w:r w:rsidRPr="190DD215">
              <w:t>Common Assessments</w:t>
            </w:r>
          </w:p>
        </w:tc>
        <w:tc>
          <w:tcPr>
            <w:tcW w:w="1326" w:type="dxa"/>
          </w:tcPr>
          <w:p w14:paraId="06616DCE" w14:textId="77777777" w:rsidR="00ED6CE5" w:rsidRPr="00232F5F" w:rsidRDefault="1AF39A16" w:rsidP="00232F5F">
            <w:pPr>
              <w:pStyle w:val="TableTextCentered"/>
            </w:pPr>
            <w:r w:rsidRPr="00232F5F">
              <w:t>6-12</w:t>
            </w:r>
          </w:p>
        </w:tc>
        <w:tc>
          <w:tcPr>
            <w:tcW w:w="2896" w:type="dxa"/>
          </w:tcPr>
          <w:p w14:paraId="62BE210B" w14:textId="77777777" w:rsidR="00ED6CE5" w:rsidRPr="00232F5F" w:rsidRDefault="1AF39A16" w:rsidP="00232F5F">
            <w:pPr>
              <w:pStyle w:val="TableText"/>
            </w:pPr>
            <w:r w:rsidRPr="00232F5F">
              <w:t>Multiple times per year</w:t>
            </w:r>
          </w:p>
        </w:tc>
      </w:tr>
      <w:tr w:rsidR="00ED6CE5" w14:paraId="781EFD52" w14:textId="77777777" w:rsidTr="2D019F4B">
        <w:trPr>
          <w:cnfStyle w:val="000000100000" w:firstRow="0" w:lastRow="0" w:firstColumn="0" w:lastColumn="0" w:oddVBand="0" w:evenVBand="0" w:oddHBand="1" w:evenHBand="0" w:firstRowFirstColumn="0" w:firstRowLastColumn="0" w:lastRowFirstColumn="0" w:lastRowLastColumn="0"/>
        </w:trPr>
        <w:tc>
          <w:tcPr>
            <w:tcW w:w="5122" w:type="dxa"/>
          </w:tcPr>
          <w:p w14:paraId="77E71C92" w14:textId="79E8D33A" w:rsidR="00ED6CE5" w:rsidRDefault="1AF39A16" w:rsidP="00880055">
            <w:pPr>
              <w:pStyle w:val="TableSubheading"/>
            </w:pPr>
            <w:r w:rsidRPr="190DD215">
              <w:t>District</w:t>
            </w:r>
            <w:r w:rsidR="0051603E">
              <w:t>-</w:t>
            </w:r>
            <w:r w:rsidRPr="190DD215">
              <w:t xml:space="preserve">Developed </w:t>
            </w:r>
            <w:r w:rsidR="11788798" w:rsidRPr="190DD215">
              <w:t xml:space="preserve">Social Studies </w:t>
            </w:r>
            <w:r w:rsidRPr="190DD215">
              <w:t>Common Assessments</w:t>
            </w:r>
          </w:p>
        </w:tc>
        <w:tc>
          <w:tcPr>
            <w:tcW w:w="1326" w:type="dxa"/>
          </w:tcPr>
          <w:p w14:paraId="7840006D" w14:textId="77777777" w:rsidR="00ED6CE5" w:rsidRPr="00232F5F" w:rsidRDefault="1AF39A16" w:rsidP="00232F5F">
            <w:pPr>
              <w:pStyle w:val="TableTextCentered"/>
            </w:pPr>
            <w:r w:rsidRPr="00232F5F">
              <w:t>6-12</w:t>
            </w:r>
          </w:p>
        </w:tc>
        <w:tc>
          <w:tcPr>
            <w:tcW w:w="2896" w:type="dxa"/>
          </w:tcPr>
          <w:p w14:paraId="4A5D4B4F" w14:textId="77777777" w:rsidR="00ED6CE5" w:rsidRPr="00232F5F" w:rsidRDefault="1AF39A16" w:rsidP="00232F5F">
            <w:pPr>
              <w:pStyle w:val="TableText"/>
            </w:pPr>
            <w:r w:rsidRPr="00232F5F">
              <w:t>Multiple times per year</w:t>
            </w:r>
          </w:p>
        </w:tc>
      </w:tr>
    </w:tbl>
    <w:p w14:paraId="0DBF5884" w14:textId="73A070F4" w:rsidR="009B609C" w:rsidRPr="00CC6497" w:rsidRDefault="009B609C" w:rsidP="00880055">
      <w:pPr>
        <w:pStyle w:val="BodyText"/>
      </w:pPr>
      <w:r>
        <w:t xml:space="preserve">Educators across grade spans </w:t>
      </w:r>
      <w:r w:rsidR="004B5FA0">
        <w:t xml:space="preserve">reported </w:t>
      </w:r>
      <w:r>
        <w:t xml:space="preserve">using a wide range of academic assessment data to understand student learning and inform instructional decisions. At the elementary level, teachers reported administering DIBELS at multiple benchmark points in the year and using progress monitoring between windows to track literacy development; they also referenced Lexia and STAR data to monitor reading and math progress. Elementary principals described having access to comprehensive data through a district data hub, which aggregates DIBELS (grades K-3), Lexia, STAR (math and reading), </w:t>
      </w:r>
      <w:r w:rsidR="000F6B74">
        <w:t>WIDA ACCESS</w:t>
      </w:r>
      <w:r>
        <w:t>, and MCAS results, providing multiple data points beyond a single assessment source.</w:t>
      </w:r>
    </w:p>
    <w:p w14:paraId="00B38724" w14:textId="71139B4C" w:rsidR="009B609C" w:rsidRPr="00CC6497" w:rsidRDefault="5547EE55" w:rsidP="00F33589">
      <w:pPr>
        <w:pStyle w:val="BodyText"/>
      </w:pPr>
      <w:r w:rsidRPr="190DD215">
        <w:t>Middle school teachers similarly described combining standardized benchmark measures with classroom-based evidence. Teachers reported using STAR across fall, winter, and spring administrations</w:t>
      </w:r>
      <w:r w:rsidR="00CB0A2A">
        <w:t>;</w:t>
      </w:r>
      <w:r w:rsidR="00CB0A2A" w:rsidRPr="190DD215">
        <w:t xml:space="preserve"> </w:t>
      </w:r>
      <w:r w:rsidRPr="190DD215">
        <w:t>reviewing MCAS scores for year-to-year comparisons and course placement decisions</w:t>
      </w:r>
      <w:r w:rsidR="00CB0A2A">
        <w:t>;</w:t>
      </w:r>
      <w:r w:rsidR="00CB0A2A" w:rsidRPr="190DD215">
        <w:t xml:space="preserve"> </w:t>
      </w:r>
      <w:r w:rsidRPr="190DD215">
        <w:t>and relying on daily evidence</w:t>
      </w:r>
      <w:r w:rsidR="00CB0A2A">
        <w:t>,</w:t>
      </w:r>
      <w:r w:rsidRPr="190DD215">
        <w:t xml:space="preserve"> including exit tickets, common assessments in ELA, and other formative and summative measures. Middle school educators also described examining student work with shared rubrics as part of inquiry cycles, broadening the definition of data to include qualitative review of student work products alongside quantitative assessment results. At the high school, administrators and teachers reported the use </w:t>
      </w:r>
      <w:r w:rsidR="3406EFFE" w:rsidRPr="190DD215">
        <w:t>o</w:t>
      </w:r>
      <w:r w:rsidRPr="190DD215">
        <w:t xml:space="preserve">f STAR in ninth and tenth grades as well as district-developed formative and summative assessments in grades </w:t>
      </w:r>
      <w:r w:rsidR="00CB0A2A">
        <w:t>9</w:t>
      </w:r>
      <w:r w:rsidR="003E5F68">
        <w:t>-</w:t>
      </w:r>
      <w:r w:rsidR="00CB0A2A">
        <w:t>12</w:t>
      </w:r>
      <w:r w:rsidRPr="190DD215">
        <w:t xml:space="preserve">. </w:t>
      </w:r>
      <w:r w:rsidR="00CB0A2A">
        <w:t>As with the</w:t>
      </w:r>
      <w:r w:rsidRPr="190DD215">
        <w:t xml:space="preserve"> elementary and middle schools, the high school staff also reported reviewing MCAS year-to-year comparisons.</w:t>
      </w:r>
    </w:p>
    <w:p w14:paraId="025412A0" w14:textId="304CD3FD" w:rsidR="009B609C" w:rsidRPr="00B1622A" w:rsidRDefault="5547EE55" w:rsidP="00F33589">
      <w:pPr>
        <w:pStyle w:val="BodyText"/>
        <w:rPr>
          <w:color w:val="000000" w:themeColor="text1"/>
        </w:rPr>
      </w:pPr>
      <w:r w:rsidRPr="190DD215">
        <w:t>Across grade spans, focus group participants also referenced nonacademic data as part of regular data collection practices. Middle school teacher focus group members described reviewing suspension and behavior data and absenteeism data, and noted the use of student surveys, including surveys connected to a social-emotional learning curriculum, as additional data sources for school goals and student support work. Elementary principals similarly referenced attendance data and other filters available through the data hub along</w:t>
      </w:r>
      <w:r w:rsidR="00CB0A2A">
        <w:t xml:space="preserve"> with</w:t>
      </w:r>
      <w:r w:rsidRPr="190DD215">
        <w:t xml:space="preserve"> academic measures. School leaders at the high school reported the use of multiple measures </w:t>
      </w:r>
      <w:r w:rsidR="6DFCAB8A" w:rsidRPr="190DD215">
        <w:t>of</w:t>
      </w:r>
      <w:r w:rsidRPr="190DD215">
        <w:t xml:space="preserve"> student nonacademic data. The high school principal described monthly check-</w:t>
      </w:r>
      <w:r w:rsidR="32465D36" w:rsidRPr="190DD215">
        <w:t>ins with</w:t>
      </w:r>
      <w:r w:rsidR="79A66533" w:rsidRPr="190DD215">
        <w:t xml:space="preserve"> </w:t>
      </w:r>
      <w:r w:rsidR="00CB0A2A">
        <w:t xml:space="preserve">the </w:t>
      </w:r>
      <w:r w:rsidR="79A66533" w:rsidRPr="190DD215">
        <w:t xml:space="preserve">high school </w:t>
      </w:r>
      <w:r w:rsidR="16DFA135" w:rsidRPr="190DD215">
        <w:t>leadership team</w:t>
      </w:r>
      <w:r w:rsidR="79A66533" w:rsidRPr="190DD215">
        <w:t xml:space="preserve"> </w:t>
      </w:r>
      <w:r w:rsidRPr="190DD215">
        <w:t xml:space="preserve">on attendance and </w:t>
      </w:r>
      <w:r w:rsidRPr="190DD215">
        <w:lastRenderedPageBreak/>
        <w:t xml:space="preserve">discipline data as part of school improvement monitoring cadence. The school-based student support focus group also identified several </w:t>
      </w:r>
      <w:r w:rsidR="00CB0A2A">
        <w:t>social-emotional</w:t>
      </w:r>
      <w:r w:rsidR="00CB0A2A" w:rsidRPr="190DD215">
        <w:t xml:space="preserve"> </w:t>
      </w:r>
      <w:r w:rsidRPr="190DD215">
        <w:t>assessments used to monitor student progress including</w:t>
      </w:r>
      <w:r w:rsidRPr="190DD215" w:rsidDel="00CB0A2A">
        <w:t xml:space="preserve"> </w:t>
      </w:r>
      <w:r w:rsidRPr="190DD215">
        <w:t xml:space="preserve">Social Skills Improvement System SEL survey (SSISEL), the Behavioral </w:t>
      </w:r>
      <w:r w:rsidRPr="00B1622A">
        <w:rPr>
          <w:color w:val="000000" w:themeColor="text1"/>
        </w:rPr>
        <w:t>Assessment System for Children (BASC), and the Vineland Adaptive Behavioral Scales. The district</w:t>
      </w:r>
      <w:r w:rsidR="00F33589" w:rsidRPr="00B1622A">
        <w:rPr>
          <w:color w:val="000000" w:themeColor="text1"/>
        </w:rPr>
        <w:t>’</w:t>
      </w:r>
      <w:r w:rsidRPr="00B1622A">
        <w:rPr>
          <w:color w:val="000000" w:themeColor="text1"/>
        </w:rPr>
        <w:t>s use of multiple academic and nonacademic data sources to inform a comprehensive picture of each student is a strength of the district.</w:t>
      </w:r>
    </w:p>
    <w:p w14:paraId="3AECDD93" w14:textId="05D1AFAB" w:rsidR="009B609C" w:rsidRPr="00CC6497" w:rsidRDefault="5547EE55" w:rsidP="00F33589">
      <w:pPr>
        <w:pStyle w:val="BodyText"/>
      </w:pPr>
      <w:r w:rsidRPr="190DD215">
        <w:t>Evidence suggests Brockton implements a structured approach to when and how assessments are used, while also allowing some flexibility intended to reduce testing burden on educators and students. Elementary educators described predictable administration schedules, including DIBELS administered at the beginning, middle, and end of the year</w:t>
      </w:r>
      <w:r w:rsidR="00F06850">
        <w:t>;</w:t>
      </w:r>
      <w:r w:rsidR="00F06850" w:rsidRPr="190DD215">
        <w:t xml:space="preserve"> </w:t>
      </w:r>
      <w:r w:rsidRPr="190DD215">
        <w:t>with additional progress monitoring occurring every two weeks to adjust instruction between benchmark windows. Teachers also referenced district expectations for specific progress-monitoring windows on the district calendar for certain grade</w:t>
      </w:r>
      <w:r w:rsidR="00F06850">
        <w:t xml:space="preserve"> levels</w:t>
      </w:r>
      <w:r w:rsidRPr="190DD215">
        <w:t>, indicating some degree of centrally coordinated assessment timing at the elementary level. A review of the district’s assessment documents confirmed the district has data analysis protocols for multiple data sources</w:t>
      </w:r>
      <w:r w:rsidR="00F06850">
        <w:t>,</w:t>
      </w:r>
      <w:r w:rsidRPr="190DD215">
        <w:t xml:space="preserve"> including DIBELS, MCAS, literacy, math, benchmark common assessments, and student work.</w:t>
      </w:r>
    </w:p>
    <w:p w14:paraId="2BFD34BC" w14:textId="313F4E7C" w:rsidR="009B609C" w:rsidRPr="00CC6497" w:rsidRDefault="009B609C" w:rsidP="00F33589">
      <w:pPr>
        <w:pStyle w:val="BodyText"/>
      </w:pPr>
      <w:r w:rsidRPr="00CC6497">
        <w:t xml:space="preserve">At the same time, multiple stakeholders described intentional adjustments to manage time and testing load. Elementary teachers noted having discretion about using lengthy end-of-unit assessments, including using portions of assessments rather than the full instrument, reflecting an effort to balance data collection needs with instructional time. Middle school teachers described reducing the number of common assessments in ELA in periods close to MCAS administration, which </w:t>
      </w:r>
      <w:r w:rsidR="00FE7570">
        <w:t xml:space="preserve">again </w:t>
      </w:r>
      <w:r w:rsidRPr="00CC6497">
        <w:t>reflects an effort to avoid overburdening students and staff during heavy testing periods.</w:t>
      </w:r>
    </w:p>
    <w:p w14:paraId="2BDCCC17" w14:textId="69158253" w:rsidR="009B609C" w:rsidRPr="00B1622A" w:rsidRDefault="5547EE55" w:rsidP="00F33589">
      <w:pPr>
        <w:pStyle w:val="BodyText"/>
        <w:rPr>
          <w:color w:val="000000" w:themeColor="text1"/>
        </w:rPr>
      </w:pPr>
      <w:r>
        <w:t xml:space="preserve">Evidence also indicates that </w:t>
      </w:r>
      <w:r w:rsidR="00F37CA5">
        <w:t xml:space="preserve">Brockton’s </w:t>
      </w:r>
      <w:r>
        <w:t>assessment strategy is connected to collaborative structures for reviewing results and planning next instructional steps. Middle school educators described using inquiry cycles in team meetings, with a process of selecting a focus standard, teaching it, reviewing student work, and adapting instruction</w:t>
      </w:r>
      <w:r w:rsidR="00F37CA5">
        <w:t xml:space="preserve">. There are </w:t>
      </w:r>
      <w:r>
        <w:t>administrator-set agendas for collaborative planning time</w:t>
      </w:r>
      <w:r w:rsidR="00F37CA5">
        <w:t>,</w:t>
      </w:r>
      <w:r>
        <w:t xml:space="preserve"> suggesting</w:t>
      </w:r>
      <w:r w:rsidR="00F37CA5">
        <w:t xml:space="preserve"> there are</w:t>
      </w:r>
      <w:r>
        <w:t xml:space="preserve"> routines for data review rather than isolated assessment events. Elementary educators similarly referenced data meetings </w:t>
      </w:r>
      <w:r w:rsidR="3C0957E5">
        <w:t xml:space="preserve">with </w:t>
      </w:r>
      <w:r w:rsidR="6969DE01">
        <w:t xml:space="preserve">literacy and math coaches </w:t>
      </w:r>
      <w:r>
        <w:t>between benchmark windows to analyze instruction and plan adjustments</w:t>
      </w:r>
      <w:r w:rsidR="00D16240">
        <w:t>,</w:t>
      </w:r>
      <w:r>
        <w:t xml:space="preserve"> so students can meet the next benchmark. Across the elementary and middle school levels, participants described recurring assessment windows and progress monitoring paired with planned opportunities to analyze results and adjust instruction. However, some high school teachers described inconsistency in expectations about how many formative and summative assessments should occur </w:t>
      </w:r>
      <w:r w:rsidR="00B06F02">
        <w:t xml:space="preserve">each </w:t>
      </w:r>
      <w:r>
        <w:t>term</w:t>
      </w:r>
      <w:r w:rsidR="00B06F02">
        <w:t xml:space="preserve"> </w:t>
      </w:r>
      <w:r>
        <w:t>and noted that common expectations were not always clear</w:t>
      </w:r>
      <w:r w:rsidR="00AF717E">
        <w:t>. This suggests</w:t>
      </w:r>
      <w:r>
        <w:t xml:space="preserve"> that districtwide guidance about assessment frequency and consistency </w:t>
      </w:r>
      <w:r w:rsidR="006E5022">
        <w:t>needs to be clarified</w:t>
      </w:r>
      <w:r w:rsidR="00611B8C">
        <w:t xml:space="preserve"> </w:t>
      </w:r>
      <w:r>
        <w:t>across settings and departments</w:t>
      </w:r>
      <w:r w:rsidR="00712CB7">
        <w:t xml:space="preserve"> at the </w:t>
      </w:r>
      <w:r w:rsidR="00712CB7" w:rsidRPr="00B1622A">
        <w:rPr>
          <w:color w:val="000000" w:themeColor="text1"/>
        </w:rPr>
        <w:t>high school</w:t>
      </w:r>
      <w:r w:rsidRPr="00B1622A">
        <w:rPr>
          <w:color w:val="000000" w:themeColor="text1"/>
        </w:rPr>
        <w:t>.</w:t>
      </w:r>
      <w:r w:rsidR="6969DE01" w:rsidRPr="00B1622A">
        <w:rPr>
          <w:color w:val="000000" w:themeColor="text1"/>
        </w:rPr>
        <w:t xml:space="preserve"> Developing </w:t>
      </w:r>
      <w:r w:rsidR="7D1299B8" w:rsidRPr="00B1622A">
        <w:rPr>
          <w:color w:val="000000" w:themeColor="text1"/>
        </w:rPr>
        <w:t>clear expectations</w:t>
      </w:r>
      <w:r w:rsidR="71E4F767" w:rsidRPr="00B1622A">
        <w:rPr>
          <w:color w:val="000000" w:themeColor="text1"/>
        </w:rPr>
        <w:t xml:space="preserve"> for</w:t>
      </w:r>
      <w:r w:rsidR="1895DF7A" w:rsidRPr="00B1622A">
        <w:rPr>
          <w:color w:val="000000" w:themeColor="text1"/>
        </w:rPr>
        <w:t xml:space="preserve"> high school teachers</w:t>
      </w:r>
      <w:r w:rsidR="7D1299B8" w:rsidRPr="00B1622A">
        <w:rPr>
          <w:color w:val="000000" w:themeColor="text1"/>
        </w:rPr>
        <w:t xml:space="preserve"> regarding assessment frequency</w:t>
      </w:r>
      <w:r w:rsidRPr="00B1622A">
        <w:rPr>
          <w:color w:val="000000" w:themeColor="text1"/>
        </w:rPr>
        <w:t xml:space="preserve"> is an area for growth for the district.</w:t>
      </w:r>
    </w:p>
    <w:p w14:paraId="285673D8" w14:textId="7C6A81D4" w:rsidR="007456DF" w:rsidRPr="007456DF" w:rsidRDefault="674895C4" w:rsidP="00F33589">
      <w:pPr>
        <w:pStyle w:val="BodyText"/>
      </w:pPr>
      <w:r>
        <w:t xml:space="preserve">Multiple focus groups reported that Brockton educators use assessment data to examine outcomes for specific student groups and take steps to increase student access to assessments and learning demonstrations. Middle school teachers explicitly referenced reviewing results disaggregated by student group, including </w:t>
      </w:r>
      <w:r w:rsidR="21E78753">
        <w:t>historically underserved student populations</w:t>
      </w:r>
      <w:r w:rsidR="00B0572C">
        <w:t xml:space="preserve"> such as</w:t>
      </w:r>
      <w:r w:rsidR="21E78753">
        <w:t xml:space="preserve"> </w:t>
      </w:r>
      <w:r>
        <w:t xml:space="preserve">English </w:t>
      </w:r>
      <w:r w:rsidR="00F50967">
        <w:t>L</w:t>
      </w:r>
      <w:r>
        <w:t xml:space="preserve">earners, </w:t>
      </w:r>
      <w:r>
        <w:lastRenderedPageBreak/>
        <w:t xml:space="preserve">former English </w:t>
      </w:r>
      <w:r w:rsidR="00F50967">
        <w:t>L</w:t>
      </w:r>
      <w:r>
        <w:t>earners, and students with disabilities</w:t>
      </w:r>
      <w:r w:rsidR="00104D76">
        <w:t>. They</w:t>
      </w:r>
      <w:r>
        <w:t xml:space="preserve"> described identifying students near proficiency thresholds with specific goals for moving performance levels. School leaders also described meeting with these students individually to discuss their goals, indicating purposeful disaggregation and targeted follow-up connected to assessment outcomes. One school-level administrator additionally described routinely disaggregating academic indicators such as grades and credits and examining student participation in advanced coursework pathways, including questioning why students in a college prep track are not accessing AP, IB, or dual enrollment opportunities</w:t>
      </w:r>
      <w:r w:rsidR="00104D76">
        <w:t xml:space="preserve">. </w:t>
      </w:r>
    </w:p>
    <w:p w14:paraId="383F9AE2" w14:textId="15F1A994" w:rsidR="007456DF" w:rsidRPr="007456DF" w:rsidRDefault="009B609C" w:rsidP="00F33589">
      <w:pPr>
        <w:pStyle w:val="BodyText"/>
        <w:rPr>
          <w:rFonts w:ascii="Segoe UI" w:hAnsi="Segoe UI" w:cs="Segoe UI"/>
          <w:color w:val="000000"/>
          <w:sz w:val="21"/>
          <w:szCs w:val="21"/>
        </w:rPr>
      </w:pPr>
      <w:r>
        <w:t>Educators also described accommodations and adaptations that support student access to assessments and learning demonstrations</w:t>
      </w:r>
      <w:r w:rsidR="007456DF">
        <w:t>.</w:t>
      </w:r>
      <w:r w:rsidR="007456DF" w:rsidRPr="1AB72182">
        <w:rPr>
          <w:rFonts w:ascii="Segoe UI" w:hAnsi="Segoe UI" w:cs="Segoe UI"/>
          <w:color w:val="000000" w:themeColor="text1"/>
          <w:sz w:val="21"/>
          <w:szCs w:val="21"/>
        </w:rPr>
        <w:t xml:space="preserve"> </w:t>
      </w:r>
      <w:r w:rsidR="007456DF">
        <w:t>Middle school teachers described several ways they support access to grade-level materials. These include listening options, shortened texts, and added visuals in sheltered English immersion and integrated classes. Teachers also reported intentionally adapting materials so students can engage with content and related assessment expectations.</w:t>
      </w:r>
    </w:p>
    <w:p w14:paraId="57768834" w14:textId="59F478A7" w:rsidR="003404D7" w:rsidRPr="0083690C" w:rsidRDefault="009B609C" w:rsidP="03A6276F">
      <w:pPr>
        <w:spacing w:after="120"/>
      </w:pPr>
      <w:r w:rsidRPr="03A6276F">
        <w:rPr>
          <w:rFonts w:ascii="Franklin Gothic Book" w:hAnsi="Franklin Gothic Book"/>
        </w:rPr>
        <w:t xml:space="preserve">Elementary educators described </w:t>
      </w:r>
      <w:r w:rsidR="00E0190E">
        <w:rPr>
          <w:rFonts w:ascii="Franklin Gothic Book" w:hAnsi="Franklin Gothic Book"/>
        </w:rPr>
        <w:t xml:space="preserve">frequently </w:t>
      </w:r>
      <w:r w:rsidRPr="03A6276F">
        <w:rPr>
          <w:rFonts w:ascii="Franklin Gothic Book" w:hAnsi="Franklin Gothic Book"/>
        </w:rPr>
        <w:t>using multiple formats to capture student skills</w:t>
      </w:r>
      <w:r w:rsidR="00E0190E">
        <w:rPr>
          <w:rFonts w:ascii="Franklin Gothic Book" w:hAnsi="Franklin Gothic Book"/>
        </w:rPr>
        <w:t xml:space="preserve"> </w:t>
      </w:r>
      <w:r w:rsidR="00145EA8">
        <w:rPr>
          <w:rFonts w:ascii="Franklin Gothic Book" w:hAnsi="Franklin Gothic Book"/>
        </w:rPr>
        <w:t xml:space="preserve">and </w:t>
      </w:r>
      <w:r w:rsidR="00E0190E" w:rsidRPr="03A6276F">
        <w:rPr>
          <w:rFonts w:ascii="Franklin Gothic Book" w:hAnsi="Franklin Gothic Book"/>
        </w:rPr>
        <w:t>understanding</w:t>
      </w:r>
      <w:r w:rsidRPr="03A6276F">
        <w:rPr>
          <w:rFonts w:ascii="Franklin Gothic Book" w:hAnsi="Franklin Gothic Book"/>
        </w:rPr>
        <w:t>, including dictation routines, rubric-scored progress monitoring, and standards-based scales.</w:t>
      </w:r>
    </w:p>
    <w:p w14:paraId="0E4E29B0" w14:textId="6BA84C29" w:rsidR="008E0EE8" w:rsidRPr="008A2375" w:rsidRDefault="00473308" w:rsidP="00F33589">
      <w:pPr>
        <w:pStyle w:val="Heading3"/>
      </w:pPr>
      <w:bookmarkStart w:id="47" w:name="_Data_Use"/>
      <w:bookmarkStart w:id="48" w:name="_Data_Use_and"/>
      <w:bookmarkEnd w:id="47"/>
      <w:bookmarkEnd w:id="48"/>
      <w:r w:rsidRPr="00CB0607">
        <w:t>Data Use</w:t>
      </w:r>
      <w:r w:rsidR="008E0EE8">
        <w:t xml:space="preserve"> and </w:t>
      </w:r>
      <w:r w:rsidR="008E0EE8" w:rsidRPr="00F33589">
        <w:t>Culture</w:t>
      </w:r>
    </w:p>
    <w:p w14:paraId="04345C10" w14:textId="22123D29" w:rsidR="0046023A" w:rsidRDefault="006D6F96" w:rsidP="002E0450">
      <w:pPr>
        <w:pStyle w:val="BodyTextposthead"/>
      </w:pPr>
      <w:r w:rsidRPr="00CC6497">
        <w:t>Brockton</w:t>
      </w:r>
      <w:r w:rsidRPr="00CC6497" w:rsidDel="008D5FBF">
        <w:t xml:space="preserve"> </w:t>
      </w:r>
      <w:r w:rsidRPr="00CC6497">
        <w:t>has established structured systems and routines for data use at the district, school, and classroom levels. District and school leaders described a coherent vision for data use and articulated planning structures that embed data review into ongoing improvement cycles</w:t>
      </w:r>
      <w:r w:rsidR="0046023A">
        <w:t>.</w:t>
      </w:r>
    </w:p>
    <w:p w14:paraId="5864EBF3" w14:textId="720F6FE0" w:rsidR="75185E45" w:rsidRDefault="75185E45" w:rsidP="2D019F4B">
      <w:pPr>
        <w:pStyle w:val="BodyText"/>
      </w:pPr>
      <w:r>
        <w:t>District leaders and school-based stakeholders described a shared vision in which data are used to support instructional improvement, equity, and alignment to district priorities</w:t>
      </w:r>
      <w:r w:rsidR="00FB7A6F">
        <w:t xml:space="preserve">, </w:t>
      </w:r>
      <w:r w:rsidR="0050473E">
        <w:t>not just for</w:t>
      </w:r>
      <w:r>
        <w:t xml:space="preserve"> compliance. </w:t>
      </w:r>
      <w:r w:rsidR="009D6C51">
        <w:t>S</w:t>
      </w:r>
      <w:r>
        <w:t xml:space="preserve">uperintendent </w:t>
      </w:r>
      <w:r w:rsidR="009D6C51">
        <w:t xml:space="preserve">Tahiliani </w:t>
      </w:r>
      <w:r>
        <w:t>described data use as embedded in the district</w:t>
      </w:r>
      <w:r w:rsidR="008032AF">
        <w:t>’</w:t>
      </w:r>
      <w:r>
        <w:t>s strategic priorities, including literacy, equitable services, and continuous improvement</w:t>
      </w:r>
      <w:r w:rsidR="00DB74BF">
        <w:t>. She also</w:t>
      </w:r>
      <w:r>
        <w:t xml:space="preserve"> noted that assessment and instructional data are central to monitoring progress toward district goals. District leaders further articulated that </w:t>
      </w:r>
      <w:r w:rsidR="00DB74BF">
        <w:t>SIPs</w:t>
      </w:r>
      <w:r>
        <w:t>, professional learning community structures, and walkthrough processes rely on assessment and observational data to identify needs and guide instructional strategies.</w:t>
      </w:r>
    </w:p>
    <w:p w14:paraId="50F2E45E" w14:textId="3CB8E0CC" w:rsidR="0046023A" w:rsidRDefault="1EB9BE97" w:rsidP="002E0450">
      <w:pPr>
        <w:pStyle w:val="BodyText"/>
      </w:pPr>
      <w:r w:rsidRPr="190DD215">
        <w:t xml:space="preserve">At the school level, principals and teachers echoed this vision, describing data as a tool to </w:t>
      </w:r>
      <w:r w:rsidR="1E0147BD" w:rsidRPr="190DD215">
        <w:t xml:space="preserve">promote </w:t>
      </w:r>
      <w:r w:rsidRPr="190DD215">
        <w:t>coherence across schools and classrooms and to maintain focus on shared priorities</w:t>
      </w:r>
      <w:r w:rsidR="00AB672F">
        <w:t>,</w:t>
      </w:r>
      <w:r w:rsidRPr="190DD215">
        <w:t xml:space="preserve"> including literacy, math, and social-emotional learning. Middle school principals specifically referenced the importance of common assessments and shared data to understand where schools stand and to support timely instructional adjustments. Across focus groups, there was general agreement that data are intended to inform instruction and continuous improvement, </w:t>
      </w:r>
      <w:r w:rsidR="00AB672F">
        <w:t>al</w:t>
      </w:r>
      <w:r w:rsidRPr="190DD215">
        <w:t>though some teachers noted variability in how consistently this vision is realized across settings and departments</w:t>
      </w:r>
      <w:r w:rsidR="0046023A">
        <w:t>.</w:t>
      </w:r>
    </w:p>
    <w:p w14:paraId="215B44E6" w14:textId="6747C5A6" w:rsidR="006D6F96" w:rsidRPr="00CC6497" w:rsidRDefault="75185E45" w:rsidP="002E0450">
      <w:pPr>
        <w:pStyle w:val="BodyText"/>
      </w:pPr>
      <w:r w:rsidRPr="5D62FA98">
        <w:t xml:space="preserve">Brockton has structures in place to use data systematically within strategic planning and continuous improvement cycles. District leaders described aligning </w:t>
      </w:r>
      <w:r w:rsidR="000D65EF">
        <w:t>SIPs</w:t>
      </w:r>
      <w:r w:rsidRPr="5D62FA98">
        <w:t xml:space="preserve">, professional learning, and walkthrough feedback to district priorities and using assessment data to monitor progress over time. School leaders reported that </w:t>
      </w:r>
      <w:r w:rsidR="11D2C030" w:rsidRPr="5D62FA98">
        <w:t>PCLTs</w:t>
      </w:r>
      <w:r w:rsidRPr="5D62FA98">
        <w:t xml:space="preserve"> are explicitly charged with reviewing data connected to </w:t>
      </w:r>
      <w:r w:rsidR="000D65EF">
        <w:t>SIP</w:t>
      </w:r>
      <w:r w:rsidRPr="5D62FA98">
        <w:t xml:space="preserve"> goals and adjusting strategies in response to findings.</w:t>
      </w:r>
    </w:p>
    <w:p w14:paraId="456EFBE1" w14:textId="7FE2E090" w:rsidR="006D6F96" w:rsidRPr="00CC6497" w:rsidRDefault="75185E45" w:rsidP="002E0450">
      <w:pPr>
        <w:pStyle w:val="BodyText"/>
        <w:keepNext/>
        <w:keepLines/>
      </w:pPr>
      <w:r w:rsidRPr="5D62FA98">
        <w:t xml:space="preserve">Elementary teachers reported ongoing data meetings tied to DIBELS, Lexia, and curriculum-based assessments, noting that these data inform small-group formation, intervention assignment, and instructional pacing. </w:t>
      </w:r>
      <w:r w:rsidR="4BB7FB40" w:rsidRPr="5D62FA98">
        <w:t xml:space="preserve">Middle school principals and teachers described recurring cycles in which teams review common assessment results, identify areas of student need, and plan Tier 1 or Tier 2 instructional responses. </w:t>
      </w:r>
      <w:r w:rsidRPr="5D62FA98">
        <w:t>However, teachers in focus groups across grade</w:t>
      </w:r>
      <w:r w:rsidR="00CA2E18">
        <w:t xml:space="preserve"> </w:t>
      </w:r>
      <w:r w:rsidRPr="5D62FA98">
        <w:t>levels indicated that expectations for how frequently data cycles occur or how results should be acted upon can vary by school or content area.</w:t>
      </w:r>
    </w:p>
    <w:p w14:paraId="124AAB44" w14:textId="2B3E4FA9" w:rsidR="190DD215" w:rsidRDefault="75185E45" w:rsidP="002E0450">
      <w:pPr>
        <w:pStyle w:val="BodyText"/>
        <w:rPr>
          <w:color w:val="000000" w:themeColor="text1"/>
        </w:rPr>
      </w:pPr>
      <w:r w:rsidRPr="5D62FA98">
        <w:t xml:space="preserve">The district provides broad access to assessment data and has invested in structures to support staff data literacy, </w:t>
      </w:r>
      <w:r w:rsidR="00507C82">
        <w:t>al</w:t>
      </w:r>
      <w:r w:rsidRPr="5D62FA98">
        <w:t xml:space="preserve">though levels of confidence and consistency vary across roles and schools. Teachers at both the elementary and middle school levels reported using data dashboards, common assessments, and standards-based report cards, often with support from instructional coaches during common planning time or </w:t>
      </w:r>
      <w:r w:rsidR="0050473E">
        <w:t>SSPT</w:t>
      </w:r>
      <w:r w:rsidRPr="5D62FA98">
        <w:t xml:space="preserve">. Several teachers highlighted that professional development and coaching have helped them develop confidence in analyzing data and applying findings to </w:t>
      </w:r>
      <w:r w:rsidR="00507C82">
        <w:t xml:space="preserve">their </w:t>
      </w:r>
      <w:r w:rsidRPr="5D62FA98">
        <w:t xml:space="preserve">instructional decisions. </w:t>
      </w:r>
      <w:r w:rsidRPr="5D62FA98">
        <w:rPr>
          <w:color w:val="000000" w:themeColor="text1"/>
        </w:rPr>
        <w:t>While access to data appears widespread, teachers noted differences in how comfortable staff are with interpreting and applying data.</w:t>
      </w:r>
    </w:p>
    <w:p w14:paraId="0E9707B0" w14:textId="5A58D950" w:rsidR="190DD215" w:rsidRDefault="75185E45" w:rsidP="002E0450">
      <w:pPr>
        <w:pStyle w:val="BodyText"/>
      </w:pPr>
      <w:r w:rsidRPr="5D62FA98">
        <w:t xml:space="preserve">The district has established structured routines for reviewing data and implementing instructional responses, </w:t>
      </w:r>
      <w:r w:rsidR="002E2B81">
        <w:t>al</w:t>
      </w:r>
      <w:r w:rsidRPr="5D62FA98">
        <w:t xml:space="preserve">though implementation depth varies across settings. School leaders described regular data reviews within PCLTs, department meetings, and </w:t>
      </w:r>
      <w:r w:rsidR="0050473E">
        <w:t>SSPT</w:t>
      </w:r>
      <w:r w:rsidRPr="5D62FA98">
        <w:t>,</w:t>
      </w:r>
      <w:r w:rsidRPr="5D62FA98" w:rsidDel="002E2B81">
        <w:t xml:space="preserve"> </w:t>
      </w:r>
      <w:r w:rsidR="002E2B81">
        <w:t>in which</w:t>
      </w:r>
      <w:r w:rsidR="002E2B81" w:rsidRPr="5D62FA98">
        <w:t xml:space="preserve"> </w:t>
      </w:r>
      <w:r w:rsidR="66A4E388" w:rsidRPr="5D62FA98">
        <w:t xml:space="preserve">various </w:t>
      </w:r>
      <w:r w:rsidRPr="5D62FA98">
        <w:t xml:space="preserve">teams examine assessment results, identify trends, and plan instructional or intervention responses. </w:t>
      </w:r>
      <w:r w:rsidR="002E2B81">
        <w:t>T</w:t>
      </w:r>
      <w:r w:rsidR="03D47CFD" w:rsidRPr="5D62FA98">
        <w:t xml:space="preserve">eacher and principal focus group participants </w:t>
      </w:r>
      <w:r w:rsidR="002E2B81">
        <w:t>cited w</w:t>
      </w:r>
      <w:r w:rsidR="002E2B81" w:rsidRPr="5D62FA98">
        <w:t xml:space="preserve">alkthroughs and follow-up feedback from administrators </w:t>
      </w:r>
      <w:r w:rsidRPr="5D62FA98">
        <w:t>as mechanisms for checking implementation and refining practice in response to data findings.</w:t>
      </w:r>
    </w:p>
    <w:p w14:paraId="1204EE65" w14:textId="5C636E7A" w:rsidR="006D6F96" w:rsidRPr="002E0450" w:rsidRDefault="006D6F96" w:rsidP="002E0450">
      <w:pPr>
        <w:pStyle w:val="BodyText"/>
      </w:pPr>
      <w:r>
        <w:t>Elementary t</w:t>
      </w:r>
      <w:r w:rsidRPr="00CC6497">
        <w:t xml:space="preserve">eachers described concrete examples of data-driven implementation, including adjusting small-group composition, modifying lessons in response to formative results, and targeting Tier 2 supports based on assessment outcomes. At the secondary level, educators also referenced calibration of grading and common assessments as a mechanism for ensuring consistent interpretation of data and instructional expectations across classrooms. There was general agreement among stakeholders that data review structures exist and are actively used. </w:t>
      </w:r>
      <w:r w:rsidRPr="00B81D6D">
        <w:rPr>
          <w:color w:val="000000" w:themeColor="text1"/>
        </w:rPr>
        <w:t>However, multiple stakeholder groups noted variability in follow-through, with implementation depth differing by school, grade level, or content area</w:t>
      </w:r>
      <w:r w:rsidRPr="005042B2">
        <w:t>.</w:t>
      </w:r>
      <w:r>
        <w:rPr>
          <w:color w:val="EE0000"/>
        </w:rPr>
        <w:t xml:space="preserve"> </w:t>
      </w:r>
      <w:r w:rsidRPr="005042B2">
        <w:t>As one high school teacher reported</w:t>
      </w:r>
      <w:r w:rsidR="002E0450">
        <w:t>:</w:t>
      </w:r>
    </w:p>
    <w:p w14:paraId="623A4B7E" w14:textId="56651D9B" w:rsidR="006D6F96" w:rsidRPr="00B81D6D" w:rsidRDefault="1EB9BE97" w:rsidP="002E0450">
      <w:pPr>
        <w:pStyle w:val="BodyTextIndent"/>
      </w:pPr>
      <w:r w:rsidRPr="190DD215">
        <w:t>At the high school level, I can</w:t>
      </w:r>
      <w:r w:rsidR="002E0450">
        <w:t>’</w:t>
      </w:r>
      <w:r w:rsidRPr="190DD215">
        <w:t>t think of a time that we actually get together to review any of the results or the data. Maybe an IST</w:t>
      </w:r>
      <w:r w:rsidR="606E5B91" w:rsidRPr="190DD215">
        <w:t xml:space="preserve"> [instructional </w:t>
      </w:r>
      <w:r w:rsidR="606E5B91" w:rsidRPr="002E0450">
        <w:t>support</w:t>
      </w:r>
      <w:r w:rsidR="606E5B91" w:rsidRPr="190DD215">
        <w:t xml:space="preserve"> team]</w:t>
      </w:r>
      <w:r w:rsidRPr="190DD215">
        <w:t>, but I don</w:t>
      </w:r>
      <w:r w:rsidR="002E0450">
        <w:t>’</w:t>
      </w:r>
      <w:r w:rsidRPr="190DD215">
        <w:t>t think it</w:t>
      </w:r>
      <w:r w:rsidR="002E0450">
        <w:t>’</w:t>
      </w:r>
      <w:r w:rsidRPr="190DD215">
        <w:t>s specific to the data. We may discuss individual students that may be struggling, but I don</w:t>
      </w:r>
      <w:r w:rsidR="002E0450">
        <w:t>’</w:t>
      </w:r>
      <w:r w:rsidRPr="190DD215">
        <w:t>t think we use the actual results to adjust [practice]</w:t>
      </w:r>
      <w:r w:rsidR="002E0450">
        <w:t>.</w:t>
      </w:r>
    </w:p>
    <w:p w14:paraId="16682CDA" w14:textId="1A9EE8A1" w:rsidR="008A2375" w:rsidRPr="00B1622A" w:rsidRDefault="63943E28" w:rsidP="002E0450">
      <w:pPr>
        <w:pStyle w:val="BodyText"/>
        <w:rPr>
          <w:color w:val="000000" w:themeColor="text1"/>
        </w:rPr>
      </w:pPr>
      <w:r w:rsidRPr="00B1622A">
        <w:rPr>
          <w:color w:val="000000" w:themeColor="text1"/>
        </w:rPr>
        <w:t xml:space="preserve">Developing systems and structures </w:t>
      </w:r>
      <w:r w:rsidR="28E395B5" w:rsidRPr="00B1622A">
        <w:rPr>
          <w:color w:val="000000" w:themeColor="text1"/>
        </w:rPr>
        <w:t>at the secondary level</w:t>
      </w:r>
      <w:r w:rsidR="1773A6F4" w:rsidRPr="00B1622A">
        <w:rPr>
          <w:color w:val="000000" w:themeColor="text1"/>
        </w:rPr>
        <w:t xml:space="preserve"> to understand and respond to </w:t>
      </w:r>
      <w:r w:rsidR="28E395B5" w:rsidRPr="00B1622A">
        <w:rPr>
          <w:color w:val="000000" w:themeColor="text1"/>
        </w:rPr>
        <w:t xml:space="preserve">student needs based on </w:t>
      </w:r>
      <w:r w:rsidR="1EB9BE97" w:rsidRPr="00B1622A">
        <w:rPr>
          <w:color w:val="000000" w:themeColor="text1"/>
        </w:rPr>
        <w:t>data</w:t>
      </w:r>
      <w:r w:rsidR="28E395B5" w:rsidRPr="00B1622A">
        <w:rPr>
          <w:color w:val="000000" w:themeColor="text1"/>
        </w:rPr>
        <w:t xml:space="preserve"> analysis</w:t>
      </w:r>
      <w:r w:rsidR="1EB9BE97" w:rsidRPr="00B1622A">
        <w:rPr>
          <w:color w:val="000000" w:themeColor="text1"/>
        </w:rPr>
        <w:t xml:space="preserve"> is an area for growth for the district.</w:t>
      </w:r>
    </w:p>
    <w:p w14:paraId="1136DCC5" w14:textId="4541D009" w:rsidR="00473308" w:rsidRDefault="00473308" w:rsidP="002E0450">
      <w:pPr>
        <w:pStyle w:val="Heading3"/>
      </w:pPr>
      <w:bookmarkStart w:id="49" w:name="_Sharing_Results"/>
      <w:bookmarkStart w:id="50" w:name="_Sharing_Data"/>
      <w:bookmarkEnd w:id="49"/>
      <w:bookmarkEnd w:id="50"/>
      <w:r w:rsidRPr="002E0450">
        <w:t>Sharing</w:t>
      </w:r>
      <w:r w:rsidRPr="00CB0607">
        <w:t xml:space="preserve"> </w:t>
      </w:r>
      <w:r w:rsidR="008E0EE8">
        <w:t>Data</w:t>
      </w:r>
    </w:p>
    <w:p w14:paraId="1B58D635" w14:textId="656B8880" w:rsidR="008F5837" w:rsidRPr="00CC6497" w:rsidRDefault="008F5837" w:rsidP="002E0450">
      <w:pPr>
        <w:pStyle w:val="BodyTextposthead"/>
      </w:pPr>
      <w:r w:rsidRPr="00CC6497">
        <w:t>Brockton</w:t>
      </w:r>
      <w:r w:rsidRPr="00CC6497" w:rsidDel="001174E5">
        <w:t xml:space="preserve"> </w:t>
      </w:r>
      <w:r w:rsidRPr="00CC6497">
        <w:t>uses multiple platforms and structures to share assessment results and performance data with students and families. While systems for data access and family communication are in place, stakeholders identified inconsistencies in how assessment data are communicated to students</w:t>
      </w:r>
      <w:r w:rsidR="00535A71">
        <w:t>,</w:t>
      </w:r>
      <w:r w:rsidRPr="00CC6497">
        <w:t xml:space="preserve"> and </w:t>
      </w:r>
      <w:r w:rsidR="00535A71">
        <w:t>noted</w:t>
      </w:r>
      <w:r w:rsidR="00535A71" w:rsidRPr="00CC6497">
        <w:t xml:space="preserve"> </w:t>
      </w:r>
      <w:r w:rsidRPr="00CC6497">
        <w:t>variation in grading transparency across classrooms and schools</w:t>
      </w:r>
      <w:r w:rsidR="00535A71">
        <w:t>.</w:t>
      </w:r>
      <w:r w:rsidR="00535A71" w:rsidRPr="00CC6497">
        <w:t xml:space="preserve"> </w:t>
      </w:r>
      <w:r w:rsidR="00535A71">
        <w:t xml:space="preserve">These </w:t>
      </w:r>
      <w:r w:rsidRPr="00CC6497">
        <w:t>represent areas in need of more systematic attention.</w:t>
      </w:r>
    </w:p>
    <w:p w14:paraId="3A17B91B" w14:textId="54349C2A" w:rsidR="008F5837" w:rsidRPr="00CC6497" w:rsidRDefault="2F06E490" w:rsidP="002E0450">
      <w:pPr>
        <w:pStyle w:val="BodyText"/>
      </w:pPr>
      <w:r w:rsidRPr="5D62FA98">
        <w:t>Students across middle and high school focus groups reported that teachers do not consistently communicate assessment results or feedback in ways that help students understand their progress or how to improve. High school students described limited opportunities for teachers to review assessment results with them or to solicit and respond to student feedback on lessons, suggesting that data sharing with students is uneven and often passive rather than instructionally purposeful. Students noted that while grades are posted on digital platforms, explanations of what grades mean or how they connect to learning goals are not consistently provided across classrooms.</w:t>
      </w:r>
    </w:p>
    <w:p w14:paraId="3B25230A" w14:textId="3231B315" w:rsidR="008F5837" w:rsidRPr="00B1622A" w:rsidRDefault="008F5837" w:rsidP="002E0450">
      <w:pPr>
        <w:pStyle w:val="BodyText"/>
        <w:rPr>
          <w:color w:val="000000" w:themeColor="text1"/>
        </w:rPr>
      </w:pPr>
      <w:r>
        <w:t xml:space="preserve">Student experiences varied significantly by teacher and school. Some students described teachers who push them academically and provide substantive feedback, while others reported minimal explanation of expectations or performance results. This variation reflects a lack of consistent </w:t>
      </w:r>
      <w:r w:rsidRPr="00B1622A">
        <w:rPr>
          <w:color w:val="000000" w:themeColor="text1"/>
        </w:rPr>
        <w:t>expectations for communicating assessment data directly to students. Providing students with clear</w:t>
      </w:r>
      <w:r w:rsidR="00937866">
        <w:rPr>
          <w:color w:val="000000" w:themeColor="text1"/>
        </w:rPr>
        <w:t xml:space="preserve"> </w:t>
      </w:r>
      <w:r w:rsidRPr="00B1622A">
        <w:rPr>
          <w:color w:val="000000" w:themeColor="text1"/>
        </w:rPr>
        <w:t>expectations and feedback on performance is an area of growth for the district.</w:t>
      </w:r>
    </w:p>
    <w:p w14:paraId="3149EA24" w14:textId="60CF8DCC" w:rsidR="190DD215" w:rsidRDefault="2F06E490" w:rsidP="002E0450">
      <w:pPr>
        <w:pStyle w:val="BodyText"/>
      </w:pPr>
      <w:r w:rsidRPr="5D62FA98">
        <w:t>Families across multiple focus groups consistently reported that communication about student grades and progress occurs</w:t>
      </w:r>
      <w:r w:rsidR="00314989">
        <w:t>,</w:t>
      </w:r>
      <w:r w:rsidRPr="5D62FA98">
        <w:t xml:space="preserve"> but </w:t>
      </w:r>
      <w:r w:rsidR="00314989">
        <w:t xml:space="preserve">it </w:t>
      </w:r>
      <w:r w:rsidRPr="5D62FA98">
        <w:t xml:space="preserve">is often infrequent, inconsistent, or concentrated around report cards and parent-teacher conferences. When asked about district expectations </w:t>
      </w:r>
      <w:r w:rsidR="00314989">
        <w:t>for</w:t>
      </w:r>
      <w:r w:rsidRPr="5D62FA98">
        <w:t xml:space="preserve"> family communication, teachers reported </w:t>
      </w:r>
      <w:r w:rsidR="00314989">
        <w:t>that although they</w:t>
      </w:r>
      <w:r w:rsidR="00314989" w:rsidRPr="5D62FA98">
        <w:t xml:space="preserve"> </w:t>
      </w:r>
      <w:r w:rsidRPr="5D62FA98">
        <w:t>were expected to communicate with families</w:t>
      </w:r>
      <w:r w:rsidR="00314989">
        <w:t>,</w:t>
      </w:r>
      <w:r w:rsidRPr="5D62FA98">
        <w:t xml:space="preserve"> there was no set </w:t>
      </w:r>
      <w:r w:rsidR="00314989">
        <w:t>timeline or format</w:t>
      </w:r>
      <w:r w:rsidRPr="5D62FA98">
        <w:t>. Discussing family communication, one elementary teacher explained</w:t>
      </w:r>
      <w:r w:rsidR="002E0450">
        <w:t>:</w:t>
      </w:r>
    </w:p>
    <w:p w14:paraId="2AED878E" w14:textId="07EDE9AB" w:rsidR="008F5837" w:rsidRDefault="008F5837" w:rsidP="002E0450">
      <w:pPr>
        <w:pStyle w:val="BodyTextIndent"/>
      </w:pPr>
      <w:r w:rsidRPr="00B81D6D">
        <w:t>We have parent conferences twice a year. If we have concerns and are considering putting them in for IST, we are expected to contact the parent beforehand. But there</w:t>
      </w:r>
      <w:r w:rsidR="003816E8">
        <w:t>’</w:t>
      </w:r>
      <w:r w:rsidRPr="00B81D6D">
        <w:t>s no set expectation for how often or in what manner to communicate otherwise</w:t>
      </w:r>
      <w:r>
        <w:t>.</w:t>
      </w:r>
    </w:p>
    <w:p w14:paraId="7576138C" w14:textId="36646644" w:rsidR="008F5837" w:rsidRPr="00CC6497" w:rsidRDefault="008F5837" w:rsidP="002E0450">
      <w:pPr>
        <w:pStyle w:val="BodyText"/>
      </w:pPr>
      <w:r w:rsidRPr="00CC6497">
        <w:t>Families described reliance on digital portals, texts, and email communications, with some schools and teachers using multiple modes of communication more consistently and effectively than others. Families of students with IEPs or 504 plans reported more frequent contact with</w:t>
      </w:r>
      <w:r w:rsidRPr="00CC6497" w:rsidDel="00B542DC">
        <w:t xml:space="preserve"> </w:t>
      </w:r>
      <w:r w:rsidRPr="00CC6497">
        <w:t>school</w:t>
      </w:r>
      <w:r w:rsidR="00B542DC">
        <w:t>s</w:t>
      </w:r>
      <w:r w:rsidR="0021417C">
        <w:t xml:space="preserve"> than </w:t>
      </w:r>
      <w:r w:rsidR="00B542DC">
        <w:t xml:space="preserve">did </w:t>
      </w:r>
      <w:r w:rsidR="0021417C">
        <w:t>families of students with</w:t>
      </w:r>
      <w:r w:rsidR="00B542DC">
        <w:t>out</w:t>
      </w:r>
      <w:r w:rsidR="0021417C">
        <w:t xml:space="preserve"> such plans</w:t>
      </w:r>
      <w:r w:rsidRPr="00CC6497">
        <w:t xml:space="preserve">, </w:t>
      </w:r>
      <w:r w:rsidR="00066CEF">
        <w:t>al</w:t>
      </w:r>
      <w:r w:rsidRPr="00CC6497">
        <w:t xml:space="preserve">though this communication was often focused on behavioral </w:t>
      </w:r>
      <w:r w:rsidR="0021417C">
        <w:t xml:space="preserve">issues </w:t>
      </w:r>
      <w:r w:rsidRPr="00CC6497">
        <w:t>rather than academic progress.</w:t>
      </w:r>
    </w:p>
    <w:p w14:paraId="6462D11B" w14:textId="77266578" w:rsidR="00FB4D60" w:rsidRDefault="00024D0E" w:rsidP="002E0450">
      <w:pPr>
        <w:pStyle w:val="BodyText"/>
        <w:rPr>
          <w:color w:val="000000" w:themeColor="text1"/>
        </w:rPr>
      </w:pPr>
      <w:r w:rsidRPr="00B1622A">
        <w:rPr>
          <w:color w:val="000000" w:themeColor="text1"/>
        </w:rPr>
        <w:t xml:space="preserve">Family focus groups conducted in multiple languages reported that the district provides language access supports and translation services for families, including </w:t>
      </w:r>
      <w:r w:rsidR="00B16D7E" w:rsidRPr="00B1622A">
        <w:rPr>
          <w:color w:val="000000" w:themeColor="text1"/>
        </w:rPr>
        <w:t xml:space="preserve">in </w:t>
      </w:r>
      <w:r w:rsidRPr="00B1622A">
        <w:rPr>
          <w:color w:val="000000" w:themeColor="text1"/>
        </w:rPr>
        <w:t xml:space="preserve">Portuguese, Haitian Creole, Cape Verdean Creole, and Spanish, which is a strength of the district. </w:t>
      </w:r>
      <w:r w:rsidR="008F5837" w:rsidRPr="00B1622A">
        <w:rPr>
          <w:color w:val="000000" w:themeColor="text1"/>
        </w:rPr>
        <w:t xml:space="preserve">However, families across language-specific focus groups also reported that important information about grades and assessments is not </w:t>
      </w:r>
      <w:r w:rsidR="008F5837">
        <w:t xml:space="preserve">always proactively shared in accessible ways </w:t>
      </w:r>
      <w:r w:rsidR="007C55B4">
        <w:t>and</w:t>
      </w:r>
      <w:r w:rsidR="00A0291F">
        <w:t xml:space="preserve"> </w:t>
      </w:r>
      <w:r w:rsidR="008F5837">
        <w:t>often requires families to independently check portals or websites. Haitian Creole-speaking families</w:t>
      </w:r>
      <w:r w:rsidR="002D0201">
        <w:t>,</w:t>
      </w:r>
      <w:r w:rsidR="008F5837">
        <w:t xml:space="preserve"> in particular</w:t>
      </w:r>
      <w:r w:rsidR="002D0201">
        <w:t>,</w:t>
      </w:r>
      <w:r w:rsidR="008F5837">
        <w:t xml:space="preserve"> described </w:t>
      </w:r>
      <w:r w:rsidR="00A0291F">
        <w:t xml:space="preserve">that </w:t>
      </w:r>
      <w:r w:rsidR="008F5837">
        <w:t>information</w:t>
      </w:r>
      <w:r w:rsidR="002D0201">
        <w:t xml:space="preserve"> is</w:t>
      </w:r>
      <w:r w:rsidR="0023265C">
        <w:t xml:space="preserve"> available</w:t>
      </w:r>
      <w:r w:rsidR="002D0201">
        <w:t xml:space="preserve"> but</w:t>
      </w:r>
      <w:r w:rsidR="008F5837">
        <w:t xml:space="preserve"> </w:t>
      </w:r>
      <w:r w:rsidR="00A0291F">
        <w:t>not consistently disseminated</w:t>
      </w:r>
      <w:r w:rsidR="008F5837">
        <w:t xml:space="preserve">. Across groups, families noted inconsistency in advance </w:t>
      </w:r>
      <w:r w:rsidR="008F5837" w:rsidRPr="00B1622A">
        <w:rPr>
          <w:color w:val="000000" w:themeColor="text1"/>
        </w:rPr>
        <w:t>notice when grades are posted and uneven follow-up from individual teachers</w:t>
      </w:r>
      <w:r w:rsidR="00FB4D60">
        <w:t xml:space="preserve">. </w:t>
      </w:r>
      <w:r w:rsidR="00FB4D60" w:rsidRPr="00FB4D60">
        <w:rPr>
          <w:color w:val="000000" w:themeColor="text1"/>
        </w:rPr>
        <w:t>Ensuring that all families receive timely, consistent, and accessible information regarding their students’ progress</w:t>
      </w:r>
      <w:r w:rsidR="00FB4D60">
        <w:rPr>
          <w:color w:val="000000" w:themeColor="text1"/>
        </w:rPr>
        <w:t xml:space="preserve"> is an area for growth.</w:t>
      </w:r>
    </w:p>
    <w:p w14:paraId="7537202D" w14:textId="7B00AFBD" w:rsidR="008F5837" w:rsidRPr="00CC6497" w:rsidRDefault="2F06E490" w:rsidP="002E0450">
      <w:pPr>
        <w:pStyle w:val="BodyText"/>
      </w:pPr>
      <w:r w:rsidRPr="5D62FA98">
        <w:t>Families and teachers both identified significant inconsistency in grading practices across classrooms, particularly at the secondary level. Families reported that grading policies vary by teacher, with differences in how and when assignments are graded and posted, making it difficult to accurately monitor student progress between report cards. Some families described grades being updated infrequently or without advance notice, which limited their ability to intervene early when students were struggling. Teachers acknowledged this inconsistency in grading practices and the impact it has on students. One high school teacher explained</w:t>
      </w:r>
      <w:r w:rsidR="04A148F4" w:rsidRPr="5D62FA98">
        <w:t>,</w:t>
      </w:r>
      <w:r w:rsidRPr="5D62FA98">
        <w:t xml:space="preserve"> “The outcomes for students are completely different and totally unpredictable, and it really impacts how kids get placed the following year. It impacts their grades, their GPA</w:t>
      </w:r>
      <w:r w:rsidR="003631DA">
        <w:t xml:space="preserve"> </w:t>
      </w:r>
      <w:r w:rsidR="00DB7C69">
        <w:t>(</w:t>
      </w:r>
      <w:r w:rsidR="003631DA">
        <w:t>grade point average</w:t>
      </w:r>
      <w:r w:rsidR="00DB7C69">
        <w:t>)</w:t>
      </w:r>
      <w:r w:rsidRPr="5D62FA98">
        <w:t>. I think it</w:t>
      </w:r>
      <w:r w:rsidR="002D0201">
        <w:t>’</w:t>
      </w:r>
      <w:r w:rsidRPr="5D62FA98">
        <w:t>s a big problem.”</w:t>
      </w:r>
    </w:p>
    <w:p w14:paraId="5EDA5CFA" w14:textId="49085398" w:rsidR="008F5837" w:rsidRPr="00B1622A" w:rsidRDefault="545CFB54" w:rsidP="00BE6963">
      <w:pPr>
        <w:pStyle w:val="BodyText"/>
        <w:rPr>
          <w:color w:val="000000" w:themeColor="text1"/>
        </w:rPr>
      </w:pPr>
      <w:r w:rsidRPr="190DD215">
        <w:t xml:space="preserve">High school teachers described the use of common assessments and department-level data reviews, indicating some degree of internal alignment </w:t>
      </w:r>
      <w:r w:rsidR="00A62D5A" w:rsidRPr="190DD215">
        <w:t xml:space="preserve">within departments </w:t>
      </w:r>
      <w:r w:rsidR="00A62D5A">
        <w:t>on</w:t>
      </w:r>
      <w:r w:rsidR="00A62D5A" w:rsidRPr="190DD215">
        <w:t xml:space="preserve"> </w:t>
      </w:r>
      <w:r w:rsidRPr="190DD215">
        <w:t xml:space="preserve">assessment practices. However, this internal alignment has not consistently translated into clear or predictable grading experiences for families. Elementary families reported greater clarity in overall grading structures but noted </w:t>
      </w:r>
      <w:r w:rsidRPr="00B1622A">
        <w:rPr>
          <w:color w:val="000000" w:themeColor="text1"/>
        </w:rPr>
        <w:t xml:space="preserve">confusion around what specific scores or proficiency levels mean on a week-to-week basis. Developing and implementing </w:t>
      </w:r>
      <w:r w:rsidR="364DDD0E" w:rsidRPr="00B1622A">
        <w:rPr>
          <w:color w:val="000000" w:themeColor="text1"/>
        </w:rPr>
        <w:t>consistent</w:t>
      </w:r>
      <w:r w:rsidRPr="00B1622A">
        <w:rPr>
          <w:color w:val="000000" w:themeColor="text1"/>
        </w:rPr>
        <w:t xml:space="preserve"> grading </w:t>
      </w:r>
      <w:r w:rsidR="61704FD3" w:rsidRPr="00B1622A">
        <w:rPr>
          <w:color w:val="000000" w:themeColor="text1"/>
        </w:rPr>
        <w:t xml:space="preserve">practices </w:t>
      </w:r>
      <w:r w:rsidRPr="00B1622A">
        <w:rPr>
          <w:color w:val="000000" w:themeColor="text1"/>
        </w:rPr>
        <w:t>is an area for growth for the district.</w:t>
      </w:r>
    </w:p>
    <w:p w14:paraId="18115117" w14:textId="164C2B45" w:rsidR="002B4CEF" w:rsidRDefault="002B4CEF" w:rsidP="00BE6963">
      <w:pPr>
        <w:pStyle w:val="Heading3"/>
      </w:pPr>
      <w:r w:rsidRPr="00BE6963">
        <w:t>Recommendations</w:t>
      </w:r>
    </w:p>
    <w:p w14:paraId="6B609048" w14:textId="3BD1F796" w:rsidR="002B4CEF" w:rsidRPr="005C08BF" w:rsidRDefault="00712CB7" w:rsidP="2D019F4B">
      <w:pPr>
        <w:pStyle w:val="Bullet1"/>
        <w:rPr>
          <w:i/>
          <w:iCs/>
        </w:rPr>
      </w:pPr>
      <w:r w:rsidRPr="005C08BF">
        <w:rPr>
          <w:i/>
          <w:iCs/>
        </w:rPr>
        <w:t>The district should work with its high school administrators to clarify and communicate guidance for teachers regarding assessment timelines and frequency.</w:t>
      </w:r>
    </w:p>
    <w:p w14:paraId="5A1FDAFD" w14:textId="2D201A4B" w:rsidR="00D4231E" w:rsidRPr="005C08BF" w:rsidRDefault="00D4231E" w:rsidP="2D019F4B">
      <w:pPr>
        <w:pStyle w:val="Bullet1"/>
        <w:rPr>
          <w:i/>
          <w:iCs/>
        </w:rPr>
      </w:pPr>
      <w:r w:rsidRPr="005C08BF">
        <w:rPr>
          <w:i/>
          <w:iCs/>
        </w:rPr>
        <w:t>The district should</w:t>
      </w:r>
      <w:r w:rsidR="00CC69FE" w:rsidRPr="005C08BF">
        <w:rPr>
          <w:i/>
          <w:iCs/>
        </w:rPr>
        <w:t xml:space="preserve"> leverage professional learning or collaboration time to </w:t>
      </w:r>
      <w:r w:rsidR="0053025D">
        <w:rPr>
          <w:i/>
          <w:iCs/>
        </w:rPr>
        <w:t xml:space="preserve">develop </w:t>
      </w:r>
      <w:r w:rsidR="00FA0F74">
        <w:rPr>
          <w:i/>
          <w:iCs/>
        </w:rPr>
        <w:t xml:space="preserve">the skills </w:t>
      </w:r>
      <w:r w:rsidR="00CC69FE" w:rsidRPr="005C08BF">
        <w:rPr>
          <w:i/>
          <w:iCs/>
        </w:rPr>
        <w:t>of its</w:t>
      </w:r>
      <w:r w:rsidRPr="005C08BF">
        <w:rPr>
          <w:i/>
          <w:iCs/>
        </w:rPr>
        <w:t xml:space="preserve"> </w:t>
      </w:r>
      <w:r w:rsidR="007957C3" w:rsidRPr="005C08BF">
        <w:rPr>
          <w:i/>
          <w:iCs/>
        </w:rPr>
        <w:t xml:space="preserve">middle and high school </w:t>
      </w:r>
      <w:r w:rsidRPr="005C08BF">
        <w:rPr>
          <w:i/>
          <w:iCs/>
        </w:rPr>
        <w:t xml:space="preserve">staff in implementing instructional </w:t>
      </w:r>
      <w:r w:rsidR="00185B1E" w:rsidRPr="005C08BF">
        <w:rPr>
          <w:i/>
          <w:iCs/>
        </w:rPr>
        <w:t>strategies and adjustments</w:t>
      </w:r>
      <w:r w:rsidR="00C463D2" w:rsidRPr="005C08BF">
        <w:rPr>
          <w:i/>
          <w:iCs/>
        </w:rPr>
        <w:t xml:space="preserve"> in response to</w:t>
      </w:r>
      <w:r w:rsidR="00CC69FE" w:rsidRPr="005C08BF">
        <w:rPr>
          <w:i/>
          <w:iCs/>
        </w:rPr>
        <w:t xml:space="preserve"> </w:t>
      </w:r>
      <w:r w:rsidR="001373D6" w:rsidRPr="005C08BF">
        <w:rPr>
          <w:i/>
          <w:iCs/>
        </w:rPr>
        <w:t>student data.</w:t>
      </w:r>
    </w:p>
    <w:p w14:paraId="679B61E1" w14:textId="77777777" w:rsidR="00DF2AB7" w:rsidRDefault="00934012" w:rsidP="005C08BF">
      <w:pPr>
        <w:pStyle w:val="Bullet1"/>
        <w:rPr>
          <w:i/>
          <w:iCs/>
        </w:rPr>
      </w:pPr>
      <w:r w:rsidRPr="00934012">
        <w:rPr>
          <w:i/>
          <w:iCs/>
        </w:rPr>
        <w:t xml:space="preserve">The district should set expectations around sharing data with students and engaging them in goal setting and progress monitoring in ways that promote student agency over learning. </w:t>
      </w:r>
    </w:p>
    <w:p w14:paraId="6573F3D4" w14:textId="77777777" w:rsidR="0053025D" w:rsidRDefault="0053025D" w:rsidP="009C71ED">
      <w:pPr>
        <w:pStyle w:val="Bullet1"/>
        <w:rPr>
          <w:i/>
          <w:iCs/>
        </w:rPr>
      </w:pPr>
      <w:r w:rsidRPr="0053025D">
        <w:rPr>
          <w:i/>
          <w:iCs/>
        </w:rPr>
        <w:t>The district should establish consistent expectations for communicating student progress with families, including timelines, formats, and accessible methods of sharing academic information.</w:t>
      </w:r>
    </w:p>
    <w:p w14:paraId="5F120CF4" w14:textId="3601284D" w:rsidR="005C08BF" w:rsidRPr="005C08BF" w:rsidRDefault="009C71ED" w:rsidP="009C71ED">
      <w:pPr>
        <w:pStyle w:val="Bullet1"/>
        <w:rPr>
          <w:i/>
          <w:iCs/>
        </w:rPr>
      </w:pPr>
      <w:r>
        <w:rPr>
          <w:i/>
          <w:iCs/>
        </w:rPr>
        <w:t>T</w:t>
      </w:r>
      <w:r w:rsidRPr="009C71ED">
        <w:rPr>
          <w:i/>
          <w:iCs/>
        </w:rPr>
        <w:t xml:space="preserve">he district should engage teachers and instructional leaders in establishing and implementing clear grading policies to reduce variability across classrooms and </w:t>
      </w:r>
      <w:r>
        <w:rPr>
          <w:i/>
          <w:iCs/>
        </w:rPr>
        <w:t>content</w:t>
      </w:r>
      <w:r w:rsidRPr="009C71ED">
        <w:rPr>
          <w:i/>
          <w:iCs/>
        </w:rPr>
        <w:t xml:space="preserve"> areas.</w:t>
      </w:r>
    </w:p>
    <w:p w14:paraId="0B4FDEA8" w14:textId="77777777" w:rsidR="008D6102" w:rsidRPr="00CB0607" w:rsidRDefault="008D6102" w:rsidP="00FA740F">
      <w:pPr>
        <w:pStyle w:val="Heading2"/>
      </w:pPr>
      <w:bookmarkStart w:id="51" w:name="_Human_Resources_and"/>
      <w:bookmarkStart w:id="52" w:name="_Toc101446230"/>
      <w:bookmarkStart w:id="53" w:name="_Toc235104378"/>
      <w:bookmarkStart w:id="54" w:name="_Toc235104453"/>
      <w:bookmarkEnd w:id="51"/>
      <w:r w:rsidRPr="00CB0607">
        <w:t xml:space="preserve">Human Resources and Professional </w:t>
      </w:r>
      <w:r w:rsidRPr="00FA740F">
        <w:t>Development</w:t>
      </w:r>
      <w:bookmarkEnd w:id="52"/>
      <w:bookmarkEnd w:id="53"/>
      <w:bookmarkEnd w:id="54"/>
    </w:p>
    <w:p w14:paraId="4B6AABB6" w14:textId="4CD517AC" w:rsidR="00F751ED" w:rsidRDefault="00F751ED" w:rsidP="00FA740F">
      <w:pPr>
        <w:pStyle w:val="BodyTextposthead"/>
      </w:pPr>
      <w:r w:rsidRPr="002071C4">
        <w:t xml:space="preserve">This section examines the extent to which the district has established systems, policies, and practices that allow administrators to effectively recruit, hire, onboard, and support a highly effective, diverse, and culturally responsive workforce. It also focuses on the systems and structures that </w:t>
      </w:r>
      <w:r w:rsidR="00697125">
        <w:t xml:space="preserve">the district </w:t>
      </w:r>
      <w:r w:rsidR="002A2B60">
        <w:t xml:space="preserve">uses to </w:t>
      </w:r>
      <w:r w:rsidRPr="002071C4">
        <w:t>provide all educators with ongoing access to high-quality professional learning and actionable feedback, and establishes a culture that fosters collaboration, retention, recognition, and advancement.</w:t>
      </w:r>
    </w:p>
    <w:p w14:paraId="7136409B" w14:textId="7267AF44" w:rsidR="002C6E1C" w:rsidRPr="00CB0607" w:rsidRDefault="002C6E1C" w:rsidP="00FA740F">
      <w:pPr>
        <w:pStyle w:val="BodyText"/>
        <w:rPr>
          <w:highlight w:val="green"/>
        </w:rPr>
      </w:pPr>
      <w:r w:rsidRPr="00CB0607">
        <w:t xml:space="preserve">Table </w:t>
      </w:r>
      <w:r w:rsidR="00692016">
        <w:t>7</w:t>
      </w:r>
      <w:r w:rsidR="00163C7A" w:rsidRPr="00CB0607">
        <w:t xml:space="preserve"> </w:t>
      </w:r>
      <w:r w:rsidRPr="00CB0607">
        <w:t>summarizes key strengths and areas for growth in human resources</w:t>
      </w:r>
      <w:r w:rsidR="001E49C0">
        <w:t xml:space="preserve"> (HR)</w:t>
      </w:r>
      <w:r w:rsidRPr="00CB0607">
        <w:t xml:space="preserve"> and professional development</w:t>
      </w:r>
      <w:r w:rsidR="00250663" w:rsidRPr="00250663">
        <w:t xml:space="preserve"> </w:t>
      </w:r>
      <w:r w:rsidR="000E629D">
        <w:t>in Brockton</w:t>
      </w:r>
      <w:r w:rsidRPr="00CB0607">
        <w:t>.</w:t>
      </w:r>
    </w:p>
    <w:p w14:paraId="2BF170C5" w14:textId="21C3E860" w:rsidR="00795B63" w:rsidRPr="00CB0607" w:rsidRDefault="00795B63" w:rsidP="00FA740F">
      <w:pPr>
        <w:pStyle w:val="TableTitle0"/>
      </w:pPr>
      <w:r w:rsidRPr="00CB0607">
        <w:t xml:space="preserve">Table </w:t>
      </w:r>
      <w:r w:rsidR="00692016">
        <w:t>7</w:t>
      </w:r>
      <w:r w:rsidRPr="00CB0607">
        <w:t xml:space="preserve">. Summary of Key Strengths and Areas for Growth: </w:t>
      </w:r>
      <w:r w:rsidR="004C7FAA" w:rsidRPr="004C7FAA">
        <w:t xml:space="preserve">Human </w:t>
      </w:r>
      <w:r w:rsidR="004C7FAA" w:rsidRPr="00FA740F">
        <w:t>Resources</w:t>
      </w:r>
      <w:r w:rsidR="004C7FAA" w:rsidRPr="004C7FAA">
        <w:t xml:space="preserve"> and Professional Development </w:t>
      </w:r>
      <w:r w:rsidRPr="00CB0607">
        <w:t>Standard</w:t>
      </w:r>
    </w:p>
    <w:tbl>
      <w:tblPr>
        <w:tblStyle w:val="MSVTable1"/>
        <w:tblW w:w="5000" w:type="pct"/>
        <w:tblLook w:val="04A0" w:firstRow="1" w:lastRow="0" w:firstColumn="1" w:lastColumn="0" w:noHBand="0" w:noVBand="1"/>
        <w:tblCaption w:val="Table 7. Summary of Key Strengths and Areas for Growth: Human Resources and Professional Development Standard"/>
        <w:tblDescription w:val="Summary of Key Strengths and Areas for Growth: Human Resources and Professional Development Standard"/>
      </w:tblPr>
      <w:tblGrid>
        <w:gridCol w:w="1973"/>
        <w:gridCol w:w="3686"/>
        <w:gridCol w:w="3685"/>
      </w:tblGrid>
      <w:tr w:rsidR="00B827DE" w:rsidRPr="00CB0607" w14:paraId="5AF94F4A" w14:textId="77777777" w:rsidTr="00FA740F">
        <w:trPr>
          <w:cnfStyle w:val="100000000000" w:firstRow="1" w:lastRow="0" w:firstColumn="0" w:lastColumn="0" w:oddVBand="0" w:evenVBand="0" w:oddHBand="0" w:evenHBand="0" w:firstRowFirstColumn="0" w:firstRowLastColumn="0" w:lastRowFirstColumn="0" w:lastRowLastColumn="0"/>
          <w:tblHeader/>
        </w:trPr>
        <w:tc>
          <w:tcPr>
            <w:tcW w:w="1055" w:type="pct"/>
          </w:tcPr>
          <w:p w14:paraId="2AD0DE9D" w14:textId="77777777" w:rsidR="00B827DE" w:rsidRPr="00FA740F" w:rsidRDefault="00B827DE" w:rsidP="00FA740F">
            <w:pPr>
              <w:pStyle w:val="TableColHeadingCenter"/>
            </w:pPr>
            <w:r w:rsidRPr="00FA740F">
              <w:t>Indicator</w:t>
            </w:r>
          </w:p>
        </w:tc>
        <w:tc>
          <w:tcPr>
            <w:tcW w:w="1972" w:type="pct"/>
          </w:tcPr>
          <w:p w14:paraId="29F8FCE9" w14:textId="77777777" w:rsidR="00B827DE" w:rsidRPr="00FA740F" w:rsidRDefault="00B827DE" w:rsidP="00FA740F">
            <w:pPr>
              <w:pStyle w:val="TableColHeadingCenter"/>
            </w:pPr>
            <w:r w:rsidRPr="00FA740F">
              <w:t>Strengths</w:t>
            </w:r>
          </w:p>
        </w:tc>
        <w:tc>
          <w:tcPr>
            <w:tcW w:w="1972" w:type="pct"/>
          </w:tcPr>
          <w:p w14:paraId="500B423F" w14:textId="6D40DEB3" w:rsidR="00B827DE" w:rsidRPr="00FA740F" w:rsidRDefault="00B827DE" w:rsidP="00FA740F">
            <w:pPr>
              <w:pStyle w:val="TableColHeadingCenter"/>
            </w:pPr>
            <w:r w:rsidRPr="00FA740F">
              <w:t xml:space="preserve">Areas for </w:t>
            </w:r>
            <w:r w:rsidR="002C6E1C" w:rsidRPr="00FA740F">
              <w:t>growth</w:t>
            </w:r>
          </w:p>
        </w:tc>
      </w:tr>
      <w:tr w:rsidR="00B827DE" w:rsidRPr="00CB0607" w14:paraId="3B52DFA7" w14:textId="77777777" w:rsidTr="00FA740F">
        <w:trPr>
          <w:cnfStyle w:val="000000100000" w:firstRow="0" w:lastRow="0" w:firstColumn="0" w:lastColumn="0" w:oddVBand="0" w:evenVBand="0" w:oddHBand="1" w:evenHBand="0" w:firstRowFirstColumn="0" w:firstRowLastColumn="0" w:lastRowFirstColumn="0" w:lastRowLastColumn="0"/>
        </w:trPr>
        <w:tc>
          <w:tcPr>
            <w:tcW w:w="1055" w:type="pct"/>
          </w:tcPr>
          <w:p w14:paraId="2963B302" w14:textId="670DBA10" w:rsidR="00B827DE" w:rsidRPr="00FA740F" w:rsidRDefault="00444346" w:rsidP="00FA740F">
            <w:pPr>
              <w:pStyle w:val="TableSubheading"/>
            </w:pPr>
            <w:hyperlink w:anchor="_Human_Resources_Infrastructure," w:history="1">
              <w:r w:rsidRPr="00FA740F">
                <w:rPr>
                  <w:rStyle w:val="Hyperlink"/>
                  <w:color w:val="auto"/>
                  <w:u w:val="none"/>
                </w:rPr>
                <w:t>Human Resources I</w:t>
              </w:r>
              <w:r w:rsidR="00B827DE" w:rsidRPr="00FA740F">
                <w:rPr>
                  <w:rStyle w:val="Hyperlink"/>
                  <w:color w:val="auto"/>
                  <w:u w:val="none"/>
                </w:rPr>
                <w:t>nfrastructure</w:t>
              </w:r>
              <w:r w:rsidRPr="00FA740F">
                <w:rPr>
                  <w:rStyle w:val="Hyperlink"/>
                  <w:color w:val="auto"/>
                  <w:u w:val="none"/>
                </w:rPr>
                <w:t>, Policies, and Practices</w:t>
              </w:r>
            </w:hyperlink>
          </w:p>
        </w:tc>
        <w:tc>
          <w:tcPr>
            <w:tcW w:w="1972" w:type="pct"/>
          </w:tcPr>
          <w:p w14:paraId="70D7277E" w14:textId="2520D0BC" w:rsidR="00B827DE" w:rsidRPr="00FA740F" w:rsidRDefault="00A36CF8" w:rsidP="00FA740F">
            <w:pPr>
              <w:pStyle w:val="TableBullet1"/>
            </w:pPr>
            <w:r>
              <w:t>District staff m</w:t>
            </w:r>
            <w:r w:rsidR="00411609" w:rsidRPr="00411609">
              <w:t>aintain a</w:t>
            </w:r>
            <w:r w:rsidR="00A7685A" w:rsidRPr="00411609">
              <w:t xml:space="preserve"> collaborative, responsive relationship with school-level leaders and actively coordinate with payroll and city departments to support accuracy and compliance</w:t>
            </w:r>
            <w:r w:rsidR="00411609" w:rsidRPr="00411609">
              <w:t>.</w:t>
            </w:r>
          </w:p>
        </w:tc>
        <w:tc>
          <w:tcPr>
            <w:tcW w:w="1972" w:type="pct"/>
          </w:tcPr>
          <w:p w14:paraId="09130FD4" w14:textId="3E6AD0E4" w:rsidR="00B827DE" w:rsidRPr="00FA740F" w:rsidRDefault="00A7685A" w:rsidP="00FA740F">
            <w:pPr>
              <w:pStyle w:val="TableBullet1"/>
            </w:pPr>
            <w:r w:rsidRPr="00411609">
              <w:t>Transitioning personnel records and onboarding processes to a fully digital, secure system</w:t>
            </w:r>
          </w:p>
        </w:tc>
      </w:tr>
      <w:tr w:rsidR="00B827DE" w:rsidRPr="00CB0607" w14:paraId="53443622" w14:textId="77777777" w:rsidTr="00FA740F">
        <w:tc>
          <w:tcPr>
            <w:tcW w:w="1055" w:type="pct"/>
          </w:tcPr>
          <w:p w14:paraId="755AE6E0" w14:textId="094B8324" w:rsidR="00B827DE" w:rsidRPr="00FA740F" w:rsidRDefault="00444346" w:rsidP="00FA740F">
            <w:pPr>
              <w:pStyle w:val="TableSubheading"/>
            </w:pPr>
            <w:hyperlink w:anchor="_Staffing" w:history="1">
              <w:r w:rsidRPr="00FA740F">
                <w:rPr>
                  <w:rStyle w:val="Hyperlink"/>
                  <w:color w:val="auto"/>
                  <w:u w:val="none"/>
                </w:rPr>
                <w:t>Staffing</w:t>
              </w:r>
            </w:hyperlink>
          </w:p>
        </w:tc>
        <w:tc>
          <w:tcPr>
            <w:tcW w:w="1972" w:type="pct"/>
          </w:tcPr>
          <w:p w14:paraId="7CCD59DD" w14:textId="40A5208E" w:rsidR="00A7685A" w:rsidRPr="00411609" w:rsidRDefault="00C17F7A" w:rsidP="00996364">
            <w:pPr>
              <w:pStyle w:val="TableBullet1"/>
            </w:pPr>
            <w:r>
              <w:t>Brockton uses</w:t>
            </w:r>
            <w:r w:rsidR="00B11BE0">
              <w:t xml:space="preserve"> both</w:t>
            </w:r>
            <w:r w:rsidR="00A7685A" w:rsidRPr="00411609">
              <w:t xml:space="preserve"> internal development and alumni recruitment to build its workforce and the district’s internal pipeline.</w:t>
            </w:r>
          </w:p>
          <w:p w14:paraId="3B581E14" w14:textId="1C8527EF" w:rsidR="00B827DE" w:rsidRPr="00FA740F" w:rsidRDefault="00996364" w:rsidP="00FA740F">
            <w:pPr>
              <w:pStyle w:val="TableBullet1"/>
            </w:pPr>
            <w:r w:rsidRPr="00411609">
              <w:t xml:space="preserve">The </w:t>
            </w:r>
            <w:r w:rsidR="00C17F7A">
              <w:t xml:space="preserve">district </w:t>
            </w:r>
            <w:r w:rsidRPr="00411609">
              <w:t>facilitat</w:t>
            </w:r>
            <w:r w:rsidR="00C17F7A">
              <w:t>es</w:t>
            </w:r>
            <w:r w:rsidRPr="00411609">
              <w:t xml:space="preserve"> funding pathways and training programs that support educator advancement.</w:t>
            </w:r>
          </w:p>
        </w:tc>
        <w:tc>
          <w:tcPr>
            <w:tcW w:w="1972" w:type="pct"/>
          </w:tcPr>
          <w:p w14:paraId="77D00B66" w14:textId="5A7092D2" w:rsidR="00B827DE" w:rsidRDefault="00A7685A" w:rsidP="00FA740F">
            <w:pPr>
              <w:pStyle w:val="TableBullet1"/>
            </w:pPr>
            <w:r w:rsidRPr="00411609">
              <w:t xml:space="preserve">Strengthening </w:t>
            </w:r>
            <w:r w:rsidR="000822D2">
              <w:t xml:space="preserve">and formalizing the </w:t>
            </w:r>
            <w:r w:rsidRPr="00411609">
              <w:t>onboarding process</w:t>
            </w:r>
          </w:p>
          <w:p w14:paraId="3E86C519" w14:textId="30508C3E" w:rsidR="004E3A5A" w:rsidRPr="00FA740F" w:rsidRDefault="00C14EDE" w:rsidP="00FA740F">
            <w:pPr>
              <w:pStyle w:val="TableBullet1"/>
            </w:pPr>
            <w:r w:rsidRPr="00C14EDE">
              <w:t>Consistently providing constructive feedback to teachers through the evaluation system</w:t>
            </w:r>
          </w:p>
        </w:tc>
      </w:tr>
      <w:tr w:rsidR="00B827DE" w:rsidRPr="00CB0607" w14:paraId="05C4AE65" w14:textId="77777777" w:rsidTr="00FA740F">
        <w:trPr>
          <w:cnfStyle w:val="000000100000" w:firstRow="0" w:lastRow="0" w:firstColumn="0" w:lastColumn="0" w:oddVBand="0" w:evenVBand="0" w:oddHBand="1" w:evenHBand="0" w:firstRowFirstColumn="0" w:firstRowLastColumn="0" w:lastRowFirstColumn="0" w:lastRowLastColumn="0"/>
        </w:trPr>
        <w:tc>
          <w:tcPr>
            <w:tcW w:w="1055" w:type="pct"/>
          </w:tcPr>
          <w:p w14:paraId="7ADD9F53" w14:textId="342CF7E2" w:rsidR="00B827DE" w:rsidRPr="00FA740F" w:rsidRDefault="00444346" w:rsidP="00FA740F">
            <w:pPr>
              <w:pStyle w:val="TableSubheading"/>
            </w:pPr>
            <w:hyperlink w:anchor="_Professional_Learning" w:history="1">
              <w:r w:rsidRPr="00FA740F">
                <w:rPr>
                  <w:rStyle w:val="Hyperlink"/>
                  <w:color w:val="auto"/>
                  <w:u w:val="none"/>
                </w:rPr>
                <w:t>Professional Learning</w:t>
              </w:r>
            </w:hyperlink>
          </w:p>
        </w:tc>
        <w:tc>
          <w:tcPr>
            <w:tcW w:w="1972" w:type="pct"/>
          </w:tcPr>
          <w:p w14:paraId="6E5D7E42" w14:textId="33D94B60" w:rsidR="00B827DE" w:rsidRPr="00FA740F" w:rsidRDefault="00FF6D96" w:rsidP="00FA740F">
            <w:pPr>
              <w:pStyle w:val="TableBullet1"/>
            </w:pPr>
            <w:r>
              <w:t xml:space="preserve">Brockton offers </w:t>
            </w:r>
            <w:r w:rsidR="00996364" w:rsidRPr="00411609">
              <w:t>MTEL preparation courses and university partnerships that support staff pursuing licensure advancement at reduced cost</w:t>
            </w:r>
            <w:r w:rsidR="00996364">
              <w:t>s</w:t>
            </w:r>
            <w:r w:rsidR="00B11BE0">
              <w:t>.</w:t>
            </w:r>
          </w:p>
        </w:tc>
        <w:tc>
          <w:tcPr>
            <w:tcW w:w="1972" w:type="pct"/>
          </w:tcPr>
          <w:p w14:paraId="732AB112" w14:textId="22DC9977" w:rsidR="00B827DE" w:rsidRPr="00996364" w:rsidRDefault="00996364" w:rsidP="00FA740F">
            <w:pPr>
              <w:pStyle w:val="TableBullet1"/>
            </w:pPr>
            <w:r w:rsidRPr="00411609">
              <w:t>Developing a comprehensive, yearlong, districtwide professional development pla</w:t>
            </w:r>
            <w:r w:rsidR="00B11BE0">
              <w:t>n</w:t>
            </w:r>
          </w:p>
          <w:p w14:paraId="13C19D85" w14:textId="03F82D85" w:rsidR="00996364" w:rsidRPr="00FA740F" w:rsidRDefault="00996364" w:rsidP="00FA740F">
            <w:pPr>
              <w:pStyle w:val="TableBullet1"/>
            </w:pPr>
            <w:r w:rsidRPr="00411609">
              <w:t>Establishing a formal, structured support system for those new to the district or who currently fall outside the formal mentoring program</w:t>
            </w:r>
          </w:p>
        </w:tc>
      </w:tr>
    </w:tbl>
    <w:p w14:paraId="5601B273" w14:textId="72A55676" w:rsidR="00B827DE" w:rsidRPr="00FA740F" w:rsidRDefault="00444346" w:rsidP="00FA740F">
      <w:pPr>
        <w:pStyle w:val="Heading3"/>
      </w:pPr>
      <w:bookmarkStart w:id="55" w:name="_Infrastructure"/>
      <w:bookmarkStart w:id="56" w:name="_Human_Resources_Infrastructure,"/>
      <w:bookmarkEnd w:id="55"/>
      <w:bookmarkEnd w:id="56"/>
      <w:r>
        <w:t xml:space="preserve">Human Resources </w:t>
      </w:r>
      <w:r w:rsidR="00B827DE">
        <w:t>Infrastructure</w:t>
      </w:r>
      <w:r>
        <w:t>, Policies, and Practices</w:t>
      </w:r>
    </w:p>
    <w:p w14:paraId="1E3DEFAE" w14:textId="1874345E" w:rsidR="00A36E2F" w:rsidRPr="00A36E2F" w:rsidRDefault="058B1630" w:rsidP="00FA740F">
      <w:pPr>
        <w:pStyle w:val="BodyTextposthead"/>
      </w:pPr>
      <w:r>
        <w:t xml:space="preserve">Brockton maintains a centralized </w:t>
      </w:r>
      <w:r w:rsidR="001E49C0">
        <w:t>HR</w:t>
      </w:r>
      <w:r>
        <w:t xml:space="preserve"> structure led by the </w:t>
      </w:r>
      <w:r w:rsidR="001E49C0">
        <w:t>a</w:t>
      </w:r>
      <w:r>
        <w:t xml:space="preserve">ssistant </w:t>
      </w:r>
      <w:r w:rsidR="001E49C0">
        <w:t>s</w:t>
      </w:r>
      <w:r>
        <w:t xml:space="preserve">uperintendent of </w:t>
      </w:r>
      <w:r w:rsidR="001E49C0">
        <w:t>HR</w:t>
      </w:r>
      <w:r>
        <w:t xml:space="preserve">, who has been in that position for 15 years. The office includes three associate directors and four HR generalists who collectively manage recruitment, hiring, onboarding, licensure verification, discipline, labor relations, leaves, and separations across a large and diverse workforce of approximately 3,500 employees in multiple bargaining units. According to the assistant superintendent of </w:t>
      </w:r>
      <w:r w:rsidR="005B25B4">
        <w:t>h</w:t>
      </w:r>
      <w:r>
        <w:t xml:space="preserve">uman </w:t>
      </w:r>
      <w:r w:rsidR="005B25B4">
        <w:t>r</w:t>
      </w:r>
      <w:r>
        <w:t xml:space="preserve">esources, the office has undergone restructuring in recent years, shifting from a model that included six administrative assistants and four associate directors to one with fewer but more specialized positions. As part of this restructuring, some responsibilities previously held within HR, including supervision of student teachers and elements of professional learning coordination, have been transferred to the </w:t>
      </w:r>
      <w:r w:rsidR="6AFA3A7F">
        <w:t>d</w:t>
      </w:r>
      <w:r>
        <w:t xml:space="preserve">epartment of </w:t>
      </w:r>
      <w:r w:rsidR="61562546">
        <w:t>p</w:t>
      </w:r>
      <w:r>
        <w:t xml:space="preserve">rofessional </w:t>
      </w:r>
      <w:r w:rsidR="4D76EF93">
        <w:t>g</w:t>
      </w:r>
      <w:r>
        <w:t xml:space="preserve">rowth and </w:t>
      </w:r>
      <w:r w:rsidR="2C200FB9">
        <w:t>s</w:t>
      </w:r>
      <w:r>
        <w:t xml:space="preserve">chool </w:t>
      </w:r>
      <w:r w:rsidR="75AED104">
        <w:t>i</w:t>
      </w:r>
      <w:r>
        <w:t xml:space="preserve">mprovement. The assistant superintendent </w:t>
      </w:r>
      <w:r w:rsidR="00C21E9C">
        <w:t xml:space="preserve">of HR </w:t>
      </w:r>
      <w:r>
        <w:t>described this as a deliberate effort to align functions with departmental expertise.</w:t>
      </w:r>
    </w:p>
    <w:p w14:paraId="7E8CA278" w14:textId="43C1CFCE" w:rsidR="00A36E2F" w:rsidRPr="00B1622A" w:rsidRDefault="029F37FF" w:rsidP="1AB72182">
      <w:pPr>
        <w:pStyle w:val="BodyText"/>
        <w:rPr>
          <w:color w:val="000000" w:themeColor="text1"/>
        </w:rPr>
      </w:pPr>
      <w:r>
        <w:t xml:space="preserve">District leaders </w:t>
      </w:r>
      <w:r w:rsidR="00F74707">
        <w:t>stated</w:t>
      </w:r>
      <w:r w:rsidR="003920B2">
        <w:t xml:space="preserve"> that</w:t>
      </w:r>
      <w:r>
        <w:t xml:space="preserve"> the HR staffing model </w:t>
      </w:r>
      <w:r w:rsidR="003920B2">
        <w:t xml:space="preserve">was </w:t>
      </w:r>
      <w:r>
        <w:t xml:space="preserve">informed by a prior external audit of the department, with adjustments made at the executive level to ensure sufficient capacity. The assistant superintendent of </w:t>
      </w:r>
      <w:r w:rsidR="003920B2">
        <w:t>HR</w:t>
      </w:r>
      <w:r>
        <w:t xml:space="preserve"> described a clear process for bringing resource and system enhancement requests to the district leadership team, superintendent, and assistant superintendent of </w:t>
      </w:r>
      <w:r w:rsidR="003920B2">
        <w:t>F</w:t>
      </w:r>
      <w:r>
        <w:t>inance.</w:t>
      </w:r>
      <w:r w:rsidR="058B1630">
        <w:t xml:space="preserve">HR functions are supported through regular coordination with other district and municipal systems, including monthly joint meetings with </w:t>
      </w:r>
      <w:r w:rsidR="4F387099">
        <w:t>the city’s</w:t>
      </w:r>
      <w:r w:rsidR="058B1630">
        <w:t xml:space="preserve"> HR department and payroll </w:t>
      </w:r>
      <w:r w:rsidR="00CC453C">
        <w:t xml:space="preserve">offices </w:t>
      </w:r>
      <w:r w:rsidR="058B1630">
        <w:t xml:space="preserve">to ensure accuracy in benefits administration and personnel processing. Staff described HR as </w:t>
      </w:r>
      <w:r w:rsidR="05A3670B">
        <w:t>responsive and</w:t>
      </w:r>
      <w:r w:rsidR="058B1630">
        <w:t xml:space="preserve"> characterized the office as a collaborative partner in building-level staffing. Multiple principals noted that HR processes were not a barrier to hiring and expressed confidence in the office</w:t>
      </w:r>
      <w:r w:rsidR="00CC453C">
        <w:t>’</w:t>
      </w:r>
      <w:r w:rsidR="058B1630">
        <w:t xml:space="preserve">s ability to </w:t>
      </w:r>
      <w:r w:rsidR="058B1630" w:rsidRPr="00B1622A">
        <w:rPr>
          <w:color w:val="000000" w:themeColor="text1"/>
        </w:rPr>
        <w:t>support their staffing needs. The district maintains a collaborative, responsive relationship with school-level leaders and actively coordinates with payroll and city departments to support accuracy and compliance</w:t>
      </w:r>
      <w:r w:rsidR="3D0531F1" w:rsidRPr="00B1622A">
        <w:rPr>
          <w:color w:val="000000" w:themeColor="text1"/>
        </w:rPr>
        <w:t xml:space="preserve"> which is a strength for the </w:t>
      </w:r>
      <w:r w:rsidR="35AC917A" w:rsidRPr="00B1622A">
        <w:rPr>
          <w:color w:val="000000" w:themeColor="text1"/>
        </w:rPr>
        <w:t>district.</w:t>
      </w:r>
    </w:p>
    <w:p w14:paraId="685D26D1" w14:textId="4465BE50" w:rsidR="00A36E2F" w:rsidRPr="00B1622A" w:rsidRDefault="029F37FF" w:rsidP="00FA740F">
      <w:pPr>
        <w:pStyle w:val="BodyText"/>
        <w:rPr>
          <w:color w:val="000000" w:themeColor="text1"/>
        </w:rPr>
      </w:pPr>
      <w:r>
        <w:t>The district</w:t>
      </w:r>
      <w:r w:rsidR="45B78CE8">
        <w:t xml:space="preserve"> </w:t>
      </w:r>
      <w:r w:rsidR="756F2973">
        <w:t>is in th</w:t>
      </w:r>
      <w:r w:rsidR="1A99E617">
        <w:t>e</w:t>
      </w:r>
      <w:r w:rsidR="756F2973">
        <w:t xml:space="preserve"> process</w:t>
      </w:r>
      <w:r w:rsidR="54E4AAF7">
        <w:t xml:space="preserve"> of exploring how best to </w:t>
      </w:r>
      <w:r w:rsidR="7CA150F9">
        <w:t xml:space="preserve">modernize </w:t>
      </w:r>
      <w:r w:rsidR="181F81FD">
        <w:t xml:space="preserve">and transition </w:t>
      </w:r>
      <w:r w:rsidR="7191D835">
        <w:t>its</w:t>
      </w:r>
      <w:r>
        <w:t xml:space="preserve"> approach to managing personnel records </w:t>
      </w:r>
      <w:r w:rsidR="002C2989">
        <w:t xml:space="preserve">from a paper </w:t>
      </w:r>
      <w:r>
        <w:t xml:space="preserve">to an electronic system. </w:t>
      </w:r>
      <w:r w:rsidR="002C2989">
        <w:t>Paper p</w:t>
      </w:r>
      <w:r>
        <w:t xml:space="preserve">ersonnel files are currently maintained in secured, locked cabinets. District leadership acknowledged the need for a more fully electronic and secure </w:t>
      </w:r>
      <w:r w:rsidR="00E15139">
        <w:t>system and</w:t>
      </w:r>
      <w:r>
        <w:t xml:space="preserve"> described active</w:t>
      </w:r>
      <w:r w:rsidR="002C2989">
        <w:t>ly</w:t>
      </w:r>
      <w:r>
        <w:t xml:space="preserve"> explor</w:t>
      </w:r>
      <w:r w:rsidR="002C2989">
        <w:t>ing</w:t>
      </w:r>
      <w:r>
        <w:t xml:space="preserve"> digital personnel file solutions. While the district uses Frontline and </w:t>
      </w:r>
      <w:r w:rsidR="00884232">
        <w:t xml:space="preserve">MUNIS </w:t>
      </w:r>
      <w:r>
        <w:t>for timekeeping, absence management, and payroll-related processing, a fully integrated digital personnel system does not yet exist. The assistant superintendent</w:t>
      </w:r>
      <w:r w:rsidR="00A415D5">
        <w:t xml:space="preserve"> of HR</w:t>
      </w:r>
      <w:r>
        <w:t xml:space="preserve"> noted that moving toward a paperless environment is a clear district </w:t>
      </w:r>
      <w:r w:rsidRPr="00B1622A">
        <w:rPr>
          <w:color w:val="000000" w:themeColor="text1"/>
        </w:rPr>
        <w:t>goal and that the district recently obtained a vendor quote for a system that would enable new hires to complete all required documentation electronically. Transitioning personnel records and onboarding processes to a fully digital, secure system is an area for growth for the district.</w:t>
      </w:r>
    </w:p>
    <w:p w14:paraId="49039DAD" w14:textId="7119BA81" w:rsidR="00A36E2F" w:rsidRPr="00A36E2F" w:rsidRDefault="058B1630" w:rsidP="00FA740F">
      <w:pPr>
        <w:pStyle w:val="BodyText"/>
      </w:pPr>
      <w:r>
        <w:t>Grievances are addressed through processes defined in each bargaining unit</w:t>
      </w:r>
      <w:r w:rsidR="004879E1">
        <w:t>’</w:t>
      </w:r>
      <w:r>
        <w:t>s contract, with the assistant superintendent and associate directors serving as the district</w:t>
      </w:r>
      <w:r w:rsidR="004879E1">
        <w:t>’</w:t>
      </w:r>
      <w:r>
        <w:t xml:space="preserve">s representatives at each level. HR leadership described a proactive approach to labor relations, including inviting union presidents into conversations </w:t>
      </w:r>
      <w:r w:rsidR="004879E1">
        <w:t xml:space="preserve">to </w:t>
      </w:r>
      <w:r w:rsidR="0082315A">
        <w:t xml:space="preserve">try to </w:t>
      </w:r>
      <w:r>
        <w:t>resolve concerns collaboratively</w:t>
      </w:r>
      <w:r w:rsidR="0082315A">
        <w:t xml:space="preserve"> before formal grievances are filed</w:t>
      </w:r>
      <w:r>
        <w:t>. Procedures for addressing staff misconduct are differentiated by severity and role. Building administrators are expected to manage lower-level concerns, such as attendance issues and minor conduct matters, using a progressive discipline framework and an attendance guide developed and distributed by HR. More serious matters, including investigations involving allegations of physical harm, civil rights violations, or criminal conduct, are handled centrally by HR in coordination with appropriate legal, regulatory, and law enforcement partners.</w:t>
      </w:r>
    </w:p>
    <w:p w14:paraId="486FA845" w14:textId="55A26910" w:rsidR="00B827DE" w:rsidRDefault="00444346" w:rsidP="00FA740F">
      <w:pPr>
        <w:pStyle w:val="Heading3"/>
      </w:pPr>
      <w:bookmarkStart w:id="57" w:name="_Staffing"/>
      <w:bookmarkEnd w:id="57"/>
      <w:r w:rsidRPr="00FA740F">
        <w:t>Staffing</w:t>
      </w:r>
    </w:p>
    <w:p w14:paraId="6AE24197" w14:textId="29224873" w:rsidR="569A1C44" w:rsidRPr="00B1622A" w:rsidRDefault="007201EE" w:rsidP="00FA740F">
      <w:pPr>
        <w:pStyle w:val="BodyTextposthead"/>
        <w:rPr>
          <w:color w:val="000000" w:themeColor="text1"/>
        </w:rPr>
      </w:pPr>
      <w:r>
        <w:t>Positive f</w:t>
      </w:r>
      <w:r w:rsidR="00C95D16">
        <w:t>eatures of t</w:t>
      </w:r>
      <w:r w:rsidR="33310803" w:rsidRPr="190DD215">
        <w:t xml:space="preserve">he Brockton workforce </w:t>
      </w:r>
      <w:r w:rsidR="00C95D16">
        <w:t xml:space="preserve">include </w:t>
      </w:r>
      <w:r w:rsidR="33310803" w:rsidRPr="190DD215">
        <w:t xml:space="preserve">long-term employment, deep community ties, and a robust internal pipeline of </w:t>
      </w:r>
      <w:r w:rsidR="2481A587" w:rsidRPr="190DD215">
        <w:t>educators.</w:t>
      </w:r>
      <w:r w:rsidR="7AB85800" w:rsidRPr="190DD215">
        <w:t xml:space="preserve"> Across all school levels, staff frequently described careers that began</w:t>
      </w:r>
      <w:r w:rsidR="00C95D16">
        <w:t xml:space="preserve"> as</w:t>
      </w:r>
      <w:r w:rsidR="7AB85800" w:rsidRPr="190DD215">
        <w:t xml:space="preserve"> in</w:t>
      </w:r>
      <w:r w:rsidR="00C95D16">
        <w:t>-</w:t>
      </w:r>
      <w:r w:rsidR="7AB85800" w:rsidRPr="190DD215">
        <w:t>district paraprofessionals, substitute teachers, or members of the teacher aide corps before transitioning into licensed instructional roles. Several educators</w:t>
      </w:r>
      <w:r w:rsidR="33310803" w:rsidRPr="190DD215">
        <w:t xml:space="preserve">, who were </w:t>
      </w:r>
      <w:r w:rsidR="00D328E2">
        <w:t xml:space="preserve">also </w:t>
      </w:r>
      <w:r w:rsidR="13C686A9" w:rsidRPr="00B1622A">
        <w:rPr>
          <w:color w:val="000000" w:themeColor="text1"/>
        </w:rPr>
        <w:t>graduates</w:t>
      </w:r>
      <w:r w:rsidR="33310803" w:rsidRPr="00B1622A">
        <w:rPr>
          <w:color w:val="000000" w:themeColor="text1"/>
        </w:rPr>
        <w:t xml:space="preserve"> of </w:t>
      </w:r>
      <w:r w:rsidR="13C686A9" w:rsidRPr="00B1622A">
        <w:rPr>
          <w:color w:val="000000" w:themeColor="text1"/>
        </w:rPr>
        <w:t>Brockton schools,</w:t>
      </w:r>
      <w:r w:rsidR="7AB85800" w:rsidRPr="00B1622A" w:rsidDel="00660386">
        <w:rPr>
          <w:color w:val="000000" w:themeColor="text1"/>
        </w:rPr>
        <w:t xml:space="preserve"> </w:t>
      </w:r>
      <w:r w:rsidR="7AB85800" w:rsidRPr="00B1622A">
        <w:rPr>
          <w:color w:val="000000" w:themeColor="text1"/>
        </w:rPr>
        <w:t>noted that they had returned to Brockton to work after completing their own education elsewhere. This pattern indicates that the district draws meaningfully on both internal development and alumni recruitment to build its workforce and the district</w:t>
      </w:r>
      <w:r w:rsidR="00503498" w:rsidRPr="00B1622A">
        <w:rPr>
          <w:color w:val="000000" w:themeColor="text1"/>
        </w:rPr>
        <w:t>’</w:t>
      </w:r>
      <w:r w:rsidR="7AB85800" w:rsidRPr="00B1622A">
        <w:rPr>
          <w:color w:val="000000" w:themeColor="text1"/>
        </w:rPr>
        <w:t>s internal pipeline, which is a strength of the district.</w:t>
      </w:r>
    </w:p>
    <w:p w14:paraId="7DB93A81" w14:textId="6253C99B" w:rsidR="697B68E9" w:rsidRDefault="0C3B3BE3" w:rsidP="00FA740F">
      <w:pPr>
        <w:pStyle w:val="BodyText"/>
      </w:pPr>
      <w:r>
        <w:t xml:space="preserve">HR leadership described </w:t>
      </w:r>
      <w:r w:rsidR="00811778">
        <w:t xml:space="preserve">using </w:t>
      </w:r>
      <w:r>
        <w:t>a multiplatform recruitment approach that includes internal communications,</w:t>
      </w:r>
      <w:r w:rsidR="0CB9E8B8">
        <w:t xml:space="preserve"> postings on </w:t>
      </w:r>
      <w:r>
        <w:t>the district website</w:t>
      </w:r>
      <w:r w:rsidR="22D1D4E3">
        <w:t xml:space="preserve">, </w:t>
      </w:r>
      <w:r>
        <w:t>SchoolSpring, social media, and physical postings, with accommodations for both online and paper applications to ensure accessibility for a wide range of candidates. For hiring, HR introduced a standardized Microsoft Form to streamline principal recommendations, which provides a timestamped record of submissions and reduces the risk of miss</w:t>
      </w:r>
      <w:r w:rsidR="00B3688D">
        <w:t>ing</w:t>
      </w:r>
      <w:r>
        <w:t xml:space="preserve"> candidates. The assistant superintendent described reviewing this process following identified inefficiencies</w:t>
      </w:r>
      <w:r w:rsidR="001D0CA1">
        <w:t>,</w:t>
      </w:r>
      <w:r>
        <w:t xml:space="preserve"> and noted that principals are now guided through a clear checklist to accelerate hiring of their recommended candidates.</w:t>
      </w:r>
    </w:p>
    <w:p w14:paraId="21FAA8A6" w14:textId="2B3DABDA" w:rsidR="697B68E9" w:rsidRDefault="569A1C44" w:rsidP="00FA740F">
      <w:pPr>
        <w:pStyle w:val="BodyText"/>
      </w:pPr>
      <w:r>
        <w:t xml:space="preserve">Recruitment efforts encompass a range of strategies, including job fairs, </w:t>
      </w:r>
      <w:r w:rsidR="001D0CA1">
        <w:t xml:space="preserve">posting on </w:t>
      </w:r>
      <w:r>
        <w:t xml:space="preserve">SchoolSpring, social media outreach, partnerships with higher education institutions, and participation in hiring events at </w:t>
      </w:r>
      <w:r w:rsidR="001D0CA1">
        <w:t>H</w:t>
      </w:r>
      <w:r>
        <w:t xml:space="preserve">istorically Black </w:t>
      </w:r>
      <w:r w:rsidR="001D0CA1">
        <w:t>C</w:t>
      </w:r>
      <w:r>
        <w:t xml:space="preserve">olleges and </w:t>
      </w:r>
      <w:r w:rsidR="001D0CA1">
        <w:t>U</w:t>
      </w:r>
      <w:r>
        <w:t xml:space="preserve">niversities. The assistant superintendent of </w:t>
      </w:r>
      <w:r w:rsidR="003D5644">
        <w:t>h</w:t>
      </w:r>
      <w:r>
        <w:t xml:space="preserve">uman </w:t>
      </w:r>
      <w:r w:rsidR="003D5644">
        <w:t>r</w:t>
      </w:r>
      <w:r>
        <w:t>esources described the district</w:t>
      </w:r>
      <w:r w:rsidR="00D509C1">
        <w:t>’</w:t>
      </w:r>
      <w:r>
        <w:t>s recruitment activities as intentionally broad, including direct outreach to faith communities and participation in diversity-focused hiring organizations</w:t>
      </w:r>
      <w:r w:rsidR="00D509C1">
        <w:t>.</w:t>
      </w:r>
    </w:p>
    <w:p w14:paraId="2F6217A0" w14:textId="11619A09" w:rsidR="011D10E5" w:rsidRDefault="415D6C47" w:rsidP="2D019F4B">
      <w:pPr>
        <w:pStyle w:val="BodyText"/>
      </w:pPr>
      <w:r>
        <w:t xml:space="preserve">A review of the hiring procedures outlined in the district’s </w:t>
      </w:r>
      <w:r w:rsidRPr="2D019F4B">
        <w:rPr>
          <w:i/>
          <w:iCs/>
        </w:rPr>
        <w:t>Hiring Guidebook</w:t>
      </w:r>
      <w:r>
        <w:t xml:space="preserve"> describe a structured, site-based process that emphasizes fairness, collaboration, and diversity through all stages, and this process is led by principals (with superintendent approval) and supported by Human Resources. The process includes recruitment, application screening, structured interviews with diverse panels, demonstration or observation when applicable, standardized evaluation and documentation, and comprehensive reference checks (including contacting current supervisors), followed by a formal recommendation to HR for appointment. District policies require consistent interview questions and scoring, careful documentation of decisions, adherence to anti-bias and nondiscrimination standards, confidentiality throughout the process, and clear communication with candidates, with final hiring and onboarding coordinated centrally by human resources.</w:t>
      </w:r>
    </w:p>
    <w:p w14:paraId="1142F0E9" w14:textId="77777777" w:rsidR="00D47051" w:rsidRDefault="415D6C47" w:rsidP="00D470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Franklin Gothic Book" w:eastAsia="Franklin Gothic Book" w:hAnsi="Franklin Gothic Book" w:cs="Franklin Gothic Book"/>
        </w:rPr>
      </w:pPr>
      <w:r w:rsidRPr="2D019F4B">
        <w:rPr>
          <w:rFonts w:ascii="Franklin Gothic Book" w:eastAsia="Franklin Gothic Book" w:hAnsi="Franklin Gothic Book" w:cs="Franklin Gothic Book"/>
        </w:rPr>
        <w:t>District leaders also outlined the procedures for ensuring candidates have the appropriate qualifications for open positions. HR associate directors conduct licensure verification and review DESE records, transcripts, and supporting documentation for all new hires. HR staff verify that candidates hold appropriate licenses for their assigned roles before appointments are finalized, and staff use DESE’s educator license look-up and waiver platform to manage cases requiring licensure exceptions. New licenses and renewals submitted by educators are saved in MUNIS and placed in their personnel files. HR also conducts internal audits to ensure that educators are placed in positions for which they are properly credentialed, particularly during transfers or following school closures.</w:t>
      </w:r>
    </w:p>
    <w:p w14:paraId="32887451" w14:textId="5A2D2721" w:rsidR="0046023A" w:rsidRPr="00D47051" w:rsidRDefault="310318BA" w:rsidP="00D470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Franklin Gothic Book" w:eastAsia="Franklin Gothic Book" w:hAnsi="Franklin Gothic Book" w:cs="Franklin Gothic Book"/>
        </w:rPr>
      </w:pPr>
      <w:r>
        <w:t xml:space="preserve">However, the assistant superintendent </w:t>
      </w:r>
      <w:r w:rsidR="005620C4">
        <w:t xml:space="preserve">of HR </w:t>
      </w:r>
      <w:r>
        <w:t xml:space="preserve">acknowledged that the district's budget approval timeline, which often extends into June, presents a structural barrier to early hiring, </w:t>
      </w:r>
      <w:r w:rsidR="005620C4">
        <w:t xml:space="preserve">because </w:t>
      </w:r>
      <w:r>
        <w:t xml:space="preserve">neighboring districts with earlier timelines </w:t>
      </w:r>
      <w:r w:rsidR="66A172EB">
        <w:t>can</w:t>
      </w:r>
      <w:r>
        <w:t xml:space="preserve"> extend offers to qualified candidates before Brockton is positioned to do </w:t>
      </w:r>
      <w:r w:rsidR="005620C4">
        <w:t>so</w:t>
      </w:r>
      <w:r>
        <w:t xml:space="preserve">. This constraint is particularly acute in hard-to-fill areas such as bilingual education and mathematics, </w:t>
      </w:r>
      <w:r w:rsidR="005620C4">
        <w:t>because</w:t>
      </w:r>
      <w:r>
        <w:t xml:space="preserve"> qualified candidates receive multiple offers</w:t>
      </w:r>
      <w:r w:rsidR="0046023A">
        <w:t>.</w:t>
      </w:r>
    </w:p>
    <w:p w14:paraId="652E8282" w14:textId="46E2AB66" w:rsidR="569A1C44" w:rsidRPr="00B1622A" w:rsidRDefault="7AB85800" w:rsidP="00FA740F">
      <w:pPr>
        <w:pStyle w:val="BodyText"/>
        <w:rPr>
          <w:color w:val="000000" w:themeColor="text1"/>
        </w:rPr>
      </w:pPr>
      <w:r>
        <w:t>Evidence from interviews and focus groups suggests that the district does not have a formal onboarding process for new staff. Multiple teacher</w:t>
      </w:r>
      <w:r w:rsidR="0695F578">
        <w:t xml:space="preserve"> focus group participants</w:t>
      </w:r>
      <w:r>
        <w:t xml:space="preserve"> referenced district-supported initial training connected to curriculum adoptions, including summer trainings and early implementation coaching, as the primary orientation to district expectations. While these structures </w:t>
      </w:r>
      <w:r w:rsidRPr="00B1622A">
        <w:rPr>
          <w:color w:val="000000" w:themeColor="text1"/>
        </w:rPr>
        <w:t xml:space="preserve">provide meaningful instructional grounding, the district does not have a comprehensive, standalone onboarding framework that addresses the full range of new-hire needs across roles. Strengthening </w:t>
      </w:r>
      <w:r w:rsidR="00373EA8">
        <w:rPr>
          <w:color w:val="000000" w:themeColor="text1"/>
        </w:rPr>
        <w:t xml:space="preserve">and </w:t>
      </w:r>
      <w:r w:rsidRPr="00B1622A">
        <w:rPr>
          <w:color w:val="000000" w:themeColor="text1"/>
        </w:rPr>
        <w:t>formal</w:t>
      </w:r>
      <w:r w:rsidR="00373EA8">
        <w:rPr>
          <w:color w:val="000000" w:themeColor="text1"/>
        </w:rPr>
        <w:t>izing the</w:t>
      </w:r>
      <w:r w:rsidRPr="00B1622A">
        <w:rPr>
          <w:color w:val="000000" w:themeColor="text1"/>
        </w:rPr>
        <w:t xml:space="preserve"> onboarding process is an area for growth for the district.</w:t>
      </w:r>
    </w:p>
    <w:p w14:paraId="10847532" w14:textId="75F7C4F4" w:rsidR="569A1C44" w:rsidRDefault="7AB85800" w:rsidP="00FA740F">
      <w:pPr>
        <w:pStyle w:val="BodyText"/>
      </w:pPr>
      <w:r w:rsidRPr="190DD215">
        <w:t xml:space="preserve">Educator assignment practices are aligned to licensure, content expertise, and programmatic needs. Teachers described assignments that matched their certification areas, including departmentalized structures at the secondary level and specialized placements for </w:t>
      </w:r>
      <w:r w:rsidR="00F42D1A">
        <w:t>social-emotional learning</w:t>
      </w:r>
      <w:r w:rsidRPr="190DD215">
        <w:t xml:space="preserve">, </w:t>
      </w:r>
      <w:r w:rsidR="00F42D1A">
        <w:t xml:space="preserve">English as a </w:t>
      </w:r>
      <w:r w:rsidR="009E6D88">
        <w:t>S</w:t>
      </w:r>
      <w:r w:rsidR="00F42D1A">
        <w:t xml:space="preserve">econd </w:t>
      </w:r>
      <w:r w:rsidR="009E6D88">
        <w:t>L</w:t>
      </w:r>
      <w:r w:rsidR="00F42D1A">
        <w:t>anguage</w:t>
      </w:r>
      <w:r w:rsidRPr="190DD215">
        <w:t xml:space="preserve">, and special education classrooms. District leaders described a coordination process involving the assistant superintendents of </w:t>
      </w:r>
      <w:r w:rsidR="001135CD">
        <w:t xml:space="preserve">grades </w:t>
      </w:r>
      <w:r w:rsidRPr="190DD215">
        <w:t>K</w:t>
      </w:r>
      <w:r w:rsidR="001135CD">
        <w:t>-</w:t>
      </w:r>
      <w:r w:rsidRPr="190DD215">
        <w:t>8 and</w:t>
      </w:r>
      <w:r w:rsidRPr="190DD215" w:rsidDel="001135CD">
        <w:t xml:space="preserve"> </w:t>
      </w:r>
      <w:r w:rsidR="001135CD">
        <w:t xml:space="preserve">grades </w:t>
      </w:r>
      <w:r w:rsidRPr="190DD215">
        <w:t>9</w:t>
      </w:r>
      <w:r w:rsidR="001135CD">
        <w:t>-</w:t>
      </w:r>
      <w:r w:rsidRPr="190DD215">
        <w:t>12 to manage staffing allocations, enrollment projections, and midyear adjustments.</w:t>
      </w:r>
    </w:p>
    <w:p w14:paraId="011F4B8D" w14:textId="123B1996" w:rsidR="00FC53F4" w:rsidRDefault="7AB85800" w:rsidP="00FA740F">
      <w:pPr>
        <w:pStyle w:val="BodyText"/>
      </w:pPr>
      <w:r w:rsidRPr="190DD215">
        <w:t>Educator evaluation responsibilities for licensed staff have been transferred from HR to the Department of Professional Growth and School Improvement</w:t>
      </w:r>
      <w:r w:rsidR="001135CD">
        <w:t>. T</w:t>
      </w:r>
      <w:r w:rsidRPr="190DD215">
        <w:t xml:space="preserve">he </w:t>
      </w:r>
      <w:r w:rsidR="001135CD">
        <w:t>d</w:t>
      </w:r>
      <w:r w:rsidRPr="190DD215">
        <w:t xml:space="preserve">irector of </w:t>
      </w:r>
      <w:r w:rsidR="001135CD">
        <w:t>this department</w:t>
      </w:r>
      <w:r w:rsidRPr="190DD215">
        <w:t xml:space="preserve"> manages the evaluation calendar using PowerSchool Perform. </w:t>
      </w:r>
      <w:r w:rsidR="165DD872" w:rsidRPr="190DD215">
        <w:t xml:space="preserve">As noted in the </w:t>
      </w:r>
      <w:r w:rsidR="165DD872" w:rsidRPr="001135CD">
        <w:rPr>
          <w:i/>
          <w:iCs/>
        </w:rPr>
        <w:t>Curriculum and Instruction</w:t>
      </w:r>
      <w:r w:rsidR="165DD872" w:rsidRPr="190DD215">
        <w:t xml:space="preserve"> section, w</w:t>
      </w:r>
      <w:r w:rsidRPr="190DD215">
        <w:t xml:space="preserve">alkthrough and coaching practices provide supplemental feedback to instructional staff outside the formal evaluation cycle. </w:t>
      </w:r>
      <w:r w:rsidR="47427BAA" w:rsidRPr="190DD215">
        <w:t xml:space="preserve">District records suggest that teacher </w:t>
      </w:r>
      <w:r w:rsidR="2F5F1187" w:rsidRPr="190DD215">
        <w:t>and administrator</w:t>
      </w:r>
      <w:r w:rsidR="47427BAA" w:rsidRPr="190DD215">
        <w:t xml:space="preserve"> evaluations are consistently </w:t>
      </w:r>
      <w:r w:rsidR="2F5F1187" w:rsidRPr="190DD215">
        <w:t>completed using PowerSchool</w:t>
      </w:r>
      <w:r w:rsidR="47427BAA" w:rsidRPr="190DD215">
        <w:t xml:space="preserve"> and administrator records are preserved by hand. </w:t>
      </w:r>
      <w:r w:rsidR="2C4786C6" w:rsidRPr="190DD215">
        <w:t xml:space="preserve">Table </w:t>
      </w:r>
      <w:r w:rsidR="5ACE3B46" w:rsidRPr="190DD215">
        <w:t>8</w:t>
      </w:r>
      <w:r w:rsidR="2C4786C6" w:rsidRPr="190DD215">
        <w:t xml:space="preserve"> shows findings from a </w:t>
      </w:r>
      <w:r w:rsidR="47427BAA" w:rsidRPr="190DD215">
        <w:t>review of these records</w:t>
      </w:r>
      <w:r w:rsidR="2C4786C6" w:rsidRPr="190DD215">
        <w:t>.</w:t>
      </w:r>
    </w:p>
    <w:p w14:paraId="66642AC5" w14:textId="41CF8576" w:rsidR="004C7FAA" w:rsidRPr="00CB0607" w:rsidRDefault="004C7FAA" w:rsidP="00FA740F">
      <w:pPr>
        <w:pStyle w:val="TableTitle0"/>
      </w:pPr>
      <w:r w:rsidRPr="00CB0607">
        <w:t xml:space="preserve">Table </w:t>
      </w:r>
      <w:r w:rsidR="00692016">
        <w:t>8</w:t>
      </w:r>
      <w:r w:rsidRPr="00CB0607">
        <w:t xml:space="preserve">. </w:t>
      </w:r>
      <w:r w:rsidR="00FC53F4">
        <w:t>Summary of Educator Evaluati</w:t>
      </w:r>
      <w:r w:rsidR="001A3A00">
        <w:t>on Records Review</w:t>
      </w:r>
    </w:p>
    <w:tbl>
      <w:tblPr>
        <w:tblStyle w:val="MSVTable1"/>
        <w:tblW w:w="5000" w:type="pct"/>
        <w:tblLayout w:type="fixed"/>
        <w:tblLook w:val="04A0" w:firstRow="1" w:lastRow="0" w:firstColumn="1" w:lastColumn="0" w:noHBand="0" w:noVBand="1"/>
        <w:tblCaption w:val="Table 8. Summary of Educator Evaluation Records Review"/>
        <w:tblDescription w:val="Summary of Educator Evaluation Records Review"/>
      </w:tblPr>
      <w:tblGrid>
        <w:gridCol w:w="1612"/>
        <w:gridCol w:w="4860"/>
        <w:gridCol w:w="1436"/>
        <w:gridCol w:w="1436"/>
      </w:tblGrid>
      <w:tr w:rsidR="009524B0" w:rsidRPr="000458E4" w14:paraId="4EE86AE8" w14:textId="77777777" w:rsidTr="00875BBA">
        <w:trPr>
          <w:cnfStyle w:val="100000000000" w:firstRow="1" w:lastRow="0" w:firstColumn="0" w:lastColumn="0" w:oddVBand="0" w:evenVBand="0" w:oddHBand="0" w:evenHBand="0" w:firstRowFirstColumn="0" w:firstRowLastColumn="0" w:lastRowFirstColumn="0" w:lastRowLastColumn="0"/>
          <w:tblHeader/>
        </w:trPr>
        <w:tc>
          <w:tcPr>
            <w:tcW w:w="1612" w:type="dxa"/>
          </w:tcPr>
          <w:p w14:paraId="0AC91582" w14:textId="77777777" w:rsidR="009524B0" w:rsidRPr="6464E26C" w:rsidRDefault="009524B0" w:rsidP="007B4872">
            <w:pPr>
              <w:pStyle w:val="TableColHeadingCenter"/>
            </w:pPr>
            <w:r w:rsidRPr="6464E26C">
              <w:t>Category</w:t>
            </w:r>
          </w:p>
        </w:tc>
        <w:tc>
          <w:tcPr>
            <w:tcW w:w="4860" w:type="dxa"/>
          </w:tcPr>
          <w:p w14:paraId="5F4ACA15" w14:textId="77777777" w:rsidR="009524B0" w:rsidRPr="000458E4" w:rsidRDefault="009524B0" w:rsidP="007B4872">
            <w:pPr>
              <w:pStyle w:val="TableColHeadingCenter"/>
            </w:pPr>
            <w:r>
              <w:t>Component</w:t>
            </w:r>
          </w:p>
        </w:tc>
        <w:tc>
          <w:tcPr>
            <w:tcW w:w="1436" w:type="dxa"/>
          </w:tcPr>
          <w:p w14:paraId="533767C3" w14:textId="77777777" w:rsidR="009524B0" w:rsidRPr="000458E4" w:rsidRDefault="009524B0" w:rsidP="007B4872">
            <w:pPr>
              <w:pStyle w:val="TableColHeadingCenter"/>
            </w:pPr>
            <w:r w:rsidRPr="000458E4">
              <w:t>Teachers</w:t>
            </w:r>
          </w:p>
        </w:tc>
        <w:tc>
          <w:tcPr>
            <w:tcW w:w="1436" w:type="dxa"/>
          </w:tcPr>
          <w:p w14:paraId="0F947F68" w14:textId="77777777" w:rsidR="009524B0" w:rsidRPr="000458E4" w:rsidRDefault="009524B0" w:rsidP="007B4872">
            <w:pPr>
              <w:pStyle w:val="TableColHeadingCenter"/>
            </w:pPr>
            <w:r w:rsidRPr="000458E4">
              <w:t>Administrators</w:t>
            </w:r>
          </w:p>
        </w:tc>
      </w:tr>
      <w:tr w:rsidR="009524B0" w:rsidRPr="000458E4" w14:paraId="59B3F1CA" w14:textId="77777777" w:rsidTr="00875BBA">
        <w:trPr>
          <w:cnfStyle w:val="000000100000" w:firstRow="0" w:lastRow="0" w:firstColumn="0" w:lastColumn="0" w:oddVBand="0" w:evenVBand="0" w:oddHBand="1" w:evenHBand="0" w:firstRowFirstColumn="0" w:firstRowLastColumn="0" w:lastRowFirstColumn="0" w:lastRowLastColumn="0"/>
        </w:trPr>
        <w:tc>
          <w:tcPr>
            <w:tcW w:w="1612" w:type="dxa"/>
          </w:tcPr>
          <w:p w14:paraId="455A33FA" w14:textId="77777777" w:rsidR="009524B0" w:rsidRPr="000458E4" w:rsidRDefault="009524B0" w:rsidP="007B4872">
            <w:pPr>
              <w:pStyle w:val="TableSubheading"/>
            </w:pPr>
            <w:r>
              <w:t>General</w:t>
            </w:r>
          </w:p>
        </w:tc>
        <w:tc>
          <w:tcPr>
            <w:tcW w:w="4860" w:type="dxa"/>
          </w:tcPr>
          <w:p w14:paraId="3088D4AA" w14:textId="77777777" w:rsidR="009524B0" w:rsidRPr="007B4872" w:rsidRDefault="009524B0" w:rsidP="007B4872">
            <w:pPr>
              <w:pStyle w:val="TableText"/>
            </w:pPr>
            <w:r w:rsidRPr="007B4872">
              <w:t>Number of Evaluations Selected for Review</w:t>
            </w:r>
          </w:p>
        </w:tc>
        <w:tc>
          <w:tcPr>
            <w:tcW w:w="1436" w:type="dxa"/>
          </w:tcPr>
          <w:p w14:paraId="0C53453E" w14:textId="73484BDF" w:rsidR="009524B0" w:rsidRPr="001A3A00" w:rsidRDefault="009D2091" w:rsidP="007B4872">
            <w:pPr>
              <w:pStyle w:val="TableTextCentered"/>
              <w:rPr>
                <w:highlight w:val="yellow"/>
              </w:rPr>
            </w:pPr>
            <w:r w:rsidRPr="003B4C80">
              <w:t>76</w:t>
            </w:r>
          </w:p>
        </w:tc>
        <w:tc>
          <w:tcPr>
            <w:tcW w:w="1436" w:type="dxa"/>
          </w:tcPr>
          <w:p w14:paraId="719419F0" w14:textId="79174A2B" w:rsidR="009524B0" w:rsidRPr="001A3A00" w:rsidRDefault="009D2091" w:rsidP="007B4872">
            <w:pPr>
              <w:pStyle w:val="TableTextCentered"/>
              <w:rPr>
                <w:highlight w:val="yellow"/>
              </w:rPr>
            </w:pPr>
            <w:r w:rsidRPr="003B4C80">
              <w:t>77</w:t>
            </w:r>
          </w:p>
        </w:tc>
      </w:tr>
      <w:tr w:rsidR="009524B0" w:rsidRPr="000458E4" w14:paraId="0C50F5AC" w14:textId="77777777" w:rsidTr="00875BBA">
        <w:tc>
          <w:tcPr>
            <w:tcW w:w="1612" w:type="dxa"/>
          </w:tcPr>
          <w:p w14:paraId="674FB7E9" w14:textId="77777777" w:rsidR="009524B0" w:rsidRPr="000458E4" w:rsidRDefault="009524B0" w:rsidP="007B4872">
            <w:pPr>
              <w:pStyle w:val="TableSubheading"/>
            </w:pPr>
            <w:r>
              <w:t>General</w:t>
            </w:r>
          </w:p>
        </w:tc>
        <w:tc>
          <w:tcPr>
            <w:tcW w:w="4860" w:type="dxa"/>
          </w:tcPr>
          <w:p w14:paraId="784F4433" w14:textId="77777777" w:rsidR="009524B0" w:rsidRPr="007B4872" w:rsidRDefault="009524B0" w:rsidP="007B4872">
            <w:pPr>
              <w:pStyle w:val="TableText"/>
            </w:pPr>
            <w:r w:rsidRPr="007B4872">
              <w:t>Summative Evaluation Available</w:t>
            </w:r>
          </w:p>
        </w:tc>
        <w:tc>
          <w:tcPr>
            <w:tcW w:w="1436" w:type="dxa"/>
          </w:tcPr>
          <w:p w14:paraId="13F86193" w14:textId="74AA2230" w:rsidR="009524B0" w:rsidRPr="001A3A00" w:rsidRDefault="009D2091" w:rsidP="007B4872">
            <w:pPr>
              <w:pStyle w:val="TableTextCentered"/>
              <w:rPr>
                <w:highlight w:val="yellow"/>
              </w:rPr>
            </w:pPr>
            <w:r w:rsidRPr="003B4C80">
              <w:t>75/76</w:t>
            </w:r>
          </w:p>
        </w:tc>
        <w:tc>
          <w:tcPr>
            <w:tcW w:w="1436" w:type="dxa"/>
          </w:tcPr>
          <w:p w14:paraId="3AC4006C" w14:textId="7F64287F" w:rsidR="009524B0" w:rsidRPr="001A3A00" w:rsidRDefault="009D2091" w:rsidP="007B4872">
            <w:pPr>
              <w:pStyle w:val="TableTextCentered"/>
              <w:rPr>
                <w:highlight w:val="yellow"/>
              </w:rPr>
            </w:pPr>
            <w:r w:rsidRPr="003B4C80">
              <w:t>74/77</w:t>
            </w:r>
          </w:p>
        </w:tc>
      </w:tr>
      <w:tr w:rsidR="009524B0" w:rsidRPr="000458E4" w14:paraId="057F9ED5" w14:textId="77777777" w:rsidTr="00875BBA">
        <w:trPr>
          <w:cnfStyle w:val="000000100000" w:firstRow="0" w:lastRow="0" w:firstColumn="0" w:lastColumn="0" w:oddVBand="0" w:evenVBand="0" w:oddHBand="1" w:evenHBand="0" w:firstRowFirstColumn="0" w:firstRowLastColumn="0" w:lastRowFirstColumn="0" w:lastRowLastColumn="0"/>
        </w:trPr>
        <w:tc>
          <w:tcPr>
            <w:tcW w:w="1612" w:type="dxa"/>
          </w:tcPr>
          <w:p w14:paraId="18ED7113" w14:textId="0731C63A" w:rsidR="009524B0" w:rsidRPr="000458E4" w:rsidRDefault="009524B0" w:rsidP="007B4872">
            <w:pPr>
              <w:pStyle w:val="TableSubheading"/>
            </w:pPr>
            <w:r w:rsidRPr="000458E4">
              <w:t>SMART</w:t>
            </w:r>
            <w:r>
              <w:t xml:space="preserve"> Goals</w:t>
            </w:r>
          </w:p>
        </w:tc>
        <w:tc>
          <w:tcPr>
            <w:tcW w:w="4860" w:type="dxa"/>
          </w:tcPr>
          <w:p w14:paraId="6817921C" w14:textId="08CAB830" w:rsidR="009524B0" w:rsidRPr="007B4872" w:rsidRDefault="009524B0" w:rsidP="007B4872">
            <w:pPr>
              <w:pStyle w:val="TableText"/>
            </w:pPr>
            <w:r w:rsidRPr="007B4872">
              <w:t>Included Student Learning SMART Goal</w:t>
            </w:r>
          </w:p>
        </w:tc>
        <w:tc>
          <w:tcPr>
            <w:tcW w:w="1436" w:type="dxa"/>
          </w:tcPr>
          <w:p w14:paraId="6B4D1C74" w14:textId="36B2E73A" w:rsidR="009524B0" w:rsidRPr="001A3A00" w:rsidRDefault="009D2091" w:rsidP="007B4872">
            <w:pPr>
              <w:pStyle w:val="TableTextCentered"/>
              <w:rPr>
                <w:highlight w:val="yellow"/>
              </w:rPr>
            </w:pPr>
            <w:r w:rsidRPr="003B4C80">
              <w:t>70/75</w:t>
            </w:r>
          </w:p>
        </w:tc>
        <w:tc>
          <w:tcPr>
            <w:tcW w:w="1436" w:type="dxa"/>
          </w:tcPr>
          <w:p w14:paraId="084977A5" w14:textId="4D4B8E9F" w:rsidR="009524B0" w:rsidRPr="001A3A00" w:rsidRDefault="009D2091" w:rsidP="007B4872">
            <w:pPr>
              <w:pStyle w:val="TableTextCentered"/>
              <w:rPr>
                <w:highlight w:val="yellow"/>
              </w:rPr>
            </w:pPr>
            <w:r w:rsidRPr="003B4C80">
              <w:t>62/74</w:t>
            </w:r>
          </w:p>
        </w:tc>
      </w:tr>
      <w:tr w:rsidR="009524B0" w:rsidRPr="000458E4" w14:paraId="24D2170B" w14:textId="77777777" w:rsidTr="00875BBA">
        <w:tc>
          <w:tcPr>
            <w:tcW w:w="1612" w:type="dxa"/>
          </w:tcPr>
          <w:p w14:paraId="0BFCF31A" w14:textId="77777777" w:rsidR="009524B0" w:rsidRPr="000458E4" w:rsidRDefault="009524B0" w:rsidP="007B4872">
            <w:pPr>
              <w:pStyle w:val="TableSubheading"/>
            </w:pPr>
            <w:r>
              <w:t>SMART Goals</w:t>
            </w:r>
          </w:p>
        </w:tc>
        <w:tc>
          <w:tcPr>
            <w:tcW w:w="4860" w:type="dxa"/>
          </w:tcPr>
          <w:p w14:paraId="0206D5E3" w14:textId="77777777" w:rsidR="009524B0" w:rsidRPr="007B4872" w:rsidRDefault="009524B0" w:rsidP="007B4872">
            <w:pPr>
              <w:pStyle w:val="TableText"/>
            </w:pPr>
            <w:r w:rsidRPr="007B4872">
              <w:t>Progress Toward Student Learning SMART Goal Evaluated</w:t>
            </w:r>
          </w:p>
        </w:tc>
        <w:tc>
          <w:tcPr>
            <w:tcW w:w="1436" w:type="dxa"/>
          </w:tcPr>
          <w:p w14:paraId="5B4803BC" w14:textId="3AF3D737" w:rsidR="009524B0" w:rsidRPr="001A3A00" w:rsidRDefault="009D2091" w:rsidP="007B4872">
            <w:pPr>
              <w:pStyle w:val="TableTextCentered"/>
              <w:rPr>
                <w:highlight w:val="yellow"/>
              </w:rPr>
            </w:pPr>
            <w:r w:rsidRPr="003B4C80">
              <w:t>70/75</w:t>
            </w:r>
          </w:p>
        </w:tc>
        <w:tc>
          <w:tcPr>
            <w:tcW w:w="1436" w:type="dxa"/>
          </w:tcPr>
          <w:p w14:paraId="74C42BD2" w14:textId="51CBDF06" w:rsidR="009524B0" w:rsidRPr="001A3A00" w:rsidRDefault="009D2091" w:rsidP="007B4872">
            <w:pPr>
              <w:pStyle w:val="TableTextCentered"/>
              <w:rPr>
                <w:highlight w:val="yellow"/>
              </w:rPr>
            </w:pPr>
            <w:r w:rsidRPr="003B4C80">
              <w:t>62/74</w:t>
            </w:r>
          </w:p>
        </w:tc>
      </w:tr>
      <w:tr w:rsidR="009524B0" w:rsidRPr="000458E4" w14:paraId="06FB8296" w14:textId="77777777" w:rsidTr="00875BBA">
        <w:trPr>
          <w:cnfStyle w:val="000000100000" w:firstRow="0" w:lastRow="0" w:firstColumn="0" w:lastColumn="0" w:oddVBand="0" w:evenVBand="0" w:oddHBand="1" w:evenHBand="0" w:firstRowFirstColumn="0" w:firstRowLastColumn="0" w:lastRowFirstColumn="0" w:lastRowLastColumn="0"/>
        </w:trPr>
        <w:tc>
          <w:tcPr>
            <w:tcW w:w="1612" w:type="dxa"/>
          </w:tcPr>
          <w:p w14:paraId="2ACACF4C" w14:textId="77777777" w:rsidR="009524B0" w:rsidRPr="000458E4" w:rsidRDefault="009524B0" w:rsidP="007B4872">
            <w:pPr>
              <w:pStyle w:val="TableSubheading"/>
            </w:pPr>
            <w:r>
              <w:t>SMART Goals</w:t>
            </w:r>
          </w:p>
        </w:tc>
        <w:tc>
          <w:tcPr>
            <w:tcW w:w="4860" w:type="dxa"/>
          </w:tcPr>
          <w:p w14:paraId="417F6955" w14:textId="77777777" w:rsidR="009524B0" w:rsidRPr="007B4872" w:rsidRDefault="009524B0" w:rsidP="007B4872">
            <w:pPr>
              <w:pStyle w:val="TableText"/>
            </w:pPr>
            <w:r w:rsidRPr="007B4872">
              <w:t>Included Professional Practice SMART Goal</w:t>
            </w:r>
          </w:p>
        </w:tc>
        <w:tc>
          <w:tcPr>
            <w:tcW w:w="1436" w:type="dxa"/>
          </w:tcPr>
          <w:p w14:paraId="4FF8A9BC" w14:textId="49805492" w:rsidR="009524B0" w:rsidRPr="001A3A00" w:rsidRDefault="009D2091" w:rsidP="007B4872">
            <w:pPr>
              <w:pStyle w:val="TableTextCentered"/>
              <w:rPr>
                <w:highlight w:val="yellow"/>
              </w:rPr>
            </w:pPr>
            <w:r w:rsidRPr="003B4C80">
              <w:t>70/75</w:t>
            </w:r>
          </w:p>
        </w:tc>
        <w:tc>
          <w:tcPr>
            <w:tcW w:w="1436" w:type="dxa"/>
          </w:tcPr>
          <w:p w14:paraId="1194728F" w14:textId="22D2FB01" w:rsidR="009524B0" w:rsidRPr="001A3A00" w:rsidRDefault="009D2091" w:rsidP="007B4872">
            <w:pPr>
              <w:pStyle w:val="TableTextCentered"/>
              <w:rPr>
                <w:highlight w:val="yellow"/>
              </w:rPr>
            </w:pPr>
            <w:r w:rsidRPr="003B4C80">
              <w:t>62/74</w:t>
            </w:r>
          </w:p>
        </w:tc>
      </w:tr>
      <w:tr w:rsidR="009524B0" w:rsidRPr="000458E4" w14:paraId="0ED9A800" w14:textId="77777777" w:rsidTr="00875BBA">
        <w:tc>
          <w:tcPr>
            <w:tcW w:w="1612" w:type="dxa"/>
          </w:tcPr>
          <w:p w14:paraId="79CD7587" w14:textId="77777777" w:rsidR="009524B0" w:rsidRPr="000458E4" w:rsidRDefault="009524B0" w:rsidP="007B4872">
            <w:pPr>
              <w:pStyle w:val="TableSubheading"/>
            </w:pPr>
            <w:r>
              <w:t>SMART Goals</w:t>
            </w:r>
          </w:p>
        </w:tc>
        <w:tc>
          <w:tcPr>
            <w:tcW w:w="4860" w:type="dxa"/>
          </w:tcPr>
          <w:p w14:paraId="5A22AF5B" w14:textId="77777777" w:rsidR="009524B0" w:rsidRPr="007B4872" w:rsidRDefault="009524B0" w:rsidP="007B4872">
            <w:pPr>
              <w:pStyle w:val="TableText"/>
            </w:pPr>
            <w:r w:rsidRPr="007B4872">
              <w:t>Progress Toward Professional Practice SMART Goal Evaluated</w:t>
            </w:r>
          </w:p>
        </w:tc>
        <w:tc>
          <w:tcPr>
            <w:tcW w:w="1436" w:type="dxa"/>
          </w:tcPr>
          <w:p w14:paraId="7FAE24E0" w14:textId="01476FF9" w:rsidR="009524B0" w:rsidRPr="001A3A00" w:rsidRDefault="009D2091" w:rsidP="007B4872">
            <w:pPr>
              <w:pStyle w:val="TableTextCentered"/>
              <w:rPr>
                <w:highlight w:val="yellow"/>
              </w:rPr>
            </w:pPr>
            <w:r w:rsidRPr="003B4C80">
              <w:t>70/75</w:t>
            </w:r>
          </w:p>
        </w:tc>
        <w:tc>
          <w:tcPr>
            <w:tcW w:w="1436" w:type="dxa"/>
          </w:tcPr>
          <w:p w14:paraId="56C99804" w14:textId="1444A73E" w:rsidR="009524B0" w:rsidRPr="001A3A00" w:rsidRDefault="009D2091" w:rsidP="007B4872">
            <w:pPr>
              <w:pStyle w:val="TableTextCentered"/>
              <w:rPr>
                <w:highlight w:val="yellow"/>
              </w:rPr>
            </w:pPr>
            <w:r w:rsidRPr="003B4C80">
              <w:t>62/74</w:t>
            </w:r>
          </w:p>
        </w:tc>
      </w:tr>
      <w:tr w:rsidR="009524B0" w:rsidRPr="000458E4" w14:paraId="7D11348E" w14:textId="77777777" w:rsidTr="00875BBA">
        <w:trPr>
          <w:cnfStyle w:val="000000100000" w:firstRow="0" w:lastRow="0" w:firstColumn="0" w:lastColumn="0" w:oddVBand="0" w:evenVBand="0" w:oddHBand="1" w:evenHBand="0" w:firstRowFirstColumn="0" w:firstRowLastColumn="0" w:lastRowFirstColumn="0" w:lastRowLastColumn="0"/>
        </w:trPr>
        <w:tc>
          <w:tcPr>
            <w:tcW w:w="1612" w:type="dxa"/>
          </w:tcPr>
          <w:p w14:paraId="4F0EB39C" w14:textId="77777777" w:rsidR="009524B0" w:rsidRPr="000458E4" w:rsidRDefault="009524B0" w:rsidP="007B4872">
            <w:pPr>
              <w:pStyle w:val="TableSubheading"/>
            </w:pPr>
            <w:r>
              <w:t>SMART Goals</w:t>
            </w:r>
          </w:p>
        </w:tc>
        <w:tc>
          <w:tcPr>
            <w:tcW w:w="4860" w:type="dxa"/>
          </w:tcPr>
          <w:p w14:paraId="020D3693" w14:textId="0A3A385A" w:rsidR="009524B0" w:rsidRPr="007B4872" w:rsidRDefault="009524B0" w:rsidP="007B4872">
            <w:pPr>
              <w:pStyle w:val="TableText"/>
            </w:pPr>
            <w:r w:rsidRPr="007B4872">
              <w:t>2-4 School or District Improvement SMART Goals (</w:t>
            </w:r>
            <w:r w:rsidR="00B82EAC">
              <w:t>A</w:t>
            </w:r>
            <w:r w:rsidRPr="007B4872">
              <w:t xml:space="preserve">dmin </w:t>
            </w:r>
            <w:r w:rsidR="00B82EAC">
              <w:t>O</w:t>
            </w:r>
            <w:r w:rsidRPr="007B4872">
              <w:t>nly)</w:t>
            </w:r>
          </w:p>
        </w:tc>
        <w:tc>
          <w:tcPr>
            <w:tcW w:w="1436" w:type="dxa"/>
          </w:tcPr>
          <w:p w14:paraId="4FF36325" w14:textId="3EDDFA18" w:rsidR="009524B0" w:rsidRPr="001A3A00" w:rsidRDefault="009524B0" w:rsidP="007B4872">
            <w:pPr>
              <w:pStyle w:val="TableTextCentered"/>
              <w:rPr>
                <w:highlight w:val="yellow"/>
              </w:rPr>
            </w:pPr>
            <w:r w:rsidRPr="003B4C80">
              <w:t>N/A</w:t>
            </w:r>
          </w:p>
        </w:tc>
        <w:tc>
          <w:tcPr>
            <w:tcW w:w="1436" w:type="dxa"/>
          </w:tcPr>
          <w:p w14:paraId="472F4FB2" w14:textId="0BABF1A9" w:rsidR="009524B0" w:rsidRPr="001A3A00" w:rsidRDefault="009524B0" w:rsidP="007B4872">
            <w:pPr>
              <w:pStyle w:val="TableTextCentered"/>
              <w:rPr>
                <w:highlight w:val="yellow"/>
              </w:rPr>
            </w:pPr>
            <w:r w:rsidRPr="003B4C80">
              <w:t>1/</w:t>
            </w:r>
            <w:r w:rsidR="009D2091" w:rsidRPr="003B4C80">
              <w:t>74</w:t>
            </w:r>
          </w:p>
        </w:tc>
      </w:tr>
      <w:tr w:rsidR="009524B0" w:rsidRPr="000458E4" w14:paraId="78D9AD9A" w14:textId="77777777" w:rsidTr="00875BBA">
        <w:tc>
          <w:tcPr>
            <w:tcW w:w="1612" w:type="dxa"/>
          </w:tcPr>
          <w:p w14:paraId="181A2413" w14:textId="77777777" w:rsidR="009524B0" w:rsidRPr="000458E4" w:rsidRDefault="009524B0" w:rsidP="007B4872">
            <w:pPr>
              <w:pStyle w:val="TableSubheading"/>
            </w:pPr>
            <w:r>
              <w:t>SMART Goals</w:t>
            </w:r>
          </w:p>
        </w:tc>
        <w:tc>
          <w:tcPr>
            <w:tcW w:w="4860" w:type="dxa"/>
          </w:tcPr>
          <w:p w14:paraId="3DE6A360" w14:textId="77777777" w:rsidR="009524B0" w:rsidRPr="007B4872" w:rsidRDefault="009524B0" w:rsidP="007B4872">
            <w:pPr>
              <w:pStyle w:val="TableText"/>
            </w:pPr>
            <w:r w:rsidRPr="007B4872">
              <w:t>Progress Toward School Improvement SMART Goals Evaluated</w:t>
            </w:r>
          </w:p>
        </w:tc>
        <w:tc>
          <w:tcPr>
            <w:tcW w:w="1436" w:type="dxa"/>
          </w:tcPr>
          <w:p w14:paraId="541675BC" w14:textId="7D34FA30" w:rsidR="009524B0" w:rsidRPr="001A3A00" w:rsidRDefault="009524B0" w:rsidP="007B4872">
            <w:pPr>
              <w:pStyle w:val="TableTextCentered"/>
              <w:rPr>
                <w:highlight w:val="yellow"/>
              </w:rPr>
            </w:pPr>
            <w:r w:rsidRPr="003B4C80">
              <w:t>N/A</w:t>
            </w:r>
          </w:p>
        </w:tc>
        <w:tc>
          <w:tcPr>
            <w:tcW w:w="1436" w:type="dxa"/>
          </w:tcPr>
          <w:p w14:paraId="7CAFA1A8" w14:textId="39AE4E61" w:rsidR="009524B0" w:rsidRPr="001A3A00" w:rsidRDefault="009D2091" w:rsidP="007B4872">
            <w:pPr>
              <w:pStyle w:val="TableTextCentered"/>
              <w:rPr>
                <w:highlight w:val="yellow"/>
              </w:rPr>
            </w:pPr>
            <w:r w:rsidRPr="003B4C80">
              <w:t>1/74</w:t>
            </w:r>
          </w:p>
        </w:tc>
      </w:tr>
      <w:tr w:rsidR="009524B0" w:rsidRPr="000458E4" w14:paraId="45F6715C" w14:textId="77777777" w:rsidTr="00875BBA">
        <w:trPr>
          <w:cnfStyle w:val="000000100000" w:firstRow="0" w:lastRow="0" w:firstColumn="0" w:lastColumn="0" w:oddVBand="0" w:evenVBand="0" w:oddHBand="1" w:evenHBand="0" w:firstRowFirstColumn="0" w:firstRowLastColumn="0" w:lastRowFirstColumn="0" w:lastRowLastColumn="0"/>
        </w:trPr>
        <w:tc>
          <w:tcPr>
            <w:tcW w:w="1612" w:type="dxa"/>
          </w:tcPr>
          <w:p w14:paraId="51E5EBA6" w14:textId="77777777" w:rsidR="009524B0" w:rsidRPr="000458E4" w:rsidRDefault="009524B0" w:rsidP="007B4872">
            <w:pPr>
              <w:pStyle w:val="TableSubheading"/>
            </w:pPr>
            <w:r>
              <w:t>Evidence</w:t>
            </w:r>
          </w:p>
        </w:tc>
        <w:tc>
          <w:tcPr>
            <w:tcW w:w="4860" w:type="dxa"/>
          </w:tcPr>
          <w:p w14:paraId="7C8E1F22" w14:textId="77777777" w:rsidR="009524B0" w:rsidRPr="007B4872" w:rsidRDefault="009524B0" w:rsidP="007B4872">
            <w:pPr>
              <w:pStyle w:val="TableText"/>
            </w:pPr>
            <w:r w:rsidRPr="007B4872">
              <w:t>Included Multiple Sources of Evidence for Each Standard</w:t>
            </w:r>
          </w:p>
        </w:tc>
        <w:tc>
          <w:tcPr>
            <w:tcW w:w="1436" w:type="dxa"/>
          </w:tcPr>
          <w:p w14:paraId="734D67C4" w14:textId="0F8D754B" w:rsidR="009524B0" w:rsidRPr="001A3A00" w:rsidRDefault="009D2091" w:rsidP="007B4872">
            <w:pPr>
              <w:pStyle w:val="TableTextCentered"/>
              <w:rPr>
                <w:highlight w:val="yellow"/>
              </w:rPr>
            </w:pPr>
            <w:r w:rsidRPr="003B4C80">
              <w:t>69/75</w:t>
            </w:r>
          </w:p>
        </w:tc>
        <w:tc>
          <w:tcPr>
            <w:tcW w:w="1436" w:type="dxa"/>
          </w:tcPr>
          <w:p w14:paraId="7B92B353" w14:textId="77299168" w:rsidR="009524B0" w:rsidRPr="001A3A00" w:rsidRDefault="009D2091" w:rsidP="007B4872">
            <w:pPr>
              <w:pStyle w:val="TableTextCentered"/>
              <w:rPr>
                <w:highlight w:val="yellow"/>
              </w:rPr>
            </w:pPr>
            <w:r w:rsidRPr="003B4C80">
              <w:t>57/74</w:t>
            </w:r>
          </w:p>
        </w:tc>
      </w:tr>
      <w:tr w:rsidR="009524B0" w:rsidRPr="000458E4" w14:paraId="43B5371B" w14:textId="77777777" w:rsidTr="00875BBA">
        <w:tc>
          <w:tcPr>
            <w:tcW w:w="1612" w:type="dxa"/>
          </w:tcPr>
          <w:p w14:paraId="1A67BA27" w14:textId="77777777" w:rsidR="009524B0" w:rsidRPr="000458E4" w:rsidRDefault="009524B0" w:rsidP="007B4872">
            <w:pPr>
              <w:pStyle w:val="TableSubheading"/>
            </w:pPr>
            <w:r>
              <w:t>Ratings</w:t>
            </w:r>
          </w:p>
        </w:tc>
        <w:tc>
          <w:tcPr>
            <w:tcW w:w="4860" w:type="dxa"/>
          </w:tcPr>
          <w:p w14:paraId="185D3AF2" w14:textId="3E1D6579" w:rsidR="009524B0" w:rsidRPr="007B4872" w:rsidRDefault="009524B0" w:rsidP="007B4872">
            <w:pPr>
              <w:pStyle w:val="TableText"/>
            </w:pPr>
            <w:r w:rsidRPr="007B4872">
              <w:t>Included Ratings for Each Standard</w:t>
            </w:r>
          </w:p>
        </w:tc>
        <w:tc>
          <w:tcPr>
            <w:tcW w:w="1436" w:type="dxa"/>
          </w:tcPr>
          <w:p w14:paraId="4BAB020C" w14:textId="79768B6B" w:rsidR="009524B0" w:rsidRPr="001A3A00" w:rsidRDefault="009D2091" w:rsidP="007B4872">
            <w:pPr>
              <w:pStyle w:val="TableTextCentered"/>
              <w:rPr>
                <w:highlight w:val="yellow"/>
              </w:rPr>
            </w:pPr>
            <w:r w:rsidRPr="003B4C80">
              <w:t>74/75</w:t>
            </w:r>
          </w:p>
        </w:tc>
        <w:tc>
          <w:tcPr>
            <w:tcW w:w="1436" w:type="dxa"/>
          </w:tcPr>
          <w:p w14:paraId="7A7A5FAC" w14:textId="302D7246" w:rsidR="009524B0" w:rsidRPr="001A3A00" w:rsidRDefault="009D2091" w:rsidP="007B4872">
            <w:pPr>
              <w:pStyle w:val="TableTextCentered"/>
              <w:rPr>
                <w:highlight w:val="yellow"/>
              </w:rPr>
            </w:pPr>
            <w:r w:rsidRPr="003B4C80">
              <w:t>66/74</w:t>
            </w:r>
          </w:p>
        </w:tc>
      </w:tr>
      <w:tr w:rsidR="009524B0" w:rsidRPr="000458E4" w14:paraId="57815363" w14:textId="77777777" w:rsidTr="00875BBA">
        <w:trPr>
          <w:cnfStyle w:val="000000100000" w:firstRow="0" w:lastRow="0" w:firstColumn="0" w:lastColumn="0" w:oddVBand="0" w:evenVBand="0" w:oddHBand="1" w:evenHBand="0" w:firstRowFirstColumn="0" w:firstRowLastColumn="0" w:lastRowFirstColumn="0" w:lastRowLastColumn="0"/>
        </w:trPr>
        <w:tc>
          <w:tcPr>
            <w:tcW w:w="1612" w:type="dxa"/>
          </w:tcPr>
          <w:p w14:paraId="1A0FD6C2" w14:textId="77777777" w:rsidR="009524B0" w:rsidRPr="000458E4" w:rsidRDefault="009524B0" w:rsidP="007B4872">
            <w:pPr>
              <w:pStyle w:val="TableSubheading"/>
            </w:pPr>
            <w:r>
              <w:t>Ratings</w:t>
            </w:r>
          </w:p>
        </w:tc>
        <w:tc>
          <w:tcPr>
            <w:tcW w:w="4860" w:type="dxa"/>
          </w:tcPr>
          <w:p w14:paraId="6CAEA30C" w14:textId="77777777" w:rsidR="009524B0" w:rsidRPr="007B4872" w:rsidRDefault="009524B0" w:rsidP="007B4872">
            <w:pPr>
              <w:pStyle w:val="TableText"/>
            </w:pPr>
            <w:r w:rsidRPr="007B4872">
              <w:t>Included Overall Rating</w:t>
            </w:r>
          </w:p>
        </w:tc>
        <w:tc>
          <w:tcPr>
            <w:tcW w:w="1436" w:type="dxa"/>
          </w:tcPr>
          <w:p w14:paraId="02B1E3A5" w14:textId="3B7F0BFC" w:rsidR="009524B0" w:rsidRPr="001A3A00" w:rsidRDefault="009D2091" w:rsidP="007B4872">
            <w:pPr>
              <w:pStyle w:val="TableTextCentered"/>
              <w:rPr>
                <w:highlight w:val="yellow"/>
              </w:rPr>
            </w:pPr>
            <w:r w:rsidRPr="003B4C80">
              <w:t>74/75</w:t>
            </w:r>
          </w:p>
        </w:tc>
        <w:tc>
          <w:tcPr>
            <w:tcW w:w="1436" w:type="dxa"/>
          </w:tcPr>
          <w:p w14:paraId="7D76F426" w14:textId="71EB2405" w:rsidR="009524B0" w:rsidRPr="001A3A00" w:rsidRDefault="009D2091" w:rsidP="007B4872">
            <w:pPr>
              <w:pStyle w:val="TableTextCentered"/>
              <w:rPr>
                <w:highlight w:val="yellow"/>
              </w:rPr>
            </w:pPr>
            <w:r w:rsidRPr="003B4C80">
              <w:t>66/74</w:t>
            </w:r>
          </w:p>
        </w:tc>
      </w:tr>
      <w:tr w:rsidR="009524B0" w:rsidRPr="000458E4" w14:paraId="662604C8" w14:textId="77777777" w:rsidTr="00875BBA">
        <w:tc>
          <w:tcPr>
            <w:tcW w:w="1612" w:type="dxa"/>
          </w:tcPr>
          <w:p w14:paraId="1768D801" w14:textId="77777777" w:rsidR="009524B0" w:rsidRPr="000458E4" w:rsidRDefault="009524B0" w:rsidP="007B4872">
            <w:pPr>
              <w:pStyle w:val="TableSubheading"/>
            </w:pPr>
            <w:r>
              <w:t>Feedback</w:t>
            </w:r>
          </w:p>
        </w:tc>
        <w:tc>
          <w:tcPr>
            <w:tcW w:w="4860" w:type="dxa"/>
          </w:tcPr>
          <w:p w14:paraId="2C336C71" w14:textId="70851FAF" w:rsidR="009524B0" w:rsidRPr="007B4872" w:rsidRDefault="009524B0" w:rsidP="007B4872">
            <w:pPr>
              <w:pStyle w:val="TableText"/>
            </w:pPr>
            <w:r w:rsidRPr="007B4872">
              <w:t>Contained Feedback on Each Standard</w:t>
            </w:r>
          </w:p>
        </w:tc>
        <w:tc>
          <w:tcPr>
            <w:tcW w:w="1436" w:type="dxa"/>
          </w:tcPr>
          <w:p w14:paraId="4BD3E8DE" w14:textId="3B4E3ED1" w:rsidR="009524B0" w:rsidRPr="001A3A00" w:rsidRDefault="009D2091" w:rsidP="007B4872">
            <w:pPr>
              <w:pStyle w:val="TableTextCentered"/>
              <w:rPr>
                <w:highlight w:val="yellow"/>
              </w:rPr>
            </w:pPr>
            <w:r w:rsidRPr="003B4C80">
              <w:t>59/75</w:t>
            </w:r>
          </w:p>
        </w:tc>
        <w:tc>
          <w:tcPr>
            <w:tcW w:w="1436" w:type="dxa"/>
          </w:tcPr>
          <w:p w14:paraId="1B9960DF" w14:textId="38FA7919" w:rsidR="009524B0" w:rsidRPr="001A3A00" w:rsidRDefault="009D2091" w:rsidP="007B4872">
            <w:pPr>
              <w:pStyle w:val="TableTextCentered"/>
              <w:rPr>
                <w:highlight w:val="yellow"/>
              </w:rPr>
            </w:pPr>
            <w:r w:rsidRPr="003B4C80">
              <w:t>59/74</w:t>
            </w:r>
          </w:p>
        </w:tc>
      </w:tr>
      <w:tr w:rsidR="009524B0" w:rsidRPr="000458E4" w14:paraId="4CF04EDE" w14:textId="77777777" w:rsidTr="00875BBA">
        <w:trPr>
          <w:cnfStyle w:val="000000100000" w:firstRow="0" w:lastRow="0" w:firstColumn="0" w:lastColumn="0" w:oddVBand="0" w:evenVBand="0" w:oddHBand="1" w:evenHBand="0" w:firstRowFirstColumn="0" w:firstRowLastColumn="0" w:lastRowFirstColumn="0" w:lastRowLastColumn="0"/>
        </w:trPr>
        <w:tc>
          <w:tcPr>
            <w:tcW w:w="1612" w:type="dxa"/>
          </w:tcPr>
          <w:p w14:paraId="5B924838" w14:textId="77777777" w:rsidR="009524B0" w:rsidRDefault="009524B0" w:rsidP="007B4872">
            <w:pPr>
              <w:pStyle w:val="TableSubheading"/>
            </w:pPr>
            <w:r>
              <w:t>Feedback</w:t>
            </w:r>
          </w:p>
        </w:tc>
        <w:tc>
          <w:tcPr>
            <w:tcW w:w="4860" w:type="dxa"/>
          </w:tcPr>
          <w:p w14:paraId="15E964D6" w14:textId="77777777" w:rsidR="009524B0" w:rsidRPr="007B4872" w:rsidRDefault="009524B0" w:rsidP="007B4872">
            <w:pPr>
              <w:pStyle w:val="TableText"/>
            </w:pPr>
            <w:r w:rsidRPr="007B4872">
              <w:t>Contained Positive Feedback</w:t>
            </w:r>
          </w:p>
        </w:tc>
        <w:tc>
          <w:tcPr>
            <w:tcW w:w="1436" w:type="dxa"/>
          </w:tcPr>
          <w:p w14:paraId="35CE2D13" w14:textId="32355723" w:rsidR="009524B0" w:rsidRPr="001A3A00" w:rsidRDefault="009D2091" w:rsidP="007B4872">
            <w:pPr>
              <w:pStyle w:val="TableTextCentered"/>
              <w:rPr>
                <w:highlight w:val="yellow"/>
              </w:rPr>
            </w:pPr>
            <w:r w:rsidRPr="003B4C80">
              <w:t>74/75</w:t>
            </w:r>
          </w:p>
        </w:tc>
        <w:tc>
          <w:tcPr>
            <w:tcW w:w="1436" w:type="dxa"/>
          </w:tcPr>
          <w:p w14:paraId="41A408BF" w14:textId="3DC4A4D8" w:rsidR="009524B0" w:rsidRPr="001A3A00" w:rsidRDefault="009D2091" w:rsidP="007B4872">
            <w:pPr>
              <w:pStyle w:val="TableTextCentered"/>
              <w:rPr>
                <w:highlight w:val="yellow"/>
              </w:rPr>
            </w:pPr>
            <w:r w:rsidRPr="003B4C80">
              <w:t>60/74</w:t>
            </w:r>
          </w:p>
        </w:tc>
      </w:tr>
      <w:tr w:rsidR="009524B0" w:rsidRPr="000458E4" w14:paraId="24DA87A0" w14:textId="77777777" w:rsidTr="00875BBA">
        <w:tc>
          <w:tcPr>
            <w:tcW w:w="1612" w:type="dxa"/>
          </w:tcPr>
          <w:p w14:paraId="3A0E7F6D" w14:textId="77777777" w:rsidR="009524B0" w:rsidRDefault="009524B0" w:rsidP="007B4872">
            <w:pPr>
              <w:pStyle w:val="TableSubheading"/>
            </w:pPr>
            <w:r>
              <w:t>Feedback</w:t>
            </w:r>
          </w:p>
        </w:tc>
        <w:tc>
          <w:tcPr>
            <w:tcW w:w="4860" w:type="dxa"/>
          </w:tcPr>
          <w:p w14:paraId="593B5E33" w14:textId="77777777" w:rsidR="009524B0" w:rsidRPr="007B4872" w:rsidRDefault="009524B0" w:rsidP="007B4872">
            <w:pPr>
              <w:pStyle w:val="TableText"/>
            </w:pPr>
            <w:r w:rsidRPr="007B4872">
              <w:t>Contained Constructive Feedback</w:t>
            </w:r>
          </w:p>
        </w:tc>
        <w:tc>
          <w:tcPr>
            <w:tcW w:w="1436" w:type="dxa"/>
          </w:tcPr>
          <w:p w14:paraId="5599B00E" w14:textId="47E36973" w:rsidR="009524B0" w:rsidRPr="001A3A00" w:rsidRDefault="009D2091" w:rsidP="007B4872">
            <w:pPr>
              <w:pStyle w:val="TableTextCentered"/>
              <w:rPr>
                <w:highlight w:val="yellow"/>
              </w:rPr>
            </w:pPr>
            <w:r w:rsidRPr="003B4C80">
              <w:t>25/75</w:t>
            </w:r>
          </w:p>
        </w:tc>
        <w:tc>
          <w:tcPr>
            <w:tcW w:w="1436" w:type="dxa"/>
          </w:tcPr>
          <w:p w14:paraId="0403E7A6" w14:textId="0BA32145" w:rsidR="009524B0" w:rsidRPr="001A3A00" w:rsidRDefault="009D2091" w:rsidP="007B4872">
            <w:pPr>
              <w:pStyle w:val="TableTextCentered"/>
              <w:rPr>
                <w:highlight w:val="yellow"/>
              </w:rPr>
            </w:pPr>
            <w:r w:rsidRPr="003B4C80">
              <w:t>42/74</w:t>
            </w:r>
          </w:p>
        </w:tc>
      </w:tr>
    </w:tbl>
    <w:p w14:paraId="66620686" w14:textId="4802F108" w:rsidR="001135CD" w:rsidRDefault="001135CD" w:rsidP="001135CD">
      <w:pPr>
        <w:pStyle w:val="TableNote"/>
      </w:pPr>
      <w:r w:rsidRPr="0083B753">
        <w:rPr>
          <w:i/>
          <w:iCs/>
        </w:rPr>
        <w:t>Note</w:t>
      </w:r>
      <w:r>
        <w:t xml:space="preserve">: </w:t>
      </w:r>
      <w:r w:rsidRPr="00AF6258">
        <w:t xml:space="preserve">SMART </w:t>
      </w:r>
      <w:r>
        <w:t>= specific, measurable, achievable, realistic, and time-bound, NA = not available.</w:t>
      </w:r>
    </w:p>
    <w:p w14:paraId="5260E103" w14:textId="6D37F807" w:rsidR="004D476C" w:rsidRDefault="004D476C" w:rsidP="00A03E3A">
      <w:pPr>
        <w:pStyle w:val="BodyText"/>
      </w:pPr>
      <w:r>
        <w:t xml:space="preserve">District records show that teacher evaluations are completed </w:t>
      </w:r>
      <w:r w:rsidR="00D2512A">
        <w:t>on</w:t>
      </w:r>
      <w:r>
        <w:t xml:space="preserve"> </w:t>
      </w:r>
      <w:r w:rsidR="00100B1F">
        <w:t>PowerSchool</w:t>
      </w:r>
      <w:r>
        <w:t xml:space="preserve">. AIR randomly selected 76 teachers </w:t>
      </w:r>
      <w:r w:rsidR="00D6425C">
        <w:t xml:space="preserve">who were </w:t>
      </w:r>
      <w:r>
        <w:t>due for a summative evaluation for the 2024-2025 school year. Of those, 75 (99 percent) had a summative evaluation available for review. Among the available evaluations, 74</w:t>
      </w:r>
      <w:r w:rsidR="00D6425C">
        <w:t xml:space="preserve"> </w:t>
      </w:r>
      <w:r>
        <w:t>of 75 (99 percent) included ratings for each standard and an overall rating. In addition, 70 of 75 (93 percent) included a student learning SMART goal with documented progress, and 70 of 75 (93</w:t>
      </w:r>
      <w:r w:rsidR="00D6425C">
        <w:t xml:space="preserve"> </w:t>
      </w:r>
      <w:r>
        <w:t xml:space="preserve">percent) included a professional practice SMART goal with documented progress. Further, 69 of 75 (92 percent) teacher evaluations included multiple sources of evidence, such as observations, student work samples, or other documentation supporting progress toward student learning goals, professional practice goals, standards, and indicators. </w:t>
      </w:r>
      <w:r w:rsidR="0059191F">
        <w:t xml:space="preserve">Fifty-nine </w:t>
      </w:r>
      <w:r>
        <w:t>of 75 (79 percent) included feedback on each standard. Nearly all, 74 of 75 (99 percent), included positive written feedback, whereas only 25 of 75 (33 percent) included constructive feedback.</w:t>
      </w:r>
    </w:p>
    <w:p w14:paraId="6A8ED494" w14:textId="037FBA2B" w:rsidR="004D476C" w:rsidRDefault="004D476C" w:rsidP="00A03E3A">
      <w:pPr>
        <w:pStyle w:val="BodyText"/>
      </w:pPr>
      <w:r>
        <w:t xml:space="preserve">District records also show that administrator evaluations are completed </w:t>
      </w:r>
      <w:r w:rsidR="0048412E">
        <w:t>on Powerschool</w:t>
      </w:r>
      <w:r>
        <w:t>. Of the 77 administrator evaluations selected for review for the 2024-2025 school year, 74 (96 percent) were available for review. Of those available evaluations, 62 of 74 (84 percent) included student learning and professional practice SMART goals with documented progress. Only 1 of 74 (1 percent) included a school or district improvement SMART goal with documented progress.</w:t>
      </w:r>
      <w:r w:rsidR="00D25C90">
        <w:t xml:space="preserve"> </w:t>
      </w:r>
      <w:r w:rsidR="00024C2D" w:rsidRPr="00024C2D">
        <w:t>The limited inclusion of school improvement goals may reflect that the school-based administrator evaluation form neither requires nor provides a designated section to capture school or district improvement goals</w:t>
      </w:r>
      <w:r w:rsidR="00D25C90" w:rsidRPr="00D25C90">
        <w:t>.</w:t>
      </w:r>
      <w:r w:rsidR="00024C2D">
        <w:t xml:space="preserve"> </w:t>
      </w:r>
      <w:r w:rsidR="00C954BD">
        <w:t>Sixty</w:t>
      </w:r>
      <w:r>
        <w:t xml:space="preserve"> of 74 (81 percent) included positive feedback identifying strengths, while 42 of 74 (57 percent) included constructive feedback identifying areas for improvement.</w:t>
      </w:r>
    </w:p>
    <w:p w14:paraId="7CB1E250" w14:textId="6D95E152" w:rsidR="0046023A" w:rsidRDefault="004D476C" w:rsidP="00A03E3A">
      <w:pPr>
        <w:pStyle w:val="BodyText"/>
      </w:pPr>
      <w:r>
        <w:t xml:space="preserve">Teacher and administrator evaluations, when available, generally included required components such as performance ratings, progress toward SMART goals, and written feedback. Positive feedback was far more common than constructive feedback in teacher evaluations, while administrator evaluations </w:t>
      </w:r>
      <w:r w:rsidR="004E34DC">
        <w:t xml:space="preserve">included </w:t>
      </w:r>
      <w:r>
        <w:t xml:space="preserve">a stronger </w:t>
      </w:r>
      <w:r w:rsidR="004E34DC">
        <w:t>balance</w:t>
      </w:r>
      <w:r>
        <w:t xml:space="preserve"> of </w:t>
      </w:r>
      <w:r w:rsidR="004E34DC">
        <w:t xml:space="preserve">positive and </w:t>
      </w:r>
      <w:r>
        <w:t>constructive feedback</w:t>
      </w:r>
      <w:r w:rsidR="0046023A">
        <w:t>.</w:t>
      </w:r>
      <w:r w:rsidR="2F948762">
        <w:t xml:space="preserve"> Ensuring teachers receive constructive feedback to improve practice is an area of growth for the district.</w:t>
      </w:r>
    </w:p>
    <w:p w14:paraId="00CC180A" w14:textId="1976FD62" w:rsidR="1A7D230B" w:rsidRPr="00B1622A" w:rsidRDefault="00024D0E" w:rsidP="00A03E3A">
      <w:pPr>
        <w:pStyle w:val="BodyText"/>
        <w:rPr>
          <w:color w:val="000000" w:themeColor="text1"/>
        </w:rPr>
      </w:pPr>
      <w:r>
        <w:t xml:space="preserve">When asked about opportunities for advancement, the </w:t>
      </w:r>
      <w:r w:rsidR="00635D45">
        <w:t>a</w:t>
      </w:r>
      <w:r>
        <w:t xml:space="preserve">ssistant </w:t>
      </w:r>
      <w:r w:rsidR="00635D45">
        <w:t>s</w:t>
      </w:r>
      <w:r>
        <w:t>uperintendent of HR reported t</w:t>
      </w:r>
      <w:r w:rsidR="0A91D1F5" w:rsidRPr="5D62FA98">
        <w:t xml:space="preserve">he district supports multiple formal pathways for staff advancement. </w:t>
      </w:r>
      <w:r w:rsidR="00635D45">
        <w:t>For example, t</w:t>
      </w:r>
      <w:r w:rsidR="0A91D1F5" w:rsidRPr="5D62FA98">
        <w:t>he administrative internship program, which has operated continuously for several decades, provides a structured experience for current staff pursuing leadership licensure</w:t>
      </w:r>
      <w:r w:rsidR="00635D45">
        <w:t>. T</w:t>
      </w:r>
      <w:r w:rsidR="0A91D1F5" w:rsidRPr="5D62FA98">
        <w:t xml:space="preserve">he district recently negotiated contract language to extend the program </w:t>
      </w:r>
      <w:r w:rsidR="0A91D1F5" w:rsidRPr="5D62FA98" w:rsidDel="00635D45">
        <w:t>from a</w:t>
      </w:r>
      <w:r w:rsidR="0A91D1F5" w:rsidRPr="5D62FA98" w:rsidDel="00635D45">
        <w:rPr>
          <w:rFonts w:eastAsiaTheme="minorEastAsia"/>
        </w:rPr>
        <w:t xml:space="preserve"> </w:t>
      </w:r>
      <w:r w:rsidR="73DFC169" w:rsidRPr="5D62FA98">
        <w:rPr>
          <w:rFonts w:eastAsiaTheme="minorEastAsia"/>
        </w:rPr>
        <w:t xml:space="preserve">model in which the internship experience took place exclusively during the </w:t>
      </w:r>
      <w:r w:rsidR="0A91D1F5" w:rsidRPr="5D62FA98">
        <w:rPr>
          <w:rFonts w:eastAsiaTheme="minorEastAsia"/>
        </w:rPr>
        <w:t xml:space="preserve">spring to </w:t>
      </w:r>
      <w:r w:rsidR="73DFC169" w:rsidRPr="5D62FA98">
        <w:rPr>
          <w:rFonts w:eastAsiaTheme="minorEastAsia"/>
        </w:rPr>
        <w:t>one that will extend</w:t>
      </w:r>
      <w:r w:rsidR="00635D45">
        <w:rPr>
          <w:rFonts w:eastAsiaTheme="minorEastAsia"/>
        </w:rPr>
        <w:t xml:space="preserve"> through the school year,</w:t>
      </w:r>
      <w:r w:rsidR="73DFC169" w:rsidRPr="5D62FA98">
        <w:rPr>
          <w:rFonts w:eastAsiaTheme="minorEastAsia"/>
        </w:rPr>
        <w:t xml:space="preserve"> from</w:t>
      </w:r>
      <w:r w:rsidR="0A91D1F5" w:rsidRPr="5D62FA98">
        <w:rPr>
          <w:rFonts w:eastAsiaTheme="minorEastAsia"/>
        </w:rPr>
        <w:t xml:space="preserve"> September through June</w:t>
      </w:r>
      <w:r w:rsidR="73DFC169" w:rsidRPr="5D62FA98">
        <w:rPr>
          <w:rFonts w:eastAsiaTheme="minorEastAsia"/>
        </w:rPr>
        <w:t>.</w:t>
      </w:r>
      <w:r w:rsidR="0A91D1F5" w:rsidRPr="5D62FA98">
        <w:rPr>
          <w:rFonts w:eastAsiaTheme="minorEastAsia"/>
        </w:rPr>
        <w:t xml:space="preserve"> </w:t>
      </w:r>
      <w:r w:rsidR="0A91D1F5" w:rsidRPr="5D62FA98">
        <w:t xml:space="preserve">This change will allow interns to participate in critical administrative periods such as hiring, scheduling, and budget development. The district also supports staff pursuing the </w:t>
      </w:r>
      <w:r w:rsidR="00635D45">
        <w:t>P</w:t>
      </w:r>
      <w:r w:rsidR="0A91D1F5" w:rsidRPr="5D62FA98">
        <w:t xml:space="preserve">rincipal </w:t>
      </w:r>
      <w:r w:rsidR="00635D45">
        <w:t>A</w:t>
      </w:r>
      <w:r w:rsidR="0A91D1F5" w:rsidRPr="5D62FA98">
        <w:t xml:space="preserve">dministrative </w:t>
      </w:r>
      <w:r w:rsidR="00635D45">
        <w:t>L</w:t>
      </w:r>
      <w:r w:rsidR="0A91D1F5" w:rsidRPr="5D62FA98">
        <w:t xml:space="preserve">icense </w:t>
      </w:r>
      <w:r w:rsidR="34870543" w:rsidRPr="5D62FA98">
        <w:t>(PAL)</w:t>
      </w:r>
      <w:r w:rsidR="0A91D1F5" w:rsidRPr="5D62FA98">
        <w:t xml:space="preserve"> through a PAL coach program introduced in the prior school year. Similarly, the Journey into Education and Teaching (JET) program, coordinated through HR, supports paraprofessionals in pursuing their bachelor</w:t>
      </w:r>
      <w:r w:rsidR="00635D45">
        <w:t>’</w:t>
      </w:r>
      <w:r w:rsidR="0A91D1F5" w:rsidRPr="5D62FA98">
        <w:t xml:space="preserve">s degrees and teaching licensure by connecting them with </w:t>
      </w:r>
      <w:r w:rsidR="00635D45">
        <w:t xml:space="preserve">both </w:t>
      </w:r>
      <w:r w:rsidR="0A91D1F5" w:rsidRPr="5D62FA98">
        <w:t>mentors and pathways to funding</w:t>
      </w:r>
      <w:r w:rsidR="00635D45">
        <w:t>;</w:t>
      </w:r>
      <w:r w:rsidR="0A91D1F5" w:rsidRPr="5D62FA98" w:rsidDel="00635D45">
        <w:t xml:space="preserve"> </w:t>
      </w:r>
      <w:r w:rsidR="0A91D1F5" w:rsidRPr="5D62FA98">
        <w:t>grants</w:t>
      </w:r>
      <w:r w:rsidR="416C667A" w:rsidRPr="5D62FA98">
        <w:t xml:space="preserve"> </w:t>
      </w:r>
      <w:r w:rsidR="00635D45">
        <w:t>are</w:t>
      </w:r>
      <w:r w:rsidR="416C667A" w:rsidRPr="5D62FA98">
        <w:t xml:space="preserve"> the primary </w:t>
      </w:r>
      <w:r w:rsidR="007E07BB">
        <w:t xml:space="preserve">funding </w:t>
      </w:r>
      <w:r w:rsidR="416C667A" w:rsidRPr="5D62FA98">
        <w:t>pathway through which many paraprofessionals have become licensed teachers in the district</w:t>
      </w:r>
      <w:r w:rsidR="0A91D1F5" w:rsidRPr="5D62FA98">
        <w:t xml:space="preserve">. The assistant superintendent </w:t>
      </w:r>
      <w:r w:rsidR="007E07BB">
        <w:t xml:space="preserve">of HR </w:t>
      </w:r>
      <w:r w:rsidR="0A91D1F5" w:rsidRPr="5D62FA98">
        <w:t xml:space="preserve">described the program as a meaningful investment in staff who are committed to the district and community but </w:t>
      </w:r>
      <w:r w:rsidR="00C36C07">
        <w:t xml:space="preserve">who </w:t>
      </w:r>
      <w:r w:rsidR="0A91D1F5" w:rsidRPr="5D62FA98">
        <w:t xml:space="preserve">may lack independent resources to pursue a teaching career. JET graduates </w:t>
      </w:r>
      <w:r w:rsidR="00C36C07" w:rsidRPr="00B1622A">
        <w:rPr>
          <w:color w:val="000000" w:themeColor="text1"/>
        </w:rPr>
        <w:t xml:space="preserve">who </w:t>
      </w:r>
      <w:r w:rsidR="0A91D1F5" w:rsidRPr="00B1622A">
        <w:rPr>
          <w:color w:val="000000" w:themeColor="text1"/>
        </w:rPr>
        <w:t>have completed the program</w:t>
      </w:r>
      <w:r w:rsidR="0A91D1F5" w:rsidRPr="00B1622A" w:rsidDel="00C36C07">
        <w:rPr>
          <w:color w:val="000000" w:themeColor="text1"/>
        </w:rPr>
        <w:t xml:space="preserve"> </w:t>
      </w:r>
      <w:r w:rsidR="0A91D1F5" w:rsidRPr="00B1622A">
        <w:rPr>
          <w:color w:val="000000" w:themeColor="text1"/>
        </w:rPr>
        <w:t xml:space="preserve">returned to the district as licensed teachers. The </w:t>
      </w:r>
      <w:r w:rsidR="00996364" w:rsidRPr="00B1622A">
        <w:rPr>
          <w:color w:val="000000" w:themeColor="text1"/>
        </w:rPr>
        <w:t xml:space="preserve">district’s facilitation of </w:t>
      </w:r>
      <w:r w:rsidR="00C36C07" w:rsidRPr="00B1622A">
        <w:rPr>
          <w:color w:val="000000" w:themeColor="text1"/>
        </w:rPr>
        <w:t xml:space="preserve">funding </w:t>
      </w:r>
      <w:r w:rsidR="0A91D1F5" w:rsidRPr="00B1622A">
        <w:rPr>
          <w:color w:val="000000" w:themeColor="text1"/>
        </w:rPr>
        <w:t xml:space="preserve">pathways and </w:t>
      </w:r>
      <w:r w:rsidR="00C36C07" w:rsidRPr="00B1622A">
        <w:rPr>
          <w:color w:val="000000" w:themeColor="text1"/>
        </w:rPr>
        <w:t xml:space="preserve">training </w:t>
      </w:r>
      <w:r w:rsidR="0A91D1F5" w:rsidRPr="00B1622A">
        <w:rPr>
          <w:color w:val="000000" w:themeColor="text1"/>
        </w:rPr>
        <w:t xml:space="preserve">programs </w:t>
      </w:r>
      <w:r w:rsidR="00666A64" w:rsidRPr="00B1622A">
        <w:rPr>
          <w:color w:val="000000" w:themeColor="text1"/>
        </w:rPr>
        <w:t>that</w:t>
      </w:r>
      <w:r w:rsidR="0A91D1F5" w:rsidRPr="00B1622A">
        <w:rPr>
          <w:color w:val="000000" w:themeColor="text1"/>
        </w:rPr>
        <w:t xml:space="preserve"> support educator advancement </w:t>
      </w:r>
      <w:r w:rsidR="00DD373C">
        <w:rPr>
          <w:color w:val="000000" w:themeColor="text1"/>
        </w:rPr>
        <w:t>is</w:t>
      </w:r>
      <w:r w:rsidR="0A91D1F5" w:rsidRPr="00B1622A">
        <w:rPr>
          <w:color w:val="000000" w:themeColor="text1"/>
        </w:rPr>
        <w:t xml:space="preserve"> a strength of the district.</w:t>
      </w:r>
    </w:p>
    <w:p w14:paraId="2B36CFC9" w14:textId="3880415D" w:rsidR="1A7D230B" w:rsidRPr="00C8390D" w:rsidRDefault="1A7D230B" w:rsidP="00A03E3A">
      <w:pPr>
        <w:pStyle w:val="BodyText"/>
      </w:pPr>
      <w:r>
        <w:t xml:space="preserve">Beyond these formal programs, teachers described opportunities to serve as curriculum pilot participants, steering committee members, teacher leads, department representatives, and coaches. However, </w:t>
      </w:r>
      <w:r w:rsidR="00CC48E9">
        <w:t xml:space="preserve">observers noted that </w:t>
      </w:r>
      <w:r>
        <w:t>teachers did not describe formal systems for recognition</w:t>
      </w:r>
      <w:r w:rsidR="00CC48E9">
        <w:t>,</w:t>
      </w:r>
      <w:r>
        <w:t xml:space="preserve"> such as structured stipends, awards, or promotion frameworks, </w:t>
      </w:r>
      <w:r w:rsidR="00CC48E9">
        <w:t xml:space="preserve">which </w:t>
      </w:r>
      <w:r>
        <w:t>suggest</w:t>
      </w:r>
      <w:r w:rsidR="00CC48E9">
        <w:t>s</w:t>
      </w:r>
      <w:r>
        <w:t xml:space="preserve"> that advancement is largely role-based and opportunity-driven rather than programmatically defined. </w:t>
      </w:r>
      <w:r w:rsidR="6BBF2126">
        <w:t>Teacher</w:t>
      </w:r>
      <w:r w:rsidR="0A91D1F5">
        <w:t xml:space="preserve"> retention </w:t>
      </w:r>
      <w:r w:rsidR="3933BA6F">
        <w:t xml:space="preserve">rates in Brockton have held </w:t>
      </w:r>
      <w:r w:rsidR="77DE22CF">
        <w:t>steady over</w:t>
      </w:r>
      <w:r w:rsidR="0A91D1F5">
        <w:t xml:space="preserve"> the </w:t>
      </w:r>
      <w:r w:rsidR="77DE22CF">
        <w:t>past five years and have been consistent with state averages.</w:t>
      </w:r>
      <w:r w:rsidR="0A91D1F5">
        <w:t xml:space="preserve"> </w:t>
      </w:r>
      <w:r w:rsidR="002C69C9">
        <w:t>Most recent e</w:t>
      </w:r>
      <w:r w:rsidR="0A91D1F5">
        <w:t xml:space="preserve">xtant data </w:t>
      </w:r>
      <w:r w:rsidR="002C69C9">
        <w:t>available</w:t>
      </w:r>
      <w:r w:rsidR="0A91D1F5">
        <w:t xml:space="preserve"> for district staff retention shows teacher retention at 89</w:t>
      </w:r>
      <w:r w:rsidR="00B22A35">
        <w:t xml:space="preserve"> percent</w:t>
      </w:r>
      <w:r w:rsidR="0A91D1F5">
        <w:t xml:space="preserve"> and principal retention at 77</w:t>
      </w:r>
      <w:r w:rsidR="00B22A35">
        <w:t xml:space="preserve"> percent</w:t>
      </w:r>
      <w:r w:rsidR="0A91D1F5">
        <w:t xml:space="preserve"> for the 2025-202</w:t>
      </w:r>
      <w:r w:rsidR="4EAA6A82">
        <w:t>6</w:t>
      </w:r>
      <w:r w:rsidR="0A91D1F5">
        <w:t xml:space="preserve"> school year. </w:t>
      </w:r>
      <w:r w:rsidR="1D96DC0F">
        <w:t>Multiple e</w:t>
      </w:r>
      <w:r w:rsidR="0A91D1F5">
        <w:t xml:space="preserve">ducators at all levels reported </w:t>
      </w:r>
      <w:r w:rsidR="1D96DC0F">
        <w:t xml:space="preserve">lengthy </w:t>
      </w:r>
      <w:r w:rsidR="0A91D1F5">
        <w:t>tenures</w:t>
      </w:r>
      <w:r w:rsidR="00E66080">
        <w:t>,</w:t>
      </w:r>
      <w:r w:rsidR="0A91D1F5">
        <w:t xml:space="preserve"> ranging from 15 to </w:t>
      </w:r>
      <w:r w:rsidR="00E66080">
        <w:t xml:space="preserve">more than </w:t>
      </w:r>
      <w:r w:rsidR="0A91D1F5">
        <w:t xml:space="preserve">30 years, and many described personal connections to the community, including being graduates of Brockton schools or having family members currently enrolled. These ties appear to be a significant factor in sustained commitment to the district. At the same time, staff described challenges related to curriculum pacing and workload, which some noted as sources of professional stress. </w:t>
      </w:r>
    </w:p>
    <w:p w14:paraId="6DF2AB56" w14:textId="50D7E9BB" w:rsidR="008D175A" w:rsidRDefault="5B00BA24" w:rsidP="00A03E3A">
      <w:pPr>
        <w:pStyle w:val="BodyText"/>
      </w:pPr>
      <w:r>
        <w:t>Educators described a working environment characterized by collaboration structures such as common planning time, SSPT, department</w:t>
      </w:r>
      <w:r w:rsidR="00E66080">
        <w:t>al</w:t>
      </w:r>
      <w:r>
        <w:t xml:space="preserve"> meetings, and coaching cycles. These structures provide opportunities for shared planning, data discussion, curriculum calibration, and problem</w:t>
      </w:r>
      <w:r w:rsidR="00E66080">
        <w:t xml:space="preserve"> </w:t>
      </w:r>
      <w:r>
        <w:t xml:space="preserve">solving across content areas and programs. </w:t>
      </w:r>
      <w:r w:rsidR="13F2118C">
        <w:t xml:space="preserve">However, teachers at the high school level described </w:t>
      </w:r>
      <w:r w:rsidR="00E66080">
        <w:t>less</w:t>
      </w:r>
      <w:r w:rsidR="13F2118C">
        <w:t xml:space="preserve"> structured collaboration, with at least one teacher reporting having no scheduled collaborative planning time and that opportunities for collective work depend on whether a coordinator independently organizes them. This suggests that while </w:t>
      </w:r>
      <w:r w:rsidR="784142D2">
        <w:t>common planning</w:t>
      </w:r>
      <w:r w:rsidR="13F2118C">
        <w:t xml:space="preserve"> structures are formally in place, the depth and consistency with which they create genuine collaborative planning time for teachers</w:t>
      </w:r>
      <w:r w:rsidR="784142D2">
        <w:t xml:space="preserve"> </w:t>
      </w:r>
      <w:r w:rsidR="13F2118C">
        <w:t>may vary across schools and departments.</w:t>
      </w:r>
    </w:p>
    <w:p w14:paraId="01BF8201" w14:textId="024C229C" w:rsidR="1A7D230B" w:rsidRDefault="1A7D230B" w:rsidP="00A03E3A">
      <w:pPr>
        <w:pStyle w:val="BodyText"/>
      </w:pPr>
      <w:r>
        <w:t xml:space="preserve">Teachers also highlighted access to instructional coaches, assessment specialists, and external partners as supports that positively shaped their working conditions, particularly when implementing new curricula or addressing the needs of </w:t>
      </w:r>
      <w:r w:rsidR="082C1944">
        <w:t>English</w:t>
      </w:r>
      <w:r>
        <w:t xml:space="preserve"> learners and students with disabilities. HR leadership acknowledged that fostering a positive and supportive working environment is a priority</w:t>
      </w:r>
      <w:r w:rsidR="00E66080">
        <w:t>. They</w:t>
      </w:r>
      <w:r>
        <w:t xml:space="preserve"> described past engagement initiatives, including Mission Possible</w:t>
      </w:r>
      <w:r w:rsidR="00E66080">
        <w:t xml:space="preserve"> (</w:t>
      </w:r>
      <w:r>
        <w:t>a program featuring voluntary staff events and recognition activities</w:t>
      </w:r>
      <w:r w:rsidR="00E66080">
        <w:t>). They want such</w:t>
      </w:r>
      <w:r>
        <w:t xml:space="preserve"> efforts to be renewed as the department stabilizes following its recent restructuring. HR leadership described the district</w:t>
      </w:r>
      <w:r w:rsidR="00E66080">
        <w:t>’</w:t>
      </w:r>
      <w:r>
        <w:t>s commitment as rooted in the belief that every employee group, from custodians and food service workers to teachers and principals, contributes directly to student outcomes and deserves to feel supported and valued.</w:t>
      </w:r>
    </w:p>
    <w:p w14:paraId="33F03CA2" w14:textId="501B3421" w:rsidR="00444346" w:rsidRPr="00A03E3A" w:rsidRDefault="00444346" w:rsidP="00A03E3A">
      <w:pPr>
        <w:pStyle w:val="Heading3"/>
      </w:pPr>
      <w:bookmarkStart w:id="58" w:name="_Professional_Learning"/>
      <w:bookmarkEnd w:id="58"/>
      <w:r>
        <w:t>Professional Learning</w:t>
      </w:r>
    </w:p>
    <w:p w14:paraId="55ABB4B0" w14:textId="6154DBAA" w:rsidR="0046023A" w:rsidRDefault="0A8B7E3C" w:rsidP="00A03E3A">
      <w:pPr>
        <w:pStyle w:val="BodyTextposthead"/>
      </w:pPr>
      <w:r>
        <w:t xml:space="preserve">Professional learning in Brockton is </w:t>
      </w:r>
      <w:r w:rsidR="73EDE5E6">
        <w:t>led</w:t>
      </w:r>
      <w:r>
        <w:t xml:space="preserve"> by the </w:t>
      </w:r>
      <w:r w:rsidR="00D93BD8">
        <w:t>d</w:t>
      </w:r>
      <w:r w:rsidR="73EDE5E6">
        <w:t xml:space="preserve">irector of </w:t>
      </w:r>
      <w:r w:rsidR="00494199">
        <w:t>p</w:t>
      </w:r>
      <w:r w:rsidR="73EDE5E6">
        <w:t xml:space="preserve">rofessional </w:t>
      </w:r>
      <w:r w:rsidR="00494199">
        <w:t>g</w:t>
      </w:r>
      <w:r w:rsidR="73EDE5E6">
        <w:t xml:space="preserve">rowth and </w:t>
      </w:r>
      <w:r w:rsidR="00494199">
        <w:t>s</w:t>
      </w:r>
      <w:r w:rsidR="73EDE5E6">
        <w:t xml:space="preserve">chool </w:t>
      </w:r>
      <w:r w:rsidR="00494199">
        <w:t>i</w:t>
      </w:r>
      <w:r w:rsidR="73EDE5E6">
        <w:t>mprovement</w:t>
      </w:r>
      <w:r>
        <w:t>.</w:t>
      </w:r>
      <w:r w:rsidR="7EF7ACB9">
        <w:t xml:space="preserve"> </w:t>
      </w:r>
      <w:r w:rsidR="51051D45">
        <w:t xml:space="preserve">The </w:t>
      </w:r>
      <w:r w:rsidR="4AECC025">
        <w:t xml:space="preserve">primary </w:t>
      </w:r>
      <w:r w:rsidR="51051D45">
        <w:t xml:space="preserve">responsibilities of this role </w:t>
      </w:r>
      <w:r w:rsidR="4AECC025">
        <w:t xml:space="preserve">are to coordinate </w:t>
      </w:r>
      <w:r w:rsidR="15C3704C">
        <w:t xml:space="preserve">and design districtwide professional development, serve as </w:t>
      </w:r>
      <w:r w:rsidR="00D93BD8">
        <w:t xml:space="preserve">the </w:t>
      </w:r>
      <w:r w:rsidR="15C3704C">
        <w:t>liaison between school staff and district leadership</w:t>
      </w:r>
      <w:r w:rsidR="22986901">
        <w:t xml:space="preserve"> </w:t>
      </w:r>
      <w:r w:rsidR="00D93BD8">
        <w:t xml:space="preserve">on </w:t>
      </w:r>
      <w:r w:rsidR="48167FC2">
        <w:t>professional</w:t>
      </w:r>
      <w:r w:rsidR="22986901">
        <w:t xml:space="preserve"> development needs, support </w:t>
      </w:r>
      <w:r w:rsidR="00D93BD8">
        <w:t>professional development</w:t>
      </w:r>
      <w:r w:rsidR="15E9E262">
        <w:t xml:space="preserve"> planning and implementation across many employee groups (not just teachers), coordinate </w:t>
      </w:r>
      <w:r w:rsidR="00D93BD8">
        <w:t>professional development</w:t>
      </w:r>
      <w:r w:rsidR="15E9E262">
        <w:t xml:space="preserve"> connected to curriculum rollouts</w:t>
      </w:r>
      <w:r w:rsidR="48167FC2">
        <w:t xml:space="preserve"> and instructional material, oversee key educator support systems (</w:t>
      </w:r>
      <w:r w:rsidR="00D93BD8">
        <w:t xml:space="preserve">e.g., </w:t>
      </w:r>
      <w:r w:rsidR="48167FC2">
        <w:t>induction and mentoring), and support leadership pipelines</w:t>
      </w:r>
      <w:r w:rsidR="0046023A">
        <w:t>.</w:t>
      </w:r>
    </w:p>
    <w:p w14:paraId="388F7174" w14:textId="344CD247" w:rsidR="27559311" w:rsidRDefault="74380A21" w:rsidP="00A03E3A">
      <w:pPr>
        <w:pStyle w:val="BodyText"/>
      </w:pPr>
      <w:r w:rsidRPr="190DD215">
        <w:t>To support evidence-based practice, district leaders described a threefold</w:t>
      </w:r>
      <w:r w:rsidRPr="190DD215" w:rsidDel="00574ABE">
        <w:t xml:space="preserve"> </w:t>
      </w:r>
      <w:r w:rsidRPr="190DD215">
        <w:t xml:space="preserve">professional development model: </w:t>
      </w:r>
      <w:r w:rsidR="00574ABE">
        <w:t xml:space="preserve">(a) </w:t>
      </w:r>
      <w:r w:rsidRPr="190DD215">
        <w:t xml:space="preserve">whole-staff learning in faculty meetings, </w:t>
      </w:r>
      <w:r w:rsidR="00574ABE">
        <w:t xml:space="preserve">(b) </w:t>
      </w:r>
      <w:r w:rsidRPr="190DD215">
        <w:t xml:space="preserve">content-alike </w:t>
      </w:r>
      <w:r w:rsidR="00574ABE">
        <w:t>professional development</w:t>
      </w:r>
      <w:r w:rsidRPr="190DD215">
        <w:t xml:space="preserve"> supported by district coordinators/partners, and</w:t>
      </w:r>
      <w:r w:rsidR="00574ABE">
        <w:t xml:space="preserve"> (c)</w:t>
      </w:r>
      <w:r w:rsidRPr="190DD215">
        <w:t xml:space="preserve"> job-embedded follow-up in common planning (e.g., planning lessons together and returning to observe implementation)</w:t>
      </w:r>
      <w:r w:rsidR="00574ABE">
        <w:t>.</w:t>
      </w:r>
      <w:r w:rsidRPr="190DD215">
        <w:t xml:space="preserve"> </w:t>
      </w:r>
      <w:r w:rsidR="00574ABE">
        <w:t xml:space="preserve">District leaders </w:t>
      </w:r>
      <w:r w:rsidRPr="190DD215">
        <w:t>emphasi</w:t>
      </w:r>
      <w:r w:rsidR="00574ABE">
        <w:t xml:space="preserve">zed </w:t>
      </w:r>
      <w:r w:rsidRPr="190DD215">
        <w:t>continuity so</w:t>
      </w:r>
      <w:r w:rsidR="00574ABE">
        <w:t xml:space="preserve"> that</w:t>
      </w:r>
      <w:r w:rsidRPr="190DD215">
        <w:t xml:space="preserve"> strategies become expectations rather than “one more thing”</w:t>
      </w:r>
      <w:r w:rsidR="3B66B2D5" w:rsidRPr="190DD215">
        <w:t xml:space="preserve"> layered on top of </w:t>
      </w:r>
      <w:r w:rsidR="00574ABE">
        <w:t>other</w:t>
      </w:r>
      <w:r w:rsidR="00574ABE" w:rsidRPr="190DD215">
        <w:t xml:space="preserve"> </w:t>
      </w:r>
      <w:r w:rsidR="3B66B2D5" w:rsidRPr="190DD215">
        <w:t>expectations.</w:t>
      </w:r>
    </w:p>
    <w:p w14:paraId="47DCBAE0" w14:textId="0207BFA5" w:rsidR="4BFDC28F" w:rsidRDefault="393744DA" w:rsidP="00A03E3A">
      <w:pPr>
        <w:pStyle w:val="BodyText"/>
      </w:pPr>
      <w:r w:rsidRPr="190DD215">
        <w:t xml:space="preserve">As discussed in the </w:t>
      </w:r>
      <w:r w:rsidRPr="00124088">
        <w:rPr>
          <w:i/>
          <w:iCs/>
        </w:rPr>
        <w:t>Curriculum and Instruction</w:t>
      </w:r>
      <w:r w:rsidRPr="190DD215">
        <w:t xml:space="preserve"> section, </w:t>
      </w:r>
      <w:r w:rsidR="178D23FB" w:rsidRPr="190DD215">
        <w:t xml:space="preserve">classroom observations and walkthroughs </w:t>
      </w:r>
      <w:r w:rsidR="00124088" w:rsidRPr="190DD215">
        <w:t>across the district</w:t>
      </w:r>
      <w:r w:rsidR="00124088">
        <w:t xml:space="preserve"> </w:t>
      </w:r>
      <w:r w:rsidR="178D23FB" w:rsidRPr="190DD215">
        <w:t>serve multiple, complementary purposes within a broader system of instructional support and accountability. These include formal observations conducted by school leaders as part of the educator evaluation process</w:t>
      </w:r>
      <w:r w:rsidR="00124088">
        <w:t>;</w:t>
      </w:r>
      <w:r w:rsidR="00124088" w:rsidRPr="190DD215">
        <w:t xml:space="preserve"> </w:t>
      </w:r>
      <w:r w:rsidR="178D23FB" w:rsidRPr="190DD215">
        <w:t>district and central</w:t>
      </w:r>
      <w:r w:rsidR="009D731B">
        <w:t xml:space="preserve"> </w:t>
      </w:r>
      <w:r w:rsidR="178D23FB" w:rsidRPr="190DD215">
        <w:t xml:space="preserve">office </w:t>
      </w:r>
      <w:r w:rsidR="009D731B">
        <w:t>staff</w:t>
      </w:r>
      <w:r w:rsidR="178D23FB" w:rsidRPr="190DD215" w:rsidDel="009D731B">
        <w:t xml:space="preserve"> </w:t>
      </w:r>
      <w:r w:rsidR="178D23FB" w:rsidRPr="190DD215">
        <w:t>monitor implementation of curriculum and instructional priorities</w:t>
      </w:r>
      <w:r w:rsidR="009D731B">
        <w:t xml:space="preserve"> during walkthroughs</w:t>
      </w:r>
      <w:r w:rsidR="00124088">
        <w:t>;</w:t>
      </w:r>
      <w:r w:rsidR="00124088" w:rsidRPr="190DD215">
        <w:t xml:space="preserve"> </w:t>
      </w:r>
      <w:r w:rsidR="178D23FB" w:rsidRPr="190DD215">
        <w:t>and informal or nonevaluative visits by school administrators, instructional specialists, and external partners provide coaching and feedback. Together, these observation structures are intended to support continuous improvement by generating evidence of practice, informing professional learning, and reinforcing expectations for instructional quality and consistency across schools.</w:t>
      </w:r>
    </w:p>
    <w:p w14:paraId="009E1B3E" w14:textId="579E8050" w:rsidR="0046023A" w:rsidRDefault="44D53E06" w:rsidP="00A03E3A">
      <w:pPr>
        <w:pStyle w:val="BodyText"/>
      </w:pPr>
      <w:r w:rsidRPr="190DD215">
        <w:t xml:space="preserve">In addition to the walkthrough and coaching practices described by school leaders, teachers described nonevaluative visits from external curriculum partners </w:t>
      </w:r>
      <w:r w:rsidR="00DC33D4">
        <w:t>(e.g.,</w:t>
      </w:r>
      <w:r w:rsidRPr="190DD215">
        <w:t xml:space="preserve"> Carnegie Learning and Hill for Literacy</w:t>
      </w:r>
      <w:r w:rsidR="00DC33D4">
        <w:t>)</w:t>
      </w:r>
      <w:r w:rsidRPr="190DD215">
        <w:t xml:space="preserve"> as well as walkthroughs by instructional resource specialists and content coordinators. </w:t>
      </w:r>
      <w:r w:rsidR="00DC33D4">
        <w:t>Teachers</w:t>
      </w:r>
      <w:r w:rsidRPr="190DD215" w:rsidDel="00DC33D4">
        <w:t xml:space="preserve"> </w:t>
      </w:r>
      <w:r w:rsidRPr="190DD215">
        <w:t xml:space="preserve">characterized </w:t>
      </w:r>
      <w:r w:rsidR="00DC33D4">
        <w:t xml:space="preserve">these visits </w:t>
      </w:r>
      <w:r w:rsidRPr="190DD215">
        <w:t xml:space="preserve">as focused on curriculum fidelity and instructional consistency rather than compliance. </w:t>
      </w:r>
      <w:r w:rsidR="002C7F60">
        <w:t>However, s</w:t>
      </w:r>
      <w:r w:rsidRPr="190DD215">
        <w:t>ome teachers noted that informal feedback from school leaders following classroom visits varied in frequency and specificity</w:t>
      </w:r>
      <w:r w:rsidR="0046023A">
        <w:t>.</w:t>
      </w:r>
    </w:p>
    <w:p w14:paraId="7ED080F2" w14:textId="1EAC45AE" w:rsidR="00E96F4D" w:rsidRDefault="6DE27EFF" w:rsidP="00A03E3A">
      <w:pPr>
        <w:pStyle w:val="BodyText"/>
      </w:pPr>
      <w:r>
        <w:t>As noted previously, p</w:t>
      </w:r>
      <w:r w:rsidR="1E70B55C">
        <w:t xml:space="preserve">rofessional learning in Brockton is coordinated through the </w:t>
      </w:r>
      <w:r w:rsidR="009A496C">
        <w:t>d</w:t>
      </w:r>
      <w:r w:rsidR="1E70B55C">
        <w:t xml:space="preserve">epartment of </w:t>
      </w:r>
      <w:r w:rsidR="009A496C">
        <w:t>p</w:t>
      </w:r>
      <w:r w:rsidR="1E70B55C">
        <w:t xml:space="preserve">rofessional </w:t>
      </w:r>
      <w:r w:rsidR="009A496C">
        <w:t>g</w:t>
      </w:r>
      <w:r w:rsidR="1E70B55C">
        <w:t xml:space="preserve">rowth and </w:t>
      </w:r>
      <w:r w:rsidR="009A496C">
        <w:t>s</w:t>
      </w:r>
      <w:r w:rsidR="1E70B55C">
        <w:t xml:space="preserve">chool </w:t>
      </w:r>
      <w:r w:rsidR="009A496C">
        <w:t>i</w:t>
      </w:r>
      <w:r w:rsidR="1E70B55C">
        <w:t xml:space="preserve">mprovement, led by </w:t>
      </w:r>
      <w:r w:rsidR="0039018B">
        <w:t>the department’s d</w:t>
      </w:r>
      <w:r w:rsidR="1E70B55C">
        <w:t xml:space="preserve">irector. The director works collaboratively with content coordinators, assistant superintendents, and department leaders to identify and plan professional development offerings across roles, grade levels, and program areas. The district uses multiple inputs to determine </w:t>
      </w:r>
      <w:r w:rsidR="002E073E">
        <w:t>professional development</w:t>
      </w:r>
      <w:r w:rsidR="1E70B55C">
        <w:t xml:space="preserve"> priorities, including learning walk</w:t>
      </w:r>
      <w:r w:rsidR="002E073E">
        <w:t>throughs</w:t>
      </w:r>
      <w:r w:rsidR="1E70B55C">
        <w:t xml:space="preserve"> conducted by assistant superintendents, student outcome data reviewed by the DILT, post-</w:t>
      </w:r>
      <w:r w:rsidR="002E073E">
        <w:t>professional development</w:t>
      </w:r>
      <w:r w:rsidR="1E70B55C">
        <w:t xml:space="preserve"> surveys administered by facilitators, and </w:t>
      </w:r>
      <w:r w:rsidR="6FD317AF">
        <w:t>feedback from building-based staff</w:t>
      </w:r>
      <w:r w:rsidR="1E70B55C">
        <w:t xml:space="preserve"> through a districtwide </w:t>
      </w:r>
      <w:r w:rsidR="002E073E">
        <w:t>professional development</w:t>
      </w:r>
      <w:r w:rsidR="1E70B55C">
        <w:t xml:space="preserve"> task force. </w:t>
      </w:r>
      <w:r w:rsidR="009D731B">
        <w:t>T</w:t>
      </w:r>
      <w:r w:rsidR="1E70B55C">
        <w:t xml:space="preserve">he director described </w:t>
      </w:r>
      <w:r w:rsidR="008964E9">
        <w:t xml:space="preserve">this </w:t>
      </w:r>
      <w:r w:rsidR="1E70B55C">
        <w:t xml:space="preserve">role as serving as a liaison between staff in buildings and district leadership, ensuring that staff have a voice in shaping </w:t>
      </w:r>
      <w:r w:rsidR="008964E9">
        <w:t>professional development</w:t>
      </w:r>
      <w:r w:rsidR="1E70B55C">
        <w:t xml:space="preserve"> offerings while also aligning those offerings to district priorities and DESE standards.</w:t>
      </w:r>
    </w:p>
    <w:p w14:paraId="59EE707B" w14:textId="30BAD1A2" w:rsidR="0046023A" w:rsidRDefault="00E96F4D" w:rsidP="00A03E3A">
      <w:pPr>
        <w:pStyle w:val="BodyText"/>
      </w:pPr>
      <w:r>
        <w:t>The district uses post-</w:t>
      </w:r>
      <w:r w:rsidR="00B07A38">
        <w:t>professional development</w:t>
      </w:r>
      <w:r>
        <w:t xml:space="preserve"> surveys</w:t>
      </w:r>
      <w:r w:rsidR="00B07A38">
        <w:t>, which are</w:t>
      </w:r>
      <w:r>
        <w:t xml:space="preserve"> administered by facilitators</w:t>
      </w:r>
      <w:r w:rsidR="00B07A38">
        <w:t>,</w:t>
      </w:r>
      <w:r>
        <w:t xml:space="preserve"> to gather feedback</w:t>
      </w:r>
      <w:r w:rsidR="00B07A38">
        <w:t>. T</w:t>
      </w:r>
      <w:r>
        <w:t xml:space="preserve">he </w:t>
      </w:r>
      <w:r w:rsidR="00B07A38">
        <w:t>d</w:t>
      </w:r>
      <w:r>
        <w:t xml:space="preserve">irector of </w:t>
      </w:r>
      <w:r w:rsidR="00CB62FF">
        <w:t>p</w:t>
      </w:r>
      <w:r>
        <w:t xml:space="preserve">rofessional </w:t>
      </w:r>
      <w:r w:rsidR="00CB62FF">
        <w:t>g</w:t>
      </w:r>
      <w:r>
        <w:t xml:space="preserve">rowth and </w:t>
      </w:r>
      <w:r w:rsidR="00CB62FF">
        <w:t>s</w:t>
      </w:r>
      <w:r>
        <w:t xml:space="preserve">chool </w:t>
      </w:r>
      <w:r w:rsidR="00CB62FF">
        <w:t>i</w:t>
      </w:r>
      <w:r>
        <w:t xml:space="preserve">mprovement has conducted broader surveys of district staff since taking on the role. Content-specific monitoring of </w:t>
      </w:r>
      <w:r w:rsidR="00B07A38">
        <w:t>professional development</w:t>
      </w:r>
      <w:r>
        <w:t xml:space="preserve"> impact and subsequent adjustment is managed at the coordinator level rather than through a centralized district tracking system</w:t>
      </w:r>
      <w:r w:rsidR="00B07A38">
        <w:t>. This</w:t>
      </w:r>
      <w:r>
        <w:t xml:space="preserve"> suggest</w:t>
      </w:r>
      <w:r w:rsidR="00B07A38">
        <w:t>s</w:t>
      </w:r>
      <w:r>
        <w:t xml:space="preserve"> the district lacks a systematic approach to evaluate the impact professional development offerings on instructional practice.</w:t>
      </w:r>
      <w:r w:rsidRPr="2D019F4B">
        <w:rPr>
          <w:color w:val="EE0000"/>
        </w:rPr>
        <w:t xml:space="preserve"> </w:t>
      </w:r>
      <w:r w:rsidR="11630560">
        <w:t xml:space="preserve">Professional development is organized </w:t>
      </w:r>
      <w:r w:rsidR="00457543">
        <w:t>primarily delivered</w:t>
      </w:r>
      <w:r w:rsidR="00D95F78">
        <w:t xml:space="preserve"> during </w:t>
      </w:r>
      <w:r w:rsidR="11630560">
        <w:t>four early release days each year</w:t>
      </w:r>
      <w:r w:rsidR="00D9739C">
        <w:t>,</w:t>
      </w:r>
      <w:r w:rsidR="11630560">
        <w:t xml:space="preserve"> and is differentiated by role, level, and need. The director described a scheduling framework that maps </w:t>
      </w:r>
      <w:r w:rsidR="00D9739C">
        <w:t>professional development</w:t>
      </w:r>
      <w:r w:rsidR="11630560">
        <w:t xml:space="preserve"> offerings across all employee groups, including instructional staff, paraprofessionals, administrative assistants, bilingual facilitators, </w:t>
      </w:r>
      <w:r w:rsidR="00D9739C">
        <w:t xml:space="preserve">information technology </w:t>
      </w:r>
      <w:r w:rsidR="11630560">
        <w:t xml:space="preserve">staff, nurses, adjustment counselors, food service workers, transportation staff, and custodians. </w:t>
      </w:r>
      <w:r w:rsidR="00D9739C">
        <w:t xml:space="preserve">Assistant superintendents </w:t>
      </w:r>
      <w:r w:rsidR="11630560">
        <w:t>collaborat</w:t>
      </w:r>
      <w:r w:rsidR="00D9739C">
        <w:t xml:space="preserve">e on professional development for administrators, which </w:t>
      </w:r>
      <w:r w:rsidR="11630560">
        <w:t>is often embedded in existing leadership meetings, including principal and assistant principal gatherings</w:t>
      </w:r>
      <w:r w:rsidR="0046023A">
        <w:t>.</w:t>
      </w:r>
    </w:p>
    <w:p w14:paraId="1C7DC378" w14:textId="10C6FCCA" w:rsidR="007611B0" w:rsidRPr="00B1622A" w:rsidRDefault="11630560" w:rsidP="00A03E3A">
      <w:pPr>
        <w:pStyle w:val="BodyText"/>
        <w:rPr>
          <w:color w:val="000000" w:themeColor="text1"/>
        </w:rPr>
      </w:pPr>
      <w:r w:rsidRPr="2BDCFB42">
        <w:t xml:space="preserve">The district does not currently have a comprehensive, yearlong districtwide professional development plan that articulates goals and sequenced learning across the full school year. The director noted that while meaningful progress has been made in planning early release days with greater transparency and differentiation, the district is still working toward a model in which all </w:t>
      </w:r>
      <w:r w:rsidRPr="00B1622A">
        <w:rPr>
          <w:color w:val="000000" w:themeColor="text1"/>
        </w:rPr>
        <w:t xml:space="preserve">educators and leaders have a clear throughline from goals to </w:t>
      </w:r>
      <w:r w:rsidR="001C200A" w:rsidRPr="00B1622A">
        <w:rPr>
          <w:color w:val="000000" w:themeColor="text1"/>
        </w:rPr>
        <w:t xml:space="preserve">professional development </w:t>
      </w:r>
      <w:r w:rsidRPr="00B1622A">
        <w:rPr>
          <w:color w:val="000000" w:themeColor="text1"/>
        </w:rPr>
        <w:t xml:space="preserve">content to implementation </w:t>
      </w:r>
      <w:r w:rsidR="001C200A" w:rsidRPr="00B1622A">
        <w:rPr>
          <w:color w:val="000000" w:themeColor="text1"/>
        </w:rPr>
        <w:t xml:space="preserve">to </w:t>
      </w:r>
      <w:r w:rsidRPr="00B1622A">
        <w:rPr>
          <w:color w:val="000000" w:themeColor="text1"/>
        </w:rPr>
        <w:t>impact across the full year. Developing a comprehensive, yearlong</w:t>
      </w:r>
      <w:r w:rsidR="001C200A" w:rsidRPr="00B1622A">
        <w:rPr>
          <w:color w:val="000000" w:themeColor="text1"/>
        </w:rPr>
        <w:t>,</w:t>
      </w:r>
      <w:r w:rsidRPr="00B1622A">
        <w:rPr>
          <w:color w:val="000000" w:themeColor="text1"/>
        </w:rPr>
        <w:t xml:space="preserve"> districtwide professional development plan is an area for growth for the district.</w:t>
      </w:r>
    </w:p>
    <w:p w14:paraId="38AC2300" w14:textId="6F87F8EA" w:rsidR="007611B0" w:rsidRPr="00B1622A" w:rsidRDefault="003C289D" w:rsidP="00A03E3A">
      <w:pPr>
        <w:pStyle w:val="BodyText"/>
        <w:rPr>
          <w:color w:val="000000" w:themeColor="text1"/>
        </w:rPr>
      </w:pPr>
      <w:r>
        <w:t>In addition to</w:t>
      </w:r>
      <w:r w:rsidDel="009813ED">
        <w:t xml:space="preserve"> </w:t>
      </w:r>
      <w:r>
        <w:t>in-house professional development</w:t>
      </w:r>
      <w:r w:rsidR="00462D28">
        <w:t xml:space="preserve">, </w:t>
      </w:r>
      <w:r w:rsidR="00462D28" w:rsidRPr="391D8CAF">
        <w:t>t</w:t>
      </w:r>
      <w:r w:rsidR="11630560" w:rsidRPr="391D8CAF">
        <w:t>he</w:t>
      </w:r>
      <w:r w:rsidR="11630560" w:rsidRPr="2BDCFB42">
        <w:t xml:space="preserve"> district has developed university partnerships to support staff pursuing graduate coursework and advanced credentials. Partnerships with Lesley University and Fitchburg State have enabled the district to offer courses at significantly reduced rates by covering instructor costs, </w:t>
      </w:r>
      <w:r w:rsidR="009813ED">
        <w:t>so</w:t>
      </w:r>
      <w:r w:rsidR="11630560" w:rsidRPr="2BDCFB42">
        <w:t xml:space="preserve"> staff pay a much lower fee than standard tuition. A newly finalized collective bargaining agreement is expected to introduce formal tuition reimbursement provisions, and the director described plans to administer that process jointly with the HR office. The district also offers</w:t>
      </w:r>
      <w:r w:rsidR="00E96F4D">
        <w:t xml:space="preserve"> Massachusetts Test for Educator Licensure (</w:t>
      </w:r>
      <w:r w:rsidR="11630560" w:rsidRPr="2BDCFB42">
        <w:t>MTEL</w:t>
      </w:r>
      <w:r w:rsidR="00E96F4D">
        <w:t>)</w:t>
      </w:r>
      <w:r w:rsidR="009813ED">
        <w:t xml:space="preserve"> </w:t>
      </w:r>
      <w:r w:rsidR="11630560" w:rsidRPr="2BDCFB42">
        <w:t xml:space="preserve">preparation courses, </w:t>
      </w:r>
      <w:r w:rsidR="11630560" w:rsidRPr="2BDCFB42" w:rsidDel="009813ED">
        <w:t xml:space="preserve">based </w:t>
      </w:r>
      <w:r w:rsidR="11630560" w:rsidRPr="2BDCFB42">
        <w:t xml:space="preserve">on annual surveys and coordinator input </w:t>
      </w:r>
      <w:r w:rsidR="009813ED">
        <w:t xml:space="preserve">that </w:t>
      </w:r>
      <w:r w:rsidR="11630560" w:rsidRPr="2BDCFB42">
        <w:t>identif</w:t>
      </w:r>
      <w:r w:rsidR="009813ED">
        <w:t>ied</w:t>
      </w:r>
      <w:r w:rsidR="11630560" w:rsidRPr="2BDCFB42">
        <w:t xml:space="preserve"> the most pressing licensure needs across the </w:t>
      </w:r>
      <w:r w:rsidR="11630560" w:rsidRPr="00B1622A">
        <w:rPr>
          <w:color w:val="000000" w:themeColor="text1"/>
        </w:rPr>
        <w:t xml:space="preserve">workforce. The MTEL preparation course further supports </w:t>
      </w:r>
      <w:r w:rsidR="009813ED" w:rsidRPr="00B1622A">
        <w:rPr>
          <w:color w:val="000000" w:themeColor="text1"/>
        </w:rPr>
        <w:t xml:space="preserve">Brockton’s </w:t>
      </w:r>
      <w:r w:rsidR="11630560" w:rsidRPr="00B1622A">
        <w:rPr>
          <w:color w:val="000000" w:themeColor="text1"/>
        </w:rPr>
        <w:t>internal pipeline of educators by providing a convenient option for those seeking licensure. MTEL preparation courses and university partnerships that support staff pursuing licensure advancement at reduced cost</w:t>
      </w:r>
      <w:r w:rsidR="009813ED" w:rsidRPr="00B1622A">
        <w:rPr>
          <w:color w:val="000000" w:themeColor="text1"/>
        </w:rPr>
        <w:t>s</w:t>
      </w:r>
      <w:r w:rsidR="11630560" w:rsidRPr="00B1622A">
        <w:rPr>
          <w:color w:val="000000" w:themeColor="text1"/>
        </w:rPr>
        <w:t xml:space="preserve"> are a strength of the district.</w:t>
      </w:r>
    </w:p>
    <w:p w14:paraId="2ACE6BFA" w14:textId="6ABD0B05" w:rsidR="007611B0" w:rsidRPr="007611B0" w:rsidRDefault="00024D0E" w:rsidP="00A03E3A">
      <w:pPr>
        <w:pStyle w:val="BodyText"/>
      </w:pPr>
      <w:r>
        <w:t xml:space="preserve">The </w:t>
      </w:r>
      <w:r w:rsidR="006E4BCA">
        <w:t>d</w:t>
      </w:r>
      <w:r>
        <w:t xml:space="preserve">irector of </w:t>
      </w:r>
      <w:r w:rsidR="003D45E2">
        <w:t>p</w:t>
      </w:r>
      <w:r>
        <w:t xml:space="preserve">rofessional </w:t>
      </w:r>
      <w:r w:rsidR="003D45E2">
        <w:t>g</w:t>
      </w:r>
      <w:r>
        <w:t xml:space="preserve">rowth and </w:t>
      </w:r>
      <w:r w:rsidR="003D45E2">
        <w:t>s</w:t>
      </w:r>
      <w:r>
        <w:t xml:space="preserve">chool </w:t>
      </w:r>
      <w:r w:rsidR="003D45E2">
        <w:t>i</w:t>
      </w:r>
      <w:r>
        <w:t xml:space="preserve">mprovement noted that the district uses collaborative structures to support professional learning. </w:t>
      </w:r>
      <w:r w:rsidR="006E4BCA">
        <w:t xml:space="preserve">These </w:t>
      </w:r>
      <w:r w:rsidR="1E70B55C">
        <w:t>structures are embedded across school levels, including common planning time</w:t>
      </w:r>
      <w:r w:rsidR="373140F7">
        <w:t xml:space="preserve"> (CPT)</w:t>
      </w:r>
      <w:r w:rsidR="1E70B55C">
        <w:t xml:space="preserve">, SSPT, and department meetings. </w:t>
      </w:r>
      <w:r w:rsidR="4D3BC357">
        <w:t>CPT</w:t>
      </w:r>
      <w:r w:rsidR="006E4BCA">
        <w:t xml:space="preserve"> is</w:t>
      </w:r>
      <w:r w:rsidR="4D3BC357">
        <w:t xml:space="preserve"> used for </w:t>
      </w:r>
      <w:r w:rsidR="46DB973B">
        <w:t>coordinating instruction</w:t>
      </w:r>
      <w:r w:rsidR="772F19FA">
        <w:t xml:space="preserve">al decision making and </w:t>
      </w:r>
      <w:r w:rsidR="1B9FBA9A">
        <w:t xml:space="preserve">receiving input from coaches and district coordinators. SSPT is </w:t>
      </w:r>
      <w:r w:rsidR="0F54D3E1">
        <w:t xml:space="preserve">used </w:t>
      </w:r>
      <w:r w:rsidR="6760A9E0">
        <w:t xml:space="preserve">for data analysis and instructional planning (e.g., </w:t>
      </w:r>
      <w:r w:rsidR="7BD0FF55">
        <w:t xml:space="preserve">reviewing assessments </w:t>
      </w:r>
      <w:r w:rsidR="79775E78">
        <w:t>to</w:t>
      </w:r>
      <w:r w:rsidR="7BD0FF55">
        <w:t xml:space="preserve"> </w:t>
      </w:r>
      <w:r w:rsidR="5B66D7C5">
        <w:t>adjust</w:t>
      </w:r>
      <w:r w:rsidR="7BD0FF55">
        <w:t xml:space="preserve"> </w:t>
      </w:r>
      <w:r w:rsidR="72286093">
        <w:t>student groupings)</w:t>
      </w:r>
      <w:r w:rsidR="006E4BCA">
        <w:t>,</w:t>
      </w:r>
      <w:r w:rsidR="78CE9207">
        <w:t xml:space="preserve"> </w:t>
      </w:r>
      <w:r w:rsidR="006E4BCA">
        <w:t>and</w:t>
      </w:r>
      <w:r w:rsidR="78CE9207">
        <w:t xml:space="preserve"> department meetings are used </w:t>
      </w:r>
      <w:r w:rsidR="100B527E">
        <w:t xml:space="preserve">to discuss curriculum </w:t>
      </w:r>
      <w:r w:rsidR="7980D5E7">
        <w:t xml:space="preserve">implementation and discuss logistics. </w:t>
      </w:r>
      <w:r w:rsidR="1E70B55C">
        <w:t xml:space="preserve">The director described coordination with content coordinators and directors to determine how </w:t>
      </w:r>
      <w:r w:rsidR="006E4BCA">
        <w:t>CPT</w:t>
      </w:r>
      <w:r w:rsidR="1E70B55C">
        <w:t xml:space="preserve"> is used and whether it aligns with current </w:t>
      </w:r>
      <w:r w:rsidR="006E4BCA">
        <w:t xml:space="preserve">professional development </w:t>
      </w:r>
      <w:r w:rsidR="1E70B55C">
        <w:t xml:space="preserve">priorities. </w:t>
      </w:r>
      <w:r w:rsidR="34FD8FF5">
        <w:t xml:space="preserve">Elementary teachers </w:t>
      </w:r>
      <w:r w:rsidR="373140F7">
        <w:t xml:space="preserve">from across the district </w:t>
      </w:r>
      <w:r w:rsidR="34FD8FF5">
        <w:t xml:space="preserve">reported </w:t>
      </w:r>
      <w:r w:rsidR="1D72A88A">
        <w:t xml:space="preserve">they have </w:t>
      </w:r>
      <w:r w:rsidR="41E5CD9C">
        <w:t>45</w:t>
      </w:r>
      <w:r w:rsidR="001E37B7">
        <w:t xml:space="preserve"> </w:t>
      </w:r>
      <w:r w:rsidR="41E5CD9C">
        <w:t xml:space="preserve">minutes of </w:t>
      </w:r>
      <w:r w:rsidR="4D3BC357">
        <w:t xml:space="preserve">grade-level </w:t>
      </w:r>
      <w:r w:rsidR="001E37B7">
        <w:t>CPT</w:t>
      </w:r>
      <w:r w:rsidR="41E5CD9C">
        <w:t xml:space="preserve"> </w:t>
      </w:r>
      <w:r w:rsidR="77EBE929">
        <w:t>at least four days a week</w:t>
      </w:r>
      <w:r w:rsidR="7980D5E7">
        <w:t xml:space="preserve">. Additionally, </w:t>
      </w:r>
      <w:r w:rsidR="1D612257">
        <w:t>elementary teachers described using SS</w:t>
      </w:r>
      <w:r w:rsidR="6B0A4DB2">
        <w:t xml:space="preserve">PT to </w:t>
      </w:r>
      <w:r w:rsidR="368C0804">
        <w:t>focus on student data</w:t>
      </w:r>
      <w:r w:rsidR="410C26A0">
        <w:t>.</w:t>
      </w:r>
      <w:r w:rsidR="4D3BC357">
        <w:t xml:space="preserve"> </w:t>
      </w:r>
      <w:r w:rsidR="1E70B55C">
        <w:t xml:space="preserve">According to the director and school leaders, middle schools recently revamped </w:t>
      </w:r>
      <w:r w:rsidR="514D88E3">
        <w:t>their</w:t>
      </w:r>
      <w:r w:rsidR="1E70B55C">
        <w:t xml:space="preserve"> schedules to introduce </w:t>
      </w:r>
      <w:r w:rsidR="001E37B7">
        <w:t>CPT</w:t>
      </w:r>
      <w:r w:rsidR="1E70B55C">
        <w:t xml:space="preserve"> where it had been absent, a change attributed to a broader district scheduling initiative. </w:t>
      </w:r>
      <w:r w:rsidR="48BB61ED">
        <w:t xml:space="preserve">At the high school, teachers reported having less frequent </w:t>
      </w:r>
      <w:r w:rsidR="001E37B7">
        <w:t>CPT</w:t>
      </w:r>
      <w:r w:rsidR="48BB61ED">
        <w:t xml:space="preserve"> (</w:t>
      </w:r>
      <w:r w:rsidR="001E37B7">
        <w:t xml:space="preserve">i.e., </w:t>
      </w:r>
      <w:r w:rsidR="48BB61ED">
        <w:t xml:space="preserve">once every two weeks) </w:t>
      </w:r>
      <w:r w:rsidR="05B32EC3">
        <w:t>foc</w:t>
      </w:r>
      <w:r w:rsidR="390AFAB6">
        <w:t xml:space="preserve">used on subject areas rather than </w:t>
      </w:r>
      <w:r w:rsidR="18AC2841">
        <w:t xml:space="preserve">grade levels as in other grade bands. High school teacher focus group participants </w:t>
      </w:r>
      <w:r w:rsidR="45575177">
        <w:t xml:space="preserve">reported that </w:t>
      </w:r>
      <w:r w:rsidR="001E37B7">
        <w:t xml:space="preserve">the </w:t>
      </w:r>
      <w:r w:rsidR="53900639">
        <w:t xml:space="preserve">current CPT structure provides limited </w:t>
      </w:r>
      <w:r w:rsidR="3FFB0AD4">
        <w:t xml:space="preserve">value because </w:t>
      </w:r>
      <w:r w:rsidR="27EF2D29">
        <w:t>they do not meet frequently enough</w:t>
      </w:r>
      <w:r w:rsidR="18AC2841">
        <w:t>.</w:t>
      </w:r>
      <w:r w:rsidR="1E70B55C">
        <w:t xml:space="preserve"> </w:t>
      </w:r>
      <w:r w:rsidR="001E37B7">
        <w:t>Nevertheless, t</w:t>
      </w:r>
      <w:r w:rsidR="1E70B55C">
        <w:t>eachers</w:t>
      </w:r>
      <w:r w:rsidR="34FD8FF5">
        <w:t xml:space="preserve"> across all three </w:t>
      </w:r>
      <w:r w:rsidR="001E37B7">
        <w:t xml:space="preserve">school </w:t>
      </w:r>
      <w:r w:rsidR="34FD8FF5">
        <w:t>levels</w:t>
      </w:r>
      <w:r w:rsidR="1E70B55C">
        <w:t xml:space="preserve"> described collaboration as a meaningful part of their professional experience</w:t>
      </w:r>
      <w:r w:rsidR="001E37B7">
        <w:t>,</w:t>
      </w:r>
      <w:r w:rsidR="1E70B55C">
        <w:t xml:space="preserve"> and noted that grade-level and content-area teams use </w:t>
      </w:r>
      <w:r w:rsidR="001E37B7">
        <w:t>CPT</w:t>
      </w:r>
      <w:r w:rsidR="1E70B55C">
        <w:t xml:space="preserve"> for curriculum calibration, data review, and shared instructional problem</w:t>
      </w:r>
      <w:r w:rsidR="001E37B7">
        <w:t xml:space="preserve"> </w:t>
      </w:r>
      <w:r w:rsidR="1E70B55C">
        <w:t>solving across content areas and programs.</w:t>
      </w:r>
    </w:p>
    <w:p w14:paraId="413BDE04" w14:textId="0C7EC818" w:rsidR="11630560" w:rsidRDefault="1E70B55C" w:rsidP="00A03E3A">
      <w:pPr>
        <w:pStyle w:val="BodyText"/>
      </w:pPr>
      <w:r>
        <w:t>New educator support is provided through the district</w:t>
      </w:r>
      <w:r w:rsidR="003D02A9">
        <w:t>’</w:t>
      </w:r>
      <w:r>
        <w:t xml:space="preserve">s induction and mentoring program, which transferred from HR to the </w:t>
      </w:r>
      <w:r w:rsidR="003D45E2">
        <w:t>d</w:t>
      </w:r>
      <w:r>
        <w:t xml:space="preserve">epartment of </w:t>
      </w:r>
      <w:r w:rsidR="003D45E2">
        <w:t>p</w:t>
      </w:r>
      <w:r>
        <w:t xml:space="preserve">rofessional </w:t>
      </w:r>
      <w:r w:rsidR="003D45E2">
        <w:t>g</w:t>
      </w:r>
      <w:r>
        <w:t xml:space="preserve">rowth and </w:t>
      </w:r>
      <w:r w:rsidR="003D45E2">
        <w:t>s</w:t>
      </w:r>
      <w:r>
        <w:t xml:space="preserve">chool </w:t>
      </w:r>
      <w:r w:rsidR="003D45E2">
        <w:t>i</w:t>
      </w:r>
      <w:r>
        <w:t>mprovement in September of the current school year. The program is structured around new educator orientation</w:t>
      </w:r>
      <w:r w:rsidR="5A47E80A">
        <w:t xml:space="preserve"> (</w:t>
      </w:r>
      <w:r w:rsidR="003D02A9">
        <w:t xml:space="preserve">i.e., </w:t>
      </w:r>
      <w:r w:rsidR="5A47E80A">
        <w:t>induction)</w:t>
      </w:r>
      <w:r>
        <w:t xml:space="preserve"> held at the end of August, currently one and a half days in length, with district leaders </w:t>
      </w:r>
      <w:r w:rsidR="31E1475D">
        <w:t>presenting</w:t>
      </w:r>
      <w:r>
        <w:t xml:space="preserve"> department expectations and key resources. Three mentor managers</w:t>
      </w:r>
      <w:r w:rsidR="00C32C1A">
        <w:t>, one each from</w:t>
      </w:r>
      <w:r>
        <w:t xml:space="preserve"> the elementary, middle, and high school levels</w:t>
      </w:r>
      <w:r w:rsidR="00C32C1A">
        <w:t>,</w:t>
      </w:r>
      <w:r>
        <w:t xml:space="preserve"> oversee three annual meetings with mentor and mentee pairs, maintain attendance logs, and use Microsoft Teams </w:t>
      </w:r>
      <w:r w:rsidR="00C32C1A">
        <w:t xml:space="preserve">for virtual meetings </w:t>
      </w:r>
      <w:r>
        <w:t>to share resources and facilitate accountability.</w:t>
      </w:r>
    </w:p>
    <w:p w14:paraId="7EB7AF64" w14:textId="02471C3D" w:rsidR="391D8CAF" w:rsidRDefault="05DB49B2" w:rsidP="00A03E3A">
      <w:pPr>
        <w:pStyle w:val="BodyText"/>
        <w:rPr>
          <w:rFonts w:ascii="Franklin Gothic Book" w:eastAsia="Franklin Gothic Book" w:hAnsi="Franklin Gothic Book" w:cs="Franklin Gothic Book"/>
        </w:rPr>
      </w:pPr>
      <w:r w:rsidRPr="190DD215">
        <w:t xml:space="preserve">As </w:t>
      </w:r>
      <w:r w:rsidR="7CFCBCC2" w:rsidRPr="190DD215">
        <w:t>described</w:t>
      </w:r>
      <w:r w:rsidRPr="190DD215">
        <w:t xml:space="preserve"> </w:t>
      </w:r>
      <w:r w:rsidR="0FC7DA06" w:rsidRPr="190DD215">
        <w:t>i</w:t>
      </w:r>
      <w:r w:rsidRPr="190DD215">
        <w:t>n district documents, Brockton</w:t>
      </w:r>
      <w:r w:rsidR="00FE62C6">
        <w:t>’s</w:t>
      </w:r>
      <w:r w:rsidRPr="190DD215" w:rsidDel="00FE62C6">
        <w:t xml:space="preserve"> </w:t>
      </w:r>
      <w:r w:rsidRPr="190DD215">
        <w:t>mentoring program pairs new teachers with experienced mentors in similar grade levels or subject areas and is structured to provide both informal ongoing support and more formal, scheduled collaboration throughout the year. The program begins with a comprehensive induction that orients new staff to district expectations, instructional practices, and student needs, and continues with mentoring focused on core instructional skills such as classroom management, lesson planning, data use, and student engagement. Aligned with state requirements, the program supports licensure</w:t>
      </w:r>
      <w:r w:rsidR="005A5CA7">
        <w:t>,</w:t>
      </w:r>
      <w:r w:rsidRPr="190DD215">
        <w:t xml:space="preserve"> professional growth</w:t>
      </w:r>
      <w:r w:rsidR="005A5CA7">
        <w:t xml:space="preserve">, and </w:t>
      </w:r>
      <w:r w:rsidRPr="190DD215">
        <w:t>continued learning beyond the first year</w:t>
      </w:r>
      <w:r w:rsidR="00C267AD">
        <w:t xml:space="preserve"> of teaching</w:t>
      </w:r>
      <w:r w:rsidR="005A5CA7">
        <w:t xml:space="preserve">. </w:t>
      </w:r>
    </w:p>
    <w:p w14:paraId="5848C8C1" w14:textId="56727436" w:rsidR="007611B0" w:rsidRPr="007611B0" w:rsidRDefault="11630560" w:rsidP="00A03E3A">
      <w:pPr>
        <w:pStyle w:val="BodyText"/>
      </w:pPr>
      <w:r>
        <w:t xml:space="preserve">The director </w:t>
      </w:r>
      <w:r w:rsidR="001806AC">
        <w:t xml:space="preserve">of </w:t>
      </w:r>
      <w:r w:rsidR="006B01B9">
        <w:t>p</w:t>
      </w:r>
      <w:r w:rsidR="001806AC">
        <w:t xml:space="preserve">rofessional </w:t>
      </w:r>
      <w:r w:rsidR="006B01B9">
        <w:t>g</w:t>
      </w:r>
      <w:r w:rsidR="001806AC">
        <w:t xml:space="preserve">rowth and </w:t>
      </w:r>
      <w:r w:rsidR="006B01B9">
        <w:t>s</w:t>
      </w:r>
      <w:r w:rsidR="001806AC">
        <w:t xml:space="preserve">chool </w:t>
      </w:r>
      <w:r w:rsidR="006B01B9">
        <w:t>i</w:t>
      </w:r>
      <w:r w:rsidR="001806AC">
        <w:t xml:space="preserve">mprovement </w:t>
      </w:r>
      <w:r>
        <w:t>described plans to significantly strengthen the mentoring program</w:t>
      </w:r>
      <w:r w:rsidR="007B3E4D">
        <w:t xml:space="preserve"> through expanded mentor training and the development of a formal handbook to improve implementation, teacher retention, and student outcomes</w:t>
      </w:r>
      <w:r>
        <w:t xml:space="preserve">. </w:t>
      </w:r>
      <w:r w:rsidR="007B3E4D">
        <w:t>Other c</w:t>
      </w:r>
      <w:r>
        <w:t>hanges include moving to an internal hiring process for mentors with updated qualifications requiring at least six years of teaching experience</w:t>
      </w:r>
      <w:r w:rsidR="007B3E4D">
        <w:t xml:space="preserve"> (</w:t>
      </w:r>
      <w:r>
        <w:t>including three in Brockton</w:t>
      </w:r>
      <w:r w:rsidR="007B3E4D">
        <w:t>)</w:t>
      </w:r>
      <w:r>
        <w:t xml:space="preserve"> and introducing a required full-day summer training for both new and returning mentors to standardize expectations and refresh practice</w:t>
      </w:r>
      <w:r w:rsidR="007B3E4D">
        <w:t>s</w:t>
      </w:r>
      <w:r>
        <w:t>. A modest stipend increase for mentors is being negotiated with the Brockton Education Association</w:t>
      </w:r>
      <w:r w:rsidR="006B6D7B">
        <w:t xml:space="preserve"> (BEA)</w:t>
      </w:r>
      <w:r>
        <w:t xml:space="preserve">, along with a potential supplemental stipend for mentors who take on a second mentee. The director also described plans to offer optional monthly afterschool professional development sessions for first- and second-year educators to extend structured support beyond the initial year of the formal mentoring program. The director </w:t>
      </w:r>
      <w:r w:rsidR="229B7807">
        <w:t>reported that</w:t>
      </w:r>
      <w:r>
        <w:t xml:space="preserve"> the induction and mentoring program is actively restructured </w:t>
      </w:r>
      <w:r w:rsidR="00441553">
        <w:t xml:space="preserve">as needed </w:t>
      </w:r>
      <w:r>
        <w:t>to improve mentor quality, consistency, and support for first- and second-year educators.</w:t>
      </w:r>
    </w:p>
    <w:p w14:paraId="4372AEBF" w14:textId="6760F320" w:rsidR="007611B0" w:rsidRPr="00B1622A" w:rsidRDefault="1E1D2CB1" w:rsidP="00A03E3A">
      <w:pPr>
        <w:pStyle w:val="BodyText"/>
        <w:rPr>
          <w:color w:val="000000" w:themeColor="text1"/>
        </w:rPr>
      </w:pPr>
      <w:r>
        <w:t>District leaders also reported gaps in the current onboarding syste</w:t>
      </w:r>
      <w:r w:rsidR="7B8C5EC1">
        <w:t>m noting that</w:t>
      </w:r>
      <w:r w:rsidR="2D17FB19">
        <w:t xml:space="preserve"> occupational therapists, long-term substitutes, and experienced educators transferring from other districts who may be new to </w:t>
      </w:r>
      <w:r w:rsidR="38A097AD">
        <w:t>Brockton fall</w:t>
      </w:r>
      <w:r w:rsidR="11630560">
        <w:t xml:space="preserve"> outside the formal mentoring program. The director described active </w:t>
      </w:r>
      <w:r w:rsidR="11630560" w:rsidRPr="00B1622A">
        <w:rPr>
          <w:color w:val="000000" w:themeColor="text1"/>
        </w:rPr>
        <w:t xml:space="preserve">work with the </w:t>
      </w:r>
      <w:r w:rsidR="00196AD2" w:rsidRPr="00B1622A">
        <w:rPr>
          <w:color w:val="000000" w:themeColor="text1"/>
        </w:rPr>
        <w:t>BEA</w:t>
      </w:r>
      <w:r w:rsidR="11630560" w:rsidRPr="00B1622A">
        <w:rPr>
          <w:color w:val="000000" w:themeColor="text1"/>
        </w:rPr>
        <w:t xml:space="preserve"> to create a building-level support position that would provide this population with practical orientation to district systems, procedures, and resources. Establishing a formal, structured support system for those new to the district </w:t>
      </w:r>
      <w:r w:rsidR="29038852" w:rsidRPr="00B1622A">
        <w:rPr>
          <w:color w:val="000000" w:themeColor="text1"/>
        </w:rPr>
        <w:t xml:space="preserve">or </w:t>
      </w:r>
      <w:r w:rsidR="11630560" w:rsidRPr="00B1622A">
        <w:rPr>
          <w:color w:val="000000" w:themeColor="text1"/>
        </w:rPr>
        <w:t>who currently fall outside the formal mentoring program is an area for growth for the district.</w:t>
      </w:r>
    </w:p>
    <w:p w14:paraId="1565BC0E" w14:textId="657FFF90" w:rsidR="007611B0" w:rsidRPr="007611B0" w:rsidRDefault="1E70B55C" w:rsidP="00A03E3A">
      <w:pPr>
        <w:pStyle w:val="BodyText"/>
      </w:pPr>
      <w:r w:rsidRPr="5D62FA98">
        <w:t>Professional learning for noninstructional staff</w:t>
      </w:r>
      <w:r w:rsidR="00FC7010">
        <w:t xml:space="preserve">, which is </w:t>
      </w:r>
      <w:r w:rsidR="00FC7010" w:rsidRPr="5D62FA98">
        <w:t>primarily role-specific and compliance-focused</w:t>
      </w:r>
      <w:r w:rsidR="00FC7010">
        <w:t>,</w:t>
      </w:r>
      <w:r w:rsidRPr="5D62FA98">
        <w:t xml:space="preserve"> is coordinat</w:t>
      </w:r>
      <w:r w:rsidR="00FC7010">
        <w:t>ed</w:t>
      </w:r>
      <w:r w:rsidRPr="5D62FA98">
        <w:t xml:space="preserve"> </w:t>
      </w:r>
      <w:r w:rsidR="00FC7010">
        <w:t>by</w:t>
      </w:r>
      <w:r w:rsidR="00FC7010" w:rsidRPr="5D62FA98">
        <w:t xml:space="preserve"> </w:t>
      </w:r>
      <w:r w:rsidRPr="5D62FA98">
        <w:t>department supervisors. The director works with leaders in transportation, food service, facilities, and other departments to identify annual training needs and incorporate those groups into the district's early release</w:t>
      </w:r>
      <w:r w:rsidR="00FC7010">
        <w:t>-</w:t>
      </w:r>
      <w:r w:rsidRPr="5D62FA98">
        <w:t xml:space="preserve">day planning. Required compliance training, safety procedures, and job-specific skill development are managed at the department level in coordination with </w:t>
      </w:r>
      <w:r w:rsidR="00FC7010">
        <w:t xml:space="preserve">the </w:t>
      </w:r>
      <w:r w:rsidRPr="5D62FA98">
        <w:t xml:space="preserve">central office. The director noted that </w:t>
      </w:r>
      <w:r w:rsidR="00FC7010">
        <w:t xml:space="preserve">department’s </w:t>
      </w:r>
      <w:r w:rsidRPr="5D62FA98">
        <w:t>responsibilit</w:t>
      </w:r>
      <w:r w:rsidR="00FC7010">
        <w:t>ies</w:t>
      </w:r>
      <w:r w:rsidRPr="5D62FA98">
        <w:t xml:space="preserve"> in this area expanded over time as the </w:t>
      </w:r>
      <w:r w:rsidR="00FC7010">
        <w:t>professional development</w:t>
      </w:r>
      <w:r w:rsidR="00FC7010" w:rsidRPr="5D62FA98">
        <w:t xml:space="preserve"> </w:t>
      </w:r>
      <w:r w:rsidRPr="5D62FA98">
        <w:t>planning process became more comprehensive</w:t>
      </w:r>
      <w:r w:rsidR="00FC7010">
        <w:t>. The director</w:t>
      </w:r>
      <w:r w:rsidRPr="5D62FA98">
        <w:t xml:space="preserve"> described an ongoing effort to ensure that all staff categories receive purposeful, role-aligned professional learning rather than only mandatory trainings.</w:t>
      </w:r>
    </w:p>
    <w:p w14:paraId="010626EC" w14:textId="30A49835" w:rsidR="002B4CEF" w:rsidRDefault="002B4CEF" w:rsidP="00A03E3A">
      <w:pPr>
        <w:pStyle w:val="Heading3"/>
      </w:pPr>
      <w:r w:rsidRPr="00A03E3A">
        <w:t>Recommendations</w:t>
      </w:r>
    </w:p>
    <w:p w14:paraId="640FE2CE" w14:textId="08DF37EA" w:rsidR="002B4CEF" w:rsidRPr="00A5633A" w:rsidRDefault="003A6866" w:rsidP="2D019F4B">
      <w:pPr>
        <w:pStyle w:val="Bullet1"/>
        <w:rPr>
          <w:i/>
          <w:iCs/>
        </w:rPr>
      </w:pPr>
      <w:r w:rsidRPr="2D019F4B">
        <w:rPr>
          <w:i/>
          <w:iCs/>
        </w:rPr>
        <w:t xml:space="preserve">The district should continue with its plans to transition its paper-based personnel records and onboarding </w:t>
      </w:r>
      <w:r w:rsidR="003D3AC5" w:rsidRPr="2D019F4B">
        <w:rPr>
          <w:i/>
          <w:iCs/>
        </w:rPr>
        <w:t xml:space="preserve">processes </w:t>
      </w:r>
      <w:r w:rsidR="001A6829" w:rsidRPr="2D019F4B">
        <w:rPr>
          <w:i/>
          <w:iCs/>
        </w:rPr>
        <w:t>into</w:t>
      </w:r>
      <w:r w:rsidR="003D3AC5" w:rsidRPr="2D019F4B">
        <w:rPr>
          <w:i/>
          <w:iCs/>
        </w:rPr>
        <w:t xml:space="preserve"> a secure digital</w:t>
      </w:r>
      <w:r w:rsidR="00E60847" w:rsidRPr="2D019F4B">
        <w:rPr>
          <w:i/>
          <w:iCs/>
        </w:rPr>
        <w:t xml:space="preserve"> platform. </w:t>
      </w:r>
    </w:p>
    <w:p w14:paraId="75B57574" w14:textId="1982A057" w:rsidR="00C8733C" w:rsidRPr="00A5633A" w:rsidRDefault="00C8733C" w:rsidP="2D019F4B">
      <w:pPr>
        <w:pStyle w:val="Bullet1"/>
        <w:rPr>
          <w:i/>
          <w:iCs/>
        </w:rPr>
      </w:pPr>
      <w:r w:rsidRPr="2D019F4B">
        <w:rPr>
          <w:i/>
          <w:iCs/>
        </w:rPr>
        <w:t xml:space="preserve">The district should develop a formal onboarding process in which new staff are </w:t>
      </w:r>
      <w:r w:rsidR="0032594E" w:rsidRPr="2D019F4B">
        <w:rPr>
          <w:i/>
          <w:iCs/>
        </w:rPr>
        <w:t>acquainted with</w:t>
      </w:r>
      <w:r w:rsidR="003E1EA5" w:rsidRPr="2D019F4B">
        <w:rPr>
          <w:i/>
          <w:iCs/>
        </w:rPr>
        <w:t xml:space="preserve"> the full range of </w:t>
      </w:r>
      <w:r w:rsidR="00A5633A" w:rsidRPr="2D019F4B">
        <w:rPr>
          <w:i/>
          <w:iCs/>
        </w:rPr>
        <w:t>information</w:t>
      </w:r>
      <w:r w:rsidR="003E1EA5" w:rsidRPr="2D019F4B">
        <w:rPr>
          <w:i/>
          <w:iCs/>
        </w:rPr>
        <w:t xml:space="preserve"> </w:t>
      </w:r>
      <w:r w:rsidR="00A5633A" w:rsidRPr="2D019F4B">
        <w:rPr>
          <w:i/>
          <w:iCs/>
        </w:rPr>
        <w:t xml:space="preserve">needed </w:t>
      </w:r>
      <w:r w:rsidR="00DC6E12" w:rsidRPr="2D019F4B">
        <w:rPr>
          <w:i/>
          <w:iCs/>
        </w:rPr>
        <w:t xml:space="preserve">to become well acquainted with their roles and with the district overall. </w:t>
      </w:r>
    </w:p>
    <w:p w14:paraId="78528614" w14:textId="746362B7" w:rsidR="00941B66" w:rsidRPr="00A5633A" w:rsidRDefault="00584DB4" w:rsidP="2D019F4B">
      <w:pPr>
        <w:pStyle w:val="Bullet1"/>
        <w:rPr>
          <w:i/>
          <w:iCs/>
        </w:rPr>
      </w:pPr>
      <w:r w:rsidRPr="00584DB4">
        <w:rPr>
          <w:i/>
          <w:iCs/>
        </w:rPr>
        <w:t xml:space="preserve">The district should set expectations around incorporating greater levels of constructive feedback on </w:t>
      </w:r>
      <w:r w:rsidR="00C23F2A">
        <w:rPr>
          <w:i/>
          <w:iCs/>
        </w:rPr>
        <w:t xml:space="preserve">teacher </w:t>
      </w:r>
      <w:r w:rsidRPr="00584DB4">
        <w:rPr>
          <w:i/>
          <w:iCs/>
        </w:rPr>
        <w:t>evaluations.</w:t>
      </w:r>
      <w:r w:rsidRPr="00584DB4" w:rsidDel="00941B66">
        <w:rPr>
          <w:i/>
          <w:iCs/>
        </w:rPr>
        <w:t xml:space="preserve"> </w:t>
      </w:r>
    </w:p>
    <w:p w14:paraId="38F60552" w14:textId="69514720" w:rsidR="00377E2A" w:rsidRPr="00A5633A" w:rsidRDefault="00377E2A" w:rsidP="2D019F4B">
      <w:pPr>
        <w:pStyle w:val="Bullet1"/>
        <w:rPr>
          <w:i/>
          <w:iCs/>
        </w:rPr>
      </w:pPr>
      <w:r w:rsidRPr="2D019F4B">
        <w:rPr>
          <w:i/>
          <w:iCs/>
        </w:rPr>
        <w:t xml:space="preserve">The district should develop a comprehensive professional development plan that </w:t>
      </w:r>
      <w:r w:rsidR="0073445E" w:rsidRPr="2D019F4B">
        <w:rPr>
          <w:i/>
          <w:iCs/>
        </w:rPr>
        <w:t>supports all staff in accessing relevant</w:t>
      </w:r>
      <w:r w:rsidR="00D41A7F" w:rsidRPr="2D019F4B">
        <w:rPr>
          <w:i/>
          <w:iCs/>
        </w:rPr>
        <w:t xml:space="preserve"> and high-quality learning opportunities. </w:t>
      </w:r>
    </w:p>
    <w:p w14:paraId="0C776D0E" w14:textId="162C4E40" w:rsidR="00C9409A" w:rsidRPr="00A5633A" w:rsidRDefault="00C9409A" w:rsidP="2D019F4B">
      <w:pPr>
        <w:pStyle w:val="Bullet1"/>
        <w:rPr>
          <w:i/>
          <w:iCs/>
        </w:rPr>
      </w:pPr>
      <w:r w:rsidRPr="2D019F4B">
        <w:rPr>
          <w:i/>
          <w:iCs/>
        </w:rPr>
        <w:t>As the district</w:t>
      </w:r>
      <w:r w:rsidR="00701E5E" w:rsidRPr="2D019F4B">
        <w:rPr>
          <w:i/>
          <w:iCs/>
        </w:rPr>
        <w:t xml:space="preserve"> </w:t>
      </w:r>
      <w:r w:rsidR="00D034DC" w:rsidRPr="2D019F4B">
        <w:rPr>
          <w:i/>
          <w:iCs/>
        </w:rPr>
        <w:t>strengthens</w:t>
      </w:r>
      <w:r w:rsidR="00701E5E" w:rsidRPr="2D019F4B">
        <w:rPr>
          <w:i/>
          <w:iCs/>
        </w:rPr>
        <w:t xml:space="preserve"> its mentoring and induction systems, it should consider </w:t>
      </w:r>
      <w:r w:rsidR="00753B64" w:rsidRPr="2D019F4B">
        <w:rPr>
          <w:i/>
          <w:iCs/>
        </w:rPr>
        <w:t>embedding</w:t>
      </w:r>
      <w:r w:rsidR="00980754" w:rsidRPr="2D019F4B">
        <w:rPr>
          <w:i/>
          <w:iCs/>
        </w:rPr>
        <w:t xml:space="preserve"> formal</w:t>
      </w:r>
      <w:r w:rsidR="00214E38" w:rsidRPr="2D019F4B">
        <w:rPr>
          <w:i/>
          <w:iCs/>
        </w:rPr>
        <w:t xml:space="preserve"> </w:t>
      </w:r>
      <w:r w:rsidR="00A5633A" w:rsidRPr="2D019F4B">
        <w:rPr>
          <w:i/>
          <w:iCs/>
        </w:rPr>
        <w:t>support</w:t>
      </w:r>
      <w:r w:rsidR="00701E5E" w:rsidRPr="2D019F4B">
        <w:rPr>
          <w:i/>
          <w:iCs/>
        </w:rPr>
        <w:t xml:space="preserve"> for instructional </w:t>
      </w:r>
      <w:r w:rsidR="00423678" w:rsidRPr="2D019F4B">
        <w:rPr>
          <w:i/>
          <w:iCs/>
        </w:rPr>
        <w:t>staff who have typically fallen outside of the program’s parameters</w:t>
      </w:r>
      <w:r w:rsidR="00D034DC" w:rsidRPr="2D019F4B">
        <w:rPr>
          <w:i/>
          <w:iCs/>
        </w:rPr>
        <w:t>,</w:t>
      </w:r>
      <w:r w:rsidR="00423678" w:rsidRPr="2D019F4B">
        <w:rPr>
          <w:i/>
          <w:iCs/>
        </w:rPr>
        <w:t xml:space="preserve"> including</w:t>
      </w:r>
      <w:r w:rsidR="00EE40AD" w:rsidRPr="2D019F4B">
        <w:rPr>
          <w:i/>
          <w:iCs/>
        </w:rPr>
        <w:t xml:space="preserve"> occupational therapists, long-term substitutes, and experienced educators transferring from other districts.</w:t>
      </w:r>
    </w:p>
    <w:p w14:paraId="77600101" w14:textId="0A9F040A" w:rsidR="008D6102" w:rsidRPr="00A03E3A" w:rsidRDefault="000604FE" w:rsidP="00A03E3A">
      <w:pPr>
        <w:pStyle w:val="BodyText"/>
      </w:pPr>
      <w:r>
        <w:t>For related resources, see Appendix C.</w:t>
      </w:r>
      <w:r>
        <w:br w:type="page"/>
      </w:r>
    </w:p>
    <w:p w14:paraId="3913897C" w14:textId="77777777" w:rsidR="008D6102" w:rsidRPr="00CB0607" w:rsidRDefault="008D6102" w:rsidP="00A03E3A">
      <w:pPr>
        <w:pStyle w:val="Heading2"/>
      </w:pPr>
      <w:bookmarkStart w:id="59" w:name="_Student_Support"/>
      <w:bookmarkStart w:id="60" w:name="_Toc101446231"/>
      <w:bookmarkStart w:id="61" w:name="_Toc235104379"/>
      <w:bookmarkStart w:id="62" w:name="_Toc235104454"/>
      <w:bookmarkEnd w:id="59"/>
      <w:r w:rsidRPr="00A03E3A">
        <w:t>Student</w:t>
      </w:r>
      <w:r w:rsidRPr="00CB0607">
        <w:t xml:space="preserve"> Support</w:t>
      </w:r>
      <w:bookmarkEnd w:id="60"/>
      <w:bookmarkEnd w:id="61"/>
      <w:bookmarkEnd w:id="62"/>
    </w:p>
    <w:p w14:paraId="4675061C" w14:textId="7D073093" w:rsidR="00E341DA" w:rsidRDefault="00E341DA" w:rsidP="00A03E3A">
      <w:pPr>
        <w:pStyle w:val="BodyTextposthead"/>
      </w:pPr>
      <w:bookmarkStart w:id="63" w:name="_Toc101446232"/>
      <w:bookmarkEnd w:id="23"/>
      <w:r>
        <w:t>This section focuses on the extent to which the district supports the whole student by creating safe and supportive environments, meeting students’ health and well</w:t>
      </w:r>
      <w:r w:rsidR="002518B3">
        <w:t>-</w:t>
      </w:r>
      <w:r>
        <w:t>being needs, and engaging all families. It also focuses on the extent to which these supports are built on a robust MTSS that flexibly assesses and addresses each student’s academic, social</w:t>
      </w:r>
      <w:r w:rsidR="00657A3B">
        <w:t>-</w:t>
      </w:r>
      <w:r>
        <w:t>emotional, and behavioral strengths and needs.</w:t>
      </w:r>
    </w:p>
    <w:p w14:paraId="7355BFE9" w14:textId="0D95078E" w:rsidR="002C6E1C" w:rsidRPr="00CB0607" w:rsidRDefault="002C6E1C" w:rsidP="00A03E3A">
      <w:pPr>
        <w:pStyle w:val="BodyText"/>
      </w:pPr>
      <w:r w:rsidRPr="00CB0607">
        <w:t xml:space="preserve">Table </w:t>
      </w:r>
      <w:r w:rsidR="00657A3B">
        <w:t>9</w:t>
      </w:r>
      <w:r w:rsidR="009D3EFF" w:rsidRPr="00CB0607">
        <w:t xml:space="preserve"> </w:t>
      </w:r>
      <w:r w:rsidRPr="00CB0607">
        <w:t>summarizes key strengths and areas for growth in student support</w:t>
      </w:r>
      <w:r w:rsidR="00250663" w:rsidRPr="00250663">
        <w:t xml:space="preserve"> </w:t>
      </w:r>
      <w:r w:rsidR="004D04B8">
        <w:t>in Brockton</w:t>
      </w:r>
      <w:r w:rsidRPr="00CB0607">
        <w:t>.</w:t>
      </w:r>
    </w:p>
    <w:p w14:paraId="0EB4E056" w14:textId="0599ACC6" w:rsidR="00B827DE" w:rsidRPr="00CB0607" w:rsidRDefault="00B827DE" w:rsidP="00A03E3A">
      <w:pPr>
        <w:pStyle w:val="TableTitle0"/>
      </w:pPr>
      <w:r w:rsidRPr="00CB0607">
        <w:t xml:space="preserve">Table </w:t>
      </w:r>
      <w:r w:rsidR="00657A3B">
        <w:t>9</w:t>
      </w:r>
      <w:r w:rsidRPr="00CB0607">
        <w:t xml:space="preserve">. Summary of </w:t>
      </w:r>
      <w:r w:rsidR="002C6E1C" w:rsidRPr="00CB0607">
        <w:t xml:space="preserve">Key Strengths </w:t>
      </w:r>
      <w:r w:rsidRPr="00CB0607">
        <w:t xml:space="preserve">and </w:t>
      </w:r>
      <w:r w:rsidR="002C6E1C" w:rsidRPr="00CB0607">
        <w:t xml:space="preserve">Areas </w:t>
      </w:r>
      <w:r w:rsidRPr="00CB0607">
        <w:t xml:space="preserve">for </w:t>
      </w:r>
      <w:r w:rsidR="002C6E1C" w:rsidRPr="00CB0607">
        <w:t>Growth:</w:t>
      </w:r>
      <w:r w:rsidRPr="00CB0607">
        <w:t xml:space="preserve"> Student Support</w:t>
      </w:r>
      <w:r w:rsidR="002C6E1C" w:rsidRPr="00CB0607">
        <w:t xml:space="preserve"> Standard</w:t>
      </w:r>
    </w:p>
    <w:tbl>
      <w:tblPr>
        <w:tblStyle w:val="MSVTable1"/>
        <w:tblW w:w="5000" w:type="pct"/>
        <w:tblLook w:val="04A0" w:firstRow="1" w:lastRow="0" w:firstColumn="1" w:lastColumn="0" w:noHBand="0" w:noVBand="1"/>
        <w:tblCaption w:val="Table 9. Summary of Key Strengths and Areas for Growth: Student Support Standard"/>
        <w:tblDescription w:val="Summary of Key Strengths and Areas for Growth: Student Support Standard"/>
      </w:tblPr>
      <w:tblGrid>
        <w:gridCol w:w="1974"/>
        <w:gridCol w:w="3958"/>
        <w:gridCol w:w="3412"/>
      </w:tblGrid>
      <w:tr w:rsidR="00B827DE" w:rsidRPr="00CB0607" w14:paraId="29A087A1" w14:textId="77777777" w:rsidTr="00D443FC">
        <w:trPr>
          <w:cnfStyle w:val="100000000000" w:firstRow="1" w:lastRow="0" w:firstColumn="0" w:lastColumn="0" w:oddVBand="0" w:evenVBand="0" w:oddHBand="0" w:evenHBand="0" w:firstRowFirstColumn="0" w:firstRowLastColumn="0" w:lastRowFirstColumn="0" w:lastRowLastColumn="0"/>
          <w:tblHeader/>
        </w:trPr>
        <w:tc>
          <w:tcPr>
            <w:tcW w:w="1056" w:type="pct"/>
          </w:tcPr>
          <w:p w14:paraId="4C0F0075" w14:textId="77777777" w:rsidR="00B827DE" w:rsidRPr="00A03E3A" w:rsidRDefault="00B827DE" w:rsidP="00A03E3A">
            <w:pPr>
              <w:pStyle w:val="TableColHeadingCenter"/>
            </w:pPr>
            <w:r w:rsidRPr="00A03E3A">
              <w:t>Indicator</w:t>
            </w:r>
          </w:p>
        </w:tc>
        <w:tc>
          <w:tcPr>
            <w:tcW w:w="2118" w:type="pct"/>
          </w:tcPr>
          <w:p w14:paraId="769171B3" w14:textId="77777777" w:rsidR="00B827DE" w:rsidRPr="00A03E3A" w:rsidRDefault="00B827DE" w:rsidP="00A03E3A">
            <w:pPr>
              <w:pStyle w:val="TableColHeadingCenter"/>
            </w:pPr>
            <w:r w:rsidRPr="00A03E3A">
              <w:t>Strengths</w:t>
            </w:r>
          </w:p>
        </w:tc>
        <w:tc>
          <w:tcPr>
            <w:tcW w:w="1826" w:type="pct"/>
          </w:tcPr>
          <w:p w14:paraId="44C3E121" w14:textId="17C71646" w:rsidR="00B827DE" w:rsidRPr="00A03E3A" w:rsidRDefault="00B827DE" w:rsidP="00A03E3A">
            <w:pPr>
              <w:pStyle w:val="TableColHeadingCenter"/>
            </w:pPr>
            <w:r w:rsidRPr="00A03E3A">
              <w:t xml:space="preserve">Areas for </w:t>
            </w:r>
            <w:r w:rsidR="002C6E1C" w:rsidRPr="00A03E3A">
              <w:t>growth</w:t>
            </w:r>
          </w:p>
        </w:tc>
      </w:tr>
      <w:tr w:rsidR="00B827DE" w:rsidRPr="00CB0607" w14:paraId="192A22C5" w14:textId="77777777" w:rsidTr="00D443FC">
        <w:trPr>
          <w:cnfStyle w:val="000000100000" w:firstRow="0" w:lastRow="0" w:firstColumn="0" w:lastColumn="0" w:oddVBand="0" w:evenVBand="0" w:oddHBand="1" w:evenHBand="0" w:firstRowFirstColumn="0" w:firstRowLastColumn="0" w:lastRowFirstColumn="0" w:lastRowLastColumn="0"/>
        </w:trPr>
        <w:tc>
          <w:tcPr>
            <w:tcW w:w="1056" w:type="pct"/>
          </w:tcPr>
          <w:p w14:paraId="0E8000C3" w14:textId="45AC57BD" w:rsidR="00B827DE" w:rsidRPr="00A03E3A" w:rsidRDefault="00B827DE" w:rsidP="00A03E3A">
            <w:pPr>
              <w:pStyle w:val="TableSubheading"/>
            </w:pPr>
            <w:hyperlink w:anchor="_Safe_and_Supportive" w:history="1">
              <w:r w:rsidRPr="00A03E3A">
                <w:rPr>
                  <w:rStyle w:val="Hyperlink"/>
                  <w:color w:val="auto"/>
                  <w:u w:val="none"/>
                </w:rPr>
                <w:t xml:space="preserve">Safe and </w:t>
              </w:r>
              <w:r w:rsidR="008E78FB" w:rsidRPr="00A03E3A">
                <w:rPr>
                  <w:rStyle w:val="Hyperlink"/>
                  <w:color w:val="auto"/>
                  <w:u w:val="none"/>
                </w:rPr>
                <w:t>S</w:t>
              </w:r>
              <w:r w:rsidRPr="00A03E3A">
                <w:rPr>
                  <w:rStyle w:val="Hyperlink"/>
                  <w:color w:val="auto"/>
                  <w:u w:val="none"/>
                </w:rPr>
                <w:t xml:space="preserve">upportive </w:t>
              </w:r>
              <w:r w:rsidR="008E78FB" w:rsidRPr="00A03E3A">
                <w:rPr>
                  <w:rStyle w:val="Hyperlink"/>
                  <w:color w:val="auto"/>
                  <w:u w:val="none"/>
                </w:rPr>
                <w:t>S</w:t>
              </w:r>
              <w:r w:rsidRPr="00A03E3A">
                <w:rPr>
                  <w:rStyle w:val="Hyperlink"/>
                  <w:color w:val="auto"/>
                  <w:u w:val="none"/>
                </w:rPr>
                <w:t xml:space="preserve">chool </w:t>
              </w:r>
              <w:r w:rsidR="008E78FB" w:rsidRPr="00A03E3A">
                <w:rPr>
                  <w:rStyle w:val="Hyperlink"/>
                  <w:color w:val="auto"/>
                  <w:u w:val="none"/>
                </w:rPr>
                <w:t>C</w:t>
              </w:r>
              <w:r w:rsidRPr="00A03E3A">
                <w:rPr>
                  <w:rStyle w:val="Hyperlink"/>
                  <w:color w:val="auto"/>
                  <w:u w:val="none"/>
                </w:rPr>
                <w:t xml:space="preserve">limate and </w:t>
              </w:r>
              <w:r w:rsidR="008E78FB" w:rsidRPr="00A03E3A">
                <w:rPr>
                  <w:rStyle w:val="Hyperlink"/>
                  <w:color w:val="auto"/>
                  <w:u w:val="none"/>
                </w:rPr>
                <w:t>C</w:t>
              </w:r>
              <w:r w:rsidRPr="00A03E3A">
                <w:rPr>
                  <w:rStyle w:val="Hyperlink"/>
                  <w:color w:val="auto"/>
                  <w:u w:val="none"/>
                </w:rPr>
                <w:t>ulture</w:t>
              </w:r>
            </w:hyperlink>
          </w:p>
        </w:tc>
        <w:tc>
          <w:tcPr>
            <w:tcW w:w="2118" w:type="pct"/>
          </w:tcPr>
          <w:p w14:paraId="0F6719D6" w14:textId="77777777" w:rsidR="00FD1A38" w:rsidRDefault="00FD1A38" w:rsidP="00FD1A38">
            <w:pPr>
              <w:pStyle w:val="TableBullet1"/>
            </w:pPr>
            <w:r>
              <w:t>The district provides</w:t>
            </w:r>
            <w:r w:rsidR="00426CDE" w:rsidRPr="00B11BE0">
              <w:t xml:space="preserve"> safe and supportive learning environments at the elementary and middle school level</w:t>
            </w:r>
            <w:r>
              <w:t xml:space="preserve"> </w:t>
            </w:r>
            <w:r w:rsidR="00426CDE" w:rsidRPr="00B11BE0">
              <w:t>using data-informed decisions.</w:t>
            </w:r>
          </w:p>
          <w:p w14:paraId="132C8480" w14:textId="7E3348D5" w:rsidR="00E94477" w:rsidRPr="00B11BE0" w:rsidRDefault="00FD1A38" w:rsidP="00FD1A38">
            <w:pPr>
              <w:pStyle w:val="TableBullet1"/>
            </w:pPr>
            <w:r>
              <w:t>Brockton implements</w:t>
            </w:r>
            <w:r w:rsidR="00426CDE" w:rsidRPr="00B11BE0">
              <w:t xml:space="preserve"> school-based attendance policies, systems, and supports</w:t>
            </w:r>
            <w:r w:rsidR="00B11BE0">
              <w:t>.</w:t>
            </w:r>
          </w:p>
        </w:tc>
        <w:tc>
          <w:tcPr>
            <w:tcW w:w="1826" w:type="pct"/>
          </w:tcPr>
          <w:p w14:paraId="2DE3D9E0" w14:textId="180570BE" w:rsidR="00B827DE" w:rsidRPr="00B11BE0" w:rsidRDefault="00426CDE" w:rsidP="00F71377">
            <w:pPr>
              <w:pStyle w:val="TableBullet1"/>
            </w:pPr>
            <w:r w:rsidRPr="00B11BE0">
              <w:t>Ensuring that student leadership opportunities are structured, accessible, and consistent across all schools and grade levels</w:t>
            </w:r>
          </w:p>
        </w:tc>
      </w:tr>
      <w:tr w:rsidR="008E78FB" w:rsidRPr="00CB0607" w14:paraId="1CE8C21F" w14:textId="77777777" w:rsidTr="00D443FC">
        <w:tc>
          <w:tcPr>
            <w:tcW w:w="1056" w:type="pct"/>
          </w:tcPr>
          <w:p w14:paraId="2F6553E8" w14:textId="386915C6" w:rsidR="008E78FB" w:rsidRPr="00A03E3A" w:rsidRDefault="008E78FB" w:rsidP="00A03E3A">
            <w:pPr>
              <w:pStyle w:val="TableSubheading"/>
            </w:pPr>
            <w:hyperlink w:anchor="_Tiered_Systems_of" w:history="1">
              <w:r w:rsidRPr="00A03E3A">
                <w:rPr>
                  <w:rStyle w:val="Hyperlink"/>
                  <w:color w:val="auto"/>
                  <w:u w:val="none"/>
                </w:rPr>
                <w:t>Health and Well</w:t>
              </w:r>
              <w:r w:rsidR="002518B3">
                <w:rPr>
                  <w:rStyle w:val="Hyperlink"/>
                  <w:color w:val="auto"/>
                  <w:u w:val="none"/>
                </w:rPr>
                <w:t>-B</w:t>
              </w:r>
              <w:r w:rsidRPr="00A03E3A">
                <w:rPr>
                  <w:rStyle w:val="Hyperlink"/>
                  <w:color w:val="auto"/>
                  <w:u w:val="none"/>
                </w:rPr>
                <w:t>eing</w:t>
              </w:r>
            </w:hyperlink>
          </w:p>
        </w:tc>
        <w:tc>
          <w:tcPr>
            <w:tcW w:w="2118" w:type="pct"/>
          </w:tcPr>
          <w:p w14:paraId="5D50A4F9" w14:textId="15B0707E" w:rsidR="008E78FB" w:rsidRPr="00A03E3A" w:rsidRDefault="00FD1A38" w:rsidP="00A03E3A">
            <w:pPr>
              <w:pStyle w:val="TableBullet1"/>
            </w:pPr>
            <w:r>
              <w:t>Brockton has a</w:t>
            </w:r>
            <w:r w:rsidR="00CF1E38" w:rsidRPr="00B11BE0">
              <w:t xml:space="preserve"> comprehensive and well-coordinated system of student supports that reflect</w:t>
            </w:r>
            <w:r w:rsidR="00D443FC">
              <w:t>s</w:t>
            </w:r>
            <w:r w:rsidR="00CF1E38" w:rsidRPr="00B11BE0">
              <w:t xml:space="preserve"> a coherent approach to addressing students’ needs</w:t>
            </w:r>
            <w:r w:rsidR="00B11BE0">
              <w:t>.</w:t>
            </w:r>
          </w:p>
        </w:tc>
        <w:tc>
          <w:tcPr>
            <w:tcW w:w="1826" w:type="pct"/>
          </w:tcPr>
          <w:p w14:paraId="79D5DF69" w14:textId="1B783270" w:rsidR="008E78FB" w:rsidRPr="00A03E3A" w:rsidRDefault="00F71377" w:rsidP="00A03E3A">
            <w:pPr>
              <w:pStyle w:val="TableBullet1"/>
            </w:pPr>
            <w:r>
              <w:t>N/A</w:t>
            </w:r>
          </w:p>
        </w:tc>
      </w:tr>
      <w:tr w:rsidR="000B782E" w:rsidRPr="00CB0607" w14:paraId="56DC2E99" w14:textId="77777777" w:rsidTr="00D443FC">
        <w:trPr>
          <w:cnfStyle w:val="000000100000" w:firstRow="0" w:lastRow="0" w:firstColumn="0" w:lastColumn="0" w:oddVBand="0" w:evenVBand="0" w:oddHBand="1" w:evenHBand="0" w:firstRowFirstColumn="0" w:firstRowLastColumn="0" w:lastRowFirstColumn="0" w:lastRowLastColumn="0"/>
        </w:trPr>
        <w:tc>
          <w:tcPr>
            <w:tcW w:w="1056" w:type="pct"/>
          </w:tcPr>
          <w:p w14:paraId="3DCA32C2" w14:textId="54CAAD15" w:rsidR="000B782E" w:rsidRPr="00A03E3A" w:rsidRDefault="000B782E" w:rsidP="00A03E3A">
            <w:pPr>
              <w:pStyle w:val="TableSubheading"/>
            </w:pPr>
            <w:hyperlink w:anchor="_Family_and_Community" w:history="1">
              <w:r w:rsidRPr="00A03E3A">
                <w:rPr>
                  <w:rStyle w:val="Hyperlink"/>
                  <w:color w:val="auto"/>
                  <w:u w:val="none"/>
                </w:rPr>
                <w:t>Family and Community Partnerships</w:t>
              </w:r>
            </w:hyperlink>
          </w:p>
        </w:tc>
        <w:tc>
          <w:tcPr>
            <w:tcW w:w="2118" w:type="pct"/>
          </w:tcPr>
          <w:p w14:paraId="584C68F1" w14:textId="77777777" w:rsidR="00D443FC" w:rsidRDefault="00CF1E38" w:rsidP="00D443FC">
            <w:pPr>
              <w:pStyle w:val="TableBullet1"/>
            </w:pPr>
            <w:r w:rsidRPr="00B11BE0">
              <w:t>The availability of multi-lingual communication tools and district-supported translation and interpretation services</w:t>
            </w:r>
            <w:r w:rsidR="00900814">
              <w:t>.</w:t>
            </w:r>
          </w:p>
          <w:p w14:paraId="110A16EB" w14:textId="5D0D0A2E" w:rsidR="000B782E" w:rsidRPr="00B11BE0" w:rsidRDefault="00CF1E38" w:rsidP="00D443FC">
            <w:pPr>
              <w:pStyle w:val="TableBullet1"/>
            </w:pPr>
            <w:r w:rsidRPr="00B11BE0">
              <w:t>The established community partnerships that provide students and families with wraparound supports.</w:t>
            </w:r>
          </w:p>
        </w:tc>
        <w:tc>
          <w:tcPr>
            <w:tcW w:w="1826" w:type="pct"/>
          </w:tcPr>
          <w:p w14:paraId="5C62D02B" w14:textId="235BBDA5" w:rsidR="00CF1E38" w:rsidRPr="00B11BE0" w:rsidRDefault="00CF1E38" w:rsidP="00CF1E38">
            <w:pPr>
              <w:pStyle w:val="TableBullet1"/>
            </w:pPr>
            <w:r w:rsidRPr="00B11BE0">
              <w:t>Establishing systematic processes to evaluate the reach and impact of community partnerships and wraparound supports, and ensuring consistent access across all schools</w:t>
            </w:r>
          </w:p>
          <w:p w14:paraId="4B1DF210" w14:textId="77777777" w:rsidR="000B782E" w:rsidRPr="00B11BE0" w:rsidRDefault="000B782E" w:rsidP="007231F8">
            <w:pPr>
              <w:pStyle w:val="TableBullet1"/>
              <w:numPr>
                <w:ilvl w:val="0"/>
                <w:numId w:val="0"/>
              </w:numPr>
              <w:ind w:left="360"/>
            </w:pPr>
          </w:p>
        </w:tc>
      </w:tr>
      <w:tr w:rsidR="00B827DE" w:rsidRPr="00CB0607" w14:paraId="491E4833" w14:textId="77777777" w:rsidTr="00D443FC">
        <w:tc>
          <w:tcPr>
            <w:tcW w:w="1056" w:type="pct"/>
          </w:tcPr>
          <w:p w14:paraId="0084A27B" w14:textId="6FA66273" w:rsidR="00B827DE" w:rsidRPr="00A03E3A" w:rsidRDefault="000B782E" w:rsidP="00A03E3A">
            <w:pPr>
              <w:pStyle w:val="TableSubheading"/>
            </w:pPr>
            <w:hyperlink w:anchor="_Multi-Tiered_Systems_of" w:history="1">
              <w:r w:rsidRPr="00A03E3A">
                <w:rPr>
                  <w:rStyle w:val="Hyperlink"/>
                  <w:color w:val="auto"/>
                  <w:u w:val="none"/>
                </w:rPr>
                <w:t>Multi</w:t>
              </w:r>
              <w:r w:rsidR="006F4231" w:rsidRPr="00A03E3A">
                <w:rPr>
                  <w:rStyle w:val="Hyperlink"/>
                  <w:color w:val="auto"/>
                  <w:u w:val="none"/>
                </w:rPr>
                <w:t>-T</w:t>
              </w:r>
              <w:r w:rsidR="00B827DE" w:rsidRPr="00A03E3A">
                <w:rPr>
                  <w:rStyle w:val="Hyperlink"/>
                  <w:color w:val="auto"/>
                  <w:u w:val="none"/>
                </w:rPr>
                <w:t xml:space="preserve">iered </w:t>
              </w:r>
              <w:r w:rsidR="006F4231" w:rsidRPr="00A03E3A">
                <w:rPr>
                  <w:rStyle w:val="Hyperlink"/>
                  <w:color w:val="auto"/>
                  <w:u w:val="none"/>
                </w:rPr>
                <w:t>S</w:t>
              </w:r>
              <w:r w:rsidR="00B827DE" w:rsidRPr="00A03E3A">
                <w:rPr>
                  <w:rStyle w:val="Hyperlink"/>
                  <w:color w:val="auto"/>
                  <w:u w:val="none"/>
                </w:rPr>
                <w:t xml:space="preserve">ystems of </w:t>
              </w:r>
              <w:r w:rsidR="006F4231" w:rsidRPr="00A03E3A">
                <w:rPr>
                  <w:rStyle w:val="Hyperlink"/>
                  <w:color w:val="auto"/>
                  <w:u w:val="none"/>
                </w:rPr>
                <w:t>S</w:t>
              </w:r>
              <w:r w:rsidR="00B827DE" w:rsidRPr="00A03E3A">
                <w:rPr>
                  <w:rStyle w:val="Hyperlink"/>
                  <w:color w:val="auto"/>
                  <w:u w:val="none"/>
                </w:rPr>
                <w:t>upport</w:t>
              </w:r>
              <w:r w:rsidR="006F4231" w:rsidRPr="00A03E3A">
                <w:rPr>
                  <w:rStyle w:val="Hyperlink"/>
                  <w:color w:val="auto"/>
                  <w:u w:val="none"/>
                </w:rPr>
                <w:t xml:space="preserve"> (MTSS)</w:t>
              </w:r>
            </w:hyperlink>
          </w:p>
        </w:tc>
        <w:tc>
          <w:tcPr>
            <w:tcW w:w="2118" w:type="pct"/>
          </w:tcPr>
          <w:p w14:paraId="74D9AACB" w14:textId="62F13A03" w:rsidR="00B827DE" w:rsidRPr="00CF1E38" w:rsidRDefault="00900814" w:rsidP="00A03E3A">
            <w:pPr>
              <w:pStyle w:val="TableBullet1"/>
            </w:pPr>
            <w:r>
              <w:t>Use of an</w:t>
            </w:r>
            <w:r w:rsidR="00CF1E38" w:rsidRPr="00B11BE0">
              <w:t xml:space="preserve"> MTSS Tiered Resource Maps that provide clear and explicit expectations for implementing supports</w:t>
            </w:r>
            <w:r>
              <w:t>.</w:t>
            </w:r>
          </w:p>
          <w:p w14:paraId="57D1067D" w14:textId="794E6D8D" w:rsidR="00CF1E38" w:rsidRPr="00B11BE0" w:rsidRDefault="005F0D67" w:rsidP="00CF1E38">
            <w:pPr>
              <w:pStyle w:val="TableBullet1"/>
            </w:pPr>
            <w:r>
              <w:t>A</w:t>
            </w:r>
            <w:r w:rsidR="00CF1E38" w:rsidRPr="00B11BE0">
              <w:t xml:space="preserve"> comprehensive, three-tier social-emotional learning and behavioral support structure, along with academic tiering</w:t>
            </w:r>
            <w:r>
              <w:t>.</w:t>
            </w:r>
          </w:p>
          <w:p w14:paraId="7B5A0406" w14:textId="1C587D90" w:rsidR="00CF1E38" w:rsidRPr="00A03E3A" w:rsidRDefault="00CF1E38" w:rsidP="005F0D67">
            <w:pPr>
              <w:pStyle w:val="TableBullet1"/>
              <w:numPr>
                <w:ilvl w:val="0"/>
                <w:numId w:val="0"/>
              </w:numPr>
            </w:pPr>
          </w:p>
        </w:tc>
        <w:tc>
          <w:tcPr>
            <w:tcW w:w="1826" w:type="pct"/>
          </w:tcPr>
          <w:p w14:paraId="475954FD" w14:textId="6D33B97E" w:rsidR="00C10B4D" w:rsidRPr="00B11BE0" w:rsidRDefault="00CF1E38" w:rsidP="00CF1E38">
            <w:pPr>
              <w:pStyle w:val="TableBullet1"/>
            </w:pPr>
            <w:r w:rsidRPr="00B11BE0">
              <w:t>Ensuring consistent implementation of MTSS practices, particularly for Tier 2 and Tier 3 social</w:t>
            </w:r>
            <w:r w:rsidRPr="00B11BE0">
              <w:noBreakHyphen/>
              <w:t>emotional and behavioral supports, and establishing systematic progress monitoring protocols for students receiving these supports</w:t>
            </w:r>
          </w:p>
        </w:tc>
      </w:tr>
    </w:tbl>
    <w:p w14:paraId="6FDD5EB4" w14:textId="3A48E896" w:rsidR="00B827DE" w:rsidRPr="00CB0607" w:rsidRDefault="00B827DE" w:rsidP="00A03E3A">
      <w:pPr>
        <w:pStyle w:val="Heading3"/>
      </w:pPr>
      <w:bookmarkStart w:id="64" w:name="_Safe_and_Supportive"/>
      <w:bookmarkEnd w:id="64"/>
      <w:r w:rsidRPr="00CB0607">
        <w:t xml:space="preserve">Safe and Supportive </w:t>
      </w:r>
      <w:r w:rsidRPr="00A03E3A">
        <w:t>School</w:t>
      </w:r>
      <w:r w:rsidRPr="00CB0607">
        <w:t xml:space="preserve"> Climate and Culture</w:t>
      </w:r>
    </w:p>
    <w:p w14:paraId="2CFBC60E" w14:textId="10735DE7" w:rsidR="006B3DB1" w:rsidRPr="001B7635" w:rsidRDefault="006B3DB1" w:rsidP="00A03E3A">
      <w:pPr>
        <w:pStyle w:val="BodyTextposthead"/>
      </w:pPr>
      <w:r>
        <w:t>Brockton has made deliberate efforts to foster safe, inclusive, and supportive school environments for its students, with a clear commitment to using data to drive climate-related interventions and to expand access to school community participation. Members of school-based student support teams</w:t>
      </w:r>
      <w:r w:rsidR="00E064B4">
        <w:t xml:space="preserve"> (</w:t>
      </w:r>
      <w:r w:rsidR="00764BE8">
        <w:t>SSTs</w:t>
      </w:r>
      <w:r w:rsidR="00E064B4">
        <w:t>)</w:t>
      </w:r>
      <w:r>
        <w:t xml:space="preserve"> described intentional practices to integrate students from specialized programs into the broader school community, including mixing lunch tables with general education peers and increasing participation in student council and extracurricular activities for students in programs such as life skills. Participants linked these efforts to measurable improvements, citing reductions in office referrals and improvements in </w:t>
      </w:r>
      <w:r w:rsidR="00764BE8">
        <w:t xml:space="preserve">student </w:t>
      </w:r>
      <w:r>
        <w:t>behavior data over time.</w:t>
      </w:r>
      <w:r w:rsidR="00233111">
        <w:t xml:space="preserve"> </w:t>
      </w:r>
    </w:p>
    <w:p w14:paraId="101127B1" w14:textId="6A3DBD73" w:rsidR="006B3DB1" w:rsidRPr="00B1622A" w:rsidRDefault="0CCED57A" w:rsidP="00A03E3A">
      <w:pPr>
        <w:pStyle w:val="BodyText"/>
        <w:rPr>
          <w:color w:val="000000" w:themeColor="text1"/>
        </w:rPr>
      </w:pPr>
      <w:r>
        <w:t>Stakeholders</w:t>
      </w:r>
      <w:r w:rsidR="00764BE8">
        <w:t>,</w:t>
      </w:r>
      <w:r>
        <w:t xml:space="preserve"> </w:t>
      </w:r>
      <w:r w:rsidR="2F9916EE">
        <w:t>including</w:t>
      </w:r>
      <w:r>
        <w:t xml:space="preserve"> school leaders, teachers, and district leaders</w:t>
      </w:r>
      <w:r w:rsidR="00764BE8">
        <w:t>,</w:t>
      </w:r>
      <w:r>
        <w:t xml:space="preserve"> described school- and district</w:t>
      </w:r>
      <w:r>
        <w:noBreakHyphen/>
        <w:t>level practices intended to promote inclusive, safe, and supportive learning environments.</w:t>
      </w:r>
      <w:r w:rsidR="32073D7E">
        <w:t xml:space="preserve"> </w:t>
      </w:r>
      <w:r>
        <w:t>District and school leaders described using multiple data sources</w:t>
      </w:r>
      <w:r w:rsidR="4E15DBB2">
        <w:t xml:space="preserve">, such as </w:t>
      </w:r>
      <w:r w:rsidR="00764BE8">
        <w:t>social-emotional learning</w:t>
      </w:r>
      <w:r w:rsidR="4E15DBB2">
        <w:t xml:space="preserve"> screener data and office referral data, </w:t>
      </w:r>
      <w:r>
        <w:t xml:space="preserve">to inform climate-related </w:t>
      </w:r>
      <w:r w:rsidR="3F73313F">
        <w:t>interventions.</w:t>
      </w:r>
      <w:r>
        <w:t xml:space="preserve"> </w:t>
      </w:r>
      <w:r w:rsidR="32073D7E">
        <w:t xml:space="preserve">Student services leaders also described </w:t>
      </w:r>
      <w:r w:rsidR="42FCFEC6">
        <w:t xml:space="preserve">efforts to </w:t>
      </w:r>
      <w:r w:rsidR="32073D7E">
        <w:t>build safe, caring, and supportive communities through district systems and leadership training, reflecting an articulated districtwide commitment</w:t>
      </w:r>
      <w:r w:rsidR="03AAE9A5">
        <w:t>.</w:t>
      </w:r>
      <w:r w:rsidR="32073D7E">
        <w:t xml:space="preserve"> </w:t>
      </w:r>
      <w:r>
        <w:t xml:space="preserve">At the school level, one principal described developing a structured </w:t>
      </w:r>
      <w:r w:rsidR="00B45248">
        <w:t>“</w:t>
      </w:r>
      <w:r>
        <w:t>culture of excellence</w:t>
      </w:r>
      <w:r w:rsidR="00B45248">
        <w:t>”</w:t>
      </w:r>
      <w:r>
        <w:t xml:space="preserve"> framework that positions climate and culture as a core focus area, developed collaboratively through a principal-teacher leadership team. Data from classroom observations </w:t>
      </w:r>
      <w:r w:rsidR="3573E34B">
        <w:t>highlight</w:t>
      </w:r>
      <w:r w:rsidR="5916ADEF">
        <w:t xml:space="preserve"> that</w:t>
      </w:r>
      <w:r>
        <w:t xml:space="preserve"> the </w:t>
      </w:r>
      <w:r w:rsidR="500C3085">
        <w:t>district</w:t>
      </w:r>
      <w:r w:rsidR="00B45248">
        <w:t>’</w:t>
      </w:r>
      <w:r w:rsidR="500C3085">
        <w:t>s</w:t>
      </w:r>
      <w:r>
        <w:t xml:space="preserve"> efforts to create safe and supportive learning environments</w:t>
      </w:r>
      <w:r w:rsidR="3FA5D308">
        <w:t xml:space="preserve"> have impacted instructional practices</w:t>
      </w:r>
      <w:r>
        <w:t xml:space="preserve">. Scores in the middle and high ranges for Teacher Sensitivity and Positive Climate </w:t>
      </w:r>
      <w:r w:rsidR="00FE5BFF">
        <w:t xml:space="preserve">across grade levels </w:t>
      </w:r>
      <w:r>
        <w:t xml:space="preserve">demonstrate that students and teachers display warm relationships with one another, and teachers are generally attuned to </w:t>
      </w:r>
      <w:r w:rsidR="583E2A2F">
        <w:t>students</w:t>
      </w:r>
      <w:r w:rsidR="00FE5BFF">
        <w:t>’</w:t>
      </w:r>
      <w:r>
        <w:t xml:space="preserve"> needs. These scores were slightly higher at the elementary and </w:t>
      </w:r>
      <w:r w:rsidRPr="00B1622A">
        <w:rPr>
          <w:color w:val="000000" w:themeColor="text1"/>
        </w:rPr>
        <w:t>middle school levels</w:t>
      </w:r>
      <w:r w:rsidR="00FE5BFF" w:rsidRPr="00B1622A">
        <w:rPr>
          <w:color w:val="000000" w:themeColor="text1"/>
        </w:rPr>
        <w:t xml:space="preserve"> than</w:t>
      </w:r>
      <w:r w:rsidR="00342D6E" w:rsidRPr="00B1622A">
        <w:rPr>
          <w:color w:val="000000" w:themeColor="text1"/>
        </w:rPr>
        <w:t xml:space="preserve"> at the</w:t>
      </w:r>
      <w:r w:rsidR="00FE5BFF" w:rsidRPr="00B1622A">
        <w:rPr>
          <w:color w:val="000000" w:themeColor="text1"/>
        </w:rPr>
        <w:t xml:space="preserve"> high school level</w:t>
      </w:r>
      <w:r w:rsidRPr="00B1622A">
        <w:rPr>
          <w:color w:val="000000" w:themeColor="text1"/>
        </w:rPr>
        <w:t xml:space="preserve">, </w:t>
      </w:r>
      <w:r w:rsidR="00FE5BFF" w:rsidRPr="00B1622A">
        <w:rPr>
          <w:color w:val="000000" w:themeColor="text1"/>
        </w:rPr>
        <w:t xml:space="preserve">where </w:t>
      </w:r>
      <w:r w:rsidR="00DA28D7" w:rsidRPr="00B1622A">
        <w:rPr>
          <w:color w:val="000000" w:themeColor="text1"/>
        </w:rPr>
        <w:t>Positive Climate scored</w:t>
      </w:r>
      <w:r w:rsidR="00FE5BFF" w:rsidRPr="00B1622A">
        <w:rPr>
          <w:color w:val="000000" w:themeColor="text1"/>
        </w:rPr>
        <w:t xml:space="preserve"> in the</w:t>
      </w:r>
      <w:r w:rsidRPr="00B1622A">
        <w:rPr>
          <w:color w:val="000000" w:themeColor="text1"/>
        </w:rPr>
        <w:t xml:space="preserve"> middle range. Developing safe and supportive learning environments at the </w:t>
      </w:r>
      <w:r w:rsidR="52C8172A" w:rsidRPr="00B1622A">
        <w:rPr>
          <w:color w:val="000000" w:themeColor="text1"/>
        </w:rPr>
        <w:t xml:space="preserve">elementary and middle </w:t>
      </w:r>
      <w:r w:rsidRPr="00B1622A">
        <w:rPr>
          <w:color w:val="000000" w:themeColor="text1"/>
        </w:rPr>
        <w:t>school level, and using data-informed decisions to do so, is a strength of the district.</w:t>
      </w:r>
    </w:p>
    <w:p w14:paraId="718C8B79" w14:textId="28A9EFA1" w:rsidR="00F67259" w:rsidRDefault="00A35AEB" w:rsidP="00A03E3A">
      <w:pPr>
        <w:pStyle w:val="BodyText"/>
        <w:rPr>
          <w:color w:val="000000" w:themeColor="text1"/>
        </w:rPr>
      </w:pPr>
      <w:r>
        <w:t xml:space="preserve">Despite efforts from school and district leaders, high school students described variations in safety and belonging at the secondary level, evidenced in the slightly lower CLASS scores described earlier. </w:t>
      </w:r>
      <w:r w:rsidR="0CCED57A">
        <w:t xml:space="preserve">Students reported that a “sense of belonging” was heavily dependent on finding a community within the school, whether through fine arts, athletics, or student-initiated clubs, rather than through a universally experienced school culture. Students noted that while certain programs and groups foster strong connections, the broader school environment does not consistently reflect the same level of safety and respect for all students. For example, one student </w:t>
      </w:r>
      <w:r w:rsidR="4F6F032F">
        <w:t>reported</w:t>
      </w:r>
      <w:r w:rsidR="0CCED57A">
        <w:t>, “When you</w:t>
      </w:r>
      <w:r w:rsidR="00A03E3A">
        <w:t>’</w:t>
      </w:r>
      <w:r w:rsidR="0CCED57A">
        <w:t>ve built a community around [a] program, you definitely feel welcomed and respected because everyone knows you</w:t>
      </w:r>
      <w:r w:rsidR="006650BA">
        <w:t>. . . . </w:t>
      </w:r>
      <w:r w:rsidR="0CCED57A">
        <w:t>But it</w:t>
      </w:r>
      <w:r w:rsidR="00A03E3A">
        <w:t>’</w:t>
      </w:r>
      <w:r w:rsidR="0CCED57A">
        <w:t>s different when you</w:t>
      </w:r>
      <w:r w:rsidR="006650BA">
        <w:t>’</w:t>
      </w:r>
      <w:r w:rsidR="0CCED57A">
        <w:t xml:space="preserve">re walking around in the halls going to class.” Some students reported that cultural diversity, while visible in school displays such as </w:t>
      </w:r>
      <w:r w:rsidR="003842D5">
        <w:t xml:space="preserve">country </w:t>
      </w:r>
      <w:r w:rsidR="0CCED57A">
        <w:t>flags in the cafeteria, is not always embedded</w:t>
      </w:r>
      <w:r w:rsidR="006650BA">
        <w:t xml:space="preserve"> meaningfully</w:t>
      </w:r>
      <w:r w:rsidR="0CCED57A">
        <w:t xml:space="preserve"> in classroom learning or schoolwide. The district has established structures for monitoring and responding to student attendance at both the district and school levels. District leaders described school-based teams as the first point of response for attendance concerns, with defined thresholds that trigger escalating outreach to families, including early contact, invitations to meetings, formal letters, and referrals to attendance officers when needed. </w:t>
      </w:r>
      <w:r w:rsidR="00AE6100">
        <w:t>According to student support staff, a</w:t>
      </w:r>
      <w:r w:rsidR="0CCED57A">
        <w:t xml:space="preserve"> start-of-year </w:t>
      </w:r>
      <w:r w:rsidR="00AE6100">
        <w:t>“</w:t>
      </w:r>
      <w:r w:rsidR="0CCED57A">
        <w:t>no-</w:t>
      </w:r>
      <w:r w:rsidR="00AE6100">
        <w:t xml:space="preserve">show” </w:t>
      </w:r>
      <w:r w:rsidR="0CCED57A">
        <w:t xml:space="preserve">procedure and </w:t>
      </w:r>
      <w:r w:rsidR="003842D5">
        <w:t xml:space="preserve">use of </w:t>
      </w:r>
      <w:r w:rsidR="0CCED57A">
        <w:t xml:space="preserve">a </w:t>
      </w:r>
      <w:r w:rsidR="0CCED57A" w:rsidRPr="00B1622A">
        <w:rPr>
          <w:color w:val="000000" w:themeColor="text1"/>
        </w:rPr>
        <w:t xml:space="preserve">standardized Microsoft </w:t>
      </w:r>
      <w:r w:rsidR="00AE6100" w:rsidRPr="00B1622A">
        <w:rPr>
          <w:color w:val="000000" w:themeColor="text1"/>
        </w:rPr>
        <w:t>F</w:t>
      </w:r>
      <w:r w:rsidR="0CCED57A" w:rsidRPr="00B1622A">
        <w:rPr>
          <w:color w:val="000000" w:themeColor="text1"/>
        </w:rPr>
        <w:t xml:space="preserve">orm for tracking documentation steps and referral actions have been implemented to support consistency. The development and implementation of school-based attendance policies, systems, and supports is a strength of the district. However, district leaders </w:t>
      </w:r>
      <w:r w:rsidR="0CCED57A">
        <w:t>acknowledged ongoing challenges affecting attendance system capacity at the district level, including rebuilding the attendance officer team and organizational shifts</w:t>
      </w:r>
      <w:r w:rsidR="00AE6100">
        <w:t xml:space="preserve"> that </w:t>
      </w:r>
      <w:r w:rsidR="0CCED57A">
        <w:t>affect where attendance functions are housed within the district. While school-based staff emphasized the presence of operational routines and locally developed interventions, district leaders highlighted constraints on system-level consistency and follow-through.</w:t>
      </w:r>
      <w:r w:rsidR="004F7E1D">
        <w:t xml:space="preserve"> </w:t>
      </w:r>
      <w:r w:rsidR="000820ED">
        <w:t xml:space="preserve">Evidence from interviews and focus groups highlights that the district has made efforts to increase opportunities for student leadership and involvement. Students reported that they experience meaningful opportunities to participate in school life, </w:t>
      </w:r>
      <w:r w:rsidR="00ED6094">
        <w:t>al</w:t>
      </w:r>
      <w:r w:rsidR="000820ED">
        <w:t>though access to these opportunities varies by school and context. Middle school students described their schools as places where students are encouraged to join clubs, sports, and extracurricular activities</w:t>
      </w:r>
      <w:r w:rsidR="00ED6094">
        <w:t>. They also</w:t>
      </w:r>
      <w:r w:rsidR="000820ED">
        <w:t xml:space="preserve"> reported that peer relationships and inclusive practices contribute to a sense of belonging and connection. Several high school students similarly described extracurricular and student-led initiatives, including student-organized clubs, peer tutoring, and peer mediation, as opportunities for leadership and community building. District leaders described formal mechanisms such as </w:t>
      </w:r>
      <w:r w:rsidR="00ED6094">
        <w:t xml:space="preserve">social-emotional learning </w:t>
      </w:r>
      <w:r w:rsidR="000820ED">
        <w:t>and wellness committees that incorporate student survey data into district-level decision</w:t>
      </w:r>
      <w:r w:rsidR="00D771A5">
        <w:t xml:space="preserve"> </w:t>
      </w:r>
      <w:r w:rsidR="000820ED">
        <w:t xml:space="preserve">making, indicating that student feedback informs some aspects of the district's work. However, student focus group evidence indicates that opportunities for structured voice and leadership are not consistently available across all schools. Some students described school environments as chaotic, which may limit consistent opportunities for students to exercise </w:t>
      </w:r>
      <w:r w:rsidR="00D771A5">
        <w:t xml:space="preserve">their </w:t>
      </w:r>
      <w:r w:rsidR="000820ED">
        <w:t xml:space="preserve">voice in organized ways. Additionally, </w:t>
      </w:r>
      <w:r w:rsidR="00D771A5">
        <w:t xml:space="preserve">some </w:t>
      </w:r>
      <w:r w:rsidR="000820ED">
        <w:t xml:space="preserve">students reported that while some </w:t>
      </w:r>
      <w:r w:rsidR="000820ED" w:rsidRPr="00B1622A">
        <w:rPr>
          <w:color w:val="000000" w:themeColor="text1"/>
        </w:rPr>
        <w:t xml:space="preserve">teachers ask for feedback on lessons or units, </w:t>
      </w:r>
      <w:r w:rsidR="00D771A5" w:rsidRPr="00B1622A">
        <w:rPr>
          <w:color w:val="000000" w:themeColor="text1"/>
        </w:rPr>
        <w:t xml:space="preserve">it </w:t>
      </w:r>
      <w:r w:rsidR="000820ED" w:rsidRPr="00B1622A">
        <w:rPr>
          <w:color w:val="000000" w:themeColor="text1"/>
        </w:rPr>
        <w:t>is not a consistent practice across classrooms, and feedback is not always implemented. Ensuring that student leadership opportunities are structured, accessible, and consistent across all schools and grade levels is an area for growth for the district.</w:t>
      </w:r>
      <w:bookmarkStart w:id="65" w:name="_Tiered_Systems_of"/>
      <w:bookmarkStart w:id="66" w:name="_Health_and_Wellbeing"/>
      <w:bookmarkEnd w:id="65"/>
      <w:bookmarkEnd w:id="66"/>
    </w:p>
    <w:p w14:paraId="32835DC9" w14:textId="0BC8C478" w:rsidR="00F67259" w:rsidRPr="00F67259" w:rsidRDefault="00F67259" w:rsidP="00F67259">
      <w:pPr>
        <w:pStyle w:val="Heading3"/>
      </w:pPr>
      <w:r>
        <w:t>Health and Well-Being</w:t>
      </w:r>
    </w:p>
    <w:p w14:paraId="5673AD9F" w14:textId="1CBBF401" w:rsidR="00D00151" w:rsidRPr="001B7635" w:rsidRDefault="0A5BD187" w:rsidP="00A03E3A">
      <w:pPr>
        <w:pStyle w:val="BodyText"/>
      </w:pPr>
      <w:r w:rsidRPr="00B1622A">
        <w:rPr>
          <w:color w:val="000000" w:themeColor="text1"/>
        </w:rPr>
        <w:t xml:space="preserve">Brockton implements a districtwide, tiered approach to mental and behavioral health supports. </w:t>
      </w:r>
      <w:r w:rsidRPr="190DD215">
        <w:t xml:space="preserve">District leaders described the administration of a universal </w:t>
      </w:r>
      <w:r w:rsidR="00DB1D54">
        <w:t>social-emotional learning</w:t>
      </w:r>
      <w:r w:rsidRPr="190DD215">
        <w:t xml:space="preserve"> and mental health screener offered to all students</w:t>
      </w:r>
      <w:r w:rsidR="00DB1D54">
        <w:t xml:space="preserve"> from</w:t>
      </w:r>
      <w:r w:rsidRPr="190DD215" w:rsidDel="00DB1D54">
        <w:t xml:space="preserve"> </w:t>
      </w:r>
      <w:r w:rsidR="00DB1D54">
        <w:t>g</w:t>
      </w:r>
      <w:r w:rsidRPr="190DD215">
        <w:t xml:space="preserve">rade 3 </w:t>
      </w:r>
      <w:r w:rsidR="00DB1D54">
        <w:t>to grade</w:t>
      </w:r>
      <w:r w:rsidRPr="190DD215">
        <w:t xml:space="preserve"> 12, with results used to identify students for Tier 2 and Tier 3 supports. Every school is staffed with licensed adjustment counselors</w:t>
      </w:r>
      <w:r w:rsidR="00DB1D54">
        <w:t>,</w:t>
      </w:r>
      <w:r w:rsidRPr="190DD215">
        <w:t xml:space="preserve"> licensed social workers,</w:t>
      </w:r>
      <w:r w:rsidR="00DB1D54">
        <w:t xml:space="preserve"> or</w:t>
      </w:r>
      <w:r w:rsidRPr="190DD215">
        <w:t xml:space="preserve"> behavior interventionists</w:t>
      </w:r>
      <w:r w:rsidR="00DB1D54">
        <w:t>. Every school also has</w:t>
      </w:r>
      <w:r w:rsidRPr="190DD215">
        <w:t xml:space="preserve"> access to community mentors who are assigned through the IST process. As district leaders noted, these mentors reflect the linguistic and cultural needs of Brockton</w:t>
      </w:r>
      <w:r w:rsidR="00DB1D54">
        <w:t>’</w:t>
      </w:r>
      <w:r w:rsidRPr="190DD215">
        <w:t xml:space="preserve">s community and are always in demand, </w:t>
      </w:r>
      <w:r w:rsidR="00817779">
        <w:t>so</w:t>
      </w:r>
      <w:r w:rsidR="00817779" w:rsidRPr="190DD215">
        <w:t xml:space="preserve"> </w:t>
      </w:r>
      <w:r w:rsidRPr="190DD215">
        <w:t xml:space="preserve">the district </w:t>
      </w:r>
      <w:r w:rsidR="00817779">
        <w:t xml:space="preserve">is </w:t>
      </w:r>
      <w:r w:rsidRPr="190DD215">
        <w:t>actively seeking additional funding to expand this capacity.</w:t>
      </w:r>
    </w:p>
    <w:p w14:paraId="4368B6DA" w14:textId="2CD8592E" w:rsidR="00D00151" w:rsidRPr="00B1622A" w:rsidRDefault="6C39CCE1" w:rsidP="00A03E3A">
      <w:pPr>
        <w:pStyle w:val="BodyText"/>
        <w:rPr>
          <w:color w:val="000000" w:themeColor="text1"/>
        </w:rPr>
      </w:pPr>
      <w:r w:rsidRPr="5D62FA98">
        <w:t xml:space="preserve">According to district leaders, the district implements CharacterStrong as a Tier 1 </w:t>
      </w:r>
      <w:r w:rsidR="00822A04">
        <w:t>social-emotional learning</w:t>
      </w:r>
      <w:r w:rsidRPr="5D62FA98">
        <w:t xml:space="preserve"> curriculum across all grade levels (PK</w:t>
      </w:r>
      <w:r w:rsidR="00822A04">
        <w:t>-</w:t>
      </w:r>
      <w:r w:rsidRPr="5D62FA98">
        <w:t xml:space="preserve">12), with district-level monitoring through walkthroughs and data review used to inform targeted supports at specific schools or grade levels. School-based staff corroborated this approach, describing integrated </w:t>
      </w:r>
      <w:r w:rsidR="00822A04">
        <w:t>social-emotional learning</w:t>
      </w:r>
      <w:r w:rsidRPr="5D62FA98">
        <w:t xml:space="preserve"> practices, inclusive daily routines, and the use of </w:t>
      </w:r>
      <w:r w:rsidR="00822A04">
        <w:t>SSTs</w:t>
      </w:r>
      <w:r w:rsidRPr="5D62FA98">
        <w:t xml:space="preserve"> to respond to behavioral and emotional needs. At the high school level, the district has implemented a Bridge for Resilient Youth in Transition program, a step-down program for students returning from hospitalization</w:t>
      </w:r>
      <w:r w:rsidR="00103218">
        <w:t>;</w:t>
      </w:r>
      <w:r w:rsidR="00FF08F5">
        <w:t xml:space="preserve"> </w:t>
      </w:r>
      <w:r w:rsidR="00103218">
        <w:t>i</w:t>
      </w:r>
      <w:r w:rsidR="00FF08F5">
        <w:t>t is</w:t>
      </w:r>
      <w:r w:rsidR="00FF08F5" w:rsidRPr="5D62FA98">
        <w:t xml:space="preserve"> </w:t>
      </w:r>
      <w:r w:rsidRPr="5D62FA98">
        <w:t xml:space="preserve">operated in partnership with the Brookline Center and funded through the Department of Mental Health. District leaders also described a crisis response team </w:t>
      </w:r>
      <w:r w:rsidR="00FF08F5">
        <w:t>comprising</w:t>
      </w:r>
      <w:r w:rsidR="00FF08F5" w:rsidRPr="5D62FA98">
        <w:t xml:space="preserve"> </w:t>
      </w:r>
      <w:r w:rsidRPr="5D62FA98">
        <w:t xml:space="preserve">approximately 12 individuals </w:t>
      </w:r>
      <w:r w:rsidR="00FF08F5">
        <w:t>who</w:t>
      </w:r>
      <w:r w:rsidR="00FF08F5" w:rsidRPr="5D62FA98">
        <w:t xml:space="preserve"> </w:t>
      </w:r>
      <w:r w:rsidRPr="5D62FA98">
        <w:t xml:space="preserve">respond </w:t>
      </w:r>
      <w:r w:rsidRPr="00B1622A">
        <w:rPr>
          <w:color w:val="000000" w:themeColor="text1"/>
        </w:rPr>
        <w:t xml:space="preserve">to deaths of students or staff, provide group counseling, engage community partners, and offer extended support to families as needed. </w:t>
      </w:r>
      <w:r w:rsidR="0930CE14" w:rsidRPr="00B1622A">
        <w:rPr>
          <w:color w:val="000000" w:themeColor="text1"/>
        </w:rPr>
        <w:t xml:space="preserve">These practices demonstrate </w:t>
      </w:r>
      <w:r w:rsidR="37A07F9A" w:rsidRPr="00B1622A">
        <w:rPr>
          <w:color w:val="000000" w:themeColor="text1"/>
        </w:rPr>
        <w:t xml:space="preserve">a comprehensive and well-coordinated system of student support that integrates </w:t>
      </w:r>
      <w:r w:rsidR="27543358" w:rsidRPr="00B1622A">
        <w:rPr>
          <w:color w:val="000000" w:themeColor="text1"/>
        </w:rPr>
        <w:t xml:space="preserve">a </w:t>
      </w:r>
      <w:r w:rsidR="446CA603" w:rsidRPr="00B1622A">
        <w:rPr>
          <w:color w:val="000000" w:themeColor="text1"/>
        </w:rPr>
        <w:t xml:space="preserve">Tier 1 </w:t>
      </w:r>
      <w:r w:rsidR="00935D48" w:rsidRPr="00B1622A">
        <w:rPr>
          <w:color w:val="000000" w:themeColor="text1"/>
        </w:rPr>
        <w:t>social-emotional learning</w:t>
      </w:r>
      <w:r w:rsidR="446CA603" w:rsidRPr="00B1622A">
        <w:rPr>
          <w:color w:val="000000" w:themeColor="text1"/>
        </w:rPr>
        <w:t xml:space="preserve"> curriculum</w:t>
      </w:r>
      <w:r w:rsidR="244AD60A" w:rsidRPr="00B1622A">
        <w:rPr>
          <w:color w:val="000000" w:themeColor="text1"/>
        </w:rPr>
        <w:t xml:space="preserve">, </w:t>
      </w:r>
      <w:r w:rsidR="4EA22CD4" w:rsidRPr="00B1622A">
        <w:rPr>
          <w:color w:val="000000" w:themeColor="text1"/>
        </w:rPr>
        <w:t xml:space="preserve">embedded school supports, </w:t>
      </w:r>
      <w:r w:rsidR="5BB25FB6" w:rsidRPr="00B1622A">
        <w:rPr>
          <w:color w:val="000000" w:themeColor="text1"/>
        </w:rPr>
        <w:t>targeted interventions, and a robust crisis response team</w:t>
      </w:r>
      <w:r w:rsidR="00FA34C3" w:rsidRPr="00B1622A">
        <w:rPr>
          <w:color w:val="000000" w:themeColor="text1"/>
        </w:rPr>
        <w:t>,</w:t>
      </w:r>
      <w:r w:rsidR="5BB25FB6" w:rsidRPr="00B1622A">
        <w:rPr>
          <w:color w:val="000000" w:themeColor="text1"/>
        </w:rPr>
        <w:t xml:space="preserve"> </w:t>
      </w:r>
      <w:r w:rsidR="773C2E4D" w:rsidRPr="00B1622A">
        <w:rPr>
          <w:color w:val="000000" w:themeColor="text1"/>
        </w:rPr>
        <w:t>reflect</w:t>
      </w:r>
      <w:r w:rsidR="00FA34C3" w:rsidRPr="00B1622A">
        <w:rPr>
          <w:color w:val="000000" w:themeColor="text1"/>
        </w:rPr>
        <w:t>ing</w:t>
      </w:r>
      <w:r w:rsidR="773C2E4D" w:rsidRPr="00B1622A">
        <w:rPr>
          <w:color w:val="000000" w:themeColor="text1"/>
        </w:rPr>
        <w:t xml:space="preserve"> a coherent approach to addressing students’ needs, which is a strength of the district.</w:t>
      </w:r>
    </w:p>
    <w:p w14:paraId="233B9686" w14:textId="37F10836" w:rsidR="00D00151" w:rsidRPr="001B7635" w:rsidRDefault="00D00151" w:rsidP="00C50C7C">
      <w:pPr>
        <w:pStyle w:val="BodyText"/>
      </w:pPr>
      <w:r>
        <w:t xml:space="preserve">To address gaps in school-based mental health staffing, </w:t>
      </w:r>
      <w:r w:rsidR="002F3BF5">
        <w:t>Brockton</w:t>
      </w:r>
      <w:r>
        <w:t xml:space="preserve"> has developed a pipeline partnership with U</w:t>
      </w:r>
      <w:r w:rsidR="006A573A">
        <w:t xml:space="preserve">niversity of </w:t>
      </w:r>
      <w:r>
        <w:t>Mass</w:t>
      </w:r>
      <w:r w:rsidR="006A573A">
        <w:t>achusetts</w:t>
      </w:r>
      <w:r>
        <w:t xml:space="preserve"> Boston to expand the number of </w:t>
      </w:r>
      <w:r w:rsidR="002F3BF5">
        <w:t xml:space="preserve">its </w:t>
      </w:r>
      <w:r>
        <w:t xml:space="preserve">counselors and school psychologists, particularly from communities of color. District leaders acknowledged that school psychology staffing </w:t>
      </w:r>
      <w:r w:rsidR="002F3BF5">
        <w:t xml:space="preserve">is </w:t>
      </w:r>
      <w:r>
        <w:t xml:space="preserve">the area </w:t>
      </w:r>
      <w:r w:rsidR="002F3BF5">
        <w:t xml:space="preserve">in which </w:t>
      </w:r>
      <w:r>
        <w:t xml:space="preserve">the district is significantly below recommended ratios, and the partnership is designed to address this need over time. The district also piloted a community-based counseling presence at Brockton High School through Brockton Neighborhood Health, </w:t>
      </w:r>
      <w:r w:rsidR="002F3BF5">
        <w:t xml:space="preserve">which </w:t>
      </w:r>
      <w:r>
        <w:t>plac</w:t>
      </w:r>
      <w:r w:rsidR="002F3BF5">
        <w:t>ed</w:t>
      </w:r>
      <w:r>
        <w:t xml:space="preserve"> counselors directly in the school to remove the </w:t>
      </w:r>
      <w:r w:rsidR="00EF4FFE">
        <w:t>transportation barrier</w:t>
      </w:r>
      <w:r>
        <w:t xml:space="preserve"> that prevented many students from accessing community-based mental health services.</w:t>
      </w:r>
    </w:p>
    <w:p w14:paraId="530E9CCF" w14:textId="4A71FE2A" w:rsidR="005F7A41" w:rsidRPr="00CA60AD" w:rsidRDefault="00D00151" w:rsidP="00C50C7C">
      <w:pPr>
        <w:pStyle w:val="BodyText"/>
      </w:pPr>
      <w:r w:rsidRPr="001B7635">
        <w:t>Brockton also identified and is actively planning for a community school model, with a pilot launch planned for</w:t>
      </w:r>
      <w:r w:rsidRPr="001B7635" w:rsidDel="0037782B">
        <w:t xml:space="preserve"> </w:t>
      </w:r>
      <w:r w:rsidRPr="001B7635">
        <w:t>fall</w:t>
      </w:r>
      <w:r w:rsidRPr="001B7635" w:rsidDel="0037782B">
        <w:t xml:space="preserve"> </w:t>
      </w:r>
      <w:r w:rsidRPr="001B7635">
        <w:t>2027. This model</w:t>
      </w:r>
      <w:r w:rsidRPr="001B7635" w:rsidDel="0037782B">
        <w:t xml:space="preserve"> </w:t>
      </w:r>
      <w:r w:rsidR="0037782B">
        <w:t>is designed to</w:t>
      </w:r>
      <w:r w:rsidR="0037782B" w:rsidRPr="001B7635">
        <w:t xml:space="preserve"> </w:t>
      </w:r>
      <w:r w:rsidRPr="001B7635">
        <w:t xml:space="preserve">embed </w:t>
      </w:r>
      <w:r w:rsidR="0037782B">
        <w:t xml:space="preserve">physical </w:t>
      </w:r>
      <w:r w:rsidRPr="001B7635">
        <w:t>health, dental</w:t>
      </w:r>
      <w:r w:rsidR="0037782B">
        <w:t xml:space="preserve"> health</w:t>
      </w:r>
      <w:r w:rsidRPr="001B7635">
        <w:t xml:space="preserve">, mental health, and community support services directly within school buildings, with services tailored to the specific needs of each pilot school community. </w:t>
      </w:r>
      <w:r>
        <w:t xml:space="preserve">According to district-level </w:t>
      </w:r>
      <w:r w:rsidR="00380387">
        <w:t>SST</w:t>
      </w:r>
      <w:r>
        <w:t xml:space="preserve"> members, </w:t>
      </w:r>
      <w:r w:rsidR="00380387">
        <w:t xml:space="preserve">prior to launch, </w:t>
      </w:r>
      <w:r>
        <w:t>t</w:t>
      </w:r>
      <w:r w:rsidRPr="001B7635">
        <w:t>he district is investing in planning and community engagement to build a strong foundation for implementation.</w:t>
      </w:r>
    </w:p>
    <w:p w14:paraId="59695C6E" w14:textId="3B0EE62A" w:rsidR="00B827DE" w:rsidRDefault="00B827DE" w:rsidP="00C50C7C">
      <w:pPr>
        <w:pStyle w:val="Heading3"/>
      </w:pPr>
      <w:bookmarkStart w:id="67" w:name="_Family_and_Community"/>
      <w:bookmarkEnd w:id="67"/>
      <w:r w:rsidRPr="00CB0607">
        <w:t xml:space="preserve">Family and Community </w:t>
      </w:r>
      <w:r w:rsidRPr="00C50C7C">
        <w:t>Partnerships</w:t>
      </w:r>
    </w:p>
    <w:p w14:paraId="6A0064F0" w14:textId="23FA7841" w:rsidR="001F547F" w:rsidRPr="00594E36" w:rsidRDefault="001F547F" w:rsidP="00C50C7C">
      <w:pPr>
        <w:pStyle w:val="BodyTextposthead"/>
        <w:rPr>
          <w:color w:val="538135" w:themeColor="accent6" w:themeShade="BF"/>
        </w:rPr>
      </w:pPr>
      <w:r>
        <w:t xml:space="preserve">Brockton has established systems for family communication and community partnerships, with a strong emphasis on </w:t>
      </w:r>
      <w:r w:rsidR="007339B2">
        <w:t xml:space="preserve">multi-lingual </w:t>
      </w:r>
      <w:r>
        <w:t>access and coordination with external organizations. Families reported receiv</w:t>
      </w:r>
      <w:r w:rsidR="00885A6E">
        <w:t>ing</w:t>
      </w:r>
      <w:r>
        <w:t xml:space="preserve"> communications in various languages</w:t>
      </w:r>
      <w:r w:rsidR="00885A6E">
        <w:t xml:space="preserve">; this is </w:t>
      </w:r>
      <w:r w:rsidR="007A0EE7">
        <w:t xml:space="preserve">the </w:t>
      </w:r>
      <w:r w:rsidR="007C40AB">
        <w:t>result of</w:t>
      </w:r>
      <w:r>
        <w:t xml:space="preserve"> </w:t>
      </w:r>
      <w:r w:rsidR="00885A6E">
        <w:t xml:space="preserve">Brockton’s </w:t>
      </w:r>
      <w:r>
        <w:t>efforts to provide translation services through district staff and common communication platforms. The district also has several established relationships with community organizations that provide wraparound services for students and families.</w:t>
      </w:r>
    </w:p>
    <w:p w14:paraId="5D313559" w14:textId="2ED073F3" w:rsidR="001F547F" w:rsidRPr="00B1622A" w:rsidRDefault="05A9F3E8" w:rsidP="00C50C7C">
      <w:pPr>
        <w:pStyle w:val="BodyText"/>
        <w:rPr>
          <w:color w:val="000000" w:themeColor="text1"/>
        </w:rPr>
      </w:pPr>
      <w:r>
        <w:t xml:space="preserve">The district sends a </w:t>
      </w:r>
      <w:r w:rsidR="007339B2">
        <w:t xml:space="preserve">multi-lingual </w:t>
      </w:r>
      <w:r>
        <w:t>family communication directory to all schools at the start of each year, allowing staff to identify and contact district-level bilingual contacts for family outreach. Family engagement events</w:t>
      </w:r>
      <w:r w:rsidR="006719C2">
        <w:t xml:space="preserve"> at multiple elementary schools</w:t>
      </w:r>
      <w:r>
        <w:t xml:space="preserve"> includ</w:t>
      </w:r>
      <w:r w:rsidR="006719C2">
        <w:t>e</w:t>
      </w:r>
      <w:r>
        <w:t xml:space="preserve"> literacy and math game nights and culture nights</w:t>
      </w:r>
      <w:r w:rsidR="006719C2">
        <w:t xml:space="preserve">; these </w:t>
      </w:r>
      <w:r>
        <w:t>are communicated in families</w:t>
      </w:r>
      <w:r w:rsidR="006719C2">
        <w:t>’</w:t>
      </w:r>
      <w:r>
        <w:t xml:space="preserve"> home languages</w:t>
      </w:r>
      <w:r w:rsidR="006719C2">
        <w:t>.</w:t>
      </w:r>
      <w:r>
        <w:t xml:space="preserve"> </w:t>
      </w:r>
      <w:r w:rsidR="006719C2">
        <w:t>Teachers</w:t>
      </w:r>
      <w:r>
        <w:t xml:space="preserve"> cited </w:t>
      </w:r>
      <w:r w:rsidR="006719C2">
        <w:t>these events</w:t>
      </w:r>
      <w:r>
        <w:t xml:space="preserve"> as meaningful opportunities to build community. Translators </w:t>
      </w:r>
      <w:r w:rsidR="006D2554">
        <w:t>for several languages</w:t>
      </w:r>
      <w:r w:rsidR="00F00BC1">
        <w:t>—</w:t>
      </w:r>
      <w:r w:rsidR="001E137D">
        <w:t>including Spanish, Cape Verdean Creole, Haitian Creole, and Portuguese</w:t>
      </w:r>
      <w:r w:rsidR="00F00BC1">
        <w:t>—</w:t>
      </w:r>
      <w:r>
        <w:t xml:space="preserve">are now present at all major parent events. Families consistently reported receiving school communications through multiple channels, including phone calls, text messages, and translated documents, and expressed appreciation for outreach in their home languages. </w:t>
      </w:r>
      <w:r w:rsidR="576CD7CE">
        <w:t>T</w:t>
      </w:r>
      <w:r>
        <w:t>eachers described using multiple tools to reach families, including Lionbridge, Talking Points, and Google Translate</w:t>
      </w:r>
      <w:r w:rsidR="006D2554">
        <w:t>. Teachers</w:t>
      </w:r>
      <w:r>
        <w:t xml:space="preserve"> noted that in-building </w:t>
      </w:r>
      <w:r w:rsidR="007339B2">
        <w:t xml:space="preserve">multi-lingual </w:t>
      </w:r>
      <w:r>
        <w:t xml:space="preserve">staff, including adjustment counselors and secretarial staff fluent in languages </w:t>
      </w:r>
      <w:r w:rsidR="006D2554">
        <w:t>(e.g.,</w:t>
      </w:r>
      <w:r>
        <w:t xml:space="preserve"> Haitian Creole</w:t>
      </w:r>
      <w:r w:rsidR="006D2554">
        <w:t>,</w:t>
      </w:r>
      <w:r>
        <w:t xml:space="preserve"> </w:t>
      </w:r>
      <w:r w:rsidRPr="00B1622A">
        <w:rPr>
          <w:color w:val="000000" w:themeColor="text1"/>
        </w:rPr>
        <w:t>Spanish</w:t>
      </w:r>
      <w:r w:rsidR="006D2554" w:rsidRPr="00B1622A">
        <w:rPr>
          <w:color w:val="000000" w:themeColor="text1"/>
        </w:rPr>
        <w:t xml:space="preserve">) </w:t>
      </w:r>
      <w:r w:rsidRPr="00B1622A">
        <w:rPr>
          <w:color w:val="000000" w:themeColor="text1"/>
        </w:rPr>
        <w:t xml:space="preserve">add a personal dimension to family communication that families value. The availability of </w:t>
      </w:r>
      <w:r w:rsidR="007339B2" w:rsidRPr="00B1622A">
        <w:rPr>
          <w:color w:val="000000" w:themeColor="text1"/>
        </w:rPr>
        <w:t xml:space="preserve">multi-lingual </w:t>
      </w:r>
      <w:r w:rsidRPr="00B1622A">
        <w:rPr>
          <w:color w:val="000000" w:themeColor="text1"/>
        </w:rPr>
        <w:t>communication tools and district-supported translation and interpretation services is a strength of the district.</w:t>
      </w:r>
    </w:p>
    <w:p w14:paraId="15862897" w14:textId="77777777" w:rsidR="00A465EA" w:rsidRDefault="001F547F" w:rsidP="00C50C7C">
      <w:pPr>
        <w:pStyle w:val="BodyText"/>
      </w:pPr>
      <w:r>
        <w:t xml:space="preserve">At the same time, families indicated variation in how consistently and effectively communication and engagement practices are experienced across schools and staff. Some families, particularly those navigating more complex situations such as special education referrals or student support services, described challenges in receiving clear and timely communication. District and school leaders acknowledged the importance of </w:t>
      </w:r>
      <w:r w:rsidR="007339B2">
        <w:t>multi-lingual</w:t>
      </w:r>
      <w:r>
        <w:t xml:space="preserve">, two-way communication as an ongoing priority but did not describe systematic monitoring of communication practices across schools. </w:t>
      </w:r>
    </w:p>
    <w:p w14:paraId="551D9C36" w14:textId="486DB3AB" w:rsidR="001F547F" w:rsidRPr="00B1622A" w:rsidRDefault="05A9F3E8" w:rsidP="00C50C7C">
      <w:pPr>
        <w:pStyle w:val="BodyText"/>
        <w:rPr>
          <w:color w:val="000000" w:themeColor="text1"/>
        </w:rPr>
      </w:pPr>
      <w:r>
        <w:t xml:space="preserve">District leaders </w:t>
      </w:r>
      <w:r w:rsidR="00A465EA">
        <w:t xml:space="preserve">also </w:t>
      </w:r>
      <w:r>
        <w:t>described intentional partnerships with community-based organizations to support students and families, coordinated through Unified Student Services. A full-time community partnerships and resources coordinator connects families directly to housing assistance, food assistance, state programs, and SNAP benefits, according to district leaders. The district</w:t>
      </w:r>
      <w:r w:rsidR="00324BF2">
        <w:t>’</w:t>
      </w:r>
      <w:r>
        <w:t xml:space="preserve">s nursing team partners with Brockton Public Health and Brockton Neighborhood Health on immunizations and pediatric care access. </w:t>
      </w:r>
      <w:r w:rsidR="00CC1AC7">
        <w:t>A</w:t>
      </w:r>
      <w:r>
        <w:t xml:space="preserve"> dedicated full-time liaison coordinates housing and support services</w:t>
      </w:r>
      <w:r w:rsidR="00CC1AC7">
        <w:t xml:space="preserve"> for students experiencing homelessness or living in foster care, and for military-connected families</w:t>
      </w:r>
      <w:r>
        <w:t xml:space="preserve">. The district </w:t>
      </w:r>
      <w:r w:rsidRPr="00B1622A">
        <w:rPr>
          <w:color w:val="000000" w:themeColor="text1"/>
        </w:rPr>
        <w:t xml:space="preserve">also maintains a community resource booklet available in all primary community languages and has hosted community resource fairs with bilingual interpreters available. The established community partnerships </w:t>
      </w:r>
      <w:r w:rsidR="003E2913" w:rsidRPr="00B1622A">
        <w:rPr>
          <w:color w:val="000000" w:themeColor="text1"/>
        </w:rPr>
        <w:t>that</w:t>
      </w:r>
      <w:r w:rsidRPr="00B1622A">
        <w:rPr>
          <w:color w:val="000000" w:themeColor="text1"/>
        </w:rPr>
        <w:t xml:space="preserve"> provide students and families with wraparound supports is a strength of the district.</w:t>
      </w:r>
    </w:p>
    <w:p w14:paraId="6BFEA5C5" w14:textId="1E6D182C" w:rsidR="001F547F" w:rsidRPr="001B7635" w:rsidRDefault="001F547F" w:rsidP="00C50C7C">
      <w:pPr>
        <w:pStyle w:val="BodyText"/>
      </w:pPr>
      <w:r w:rsidRPr="001B7635">
        <w:t>Additionally, Brockton partners with postsecondary institutions</w:t>
      </w:r>
      <w:r w:rsidR="009E5E96">
        <w:t>,</w:t>
      </w:r>
      <w:r w:rsidRPr="001B7635">
        <w:t xml:space="preserve"> including Massasoit Community College, Bridgewater State University, and U</w:t>
      </w:r>
      <w:r w:rsidR="009E5E96">
        <w:t xml:space="preserve">niversity of </w:t>
      </w:r>
      <w:r w:rsidRPr="001B7635">
        <w:t>Mass</w:t>
      </w:r>
      <w:r w:rsidR="009E5E96">
        <w:t>achuse</w:t>
      </w:r>
      <w:r w:rsidR="00362A01">
        <w:t>tts</w:t>
      </w:r>
      <w:r w:rsidRPr="001B7635">
        <w:t xml:space="preserve"> Dartmouth as part of early college and </w:t>
      </w:r>
      <w:r w:rsidR="004E3B27">
        <w:t>CTE</w:t>
      </w:r>
      <w:r w:rsidRPr="001B7635">
        <w:t xml:space="preserve"> pathways. The </w:t>
      </w:r>
      <w:r>
        <w:t>high school</w:t>
      </w:r>
      <w:r w:rsidRPr="001B7635">
        <w:t xml:space="preserve"> principal described extensive partnerships with organizations such as the Massachusetts Clean Energy Council, Project Green Schools, the Partnership in Education and Resiliency, and WCDB</w:t>
      </w:r>
      <w:r w:rsidR="00515A0F">
        <w:t xml:space="preserve">, which </w:t>
      </w:r>
      <w:r w:rsidRPr="001B7635">
        <w:t>reflect</w:t>
      </w:r>
      <w:r w:rsidR="00515A0F">
        <w:t>s</w:t>
      </w:r>
      <w:r w:rsidRPr="001B7635">
        <w:t xml:space="preserve"> a robust network of community organizations that enriches student experiences beyond the classroom.</w:t>
      </w:r>
    </w:p>
    <w:p w14:paraId="4142D4E9" w14:textId="008840CB" w:rsidR="005F7A41" w:rsidRPr="00B1622A" w:rsidRDefault="001F547F" w:rsidP="00C50C7C">
      <w:pPr>
        <w:pStyle w:val="BodyText"/>
        <w:rPr>
          <w:color w:val="000000" w:themeColor="text1"/>
        </w:rPr>
      </w:pPr>
      <w:r>
        <w:t xml:space="preserve">While stakeholders across roles consistently described community partnerships as present and important, few described clear districtwide processes for evaluating partnership effectiveness or for ensuring equitable access to community resources across schools. Family focus group members </w:t>
      </w:r>
      <w:r w:rsidRPr="00B1622A">
        <w:rPr>
          <w:color w:val="000000" w:themeColor="text1"/>
        </w:rPr>
        <w:t xml:space="preserve">were not uniformly aware of the full range of community partnerships available to them, and </w:t>
      </w:r>
      <w:r w:rsidR="00134F2B" w:rsidRPr="00B1622A">
        <w:rPr>
          <w:color w:val="000000" w:themeColor="text1"/>
        </w:rPr>
        <w:t xml:space="preserve">their </w:t>
      </w:r>
      <w:r w:rsidRPr="00B1622A">
        <w:rPr>
          <w:color w:val="000000" w:themeColor="text1"/>
        </w:rPr>
        <w:t>experiences</w:t>
      </w:r>
      <w:r w:rsidR="00134F2B" w:rsidRPr="00B1622A">
        <w:rPr>
          <w:color w:val="000000" w:themeColor="text1"/>
        </w:rPr>
        <w:t xml:space="preserve"> with</w:t>
      </w:r>
      <w:r w:rsidRPr="00B1622A">
        <w:rPr>
          <w:color w:val="000000" w:themeColor="text1"/>
        </w:rPr>
        <w:t xml:space="preserve"> coordination and follow-through varied. Establishing systematic processes to evaluate the reach and impact of community partnerships and wraparound supports, and ensuring consistent access across all schools, is an area for growth for the district.</w:t>
      </w:r>
    </w:p>
    <w:p w14:paraId="5D523900" w14:textId="1D62445C" w:rsidR="005F7A41" w:rsidRDefault="005F7A41" w:rsidP="00C50C7C">
      <w:pPr>
        <w:pStyle w:val="Heading3"/>
      </w:pPr>
      <w:bookmarkStart w:id="68" w:name="_Multi-Tiered_Systems_of"/>
      <w:bookmarkEnd w:id="68"/>
      <w:r>
        <w:t>Multi-</w:t>
      </w:r>
      <w:r w:rsidRPr="00CB0607">
        <w:t>Tiered Systems of Support</w:t>
      </w:r>
      <w:r>
        <w:t xml:space="preserve"> (</w:t>
      </w:r>
      <w:r w:rsidRPr="00C50C7C">
        <w:t>MTSS</w:t>
      </w:r>
      <w:r>
        <w:t>)</w:t>
      </w:r>
    </w:p>
    <w:p w14:paraId="6C464D0A" w14:textId="0DCF50C0" w:rsidR="00AA1464" w:rsidRPr="001B7635" w:rsidRDefault="7575A2B5" w:rsidP="00C50C7C">
      <w:pPr>
        <w:pStyle w:val="BodyTextposthead"/>
      </w:pPr>
      <w:r w:rsidRPr="190DD215">
        <w:t xml:space="preserve">Brockton has established formal MTSS structures at both the district and school levels, with documented tiered resource maps, defined teams, and coordinated roles. At the district level, Unified Student Services brings together social-emotional learning, behavioral health, attendance, and special education supports under a coordinated system intended to serve students across all three tiers. ISTs serve as the primary school-based mechanism for identifying student </w:t>
      </w:r>
      <w:r w:rsidR="7F04799C" w:rsidRPr="190DD215">
        <w:t xml:space="preserve">academic </w:t>
      </w:r>
      <w:r w:rsidRPr="190DD215">
        <w:t xml:space="preserve">needs and coordinating Tier 2 and Tier 3 supports. A parallel IST-B (behavioral) process addresses social-emotional </w:t>
      </w:r>
      <w:r w:rsidR="002447F0">
        <w:t xml:space="preserve">learning </w:t>
      </w:r>
      <w:r w:rsidRPr="190DD215">
        <w:t>and behavioral concerns using the same multidisciplinary team structure.</w:t>
      </w:r>
    </w:p>
    <w:p w14:paraId="093DEAC3" w14:textId="1D529050" w:rsidR="00AA1464" w:rsidRPr="00B1622A" w:rsidRDefault="2D934305" w:rsidP="00C50C7C">
      <w:pPr>
        <w:pStyle w:val="BodyText"/>
        <w:rPr>
          <w:color w:val="000000" w:themeColor="text1"/>
        </w:rPr>
      </w:pPr>
      <w:r w:rsidRPr="5D62FA98">
        <w:t xml:space="preserve">School-based staff reported on the existence and use of </w:t>
      </w:r>
      <w:r w:rsidR="0259BF35" w:rsidRPr="5D62FA98">
        <w:t xml:space="preserve">ISTs and other </w:t>
      </w:r>
      <w:r w:rsidR="00617324">
        <w:t>SSTs</w:t>
      </w:r>
      <w:r w:rsidR="0259BF35" w:rsidRPr="5D62FA98">
        <w:t xml:space="preserve"> at the school level</w:t>
      </w:r>
      <w:r w:rsidRPr="5D62FA98">
        <w:t xml:space="preserve">. </w:t>
      </w:r>
      <w:r w:rsidR="0259BF35" w:rsidRPr="5D62FA98">
        <w:t>According to teachers, principals, and support staff, IST</w:t>
      </w:r>
      <w:r w:rsidR="00617324">
        <w:t>s</w:t>
      </w:r>
      <w:r w:rsidR="0259BF35" w:rsidRPr="5D62FA98">
        <w:t xml:space="preserve"> usually comprise teachers, school leaders, </w:t>
      </w:r>
      <w:r w:rsidR="1B30CB78" w:rsidRPr="5D62FA98">
        <w:t xml:space="preserve">instructional coaches, special educators, and </w:t>
      </w:r>
      <w:r w:rsidR="00617324" w:rsidRPr="190DD215">
        <w:t xml:space="preserve">social-emotional </w:t>
      </w:r>
      <w:r w:rsidR="00617324">
        <w:t>learning</w:t>
      </w:r>
      <w:r w:rsidR="1B30CB78" w:rsidRPr="5D62FA98">
        <w:t xml:space="preserve"> staff. </w:t>
      </w:r>
      <w:r w:rsidRPr="5D62FA98">
        <w:t xml:space="preserve">Members of school-based </w:t>
      </w:r>
      <w:r w:rsidR="00E064B4">
        <w:t>SSTs</w:t>
      </w:r>
      <w:r w:rsidRPr="5D62FA98">
        <w:t xml:space="preserve"> described </w:t>
      </w:r>
      <w:r w:rsidR="324944A0" w:rsidRPr="5D62FA98">
        <w:t>weekly</w:t>
      </w:r>
      <w:r w:rsidR="21256FA5" w:rsidRPr="5D62FA98">
        <w:t xml:space="preserve"> </w:t>
      </w:r>
      <w:r w:rsidRPr="5D62FA98">
        <w:t>meetings to review student data, discuss concerns, and</w:t>
      </w:r>
      <w:r w:rsidR="00DB5CB5">
        <w:t xml:space="preserve"> </w:t>
      </w:r>
      <w:r w:rsidRPr="5D62FA98">
        <w:t>determine</w:t>
      </w:r>
      <w:r w:rsidR="00DB5CB5">
        <w:t xml:space="preserve"> </w:t>
      </w:r>
      <w:r w:rsidRPr="5D62FA98">
        <w:t>next steps for students requiring</w:t>
      </w:r>
      <w:r w:rsidR="00DB5CB5">
        <w:t xml:space="preserve"> </w:t>
      </w:r>
      <w:r w:rsidRPr="5D62FA98">
        <w:t>additional</w:t>
      </w:r>
      <w:r w:rsidR="00DB5CB5">
        <w:t xml:space="preserve"> </w:t>
      </w:r>
      <w:r w:rsidRPr="5D62FA98">
        <w:t>academic, behavioral, or social</w:t>
      </w:r>
      <w:r w:rsidR="00C50C7C">
        <w:noBreakHyphen/>
      </w:r>
      <w:r w:rsidRPr="5D62FA98">
        <w:t>emotional support</w:t>
      </w:r>
      <w:r w:rsidR="52E984C9" w:rsidRPr="5D62FA98">
        <w:t>.</w:t>
      </w:r>
      <w:r w:rsidR="5F4A3256" w:rsidRPr="5D62FA98">
        <w:t xml:space="preserve"> </w:t>
      </w:r>
      <w:r w:rsidR="52E984C9" w:rsidRPr="5D62FA98">
        <w:t>Stakeholders agreed that</w:t>
      </w:r>
      <w:r w:rsidR="00DB5CB5">
        <w:t xml:space="preserve"> </w:t>
      </w:r>
      <w:r w:rsidR="52E984C9" w:rsidRPr="5D62FA98">
        <w:t>formal MTSS structures exist districtwide, with clear expectations that schools</w:t>
      </w:r>
      <w:r w:rsidR="00DB5CB5">
        <w:t xml:space="preserve"> </w:t>
      </w:r>
      <w:r w:rsidR="52E984C9" w:rsidRPr="5D62FA98">
        <w:t>convene</w:t>
      </w:r>
      <w:r w:rsidR="00DB5CB5">
        <w:t xml:space="preserve"> </w:t>
      </w:r>
      <w:r w:rsidR="52E984C9" w:rsidRPr="5D62FA98">
        <w:t>teams and use data to</w:t>
      </w:r>
      <w:r w:rsidR="00DB5CB5">
        <w:t xml:space="preserve"> </w:t>
      </w:r>
      <w:r w:rsidR="52E984C9" w:rsidRPr="5D62FA98">
        <w:t>identify</w:t>
      </w:r>
      <w:r w:rsidR="00DB5CB5">
        <w:t xml:space="preserve"> </w:t>
      </w:r>
      <w:r w:rsidR="52E984C9" w:rsidRPr="5D62FA98">
        <w:t>students for support.</w:t>
      </w:r>
      <w:r w:rsidR="00DB5CB5">
        <w:t xml:space="preserve"> </w:t>
      </w:r>
      <w:r w:rsidR="1BD88B8A" w:rsidRPr="5D62FA98">
        <w:t>The district has developed detailed MTSS Tiered Resource Maps at both the elementary and middle school levels that document how Brockton organizes tiered academic supports in practice. The elementary map explicitly organizes ELA and mathematics supports by Tier 1, Tier 2, and Tier 3, connecting each tier to district-adopted HQIM</w:t>
      </w:r>
      <w:r w:rsidR="00F957E5">
        <w:t xml:space="preserve"> </w:t>
      </w:r>
      <w:r w:rsidR="00DB5CB5">
        <w:t>and to</w:t>
      </w:r>
      <w:r w:rsidR="00DB5CB5" w:rsidRPr="5D62FA98">
        <w:t xml:space="preserve"> </w:t>
      </w:r>
      <w:r w:rsidR="1BD88B8A" w:rsidRPr="5D62FA98">
        <w:t>screening and progress monitoring tools such as DIBELS 8, STAR Reading, and Lexia Core 5. Additionally, collaborative data-based decision-making structures include grade-level meetings during SSPT and IST</w:t>
      </w:r>
      <w:r w:rsidR="00DB5CB5">
        <w:t>s</w:t>
      </w:r>
      <w:r w:rsidR="1BD88B8A" w:rsidRPr="5D62FA98">
        <w:t xml:space="preserve">. The middle school resource map similarly defines Tier 1 </w:t>
      </w:r>
      <w:r w:rsidR="1BD88B8A" w:rsidRPr="00B1622A">
        <w:rPr>
          <w:color w:val="000000" w:themeColor="text1"/>
        </w:rPr>
        <w:t xml:space="preserve">through Tier 3 supports for ELA and mathematics, specifying HQIM </w:t>
      </w:r>
      <w:r w:rsidR="00DB5CB5" w:rsidRPr="00B1622A">
        <w:rPr>
          <w:color w:val="000000" w:themeColor="text1"/>
        </w:rPr>
        <w:t>(e.g.,</w:t>
      </w:r>
      <w:r w:rsidR="1BD88B8A" w:rsidRPr="00B1622A">
        <w:rPr>
          <w:color w:val="000000" w:themeColor="text1"/>
        </w:rPr>
        <w:t xml:space="preserve"> StudySync</w:t>
      </w:r>
      <w:r w:rsidR="00F957E5" w:rsidRPr="00B1622A">
        <w:rPr>
          <w:color w:val="000000" w:themeColor="text1"/>
        </w:rPr>
        <w:t>,</w:t>
      </w:r>
      <w:r w:rsidR="1BD88B8A" w:rsidRPr="00B1622A" w:rsidDel="00F957E5">
        <w:rPr>
          <w:color w:val="000000" w:themeColor="text1"/>
        </w:rPr>
        <w:t xml:space="preserve"> </w:t>
      </w:r>
      <w:r w:rsidR="1BD88B8A" w:rsidRPr="00B1622A">
        <w:rPr>
          <w:color w:val="000000" w:themeColor="text1"/>
        </w:rPr>
        <w:t>Carnegie Math</w:t>
      </w:r>
      <w:r w:rsidR="00DB5CB5" w:rsidRPr="00B1622A">
        <w:rPr>
          <w:color w:val="000000" w:themeColor="text1"/>
        </w:rPr>
        <w:t>)</w:t>
      </w:r>
      <w:r w:rsidR="1BD88B8A" w:rsidRPr="00B1622A">
        <w:rPr>
          <w:color w:val="000000" w:themeColor="text1"/>
        </w:rPr>
        <w:t>, and outlining teams involved in data-based decisions</w:t>
      </w:r>
      <w:r w:rsidR="00AE22BC" w:rsidRPr="00B1622A">
        <w:rPr>
          <w:color w:val="000000" w:themeColor="text1"/>
        </w:rPr>
        <w:t>. The district’s MTSS Tie</w:t>
      </w:r>
      <w:r w:rsidR="00DA78B6" w:rsidRPr="00B1622A">
        <w:rPr>
          <w:color w:val="000000" w:themeColor="text1"/>
        </w:rPr>
        <w:t xml:space="preserve">red </w:t>
      </w:r>
      <w:r w:rsidR="00B2093C" w:rsidRPr="00B1622A">
        <w:rPr>
          <w:color w:val="000000" w:themeColor="text1"/>
        </w:rPr>
        <w:t>R</w:t>
      </w:r>
      <w:r w:rsidR="00DA78B6" w:rsidRPr="00B1622A">
        <w:rPr>
          <w:color w:val="000000" w:themeColor="text1"/>
        </w:rPr>
        <w:t xml:space="preserve">esource </w:t>
      </w:r>
      <w:r w:rsidR="00B2093C" w:rsidRPr="00B1622A">
        <w:rPr>
          <w:color w:val="000000" w:themeColor="text1"/>
        </w:rPr>
        <w:t>M</w:t>
      </w:r>
      <w:r w:rsidR="00DA78B6" w:rsidRPr="00B1622A">
        <w:rPr>
          <w:color w:val="000000" w:themeColor="text1"/>
        </w:rPr>
        <w:t xml:space="preserve">aps </w:t>
      </w:r>
      <w:r w:rsidR="00B2093C" w:rsidRPr="00B1622A">
        <w:rPr>
          <w:color w:val="000000" w:themeColor="text1"/>
        </w:rPr>
        <w:t>that provide clear and explicit expectations for</w:t>
      </w:r>
      <w:r w:rsidR="00DA78B6" w:rsidRPr="00B1622A">
        <w:rPr>
          <w:color w:val="000000" w:themeColor="text1"/>
        </w:rPr>
        <w:t xml:space="preserve"> </w:t>
      </w:r>
      <w:r w:rsidR="00642A9A" w:rsidRPr="00B1622A">
        <w:rPr>
          <w:color w:val="000000" w:themeColor="text1"/>
        </w:rPr>
        <w:t>implementing supports</w:t>
      </w:r>
      <w:r w:rsidR="1BD88B8A" w:rsidRPr="00B1622A">
        <w:rPr>
          <w:color w:val="000000" w:themeColor="text1"/>
        </w:rPr>
        <w:t xml:space="preserve"> is a strength of the district.</w:t>
      </w:r>
    </w:p>
    <w:p w14:paraId="43CE13C7" w14:textId="31045DEC" w:rsidR="00AA1464" w:rsidRPr="00B1622A" w:rsidRDefault="7575A2B5" w:rsidP="2D019F4B">
      <w:pPr>
        <w:pStyle w:val="BodyText"/>
        <w:rPr>
          <w:color w:val="000000" w:themeColor="text1"/>
        </w:rPr>
      </w:pPr>
      <w:r>
        <w:t xml:space="preserve">For social-emotional </w:t>
      </w:r>
      <w:r w:rsidR="00DB5CB5">
        <w:t xml:space="preserve">learning </w:t>
      </w:r>
      <w:r>
        <w:t>and behavioral supports, the district has articulated a parallel three-tier structure. Tier 1 universal supports include CharacterStrong (</w:t>
      </w:r>
      <w:r w:rsidR="00DB5CB5">
        <w:t xml:space="preserve">grades </w:t>
      </w:r>
      <w:r>
        <w:t>PK</w:t>
      </w:r>
      <w:r w:rsidR="00DB5CB5">
        <w:t>-</w:t>
      </w:r>
      <w:r>
        <w:t xml:space="preserve">12), a universal </w:t>
      </w:r>
      <w:r w:rsidR="00DB5CB5">
        <w:t>social-emotional learning</w:t>
      </w:r>
      <w:r>
        <w:t xml:space="preserve"> and mental health screener for grades 3</w:t>
      </w:r>
      <w:r w:rsidR="00DB5CB5">
        <w:t>-</w:t>
      </w:r>
      <w:r>
        <w:t xml:space="preserve">12, restorative justice community-building circles, and </w:t>
      </w:r>
      <w:r w:rsidR="00DB5CB5">
        <w:t>Positive Behavioral Interventions &amp; Support</w:t>
      </w:r>
      <w:r w:rsidR="00905494">
        <w:t xml:space="preserve"> (PBIS)</w:t>
      </w:r>
      <w:r>
        <w:t>/MTSS expectations and routines. Tier 2 targeted supports are coordinated through IST</w:t>
      </w:r>
      <w:r w:rsidR="00BC1759">
        <w:t>-B</w:t>
      </w:r>
      <w:r w:rsidR="00DB5CB5">
        <w:t>,</w:t>
      </w:r>
      <w:r>
        <w:t xml:space="preserve"> and include skills groups, behavior interventionists, community mentors, peer mediation, and Care Solace care coordination. Tier 3 intensive supports include the Stabilization Center, Mobile Crisis response, referrals to community partners for outpatient therapy, and other intensive programming. </w:t>
      </w:r>
      <w:r w:rsidR="604E7DF4">
        <w:t xml:space="preserve">District documents also </w:t>
      </w:r>
      <w:r w:rsidR="5791B4FD">
        <w:t xml:space="preserve">describe the function of the Tier 2 IST as a recurring structure </w:t>
      </w:r>
      <w:r w:rsidR="00DB5CB5">
        <w:t xml:space="preserve">with </w:t>
      </w:r>
      <w:r w:rsidR="702D432C">
        <w:t>weekly meetings that review</w:t>
      </w:r>
      <w:r w:rsidR="00B615D2">
        <w:t>s</w:t>
      </w:r>
      <w:r w:rsidR="702D432C">
        <w:t xml:space="preserve"> </w:t>
      </w:r>
      <w:r w:rsidR="5791B4FD">
        <w:t xml:space="preserve">student data </w:t>
      </w:r>
      <w:r w:rsidR="5791B4FD" w:rsidRPr="00B1622A">
        <w:rPr>
          <w:color w:val="000000" w:themeColor="text1"/>
        </w:rPr>
        <w:t>across academic, social-emotional, and behavioral domains</w:t>
      </w:r>
      <w:r w:rsidR="00DB5CB5" w:rsidRPr="00B1622A">
        <w:rPr>
          <w:color w:val="000000" w:themeColor="text1"/>
        </w:rPr>
        <w:t>.</w:t>
      </w:r>
      <w:r w:rsidR="5791B4FD" w:rsidRPr="00B1622A">
        <w:rPr>
          <w:color w:val="000000" w:themeColor="text1"/>
        </w:rPr>
        <w:t xml:space="preserve"> </w:t>
      </w:r>
      <w:r w:rsidR="00DB5CB5" w:rsidRPr="00B1622A">
        <w:rPr>
          <w:color w:val="000000" w:themeColor="text1"/>
        </w:rPr>
        <w:t xml:space="preserve">Meeting participants </w:t>
      </w:r>
      <w:r w:rsidR="3E2A2CF3" w:rsidRPr="00B1622A">
        <w:rPr>
          <w:color w:val="000000" w:themeColor="text1"/>
        </w:rPr>
        <w:t>include</w:t>
      </w:r>
      <w:r w:rsidR="5791B4FD" w:rsidRPr="00B1622A">
        <w:rPr>
          <w:color w:val="000000" w:themeColor="text1"/>
        </w:rPr>
        <w:t xml:space="preserve"> multiple roles</w:t>
      </w:r>
      <w:r w:rsidR="702D432C" w:rsidRPr="00B1622A">
        <w:rPr>
          <w:color w:val="000000" w:themeColor="text1"/>
        </w:rPr>
        <w:t xml:space="preserve">, such as </w:t>
      </w:r>
      <w:r w:rsidR="5791B4FD" w:rsidRPr="00B1622A">
        <w:rPr>
          <w:color w:val="000000" w:themeColor="text1"/>
        </w:rPr>
        <w:t>administrator</w:t>
      </w:r>
      <w:r w:rsidR="702D432C" w:rsidRPr="00B1622A">
        <w:rPr>
          <w:color w:val="000000" w:themeColor="text1"/>
        </w:rPr>
        <w:t>s</w:t>
      </w:r>
      <w:r w:rsidR="5791B4FD" w:rsidRPr="00B1622A">
        <w:rPr>
          <w:color w:val="000000" w:themeColor="text1"/>
        </w:rPr>
        <w:t xml:space="preserve">, </w:t>
      </w:r>
      <w:r w:rsidR="702D432C" w:rsidRPr="00B1622A">
        <w:rPr>
          <w:color w:val="000000" w:themeColor="text1"/>
        </w:rPr>
        <w:t>counselors</w:t>
      </w:r>
      <w:r w:rsidR="5791B4FD" w:rsidRPr="00B1622A">
        <w:rPr>
          <w:color w:val="000000" w:themeColor="text1"/>
        </w:rPr>
        <w:t>, classroom teacher, and school nurse</w:t>
      </w:r>
      <w:r w:rsidR="702D432C" w:rsidRPr="00B1622A">
        <w:rPr>
          <w:color w:val="000000" w:themeColor="text1"/>
        </w:rPr>
        <w:t xml:space="preserve">. </w:t>
      </w:r>
      <w:r w:rsidRPr="00B1622A">
        <w:rPr>
          <w:color w:val="000000" w:themeColor="text1"/>
        </w:rPr>
        <w:t xml:space="preserve">The comprehensive, three-tier </w:t>
      </w:r>
      <w:r w:rsidR="00DB5CB5" w:rsidRPr="00B1622A">
        <w:rPr>
          <w:color w:val="000000" w:themeColor="text1"/>
        </w:rPr>
        <w:t xml:space="preserve">social-emotional </w:t>
      </w:r>
      <w:r w:rsidR="3BA828E5" w:rsidRPr="00B1622A">
        <w:rPr>
          <w:color w:val="000000" w:themeColor="text1"/>
        </w:rPr>
        <w:t>learning</w:t>
      </w:r>
      <w:r w:rsidRPr="00B1622A">
        <w:rPr>
          <w:color w:val="000000" w:themeColor="text1"/>
        </w:rPr>
        <w:t xml:space="preserve"> and behavioral support structure</w:t>
      </w:r>
      <w:r w:rsidR="00DB5CB5" w:rsidRPr="00B1622A">
        <w:rPr>
          <w:color w:val="000000" w:themeColor="text1"/>
        </w:rPr>
        <w:t>,</w:t>
      </w:r>
      <w:r w:rsidRPr="00B1622A">
        <w:rPr>
          <w:color w:val="000000" w:themeColor="text1"/>
        </w:rPr>
        <w:t xml:space="preserve"> along</w:t>
      </w:r>
      <w:r w:rsidR="00DB5CB5" w:rsidRPr="00B1622A">
        <w:rPr>
          <w:color w:val="000000" w:themeColor="text1"/>
        </w:rPr>
        <w:t xml:space="preserve"> </w:t>
      </w:r>
      <w:r w:rsidR="33A4A82C" w:rsidRPr="00B1622A">
        <w:rPr>
          <w:color w:val="000000" w:themeColor="text1"/>
        </w:rPr>
        <w:t xml:space="preserve">with </w:t>
      </w:r>
      <w:r w:rsidRPr="00B1622A">
        <w:rPr>
          <w:color w:val="000000" w:themeColor="text1"/>
        </w:rPr>
        <w:t>academic tiering</w:t>
      </w:r>
      <w:r w:rsidR="00DB5CB5" w:rsidRPr="00B1622A">
        <w:rPr>
          <w:color w:val="000000" w:themeColor="text1"/>
        </w:rPr>
        <w:t>,</w:t>
      </w:r>
      <w:r w:rsidRPr="00B1622A">
        <w:rPr>
          <w:color w:val="000000" w:themeColor="text1"/>
        </w:rPr>
        <w:t xml:space="preserve"> represents a strength of the</w:t>
      </w:r>
      <w:r w:rsidR="558F4A67" w:rsidRPr="00B1622A">
        <w:rPr>
          <w:color w:val="000000" w:themeColor="text1"/>
        </w:rPr>
        <w:t xml:space="preserve"> district.</w:t>
      </w:r>
      <w:r w:rsidRPr="00B1622A">
        <w:rPr>
          <w:color w:val="000000" w:themeColor="text1"/>
        </w:rPr>
        <w:t xml:space="preserve"> </w:t>
      </w:r>
    </w:p>
    <w:p w14:paraId="2E628B3F" w14:textId="76932A4F" w:rsidR="00AA1464" w:rsidRPr="001B7635" w:rsidRDefault="00AA1464" w:rsidP="2D019F4B">
      <w:pPr>
        <w:pStyle w:val="BodyText"/>
      </w:pPr>
      <w:r>
        <w:t>School and district leaders indicated that Brockton is actively implementing MTSS practices, particularly for behavioral, social-emotional, and attendance-related supports. However, school</w:t>
      </w:r>
      <w:r>
        <w:noBreakHyphen/>
        <w:t xml:space="preserve">based staff reported variation in implementation </w:t>
      </w:r>
      <w:r w:rsidR="0050479A">
        <w:t xml:space="preserve">and </w:t>
      </w:r>
      <w:r>
        <w:t>quality across schools and tiers. District leaders described the universal screener data, attendance data, and office referral data as driving identification of students for Tier 2 and Tier 3 supports</w:t>
      </w:r>
      <w:r w:rsidR="0050479A">
        <w:t>.</w:t>
      </w:r>
      <w:r>
        <w:t xml:space="preserve"> </w:t>
      </w:r>
      <w:r w:rsidR="0050479A">
        <w:t>S</w:t>
      </w:r>
      <w:r>
        <w:t xml:space="preserve">chool-based staff described implementing these supports through </w:t>
      </w:r>
      <w:r w:rsidR="0050479A">
        <w:t xml:space="preserve">SST </w:t>
      </w:r>
      <w:r>
        <w:t>meetings, check-in/check-out systems, mentoring, counseling referrals, and coordination with community partners.</w:t>
      </w:r>
    </w:p>
    <w:p w14:paraId="28725571" w14:textId="00F2B65D" w:rsidR="005F7A41" w:rsidRPr="00B1622A" w:rsidRDefault="00AA1464" w:rsidP="00C50C7C">
      <w:pPr>
        <w:pStyle w:val="BodyText"/>
        <w:rPr>
          <w:color w:val="000000" w:themeColor="text1"/>
        </w:rPr>
      </w:pPr>
      <w:r w:rsidRPr="001B7635">
        <w:t xml:space="preserve">However, school-based </w:t>
      </w:r>
      <w:r w:rsidR="00CF3804">
        <w:t>SST</w:t>
      </w:r>
      <w:r w:rsidRPr="001B7635">
        <w:t xml:space="preserve"> members identified significant variation in MTSS implementation across schools. At the high school level, </w:t>
      </w:r>
      <w:r>
        <w:t>some</w:t>
      </w:r>
      <w:r w:rsidRPr="001B7635">
        <w:t xml:space="preserve"> </w:t>
      </w:r>
      <w:r>
        <w:t>focus group participants</w:t>
      </w:r>
      <w:r w:rsidRPr="001B7635">
        <w:t xml:space="preserve"> reported the absence of a functioning Tier 1 </w:t>
      </w:r>
      <w:r w:rsidR="00CF3804" w:rsidRPr="190DD215">
        <w:t xml:space="preserve">social-emotional </w:t>
      </w:r>
      <w:r w:rsidR="00CF3804">
        <w:t>learning/</w:t>
      </w:r>
      <w:r w:rsidRPr="001B7635">
        <w:t>behavioral support structure, noting that behavioral expectations are communicated to students but not explicitly taught.</w:t>
      </w:r>
      <w:r>
        <w:t xml:space="preserve"> For example, a high school staff member stated, “</w:t>
      </w:r>
      <w:r w:rsidRPr="00AE5BD0">
        <w:t xml:space="preserve">We don’t have any functioning MTSS system here, to my understanding. We do not do any broad Tier 1 social-emotional </w:t>
      </w:r>
      <w:r w:rsidRPr="00CF3804">
        <w:t>instruction</w:t>
      </w:r>
      <w:r w:rsidR="00CF3804" w:rsidRPr="00CF3804">
        <w:t>. . .</w:t>
      </w:r>
      <w:r w:rsidR="00CF3804">
        <w:t> </w:t>
      </w:r>
      <w:r>
        <w:t>w</w:t>
      </w:r>
      <w:r w:rsidRPr="00AE5BD0">
        <w:t>e don’t do behavioral instruction. We have lots of expectations, but we do not do a lot of instruction in those areas.”</w:t>
      </w:r>
      <w:r>
        <w:t xml:space="preserve"> </w:t>
      </w:r>
      <w:r w:rsidRPr="001B7635">
        <w:t>Regarding Tier 2 behavioral supports, staff described inconsistenc</w:t>
      </w:r>
      <w:r>
        <w:t>ies across schools</w:t>
      </w:r>
      <w:r w:rsidRPr="001B7635">
        <w:t xml:space="preserve">, with some middle schools having access to a shared behavioral interventionist while others rely entirely on school adjustment counselors who are already managing large caseloads. A previous check-in/check-out system had been supported by the </w:t>
      </w:r>
      <w:r>
        <w:t>schoolwide information system (</w:t>
      </w:r>
      <w:r w:rsidRPr="001B7635">
        <w:t>SWIS</w:t>
      </w:r>
      <w:r>
        <w:t>)</w:t>
      </w:r>
      <w:r w:rsidRPr="001B7635">
        <w:t xml:space="preserve"> data platform, but the transition away from PBIS resulted in the loss of SWIS</w:t>
      </w:r>
      <w:r w:rsidR="007D07EA">
        <w:t>;</w:t>
      </w:r>
      <w:r w:rsidRPr="001B7635">
        <w:t xml:space="preserve"> training on its replacement</w:t>
      </w:r>
      <w:r w:rsidR="007D07EA">
        <w:t>,</w:t>
      </w:r>
      <w:r w:rsidRPr="001B7635">
        <w:t xml:space="preserve"> Infinite Campus</w:t>
      </w:r>
      <w:r w:rsidR="007D07EA">
        <w:t>,</w:t>
      </w:r>
      <w:r w:rsidRPr="001B7635">
        <w:t xml:space="preserve"> has not been sufficient for all schools to implement data collection with fidelity</w:t>
      </w:r>
      <w:r>
        <w:t>, according to school-based student support staff</w:t>
      </w:r>
      <w:r w:rsidRPr="001B7635">
        <w:t xml:space="preserve">. Progress monitoring for students receiving behavioral and social-emotional supports was identified by multiple staff members as inconsistent and, at some schools, not occurring in any structured way. </w:t>
      </w:r>
      <w:r w:rsidRPr="00B1622A">
        <w:rPr>
          <w:color w:val="000000" w:themeColor="text1"/>
        </w:rPr>
        <w:t>Ensuring consistent implementation of MTSS practices, particularly for Tier 2 and Tier 3 social</w:t>
      </w:r>
      <w:r w:rsidR="00C50C7C" w:rsidRPr="00B1622A">
        <w:rPr>
          <w:color w:val="000000" w:themeColor="text1"/>
        </w:rPr>
        <w:noBreakHyphen/>
      </w:r>
      <w:r w:rsidRPr="00B1622A">
        <w:rPr>
          <w:color w:val="000000" w:themeColor="text1"/>
        </w:rPr>
        <w:t>emotional and behavioral supports</w:t>
      </w:r>
      <w:r w:rsidR="00BE0373" w:rsidRPr="00B1622A">
        <w:rPr>
          <w:color w:val="000000" w:themeColor="text1"/>
        </w:rPr>
        <w:t>,</w:t>
      </w:r>
      <w:r w:rsidRPr="00B1622A">
        <w:rPr>
          <w:color w:val="000000" w:themeColor="text1"/>
        </w:rPr>
        <w:t xml:space="preserve"> and establishing systematic progress monitoring protocols for students receiving these supports, are areas for growth for the district.</w:t>
      </w:r>
    </w:p>
    <w:p w14:paraId="6F5D797E" w14:textId="57815B8B" w:rsidR="002B4CEF" w:rsidRDefault="002B4CEF" w:rsidP="00C50C7C">
      <w:pPr>
        <w:pStyle w:val="Heading3"/>
      </w:pPr>
      <w:r w:rsidRPr="00C50C7C">
        <w:t>Recommendations</w:t>
      </w:r>
    </w:p>
    <w:p w14:paraId="1ED08D93" w14:textId="77777777" w:rsidR="002B3823" w:rsidRDefault="002B3823" w:rsidP="004E4637">
      <w:pPr>
        <w:pStyle w:val="Bullet1"/>
        <w:rPr>
          <w:i/>
          <w:iCs/>
        </w:rPr>
      </w:pPr>
      <w:r w:rsidRPr="002B3823">
        <w:rPr>
          <w:i/>
          <w:iCs/>
        </w:rPr>
        <w:t>The district should continue its efforts to increase opportunities for student leadership and voice by addressing behavior management challenges and classroom conditions that limit students' ability to take on leadership roles and engage meaningfully in learning.</w:t>
      </w:r>
    </w:p>
    <w:p w14:paraId="0CF1E23F" w14:textId="7FD4B92A" w:rsidR="004E4637" w:rsidRPr="006E22C3" w:rsidRDefault="00E268C5" w:rsidP="004E4637">
      <w:pPr>
        <w:pStyle w:val="Bullet1"/>
        <w:rPr>
          <w:i/>
        </w:rPr>
      </w:pPr>
      <w:r w:rsidRPr="006E22C3">
        <w:rPr>
          <w:i/>
        </w:rPr>
        <w:t xml:space="preserve">The district </w:t>
      </w:r>
      <w:r w:rsidR="004E4637" w:rsidRPr="006E22C3">
        <w:rPr>
          <w:i/>
        </w:rPr>
        <w:t>should establish</w:t>
      </w:r>
      <w:r w:rsidR="00AA7B62" w:rsidRPr="006E22C3">
        <w:rPr>
          <w:i/>
        </w:rPr>
        <w:t xml:space="preserve"> a system for reviewing and evaluating the reach and impact of its community partnerships and wraparound supports, and address access and co</w:t>
      </w:r>
      <w:r w:rsidR="004E4637" w:rsidRPr="006E22C3">
        <w:rPr>
          <w:i/>
        </w:rPr>
        <w:t>ordination gaps wherever they arise.</w:t>
      </w:r>
    </w:p>
    <w:p w14:paraId="535FCBD9" w14:textId="179E2799" w:rsidR="00C23F2A" w:rsidRPr="006E22C3" w:rsidRDefault="00373EAE" w:rsidP="00F96EA8">
      <w:pPr>
        <w:pStyle w:val="Bullet1"/>
        <w:rPr>
          <w:i/>
        </w:rPr>
      </w:pPr>
      <w:r w:rsidRPr="006E22C3">
        <w:rPr>
          <w:i/>
        </w:rPr>
        <w:t xml:space="preserve">The district should </w:t>
      </w:r>
      <w:r w:rsidR="007A1AE0" w:rsidRPr="006E22C3">
        <w:rPr>
          <w:i/>
        </w:rPr>
        <w:t xml:space="preserve">establish and communicate clear </w:t>
      </w:r>
      <w:r w:rsidR="00E967E9" w:rsidRPr="006E22C3">
        <w:rPr>
          <w:i/>
        </w:rPr>
        <w:t>districtwide</w:t>
      </w:r>
      <w:r w:rsidR="007A1AE0" w:rsidRPr="006E22C3">
        <w:rPr>
          <w:i/>
        </w:rPr>
        <w:t xml:space="preserve"> expectations for </w:t>
      </w:r>
      <w:r w:rsidR="00E967E9" w:rsidRPr="006E22C3">
        <w:rPr>
          <w:i/>
        </w:rPr>
        <w:t xml:space="preserve">MTSS </w:t>
      </w:r>
      <w:r w:rsidR="00F549A6" w:rsidRPr="006E22C3">
        <w:rPr>
          <w:i/>
        </w:rPr>
        <w:t xml:space="preserve">implementation, with a particular focus on implementing tier 2 and 3 social-emotional and behavioral supports. </w:t>
      </w:r>
    </w:p>
    <w:p w14:paraId="4623BD89" w14:textId="77777777" w:rsidR="006E22C3" w:rsidRDefault="006E22C3" w:rsidP="006E22C3">
      <w:pPr>
        <w:pStyle w:val="Bullet1"/>
        <w:numPr>
          <w:ilvl w:val="0"/>
          <w:numId w:val="0"/>
        </w:numPr>
        <w:ind w:left="720" w:hanging="360"/>
      </w:pPr>
    </w:p>
    <w:p w14:paraId="2075BC88" w14:textId="08CD46DA" w:rsidR="00C50C7C" w:rsidRDefault="000604FE" w:rsidP="006E22C3">
      <w:pPr>
        <w:pStyle w:val="Bullet1"/>
        <w:numPr>
          <w:ilvl w:val="0"/>
          <w:numId w:val="0"/>
        </w:numPr>
        <w:ind w:left="360" w:hanging="360"/>
      </w:pPr>
      <w:r w:rsidRPr="00570C12">
        <w:t>For r</w:t>
      </w:r>
      <w:r>
        <w:t xml:space="preserve">elated </w:t>
      </w:r>
      <w:r w:rsidRPr="00C50C7C">
        <w:t>resources</w:t>
      </w:r>
      <w:r>
        <w:t xml:space="preserve">, </w:t>
      </w:r>
      <w:r w:rsidRPr="00570C12">
        <w:t xml:space="preserve">see </w:t>
      </w:r>
      <w:r w:rsidRPr="00145EF1">
        <w:t>Appendix C</w:t>
      </w:r>
      <w:r w:rsidRPr="00570C12">
        <w:t>.</w:t>
      </w:r>
      <w:r w:rsidR="00C50C7C">
        <w:br w:type="page"/>
      </w:r>
    </w:p>
    <w:p w14:paraId="4A6A5268" w14:textId="77777777" w:rsidR="008D6102" w:rsidRPr="00CB0607" w:rsidRDefault="008D6102" w:rsidP="00C50C7C">
      <w:pPr>
        <w:pStyle w:val="Heading2"/>
      </w:pPr>
      <w:bookmarkStart w:id="69" w:name="_Financial_and_Asset"/>
      <w:bookmarkStart w:id="70" w:name="_Toc235104380"/>
      <w:bookmarkStart w:id="71" w:name="_Toc235104455"/>
      <w:bookmarkEnd w:id="69"/>
      <w:r w:rsidRPr="00CB0607">
        <w:t>Financial and Asset Management</w:t>
      </w:r>
      <w:bookmarkEnd w:id="63"/>
      <w:bookmarkEnd w:id="70"/>
      <w:bookmarkEnd w:id="71"/>
    </w:p>
    <w:p w14:paraId="188CF4B7" w14:textId="2D308006" w:rsidR="003B2ED7" w:rsidRDefault="003B2ED7" w:rsidP="00C50C7C">
      <w:pPr>
        <w:pStyle w:val="BodyTextposthead"/>
      </w:pPr>
      <w:r>
        <w:t xml:space="preserve">This section focuses on the extent to which, through its policies, systems, and procedures, the district strategically allocates and </w:t>
      </w:r>
      <w:r w:rsidR="00C31510">
        <w:t>uses</w:t>
      </w:r>
      <w:r>
        <w:t xml:space="preserve"> funding and other resources in alignment with applicable laws to improve all students’ performance</w:t>
      </w:r>
      <w:r w:rsidR="00DC233A">
        <w:t>s</w:t>
      </w:r>
      <w:r>
        <w:t>, opportunities, and outcomes. It also focuses on the ways in which the district collaborates with its partners to run daily operations, manage its assets, and develop long-term plans for sustainability.</w:t>
      </w:r>
    </w:p>
    <w:p w14:paraId="542F10D1" w14:textId="7616D3B3" w:rsidR="00494638" w:rsidRPr="00CB0607" w:rsidRDefault="00494638" w:rsidP="00C50C7C">
      <w:pPr>
        <w:pStyle w:val="BodyText"/>
      </w:pPr>
      <w:r w:rsidRPr="00CB0607">
        <w:t xml:space="preserve">Table </w:t>
      </w:r>
      <w:r w:rsidR="003B0327">
        <w:t>10</w:t>
      </w:r>
      <w:r w:rsidR="003B0327" w:rsidRPr="00CB0607">
        <w:t xml:space="preserve"> </w:t>
      </w:r>
      <w:r w:rsidRPr="00CB0607">
        <w:t>summarizes key strengths and areas for growth in financial and asset management</w:t>
      </w:r>
      <w:r w:rsidR="00250663" w:rsidRPr="00250663">
        <w:t xml:space="preserve"> </w:t>
      </w:r>
      <w:r w:rsidR="004D04B8">
        <w:t>in Brockton</w:t>
      </w:r>
      <w:r w:rsidRPr="00CB0607">
        <w:t>.</w:t>
      </w:r>
    </w:p>
    <w:p w14:paraId="127D9DF7" w14:textId="138CFE51" w:rsidR="00B827DE" w:rsidRPr="00C50C7C" w:rsidRDefault="00B827DE" w:rsidP="00C50C7C">
      <w:pPr>
        <w:pStyle w:val="TableTitle0"/>
      </w:pPr>
      <w:r w:rsidRPr="00CB0607">
        <w:t xml:space="preserve">Table </w:t>
      </w:r>
      <w:r w:rsidR="003B0327">
        <w:t>10</w:t>
      </w:r>
      <w:r w:rsidRPr="00CB0607">
        <w:t xml:space="preserve">. Summary of </w:t>
      </w:r>
      <w:r w:rsidR="00494638" w:rsidRPr="00CB0607">
        <w:t xml:space="preserve">Key Strengths </w:t>
      </w:r>
      <w:r w:rsidRPr="00CB0607">
        <w:t xml:space="preserve">and </w:t>
      </w:r>
      <w:r w:rsidR="00494638" w:rsidRPr="00CB0607">
        <w:t xml:space="preserve">Areas </w:t>
      </w:r>
      <w:r w:rsidRPr="00CB0607">
        <w:t xml:space="preserve">for </w:t>
      </w:r>
      <w:r w:rsidR="00494638" w:rsidRPr="00CB0607">
        <w:t>Growth:</w:t>
      </w:r>
      <w:r w:rsidRPr="00CB0607">
        <w:t xml:space="preserve"> Financial and Asset Management</w:t>
      </w:r>
      <w:r w:rsidR="00494638" w:rsidRPr="00CB0607">
        <w:t xml:space="preserve"> Standard</w:t>
      </w:r>
    </w:p>
    <w:tbl>
      <w:tblPr>
        <w:tblStyle w:val="MSVTable1"/>
        <w:tblW w:w="5000" w:type="pct"/>
        <w:tblLook w:val="04A0" w:firstRow="1" w:lastRow="0" w:firstColumn="1" w:lastColumn="0" w:noHBand="0" w:noVBand="1"/>
        <w:tblCaption w:val="Table 10. Summary of Key Strengths and Areas for Growth: Financial and Asset Management Standard"/>
        <w:tblDescription w:val="Summary of Key Strengths and Areas for Growth: Financial and Asset Management Standard"/>
      </w:tblPr>
      <w:tblGrid>
        <w:gridCol w:w="1972"/>
        <w:gridCol w:w="3685"/>
        <w:gridCol w:w="3687"/>
      </w:tblGrid>
      <w:tr w:rsidR="00B827DE" w:rsidRPr="00CB0607" w14:paraId="32BDE053" w14:textId="77777777" w:rsidTr="00C50C7C">
        <w:trPr>
          <w:cnfStyle w:val="100000000000" w:firstRow="1" w:lastRow="0" w:firstColumn="0" w:lastColumn="0" w:oddVBand="0" w:evenVBand="0" w:oddHBand="0" w:evenHBand="0" w:firstRowFirstColumn="0" w:firstRowLastColumn="0" w:lastRowFirstColumn="0" w:lastRowLastColumn="0"/>
          <w:tblHeader/>
        </w:trPr>
        <w:tc>
          <w:tcPr>
            <w:tcW w:w="1055" w:type="pct"/>
          </w:tcPr>
          <w:p w14:paraId="7821BEB4" w14:textId="77777777" w:rsidR="00B827DE" w:rsidRPr="00C50C7C" w:rsidRDefault="00B827DE" w:rsidP="00C50C7C">
            <w:pPr>
              <w:pStyle w:val="TableColHeadingCenter"/>
            </w:pPr>
            <w:r w:rsidRPr="00C50C7C">
              <w:t>Indicator</w:t>
            </w:r>
          </w:p>
        </w:tc>
        <w:tc>
          <w:tcPr>
            <w:tcW w:w="1972" w:type="pct"/>
          </w:tcPr>
          <w:p w14:paraId="419E0583" w14:textId="77777777" w:rsidR="00B827DE" w:rsidRPr="00C50C7C" w:rsidRDefault="00B827DE" w:rsidP="00C50C7C">
            <w:pPr>
              <w:pStyle w:val="TableColHeadingCenter"/>
            </w:pPr>
            <w:r w:rsidRPr="00C50C7C">
              <w:t>Strengths</w:t>
            </w:r>
          </w:p>
        </w:tc>
        <w:tc>
          <w:tcPr>
            <w:tcW w:w="1973" w:type="pct"/>
          </w:tcPr>
          <w:p w14:paraId="664651D2" w14:textId="0C40A2BC" w:rsidR="00B827DE" w:rsidRPr="00C50C7C" w:rsidRDefault="00B827DE" w:rsidP="00C50C7C">
            <w:pPr>
              <w:pStyle w:val="TableColHeadingCenter"/>
            </w:pPr>
            <w:r w:rsidRPr="00C50C7C">
              <w:t xml:space="preserve">Areas for </w:t>
            </w:r>
            <w:r w:rsidR="00494638" w:rsidRPr="00C50C7C">
              <w:t>growth</w:t>
            </w:r>
          </w:p>
        </w:tc>
      </w:tr>
      <w:tr w:rsidR="00B827DE" w:rsidRPr="00CB0607" w14:paraId="6A18501A" w14:textId="77777777" w:rsidTr="00C50C7C">
        <w:trPr>
          <w:cnfStyle w:val="000000100000" w:firstRow="0" w:lastRow="0" w:firstColumn="0" w:lastColumn="0" w:oddVBand="0" w:evenVBand="0" w:oddHBand="1" w:evenHBand="0" w:firstRowFirstColumn="0" w:firstRowLastColumn="0" w:lastRowFirstColumn="0" w:lastRowLastColumn="0"/>
        </w:trPr>
        <w:tc>
          <w:tcPr>
            <w:tcW w:w="1055" w:type="pct"/>
          </w:tcPr>
          <w:p w14:paraId="39538D5F" w14:textId="755DC606" w:rsidR="00B827DE" w:rsidRPr="00C50C7C" w:rsidRDefault="00B827DE" w:rsidP="00C50C7C">
            <w:pPr>
              <w:pStyle w:val="TableSubheading"/>
            </w:pPr>
            <w:hyperlink w:anchor="_Business_Office_Staffing" w:history="1">
              <w:r w:rsidRPr="00C50C7C">
                <w:rPr>
                  <w:rStyle w:val="Hyperlink"/>
                  <w:color w:val="auto"/>
                  <w:u w:val="none"/>
                </w:rPr>
                <w:t>Bu</w:t>
              </w:r>
              <w:r w:rsidR="00041E9B" w:rsidRPr="00C50C7C">
                <w:rPr>
                  <w:rStyle w:val="Hyperlink"/>
                  <w:color w:val="auto"/>
                  <w:u w:val="none"/>
                </w:rPr>
                <w:t>siness Office Staffing and Infrastructure</w:t>
              </w:r>
            </w:hyperlink>
          </w:p>
        </w:tc>
        <w:tc>
          <w:tcPr>
            <w:tcW w:w="1972" w:type="pct"/>
          </w:tcPr>
          <w:p w14:paraId="55633859" w14:textId="6BB0B3D0" w:rsidR="00B827DE" w:rsidRPr="00C50C7C" w:rsidRDefault="008C1F1B" w:rsidP="00C50C7C">
            <w:pPr>
              <w:pStyle w:val="TableBullet1"/>
            </w:pPr>
            <w:r>
              <w:t>N/A</w:t>
            </w:r>
          </w:p>
        </w:tc>
        <w:tc>
          <w:tcPr>
            <w:tcW w:w="1973" w:type="pct"/>
          </w:tcPr>
          <w:p w14:paraId="7C86D2A7" w14:textId="1C1E06AA" w:rsidR="005D1DC9" w:rsidRDefault="005D1DC9" w:rsidP="00C50C7C">
            <w:pPr>
              <w:pStyle w:val="TableBullet1"/>
            </w:pPr>
            <w:r w:rsidRPr="005D1DC9">
              <w:t>Strengthening the capacity and stability of the business office, including ensuring adequate staffing and leadership continuity across key financial function</w:t>
            </w:r>
            <w:r w:rsidR="007E1E78">
              <w:t>s</w:t>
            </w:r>
          </w:p>
          <w:p w14:paraId="716948EE" w14:textId="25F67F85" w:rsidR="006E65F4" w:rsidRDefault="006E65F4" w:rsidP="00C50C7C">
            <w:pPr>
              <w:pStyle w:val="TableBullet1"/>
            </w:pPr>
            <w:r w:rsidRPr="00E52E7E">
              <w:t>Formalizing and documenting financial policies, procedures, and internal controls to ensure consistent implementation across business office functions</w:t>
            </w:r>
          </w:p>
          <w:p w14:paraId="5A758912" w14:textId="373B1A36" w:rsidR="00B827DE" w:rsidRPr="00C50C7C" w:rsidRDefault="00552D7F" w:rsidP="00C50C7C">
            <w:pPr>
              <w:pStyle w:val="TableBullet1"/>
            </w:pPr>
            <w:r w:rsidRPr="005F0D67">
              <w:t>Instituting a formal written agreement between the city and school district detailing the process and timeline for budget coordination and their respective roles</w:t>
            </w:r>
          </w:p>
        </w:tc>
      </w:tr>
      <w:tr w:rsidR="00B827DE" w:rsidRPr="00CB0607" w14:paraId="0ADE789F" w14:textId="77777777" w:rsidTr="00C50C7C">
        <w:tc>
          <w:tcPr>
            <w:tcW w:w="1055" w:type="pct"/>
          </w:tcPr>
          <w:p w14:paraId="41C5EA1C" w14:textId="641A9906" w:rsidR="00B827DE" w:rsidRPr="00C50C7C" w:rsidRDefault="00041E9B" w:rsidP="00C50C7C">
            <w:pPr>
              <w:pStyle w:val="TableSubheading"/>
            </w:pPr>
            <w:hyperlink w:anchor="_Budgeting_and_Budget" w:history="1">
              <w:r w:rsidRPr="00C50C7C">
                <w:rPr>
                  <w:rStyle w:val="Hyperlink"/>
                  <w:color w:val="auto"/>
                  <w:u w:val="none"/>
                </w:rPr>
                <w:t>Budgeting and Budget Process</w:t>
              </w:r>
            </w:hyperlink>
          </w:p>
        </w:tc>
        <w:tc>
          <w:tcPr>
            <w:tcW w:w="1972" w:type="pct"/>
          </w:tcPr>
          <w:p w14:paraId="60B306E4" w14:textId="49361544" w:rsidR="00B827DE" w:rsidRPr="00C50C7C" w:rsidRDefault="008C1F1B" w:rsidP="00C50C7C">
            <w:pPr>
              <w:pStyle w:val="TableBullet1"/>
            </w:pPr>
            <w:r>
              <w:t xml:space="preserve">The district has striven </w:t>
            </w:r>
            <w:r w:rsidR="00552D7F" w:rsidRPr="005F0D67">
              <w:t>to institute improved systems, practices, and financial controls for budgeting</w:t>
            </w:r>
            <w:r w:rsidR="005F0D67">
              <w:t>.</w:t>
            </w:r>
          </w:p>
        </w:tc>
        <w:tc>
          <w:tcPr>
            <w:tcW w:w="1973" w:type="pct"/>
          </w:tcPr>
          <w:p w14:paraId="4F1C470C" w14:textId="4A7DC489" w:rsidR="00B827DE" w:rsidRPr="00C50C7C" w:rsidRDefault="008C1F1B" w:rsidP="00C50C7C">
            <w:pPr>
              <w:pStyle w:val="TableBullet1"/>
            </w:pPr>
            <w:r>
              <w:t>N/A</w:t>
            </w:r>
          </w:p>
        </w:tc>
      </w:tr>
      <w:tr w:rsidR="00B827DE" w:rsidRPr="00CB0607" w14:paraId="178D87DE" w14:textId="77777777" w:rsidTr="00C50C7C">
        <w:trPr>
          <w:cnfStyle w:val="000000100000" w:firstRow="0" w:lastRow="0" w:firstColumn="0" w:lastColumn="0" w:oddVBand="0" w:evenVBand="0" w:oddHBand="1" w:evenHBand="0" w:firstRowFirstColumn="0" w:firstRowLastColumn="0" w:lastRowFirstColumn="0" w:lastRowLastColumn="0"/>
        </w:trPr>
        <w:tc>
          <w:tcPr>
            <w:tcW w:w="1055" w:type="pct"/>
          </w:tcPr>
          <w:p w14:paraId="13C61666" w14:textId="0697BE85" w:rsidR="00B827DE" w:rsidRPr="00C50C7C" w:rsidRDefault="00041E9B" w:rsidP="00C50C7C">
            <w:pPr>
              <w:pStyle w:val="TableSubheading"/>
            </w:pPr>
            <w:hyperlink w:anchor="_Operations" w:history="1">
              <w:r w:rsidRPr="00C50C7C">
                <w:rPr>
                  <w:rStyle w:val="Hyperlink"/>
                  <w:color w:val="auto"/>
                  <w:u w:val="none"/>
                </w:rPr>
                <w:t>Operations</w:t>
              </w:r>
            </w:hyperlink>
          </w:p>
        </w:tc>
        <w:tc>
          <w:tcPr>
            <w:tcW w:w="1972" w:type="pct"/>
          </w:tcPr>
          <w:p w14:paraId="31560818" w14:textId="5349DDB1" w:rsidR="00B827DE" w:rsidRPr="00C50C7C" w:rsidRDefault="008C1F1B" w:rsidP="00C50C7C">
            <w:pPr>
              <w:pStyle w:val="TableBullet1"/>
            </w:pPr>
            <w:r>
              <w:t>Brockton has</w:t>
            </w:r>
            <w:r w:rsidR="00552D7F" w:rsidRPr="005F0D67">
              <w:t xml:space="preserve"> documented policy procedures and structured workflows for procurement and contract management</w:t>
            </w:r>
            <w:r w:rsidR="005F0D67">
              <w:t>.</w:t>
            </w:r>
          </w:p>
        </w:tc>
        <w:tc>
          <w:tcPr>
            <w:tcW w:w="1973" w:type="pct"/>
          </w:tcPr>
          <w:p w14:paraId="4C814DAB" w14:textId="6AFA146B" w:rsidR="00B827DE" w:rsidRPr="00C50C7C" w:rsidRDefault="008C1F1B" w:rsidP="00C50C7C">
            <w:pPr>
              <w:pStyle w:val="TableBullet1"/>
            </w:pPr>
            <w:r>
              <w:t>N/A</w:t>
            </w:r>
          </w:p>
        </w:tc>
      </w:tr>
      <w:tr w:rsidR="00B827DE" w:rsidRPr="00CB0607" w14:paraId="671ADB7B" w14:textId="77777777" w:rsidTr="00C50C7C">
        <w:tc>
          <w:tcPr>
            <w:tcW w:w="1055" w:type="pct"/>
          </w:tcPr>
          <w:p w14:paraId="2BA214F5" w14:textId="238D855A" w:rsidR="00B827DE" w:rsidRPr="00C50C7C" w:rsidRDefault="00041E9B" w:rsidP="00C50C7C">
            <w:pPr>
              <w:pStyle w:val="TableSubheading"/>
            </w:pPr>
            <w:hyperlink w:anchor="_Managing_Capital_Assets" w:history="1">
              <w:r w:rsidRPr="00C50C7C">
                <w:rPr>
                  <w:rStyle w:val="Hyperlink"/>
                  <w:color w:val="auto"/>
                  <w:u w:val="none"/>
                </w:rPr>
                <w:t>Managing C</w:t>
              </w:r>
              <w:r w:rsidR="00B827DE" w:rsidRPr="00C50C7C">
                <w:rPr>
                  <w:rStyle w:val="Hyperlink"/>
                  <w:color w:val="auto"/>
                  <w:u w:val="none"/>
                </w:rPr>
                <w:t xml:space="preserve">apital </w:t>
              </w:r>
              <w:r w:rsidRPr="00C50C7C">
                <w:rPr>
                  <w:rStyle w:val="Hyperlink"/>
                  <w:color w:val="auto"/>
                  <w:u w:val="none"/>
                </w:rPr>
                <w:t>Assets and Capital P</w:t>
              </w:r>
              <w:r w:rsidR="00B827DE" w:rsidRPr="00C50C7C">
                <w:rPr>
                  <w:rStyle w:val="Hyperlink"/>
                  <w:color w:val="auto"/>
                  <w:u w:val="none"/>
                </w:rPr>
                <w:t>lanning</w:t>
              </w:r>
            </w:hyperlink>
          </w:p>
        </w:tc>
        <w:tc>
          <w:tcPr>
            <w:tcW w:w="1972" w:type="pct"/>
          </w:tcPr>
          <w:p w14:paraId="040AD585" w14:textId="2660697D" w:rsidR="00B827DE" w:rsidRPr="00C50C7C" w:rsidRDefault="008C1F1B" w:rsidP="00C50C7C">
            <w:pPr>
              <w:pStyle w:val="TableBullet1"/>
            </w:pPr>
            <w:r>
              <w:t>N/A</w:t>
            </w:r>
          </w:p>
        </w:tc>
        <w:tc>
          <w:tcPr>
            <w:tcW w:w="1973" w:type="pct"/>
          </w:tcPr>
          <w:p w14:paraId="2EAE12FA" w14:textId="2AE40F61" w:rsidR="00B827DE" w:rsidRPr="00C50C7C" w:rsidRDefault="007E1E78" w:rsidP="00C50C7C">
            <w:pPr>
              <w:pStyle w:val="TableBullet1"/>
            </w:pPr>
            <w:r>
              <w:t>Lacking</w:t>
            </w:r>
            <w:r w:rsidRPr="007E1E78">
              <w:t xml:space="preserve"> a district-managed asset tracking system </w:t>
            </w:r>
          </w:p>
        </w:tc>
      </w:tr>
    </w:tbl>
    <w:p w14:paraId="0C62F5A6" w14:textId="4945FE1A" w:rsidR="00B827DE" w:rsidRDefault="00041E9B" w:rsidP="00C50C7C">
      <w:pPr>
        <w:pStyle w:val="Heading3"/>
      </w:pPr>
      <w:bookmarkStart w:id="72" w:name="_Budget_Documentation_and"/>
      <w:bookmarkStart w:id="73" w:name="_Business_Office_Staffing"/>
      <w:bookmarkEnd w:id="72"/>
      <w:bookmarkEnd w:id="73"/>
      <w:r>
        <w:t xml:space="preserve">Business Office Staffing </w:t>
      </w:r>
      <w:r w:rsidRPr="00C50C7C">
        <w:t>and</w:t>
      </w:r>
      <w:r>
        <w:t xml:space="preserve"> Infrastructure</w:t>
      </w:r>
    </w:p>
    <w:p w14:paraId="3E0EFDC6" w14:textId="3B1EA187" w:rsidR="00E405E1" w:rsidRDefault="7658B44A" w:rsidP="00C50C7C">
      <w:pPr>
        <w:pStyle w:val="BodyTextposthead"/>
      </w:pPr>
      <w:r>
        <w:t>Brockton</w:t>
      </w:r>
      <w:r w:rsidR="00E12B36">
        <w:t>’</w:t>
      </w:r>
      <w:r>
        <w:t>s business office is organized around a team-based model that covers core financial functions</w:t>
      </w:r>
      <w:r w:rsidR="00E12B36">
        <w:t>,</w:t>
      </w:r>
      <w:r>
        <w:t xml:space="preserve"> including budget development and monitoring, accounts payable, procurement and contract management, grants administration, and financial analysis. </w:t>
      </w:r>
      <w:r w:rsidR="1997AE02" w:rsidRPr="2D019F4B">
        <w:rPr>
          <w:rFonts w:eastAsiaTheme="minorEastAsia"/>
        </w:rPr>
        <w:t>The district’s finance team consists of a chief financial officer, a budget director, financial analysts, and supporting staff across accounts payable, payroll, grants management, procurement, and administrative functions</w:t>
      </w:r>
      <w:r w:rsidR="00E12B36" w:rsidRPr="2D019F4B">
        <w:rPr>
          <w:rFonts w:eastAsiaTheme="minorEastAsia"/>
        </w:rPr>
        <w:t xml:space="preserve">. </w:t>
      </w:r>
      <w:r w:rsidR="008A4B9E">
        <w:rPr>
          <w:rFonts w:eastAsiaTheme="minorEastAsia"/>
        </w:rPr>
        <w:t>At the time of the review, the chief financial officer was unavailable</w:t>
      </w:r>
      <w:r w:rsidR="00C200BF">
        <w:rPr>
          <w:rFonts w:eastAsiaTheme="minorEastAsia"/>
        </w:rPr>
        <w:t xml:space="preserve">; soon after the </w:t>
      </w:r>
      <w:r w:rsidR="00D63E11">
        <w:rPr>
          <w:rFonts w:eastAsiaTheme="minorEastAsia"/>
        </w:rPr>
        <w:t>visit</w:t>
      </w:r>
      <w:r w:rsidR="00C200BF">
        <w:rPr>
          <w:rFonts w:eastAsiaTheme="minorEastAsia"/>
        </w:rPr>
        <w:t xml:space="preserve">, the </w:t>
      </w:r>
      <w:r w:rsidR="00C95E1E">
        <w:rPr>
          <w:rFonts w:eastAsiaTheme="minorEastAsia"/>
        </w:rPr>
        <w:t xml:space="preserve">chief financial officer </w:t>
      </w:r>
      <w:r w:rsidR="00CC587C">
        <w:rPr>
          <w:rFonts w:eastAsiaTheme="minorEastAsia"/>
        </w:rPr>
        <w:t xml:space="preserve">left the district. </w:t>
      </w:r>
      <w:r w:rsidR="00E12B36" w:rsidRPr="2D019F4B">
        <w:rPr>
          <w:rFonts w:eastAsiaTheme="minorEastAsia"/>
        </w:rPr>
        <w:t xml:space="preserve">The team is </w:t>
      </w:r>
      <w:r w:rsidR="1997AE02" w:rsidRPr="2D019F4B">
        <w:rPr>
          <w:rFonts w:eastAsiaTheme="minorEastAsia"/>
        </w:rPr>
        <w:t>collectively responsible for budgeting, compliance, financial reporting, and contract management.</w:t>
      </w:r>
    </w:p>
    <w:p w14:paraId="5C0F3E79" w14:textId="7970B73B" w:rsidR="056F7C5F" w:rsidRDefault="2655D1D7" w:rsidP="00C50C7C">
      <w:pPr>
        <w:pStyle w:val="BodyText"/>
      </w:pPr>
      <w:r w:rsidRPr="190DD215">
        <w:t xml:space="preserve">The school committee </w:t>
      </w:r>
      <w:r w:rsidR="04CAC1C7" w:rsidRPr="190DD215">
        <w:t xml:space="preserve">provides oversight </w:t>
      </w:r>
      <w:r w:rsidR="00C11B3E">
        <w:t>of</w:t>
      </w:r>
      <w:r w:rsidR="004C1348" w:rsidRPr="190DD215">
        <w:t xml:space="preserve"> </w:t>
      </w:r>
      <w:r w:rsidR="04CAC1C7" w:rsidRPr="190DD215">
        <w:t>district finances. The school committee</w:t>
      </w:r>
      <w:r w:rsidR="004C1348">
        <w:t>’</w:t>
      </w:r>
      <w:r w:rsidR="04CAC1C7" w:rsidRPr="190DD215">
        <w:t xml:space="preserve">s </w:t>
      </w:r>
      <w:r w:rsidRPr="190DD215">
        <w:t xml:space="preserve">page on the district’s website includes an online policy manual that provides high-level guidance on fiscal management, including </w:t>
      </w:r>
      <w:r w:rsidR="004C1348">
        <w:t xml:space="preserve">on </w:t>
      </w:r>
      <w:r w:rsidRPr="190DD215">
        <w:t>the annual budget, budget planning, and fiscal accounting and reporting</w:t>
      </w:r>
      <w:r w:rsidR="06659527" w:rsidRPr="190DD215">
        <w:t>.</w:t>
      </w:r>
    </w:p>
    <w:p w14:paraId="4A9023C2" w14:textId="57B40E28" w:rsidR="59CEA5F7" w:rsidRPr="00EE24ED" w:rsidRDefault="06659527" w:rsidP="00C50C7C">
      <w:pPr>
        <w:pStyle w:val="BodyText"/>
        <w:rPr>
          <w:rFonts w:ascii="Franklin Gothic Book" w:eastAsia="Franklin Gothic Book" w:hAnsi="Franklin Gothic Book" w:cs="Franklin Gothic Book"/>
        </w:rPr>
      </w:pPr>
      <w:r w:rsidRPr="190DD215">
        <w:t>According to participants in the finance team focus group, the district has developed a set of increasingly formalized finance policies and procedures</w:t>
      </w:r>
      <w:r w:rsidR="004C1348">
        <w:t xml:space="preserve"> that</w:t>
      </w:r>
      <w:r w:rsidRPr="190DD215">
        <w:t xml:space="preserve"> govern budgeting, procurement, contract management, grant administration, and financial monitoring</w:t>
      </w:r>
      <w:r w:rsidR="00701E0E">
        <w:t>;</w:t>
      </w:r>
      <w:r w:rsidR="00701E0E" w:rsidRPr="190DD215">
        <w:t xml:space="preserve"> </w:t>
      </w:r>
      <w:r w:rsidRPr="190DD215">
        <w:t xml:space="preserve">many of </w:t>
      </w:r>
      <w:r w:rsidR="00701E0E">
        <w:t xml:space="preserve">these </w:t>
      </w:r>
      <w:r w:rsidRPr="190DD215">
        <w:t>have been strengthened in response to prior audit findings. Budget development is guided by standardized practices that emphasize the use of historical expenditure data and detailed financial reporting to inform decision</w:t>
      </w:r>
      <w:r w:rsidR="00701E0E">
        <w:t xml:space="preserve"> </w:t>
      </w:r>
      <w:r w:rsidRPr="190DD215">
        <w:t xml:space="preserve">making. Procurement and contracting are governed by a structured contract and routing process </w:t>
      </w:r>
      <w:r w:rsidR="00701E0E">
        <w:t xml:space="preserve">that </w:t>
      </w:r>
      <w:r w:rsidRPr="190DD215">
        <w:t>requir</w:t>
      </w:r>
      <w:r w:rsidR="00701E0E">
        <w:t>es</w:t>
      </w:r>
      <w:r w:rsidRPr="190DD215">
        <w:t xml:space="preserve"> documentation</w:t>
      </w:r>
      <w:r w:rsidR="3ED1099B" w:rsidRPr="190DD215">
        <w:t xml:space="preserve"> (detailed below)</w:t>
      </w:r>
      <w:r w:rsidRPr="190DD215">
        <w:t>, compliance checks, and multiple levels of approval, internal guidance</w:t>
      </w:r>
      <w:r w:rsidR="00537580">
        <w:t>,</w:t>
      </w:r>
      <w:r w:rsidRPr="190DD215">
        <w:t xml:space="preserve"> and emerging automation tools. Contract management procedures include tracking agreements through approval stages, ensuring funds are fully encumbered, and maintaining documentation for compliance purposes.</w:t>
      </w:r>
    </w:p>
    <w:p w14:paraId="5CED0139" w14:textId="3C37B3C7" w:rsidR="00E405E1" w:rsidRPr="0059720F" w:rsidRDefault="3D966600" w:rsidP="00C50C7C">
      <w:pPr>
        <w:pStyle w:val="BodyText"/>
      </w:pPr>
      <w:r>
        <w:t xml:space="preserve">Finance leaders described the department’s current structure as </w:t>
      </w:r>
      <w:r w:rsidR="65CDC456">
        <w:t xml:space="preserve">effective in </w:t>
      </w:r>
      <w:r>
        <w:t>support</w:t>
      </w:r>
      <w:r w:rsidR="3364E889">
        <w:t>ing</w:t>
      </w:r>
      <w:r>
        <w:t xml:space="preserve"> the business office’s broad day-to-day responsibilities, including budget monitoring, compliance, grants management, procurement, and contracting. According to the finance and operations focus group, the office uses detailed budget tools, including a multi-tab spreadsheet tracking historical spending, year-to-date actuals, encumbrances, remaining balances, and payroll by warrant number</w:t>
      </w:r>
      <w:r w:rsidR="00D7547C">
        <w:t>.</w:t>
      </w:r>
      <w:r>
        <w:t xml:space="preserve"> </w:t>
      </w:r>
      <w:r w:rsidR="00D7547C">
        <w:t>B</w:t>
      </w:r>
      <w:r>
        <w:t>udget reports</w:t>
      </w:r>
      <w:r w:rsidR="00D7547C">
        <w:t xml:space="preserve"> are regularly distributed</w:t>
      </w:r>
      <w:r>
        <w:t xml:space="preserve"> to department</w:t>
      </w:r>
      <w:r w:rsidR="00D7547C">
        <w:t xml:space="preserve"> </w:t>
      </w:r>
      <w:r w:rsidR="00DC0F8A">
        <w:t>heads</w:t>
      </w:r>
      <w:r>
        <w:t xml:space="preserve"> and senior leadership to support oversight and reduce budget surprises. Staff also described routine team meetings </w:t>
      </w:r>
      <w:r w:rsidR="0067023E">
        <w:t xml:space="preserve">that are </w:t>
      </w:r>
      <w:r>
        <w:t>an important mechanism for coordinating work across multiple roles</w:t>
      </w:r>
      <w:r w:rsidR="00DC0F8A">
        <w:t xml:space="preserve">. This </w:t>
      </w:r>
      <w:r>
        <w:t>illustrat</w:t>
      </w:r>
      <w:r w:rsidR="00DC0F8A">
        <w:t>es</w:t>
      </w:r>
      <w:r>
        <w:t xml:space="preserve"> how the </w:t>
      </w:r>
      <w:r w:rsidR="006F3FFC">
        <w:t>business</w:t>
      </w:r>
      <w:r w:rsidR="0067023E">
        <w:t xml:space="preserve"> </w:t>
      </w:r>
      <w:r>
        <w:t>office manages both the scope and complexity of its responsibilities in a district of Brockton’s size.</w:t>
      </w:r>
    </w:p>
    <w:p w14:paraId="18B5CD23" w14:textId="6761FA98" w:rsidR="0060303D" w:rsidRDefault="280993A4" w:rsidP="2D019F4B">
      <w:pPr>
        <w:pStyle w:val="BodyText"/>
      </w:pPr>
      <w:r>
        <w:t>The finance and operations focus group identified a persistent staffing gap in the procurement manager position, noting that the district has been unable to fill this role and has relied on interim support from a retired procurement professional from another municipality. Given that the district’s procurement and contract workflow involves multiple compliance reviews, coordination with city offices including the solicitor, and complex documentation requirements, this vacancy represents a meaningful capacity constraint for the business office.</w:t>
      </w:r>
      <w:r w:rsidR="004B4006">
        <w:t xml:space="preserve"> </w:t>
      </w:r>
      <w:r w:rsidR="001525CE" w:rsidRPr="001525CE">
        <w:t>Strengthening the capacity and stability of the business office, including ensuring adequate staffing and leadership continuity across key financial functions, is an area for growth for the district</w:t>
      </w:r>
      <w:r w:rsidR="00AC65AE">
        <w:t>.</w:t>
      </w:r>
    </w:p>
    <w:p w14:paraId="1250BB44" w14:textId="7926CEDB" w:rsidR="00E405E1" w:rsidRPr="0059720F" w:rsidRDefault="1F4607DB" w:rsidP="00C50C7C">
      <w:pPr>
        <w:pStyle w:val="BodyText"/>
      </w:pPr>
      <w:r>
        <w:t>When asked about written policies and procedures used by the finance department, the finance team described established procedures and internal controls for procurement, contracts, invoice processing, warrant review, and recordkeeping, but did not reference a single comprehensive written policies-and-procedures manual. Team members reported that records are maintained in MUNIS with supporting documentation scanned and uploaded, and that they have implemented a more structured digital warrant</w:t>
      </w:r>
      <w:r w:rsidR="00EE5380">
        <w:t xml:space="preserve"> </w:t>
      </w:r>
      <w:r>
        <w:t xml:space="preserve">review process to strengthen oversight and compliance. </w:t>
      </w:r>
      <w:r w:rsidR="02362135">
        <w:t>Brockton uses MUNIS as its enterprise financial management system to monitor and control district resources, consistent with the Uniform Massachusetts Accounting System (UMAS). Finance leaders in the finance and operations focus group described downloading department-level data from MUNIS, including fiscal year-to-date actuals and encumbrances, and using those extracts to build increasingly granular budget monitoring tools for school and division leaders. This includes transitioning from broad catch-all accounting categories to more discrete lines organized by school and position, which improves the transparency and usefulness of budget reporting.</w:t>
      </w:r>
      <w:r w:rsidR="00E52E7E">
        <w:t xml:space="preserve"> </w:t>
      </w:r>
      <w:r w:rsidR="00E52E7E" w:rsidRPr="00E52E7E">
        <w:t>Formalizing and documenting financial policies, procedures, and internal controls to ensure consistent implementation across business office functions</w:t>
      </w:r>
      <w:r w:rsidR="00E52E7E">
        <w:t xml:space="preserve"> is an area </w:t>
      </w:r>
      <w:r w:rsidR="007500EE">
        <w:t xml:space="preserve">for growth in the district. </w:t>
      </w:r>
    </w:p>
    <w:p w14:paraId="3E2CC82A" w14:textId="64F10612" w:rsidR="00E405E1" w:rsidRPr="0059720F" w:rsidRDefault="00E405E1" w:rsidP="00C50C7C">
      <w:pPr>
        <w:pStyle w:val="BodyText"/>
      </w:pPr>
      <w:r w:rsidRPr="03A6276F">
        <w:t>The district also uses MUNIS for purchase order</w:t>
      </w:r>
      <w:r w:rsidR="006F3FFC">
        <w:t>s</w:t>
      </w:r>
      <w:r w:rsidRPr="03A6276F">
        <w:t xml:space="preserve"> and procurement processing, </w:t>
      </w:r>
      <w:r w:rsidR="00D24288">
        <w:t>al</w:t>
      </w:r>
      <w:r w:rsidRPr="03A6276F">
        <w:t>though finance staff noted that contract management occurs partly outside of MUNIS and involves scanning and uploading supporting documentation, such as quotes and vendor memos, into the system to support payment processing and documentation. The business office sends periodic budget reports to department heads showing budgeted amounts alongside actual spending, encumbrances, and remaining balances</w:t>
      </w:r>
      <w:r w:rsidR="006F3FFC">
        <w:t>. T</w:t>
      </w:r>
      <w:r w:rsidRPr="03A6276F">
        <w:t>he district is moving toward monthly reporting. Finance leaders indicated that department heads are expected to review open purchase orders to adjust encumbrances and update forward projections.</w:t>
      </w:r>
    </w:p>
    <w:p w14:paraId="5707D065" w14:textId="6DFFCDA8" w:rsidR="00E405E1" w:rsidRPr="0059720F" w:rsidRDefault="2684A90B" w:rsidP="00C50C7C">
      <w:pPr>
        <w:pStyle w:val="BodyText"/>
      </w:pPr>
      <w:r w:rsidRPr="342D1620">
        <w:t>According to district leaders, t</w:t>
      </w:r>
      <w:r w:rsidR="00E405E1" w:rsidRPr="342D1620">
        <w:t xml:space="preserve">he district provides budget transparency to the school committee and the public through several mechanisms. As described </w:t>
      </w:r>
      <w:r w:rsidR="72280DB6" w:rsidRPr="342D1620">
        <w:t>b</w:t>
      </w:r>
      <w:r w:rsidR="005146DF" w:rsidRPr="342D1620">
        <w:t>y district leaders</w:t>
      </w:r>
      <w:r w:rsidR="00E405E1" w:rsidRPr="342D1620">
        <w:t>, the school committee has access to warrants and supporting documentation, and budget questions are channeled through an accounts subcommittee</w:t>
      </w:r>
      <w:r w:rsidR="00F114E3">
        <w:t>, which has</w:t>
      </w:r>
      <w:r w:rsidR="00E405E1" w:rsidRPr="342D1620" w:rsidDel="00F114E3">
        <w:t xml:space="preserve"> </w:t>
      </w:r>
      <w:r w:rsidR="00E405E1" w:rsidRPr="342D1620">
        <w:t xml:space="preserve">a process for submitting questions on warrant items. Finance leaders also referenced posting year-to-date budget reports online and maintaining </w:t>
      </w:r>
      <w:r w:rsidR="00324C91">
        <w:t>O</w:t>
      </w:r>
      <w:r w:rsidR="00E405E1" w:rsidRPr="342D1620">
        <w:t xml:space="preserve">pen </w:t>
      </w:r>
      <w:r w:rsidR="00324C91">
        <w:t>C</w:t>
      </w:r>
      <w:r w:rsidR="00E405E1" w:rsidRPr="342D1620">
        <w:t>heckbook for public access.</w:t>
      </w:r>
    </w:p>
    <w:p w14:paraId="5A107012" w14:textId="552B11F1" w:rsidR="00E405E1" w:rsidRPr="0059720F" w:rsidRDefault="006E6D47" w:rsidP="00C50C7C">
      <w:pPr>
        <w:pStyle w:val="BodyText"/>
      </w:pPr>
      <w:r>
        <w:t>District staff that focus on the finances of the district</w:t>
      </w:r>
      <w:r w:rsidR="00E405E1">
        <w:t xml:space="preserve"> and </w:t>
      </w:r>
      <w:r w:rsidR="00F114E3">
        <w:t>S</w:t>
      </w:r>
      <w:r w:rsidR="00E405E1">
        <w:t xml:space="preserve">uperintendent </w:t>
      </w:r>
      <w:r w:rsidR="00F114E3">
        <w:t xml:space="preserve">Tahiliani </w:t>
      </w:r>
      <w:r w:rsidR="00E405E1">
        <w:t xml:space="preserve">both </w:t>
      </w:r>
      <w:r w:rsidR="5E4D70A1">
        <w:t xml:space="preserve">attributed </w:t>
      </w:r>
      <w:r w:rsidR="00E405E1">
        <w:t>improvements in the district</w:t>
      </w:r>
      <w:r w:rsidR="00F114E3">
        <w:t>’</w:t>
      </w:r>
      <w:r w:rsidR="00E405E1">
        <w:t xml:space="preserve">s financial management practices to external scrutiny and corrective actions following prior fiscal challenges. As noted in the </w:t>
      </w:r>
      <w:r w:rsidR="00E405E1" w:rsidRPr="2D019F4B">
        <w:rPr>
          <w:i/>
          <w:iCs/>
        </w:rPr>
        <w:t>Leadership and Governance</w:t>
      </w:r>
      <w:r w:rsidR="00E405E1">
        <w:t xml:space="preserve"> section, </w:t>
      </w:r>
      <w:r w:rsidR="00BB3C66">
        <w:t>S</w:t>
      </w:r>
      <w:r w:rsidR="00E405E1">
        <w:t xml:space="preserve">uperintendent </w:t>
      </w:r>
      <w:r w:rsidR="00BB3C66">
        <w:t>Tahilian</w:t>
      </w:r>
      <w:r w:rsidR="00E56B03">
        <w:t>i</w:t>
      </w:r>
      <w:r w:rsidR="00BB3C66">
        <w:t xml:space="preserve"> </w:t>
      </w:r>
      <w:r w:rsidR="00E405E1">
        <w:t xml:space="preserve">referenced the </w:t>
      </w:r>
      <w:r w:rsidR="00BB3C66">
        <w:t xml:space="preserve">district’s </w:t>
      </w:r>
      <w:r w:rsidR="00E405E1">
        <w:t>progress in responding to Inspector General recommendations related to a prior deficit</w:t>
      </w:r>
      <w:r w:rsidR="008C14D1">
        <w:t>.</w:t>
      </w:r>
      <w:r w:rsidR="00E405E1">
        <w:t xml:space="preserve"> </w:t>
      </w:r>
      <w:r w:rsidR="008C14D1">
        <w:t>She also</w:t>
      </w:r>
      <w:r w:rsidR="00E405E1">
        <w:t xml:space="preserve"> noted that DESE</w:t>
      </w:r>
      <w:r w:rsidR="008C14D1">
        <w:t>,</w:t>
      </w:r>
      <w:r w:rsidR="00E405E1">
        <w:t xml:space="preserve"> and at times the Department of Revenue</w:t>
      </w:r>
      <w:r w:rsidR="008C14D1">
        <w:t>,</w:t>
      </w:r>
      <w:r w:rsidR="00E405E1">
        <w:t xml:space="preserve"> have been involved in</w:t>
      </w:r>
      <w:r w:rsidR="00BB77FF">
        <w:t xml:space="preserve"> ongoing</w:t>
      </w:r>
      <w:r w:rsidR="00E405E1">
        <w:t xml:space="preserve"> oversight</w:t>
      </w:r>
      <w:r w:rsidR="008C14D1">
        <w:t xml:space="preserve"> of Brockton</w:t>
      </w:r>
      <w:r w:rsidR="00E405E1">
        <w:t xml:space="preserve">. Finance staff described using audit recommendations to anchor improvements in budgeting methodology, including using prior-year expenditures as a primary driver for budget construction </w:t>
      </w:r>
      <w:r w:rsidR="00E56B03">
        <w:t xml:space="preserve">to </w:t>
      </w:r>
      <w:r w:rsidR="00E405E1">
        <w:t>ensur</w:t>
      </w:r>
      <w:r w:rsidR="00E56B03">
        <w:t>e</w:t>
      </w:r>
      <w:r w:rsidR="00E405E1">
        <w:t xml:space="preserve"> compliance with generally accepted accounting practices. </w:t>
      </w:r>
      <w:r w:rsidR="02362135">
        <w:t>Brockton</w:t>
      </w:r>
      <w:r w:rsidR="001C649D">
        <w:t>’</w:t>
      </w:r>
      <w:r w:rsidR="02362135">
        <w:t>s relationship with the city is central to its financial and operational functioning, and multiple stakeholder groups described frequent, active engagement between district and municipal leadership. The mayor noted meeting with the superintendent approximately twice per week</w:t>
      </w:r>
      <w:r w:rsidR="001C649D">
        <w:t>,</w:t>
      </w:r>
      <w:r w:rsidR="02362135">
        <w:t xml:space="preserve"> and characterized the division of responsibilities as a shared model in which the city is responsible for maintaining school buildings and transportation while the district manages day-to-day building maintenance through its own facilities department. The mayor</w:t>
      </w:r>
      <w:r w:rsidR="001C649D">
        <w:t xml:space="preserve"> indicated in the</w:t>
      </w:r>
      <w:r w:rsidR="02362135">
        <w:t xml:space="preserve"> interview that fiduciary responsibility lies with the city</w:t>
      </w:r>
      <w:r w:rsidR="001C649D">
        <w:t>’</w:t>
      </w:r>
      <w:r w:rsidR="02362135">
        <w:t xml:space="preserve">s </w:t>
      </w:r>
      <w:r w:rsidR="001C649D">
        <w:t>c</w:t>
      </w:r>
      <w:r w:rsidR="02362135">
        <w:t xml:space="preserve">hief </w:t>
      </w:r>
      <w:r w:rsidR="001C649D">
        <w:t>f</w:t>
      </w:r>
      <w:r w:rsidR="02362135">
        <w:t xml:space="preserve">inancial </w:t>
      </w:r>
      <w:r w:rsidR="001C649D">
        <w:t>o</w:t>
      </w:r>
      <w:r w:rsidR="02362135">
        <w:t xml:space="preserve">fficer, </w:t>
      </w:r>
      <w:r w:rsidR="00973905">
        <w:t xml:space="preserve">which </w:t>
      </w:r>
      <w:r w:rsidR="02362135">
        <w:t>underscor</w:t>
      </w:r>
      <w:r w:rsidR="00973905">
        <w:t>es</w:t>
      </w:r>
      <w:r w:rsidR="02362135">
        <w:t xml:space="preserve"> the close connection between district and municipal financial governance.</w:t>
      </w:r>
    </w:p>
    <w:p w14:paraId="2C4E76CD" w14:textId="1498788D" w:rsidR="00E405E1" w:rsidRPr="0059720F" w:rsidRDefault="00052D13" w:rsidP="00CA5A56">
      <w:pPr>
        <w:pStyle w:val="BodyText"/>
      </w:pPr>
      <w:r>
        <w:t>B</w:t>
      </w:r>
      <w:r w:rsidR="77B2884A">
        <w:t xml:space="preserve">oth </w:t>
      </w:r>
      <w:r>
        <w:t>S</w:t>
      </w:r>
      <w:r w:rsidR="77B2884A">
        <w:t xml:space="preserve">uperintendent </w:t>
      </w:r>
      <w:r>
        <w:t xml:space="preserve">Tahiliani </w:t>
      </w:r>
      <w:r w:rsidR="77B2884A">
        <w:t>and the mayor suggest</w:t>
      </w:r>
      <w:r>
        <w:t>ed in interviews</w:t>
      </w:r>
      <w:r w:rsidR="77B2884A">
        <w:t xml:space="preserve"> that the district-city relationship has become more collaborative over time, particularly </w:t>
      </w:r>
      <w:r w:rsidR="005213F0">
        <w:t xml:space="preserve">after </w:t>
      </w:r>
      <w:r w:rsidR="77B2884A">
        <w:t>fiscal stabilization efforts created regular opportunities for coordination and helped rebuild trust</w:t>
      </w:r>
      <w:r w:rsidR="005213F0">
        <w:t xml:space="preserve"> from the previous superintendent</w:t>
      </w:r>
      <w:r w:rsidR="77B2884A">
        <w:t xml:space="preserve">. At the same time, both described the relationship as still relying heavily on informal understandings rather than </w:t>
      </w:r>
      <w:r w:rsidR="005213F0">
        <w:t>formal</w:t>
      </w:r>
      <w:r w:rsidR="77B2884A">
        <w:t xml:space="preserve"> documented agreements: the mayor characterized the arrangement as a shared responsibility governed largely by unwritten expectations, while </w:t>
      </w:r>
      <w:r w:rsidR="005213F0">
        <w:t>S</w:t>
      </w:r>
      <w:r w:rsidR="77B2884A">
        <w:t xml:space="preserve">uperintendent </w:t>
      </w:r>
      <w:r w:rsidR="005213F0">
        <w:t xml:space="preserve">Tahiliani </w:t>
      </w:r>
      <w:r w:rsidR="77B2884A">
        <w:t>noted that discussions are still being used to clarify cost-sharing and workstream responsibilities that have not yet been fully formalized</w:t>
      </w:r>
      <w:r w:rsidR="38EB9494">
        <w:t xml:space="preserve"> in a memorandum of understanding</w:t>
      </w:r>
      <w:r w:rsidR="77B2884A">
        <w:t xml:space="preserve">. </w:t>
      </w:r>
      <w:r w:rsidR="00E405E1">
        <w:t xml:space="preserve">Operations leaders provided additional perspective on the day-to-day </w:t>
      </w:r>
      <w:r w:rsidR="5ECB5331" w:rsidRPr="2D019F4B">
        <w:rPr>
          <w:rFonts w:eastAsiaTheme="minorEastAsia"/>
        </w:rPr>
        <w:t>interactions between the school district and city</w:t>
      </w:r>
      <w:r w:rsidR="00E405E1">
        <w:t xml:space="preserve">, noting that schools are city-owned and that the city conducts annual property asset inventories. They also described collaboration </w:t>
      </w:r>
      <w:r w:rsidR="00C26C75">
        <w:t>between</w:t>
      </w:r>
      <w:r w:rsidR="00E405E1">
        <w:t xml:space="preserve"> the </w:t>
      </w:r>
      <w:r w:rsidR="00D24288">
        <w:t xml:space="preserve">district’s </w:t>
      </w:r>
      <w:r w:rsidR="00E405E1">
        <w:t>finance office and city officials on capital planning for major expenditures. Taken together, stakeholder accounts reflect a working relationship with substantial shared infrastructure and regular communication.</w:t>
      </w:r>
    </w:p>
    <w:p w14:paraId="5930715C" w14:textId="33E2EBE1" w:rsidR="00E405E1" w:rsidRPr="00B1622A" w:rsidRDefault="00E405E1" w:rsidP="00CA5A56">
      <w:pPr>
        <w:pStyle w:val="BodyText"/>
        <w:rPr>
          <w:color w:val="000000" w:themeColor="text1"/>
        </w:rPr>
      </w:pPr>
      <w:r>
        <w:t>However, the formal documentation of intergovernmental roles, responsibilities, and cost-sharing arrangements remains incomplete</w:t>
      </w:r>
      <w:r w:rsidR="00C26C75">
        <w:t>, a</w:t>
      </w:r>
      <w:r w:rsidR="6025E045">
        <w:t>s noted earlier</w:t>
      </w:r>
      <w:r w:rsidR="00C26C75">
        <w:t xml:space="preserve"> by the mayor and Superintendent Tahiliani.</w:t>
      </w:r>
      <w:r>
        <w:t xml:space="preserve"> The district and city do not have a formal, written agreement that specifies the process and timeline for </w:t>
      </w:r>
      <w:r w:rsidRPr="00B1622A">
        <w:rPr>
          <w:color w:val="000000" w:themeColor="text1"/>
        </w:rPr>
        <w:t>budget coordination and the respective roles assumed by each party. Instituting a formal written agreement between the city and school district detailing the process and timeline for budget coordination and their respective roles is an area of growth for the district.</w:t>
      </w:r>
    </w:p>
    <w:p w14:paraId="10F331A1" w14:textId="42CE63C5" w:rsidR="00CF5430" w:rsidRDefault="00041E9B" w:rsidP="00CA5A56">
      <w:pPr>
        <w:pStyle w:val="Heading3"/>
      </w:pPr>
      <w:bookmarkStart w:id="74" w:name="_Adequate_Budget"/>
      <w:bookmarkStart w:id="75" w:name="_Budgeting_and_Budget"/>
      <w:bookmarkEnd w:id="74"/>
      <w:bookmarkEnd w:id="75"/>
      <w:r>
        <w:t xml:space="preserve">Budgeting and Budget </w:t>
      </w:r>
      <w:r w:rsidRPr="00CA5A56">
        <w:t>Process</w:t>
      </w:r>
    </w:p>
    <w:p w14:paraId="7F31C2FA" w14:textId="53354352" w:rsidR="00642326" w:rsidRPr="0059720F" w:rsidRDefault="00642326" w:rsidP="00CA5A56">
      <w:pPr>
        <w:pStyle w:val="BodyTextposthead"/>
      </w:pPr>
      <w:r w:rsidRPr="0059720F">
        <w:t xml:space="preserve">Brockton uses a structured annual budget development process in which </w:t>
      </w:r>
      <w:r w:rsidR="00EE0904">
        <w:t>S</w:t>
      </w:r>
      <w:r w:rsidRPr="0059720F">
        <w:t xml:space="preserve">uperintendent </w:t>
      </w:r>
      <w:r w:rsidR="00EE0904" w:rsidRPr="00B64EA9">
        <w:t>Tahilian</w:t>
      </w:r>
      <w:r w:rsidR="00EE0904">
        <w:t xml:space="preserve">i </w:t>
      </w:r>
      <w:r w:rsidRPr="0059720F">
        <w:t xml:space="preserve">and </w:t>
      </w:r>
      <w:r w:rsidR="00EE0904">
        <w:t xml:space="preserve">the district’s </w:t>
      </w:r>
      <w:r w:rsidRPr="0059720F">
        <w:t>finance team build an initial budget proposal grounded in historical expenditures and the governor</w:t>
      </w:r>
      <w:r w:rsidR="00EE0904">
        <w:t>’</w:t>
      </w:r>
      <w:r w:rsidRPr="0059720F">
        <w:t>s recommended budget</w:t>
      </w:r>
      <w:r w:rsidR="00EE0904">
        <w:t>. They</w:t>
      </w:r>
      <w:r w:rsidR="00EE0904" w:rsidRPr="0059720F">
        <w:t xml:space="preserve"> </w:t>
      </w:r>
      <w:r w:rsidRPr="0059720F">
        <w:t xml:space="preserve">then engage department heads and principals to review prior-year spending, current-year actuals, and personnel vacancies before finalizing the proposal. </w:t>
      </w:r>
      <w:r w:rsidR="00EE0904">
        <w:t>S</w:t>
      </w:r>
      <w:r w:rsidRPr="0059720F">
        <w:t xml:space="preserve">uperintendent </w:t>
      </w:r>
      <w:r w:rsidR="00EE0904" w:rsidRPr="00B64EA9">
        <w:t>Tahilian</w:t>
      </w:r>
      <w:r w:rsidR="00EE0904">
        <w:t xml:space="preserve">i </w:t>
      </w:r>
      <w:r w:rsidRPr="0059720F">
        <w:t>described this as a multistep process that brings together the finance team and central office leaders by program area to determine what to present to the school committee.</w:t>
      </w:r>
    </w:p>
    <w:p w14:paraId="3311FE5C" w14:textId="0F839223" w:rsidR="00642326" w:rsidRPr="0059720F" w:rsidRDefault="00642326" w:rsidP="00CA5A56">
      <w:pPr>
        <w:pStyle w:val="BodyText"/>
      </w:pPr>
      <w:r w:rsidRPr="0059720F">
        <w:t xml:space="preserve">The </w:t>
      </w:r>
      <w:r>
        <w:t>mayor</w:t>
      </w:r>
      <w:r w:rsidRPr="0059720F">
        <w:t xml:space="preserve"> confirmed this structure, describing the superintendent as the primary driver of the budget proposal, which then moves to the school committee for review and vote before going to the city council and mayor for consideration. Both </w:t>
      </w:r>
      <w:r w:rsidR="00503980">
        <w:t>S</w:t>
      </w:r>
      <w:r>
        <w:t xml:space="preserve">uperintendent </w:t>
      </w:r>
      <w:r w:rsidR="00503980" w:rsidRPr="00B64EA9">
        <w:t>Tahilian</w:t>
      </w:r>
      <w:r w:rsidR="00503980">
        <w:t xml:space="preserve">i </w:t>
      </w:r>
      <w:r>
        <w:t xml:space="preserve">and </w:t>
      </w:r>
      <w:r w:rsidR="00503980">
        <w:t xml:space="preserve">the </w:t>
      </w:r>
      <w:r>
        <w:t>mayor</w:t>
      </w:r>
      <w:r w:rsidRPr="0059720F">
        <w:t xml:space="preserve"> </w:t>
      </w:r>
      <w:r>
        <w:t>agreed</w:t>
      </w:r>
      <w:r w:rsidRPr="0059720F">
        <w:t xml:space="preserve"> on the sequencing of this process</w:t>
      </w:r>
      <w:r w:rsidR="00503980">
        <w:t>.</w:t>
      </w:r>
      <w:r w:rsidRPr="0059720F">
        <w:t xml:space="preserve"> </w:t>
      </w:r>
      <w:r w:rsidR="00503980">
        <w:t>S</w:t>
      </w:r>
      <w:r w:rsidRPr="0059720F">
        <w:t xml:space="preserve">uperintendent </w:t>
      </w:r>
      <w:r w:rsidR="00503980" w:rsidRPr="00B64EA9">
        <w:t>Tahilian</w:t>
      </w:r>
      <w:r w:rsidR="00503980">
        <w:t xml:space="preserve">i </w:t>
      </w:r>
      <w:r w:rsidRPr="0059720F">
        <w:t>noted that prior budget development had been highly centralized</w:t>
      </w:r>
      <w:r w:rsidR="00503980">
        <w:t>,</w:t>
      </w:r>
      <w:r w:rsidRPr="0059720F">
        <w:t xml:space="preserve"> </w:t>
      </w:r>
      <w:r w:rsidR="00503980">
        <w:t>so</w:t>
      </w:r>
      <w:r w:rsidRPr="0059720F">
        <w:t xml:space="preserve"> the district is </w:t>
      </w:r>
      <w:r w:rsidR="00503980">
        <w:t xml:space="preserve">now </w:t>
      </w:r>
      <w:r w:rsidRPr="0059720F">
        <w:t>working to shift toward greater input from school leaders, particularly principals, as the budget process matures.</w:t>
      </w:r>
    </w:p>
    <w:p w14:paraId="5457EDE8" w14:textId="6429C1D4" w:rsidR="00642326" w:rsidRDefault="00642326" w:rsidP="00CA5A56">
      <w:pPr>
        <w:pStyle w:val="BodyText"/>
      </w:pPr>
      <w:r>
        <w:t xml:space="preserve">Finance leaders described ongoing improvements to budget construction that are increasing granularity and transparency. In the finance and operations focus group, staff noted transitioning away from a single large contingency account and toward more discrete lines organized by school, position, and function, </w:t>
      </w:r>
      <w:r w:rsidR="00C9162D">
        <w:t xml:space="preserve">and </w:t>
      </w:r>
      <w:r>
        <w:t>aligned to state reporting structures. As one focus group member stated</w:t>
      </w:r>
      <w:r w:rsidR="00CA5A56">
        <w:t>:</w:t>
      </w:r>
    </w:p>
    <w:p w14:paraId="4C4EB8FE" w14:textId="77777777" w:rsidR="00642326" w:rsidRPr="00EE24ED" w:rsidRDefault="22C7F097" w:rsidP="00CA5A56">
      <w:pPr>
        <w:pStyle w:val="BodyTextIndent"/>
        <w:keepNext/>
        <w:keepLines/>
      </w:pPr>
      <w:r w:rsidRPr="190DD215">
        <w:t>Last year we got more detailed and had [expenses] all really separated out by departments, and this year we want to piggyback off of that. But every year we kind of want to get more granular, more detailed, make sure that all the expenses are actually in the department that they should be.</w:t>
      </w:r>
    </w:p>
    <w:p w14:paraId="031BCEB4" w14:textId="77777777" w:rsidR="00642326" w:rsidRPr="0059720F" w:rsidRDefault="00642326" w:rsidP="00CA5A56">
      <w:pPr>
        <w:pStyle w:val="BodyText"/>
      </w:pPr>
      <w:r w:rsidRPr="0059720F">
        <w:t>These changes are intended to improve both internal monitoring and public-facing accountability.</w:t>
      </w:r>
    </w:p>
    <w:p w14:paraId="07C7DC48" w14:textId="590E7DFC" w:rsidR="00642326" w:rsidRPr="0059720F" w:rsidRDefault="22C7F097" w:rsidP="00CA5A56">
      <w:pPr>
        <w:pStyle w:val="BodyText"/>
      </w:pPr>
      <w:r w:rsidRPr="190DD215">
        <w:t xml:space="preserve">District leaders also reported </w:t>
      </w:r>
      <w:r w:rsidR="00B14C4E">
        <w:t>that Broc</w:t>
      </w:r>
      <w:r w:rsidR="00883093">
        <w:t>k</w:t>
      </w:r>
      <w:r w:rsidR="00B14C4E">
        <w:t>ton</w:t>
      </w:r>
      <w:r w:rsidRPr="190DD215">
        <w:t xml:space="preserve"> is building greater school-level visibility into budget histories and expenditure data, which represents progress toward more informed and equitable resource allocation decisions. Finance staff described compiling multiyear budget and expenditure data sorted by school and location, including year-to-date actuals, encumbrances, and remaining balances</w:t>
      </w:r>
      <w:r w:rsidR="00B14C4E">
        <w:t>. A</w:t>
      </w:r>
      <w:r w:rsidR="00B14C4E" w:rsidRPr="190DD215">
        <w:t>ccording to the finance and operations focus group</w:t>
      </w:r>
      <w:r w:rsidR="00B14C4E">
        <w:t>, finance staff</w:t>
      </w:r>
      <w:r w:rsidRPr="190DD215">
        <w:t xml:space="preserve"> shar</w:t>
      </w:r>
      <w:r w:rsidR="00B14C4E">
        <w:t>e</w:t>
      </w:r>
      <w:r w:rsidRPr="190DD215">
        <w:t xml:space="preserve"> these reports with school leaders </w:t>
      </w:r>
      <w:r w:rsidR="1A87556D" w:rsidRPr="190DD215">
        <w:t>during the budget development cycle</w:t>
      </w:r>
      <w:r w:rsidRPr="190DD215">
        <w:t xml:space="preserve"> to inform their annual </w:t>
      </w:r>
      <w:r w:rsidR="09D4069A" w:rsidRPr="190DD215">
        <w:t>requests</w:t>
      </w:r>
      <w:r w:rsidRPr="190DD215">
        <w:t>. Budget documentation confirms that instructional supply allocations are tracked at the school level, with school-by-school line items in the district</w:t>
      </w:r>
      <w:r w:rsidR="00B14C4E">
        <w:t>’</w:t>
      </w:r>
      <w:r w:rsidRPr="190DD215">
        <w:t>s budget.</w:t>
      </w:r>
    </w:p>
    <w:p w14:paraId="3C3741AA" w14:textId="4712E0A2" w:rsidR="00642326" w:rsidRPr="001C6F86" w:rsidRDefault="22C7F097" w:rsidP="00CA5A56">
      <w:pPr>
        <w:pStyle w:val="BodyText"/>
      </w:pPr>
      <w:r>
        <w:t xml:space="preserve">The finance and operations focus group confirmed that the business office includes a dedicated grants manager, consistent with the organizational infrastructure needed to manage a portfolio of this scale. According to the district’s </w:t>
      </w:r>
      <w:r w:rsidR="00F629D7">
        <w:t>fiscal year 20</w:t>
      </w:r>
      <w:r>
        <w:t xml:space="preserve">25 End of Year Grant Report, the district secured more than $29 million </w:t>
      </w:r>
      <w:r w:rsidR="00F629D7">
        <w:t xml:space="preserve">in fiscal year 2025 </w:t>
      </w:r>
      <w:r>
        <w:t xml:space="preserve">in external grant funding across </w:t>
      </w:r>
      <w:r w:rsidR="00F629D7">
        <w:t xml:space="preserve">more than </w:t>
      </w:r>
      <w:r>
        <w:t>80 local, state, federal, and private awards.</w:t>
      </w:r>
      <w:r w:rsidRPr="2D019F4B">
        <w:rPr>
          <w:rFonts w:ascii="Segoe UI" w:eastAsia="Segoe UI" w:hAnsi="Segoe UI" w:cs="Segoe UI"/>
          <w:color w:val="000000" w:themeColor="text1"/>
          <w:sz w:val="21"/>
          <w:szCs w:val="21"/>
        </w:rPr>
        <w:t xml:space="preserve"> </w:t>
      </w:r>
      <w:r w:rsidR="3485C10C" w:rsidRPr="2D019F4B">
        <w:rPr>
          <w:rFonts w:eastAsiaTheme="minorEastAsia"/>
        </w:rPr>
        <w:t xml:space="preserve">These funds support several programmatic areas, including core academic supports ($6.1 million from federal education funding through </w:t>
      </w:r>
      <w:r w:rsidR="00937A10" w:rsidRPr="2D019F4B">
        <w:rPr>
          <w:rFonts w:eastAsiaTheme="minorEastAsia"/>
        </w:rPr>
        <w:t xml:space="preserve">Every Student Succeeds Act </w:t>
      </w:r>
      <w:r w:rsidR="3485C10C" w:rsidRPr="2D019F4B">
        <w:rPr>
          <w:rFonts w:eastAsiaTheme="minorEastAsia"/>
        </w:rPr>
        <w:t>Titles I, II, III, and IV)</w:t>
      </w:r>
      <w:r w:rsidR="00937A10" w:rsidRPr="2D019F4B">
        <w:rPr>
          <w:rFonts w:eastAsiaTheme="minorEastAsia"/>
        </w:rPr>
        <w:t>;</w:t>
      </w:r>
      <w:r w:rsidR="3485C10C" w:rsidRPr="2D019F4B">
        <w:rPr>
          <w:rFonts w:eastAsiaTheme="minorEastAsia"/>
        </w:rPr>
        <w:t xml:space="preserve"> early childhood education (more than $1.1 million from state and federal sources)</w:t>
      </w:r>
      <w:r w:rsidR="00937A10" w:rsidRPr="2D019F4B">
        <w:rPr>
          <w:rFonts w:eastAsiaTheme="minorEastAsia"/>
        </w:rPr>
        <w:t>;</w:t>
      </w:r>
      <w:r w:rsidR="3485C10C" w:rsidRPr="2D019F4B">
        <w:rPr>
          <w:rFonts w:eastAsiaTheme="minorEastAsia"/>
        </w:rPr>
        <w:t xml:space="preserve"> adult education and family literacy (more than $1.38 million from state and federal sources)</w:t>
      </w:r>
      <w:r w:rsidR="00937A10" w:rsidRPr="2D019F4B">
        <w:rPr>
          <w:rFonts w:eastAsiaTheme="minorEastAsia"/>
        </w:rPr>
        <w:t>;</w:t>
      </w:r>
      <w:r w:rsidR="3485C10C" w:rsidRPr="2D019F4B">
        <w:rPr>
          <w:rFonts w:eastAsiaTheme="minorEastAsia"/>
        </w:rPr>
        <w:t xml:space="preserve"> </w:t>
      </w:r>
      <w:r w:rsidR="007339B2">
        <w:rPr>
          <w:rFonts w:eastAsiaTheme="minorEastAsia"/>
        </w:rPr>
        <w:t>English-learner</w:t>
      </w:r>
      <w:r w:rsidR="007339B2" w:rsidRPr="2D019F4B">
        <w:rPr>
          <w:rFonts w:eastAsiaTheme="minorEastAsia"/>
        </w:rPr>
        <w:t xml:space="preserve"> </w:t>
      </w:r>
      <w:r w:rsidR="3485C10C" w:rsidRPr="2D019F4B">
        <w:rPr>
          <w:rFonts w:eastAsiaTheme="minorEastAsia"/>
        </w:rPr>
        <w:t>education and newcomer support (more than $3.6 million from state, federal, and private sources, including a $3.5</w:t>
      </w:r>
      <w:r w:rsidR="00937A10" w:rsidRPr="2D019F4B">
        <w:rPr>
          <w:rFonts w:eastAsiaTheme="minorEastAsia"/>
        </w:rPr>
        <w:t xml:space="preserve"> </w:t>
      </w:r>
      <w:r w:rsidR="3485C10C" w:rsidRPr="2D019F4B">
        <w:rPr>
          <w:rFonts w:eastAsiaTheme="minorEastAsia"/>
        </w:rPr>
        <w:t>million private grant for a bilingual educator pipeline in partnership with U</w:t>
      </w:r>
      <w:r w:rsidR="00937A10" w:rsidRPr="2D019F4B">
        <w:rPr>
          <w:rFonts w:eastAsiaTheme="minorEastAsia"/>
        </w:rPr>
        <w:t xml:space="preserve">niversity of </w:t>
      </w:r>
      <w:r w:rsidR="3485C10C" w:rsidRPr="2D019F4B">
        <w:rPr>
          <w:rFonts w:eastAsiaTheme="minorEastAsia"/>
        </w:rPr>
        <w:t>Mass</w:t>
      </w:r>
      <w:r w:rsidR="00937A10" w:rsidRPr="2D019F4B">
        <w:rPr>
          <w:rFonts w:eastAsiaTheme="minorEastAsia"/>
        </w:rPr>
        <w:t>achusetts</w:t>
      </w:r>
      <w:r w:rsidR="3485C10C" w:rsidRPr="2D019F4B">
        <w:rPr>
          <w:rFonts w:eastAsiaTheme="minorEastAsia"/>
        </w:rPr>
        <w:t xml:space="preserve"> Lowell)</w:t>
      </w:r>
      <w:r w:rsidR="00937A10" w:rsidRPr="2D019F4B">
        <w:rPr>
          <w:rFonts w:eastAsiaTheme="minorEastAsia"/>
        </w:rPr>
        <w:t>;</w:t>
      </w:r>
      <w:r w:rsidR="3485C10C" w:rsidRPr="2D019F4B">
        <w:rPr>
          <w:rFonts w:eastAsiaTheme="minorEastAsia"/>
        </w:rPr>
        <w:t xml:space="preserve"> student health and wellness (more than $920,000 from state and federal sources)</w:t>
      </w:r>
      <w:r w:rsidR="00937A10" w:rsidRPr="2D019F4B">
        <w:rPr>
          <w:rFonts w:eastAsiaTheme="minorEastAsia"/>
        </w:rPr>
        <w:t>;</w:t>
      </w:r>
      <w:r w:rsidR="3485C10C" w:rsidRPr="2D019F4B">
        <w:rPr>
          <w:rFonts w:eastAsiaTheme="minorEastAsia"/>
        </w:rPr>
        <w:t xml:space="preserve"> and unified student support services</w:t>
      </w:r>
      <w:r w:rsidR="00883093" w:rsidRPr="2D019F4B">
        <w:rPr>
          <w:rFonts w:eastAsiaTheme="minorEastAsia"/>
        </w:rPr>
        <w:t xml:space="preserve"> </w:t>
      </w:r>
      <w:r w:rsidR="3485C10C" w:rsidRPr="2D019F4B">
        <w:rPr>
          <w:rFonts w:eastAsiaTheme="minorEastAsia"/>
        </w:rPr>
        <w:t xml:space="preserve">(more than $5 million from </w:t>
      </w:r>
      <w:r w:rsidR="00937A10" w:rsidRPr="2D019F4B">
        <w:rPr>
          <w:rFonts w:eastAsiaTheme="minorEastAsia"/>
        </w:rPr>
        <w:t>Individuals with Disabilities Education Act</w:t>
      </w:r>
      <w:r w:rsidR="3485C10C" w:rsidRPr="2D019F4B">
        <w:rPr>
          <w:rFonts w:eastAsiaTheme="minorEastAsia"/>
        </w:rPr>
        <w:t xml:space="preserve"> Part C and Part B grants).</w:t>
      </w:r>
      <w:r w:rsidR="00883093" w:rsidRPr="2D019F4B">
        <w:rPr>
          <w:rFonts w:eastAsiaTheme="minorEastAsia"/>
        </w:rPr>
        <w:t xml:space="preserve"> </w:t>
      </w:r>
      <w:r>
        <w:t>The district also secured grant funding for academic acceleration, community enrichment and the arts, operations and facilities improvements, and early college programming.</w:t>
      </w:r>
    </w:p>
    <w:p w14:paraId="3673D547" w14:textId="5B95C079" w:rsidR="00642326" w:rsidRPr="0059720F" w:rsidRDefault="22C7F097" w:rsidP="00CA5A56">
      <w:pPr>
        <w:pStyle w:val="BodyText"/>
      </w:pPr>
      <w:r w:rsidRPr="190DD215">
        <w:t>The district has made several changes to its financial controls and budget monitoring practices, particularly in response to prior fiscal challenges. Finance and operations focus group participants described developing detailed monitoring spreadsheets with year-to-date encumbrances, actuals, remaining balances, and vendor and payroll data pulled from MUNIS</w:t>
      </w:r>
      <w:r w:rsidR="006F7566">
        <w:t>; these</w:t>
      </w:r>
      <w:r w:rsidR="006F7566" w:rsidRPr="190DD215">
        <w:t xml:space="preserve"> </w:t>
      </w:r>
      <w:r w:rsidRPr="190DD215">
        <w:t>tools give school and division leaders timely, actionable information. The district</w:t>
      </w:r>
      <w:r w:rsidR="00FD74E8">
        <w:t>’</w:t>
      </w:r>
      <w:r w:rsidRPr="190DD215">
        <w:t>s year-to-date budget report reflects this approach, showing budget, actuals, encumbrances, and available balances organized by function.</w:t>
      </w:r>
    </w:p>
    <w:p w14:paraId="14C9CE27" w14:textId="6F46449C" w:rsidR="00642326" w:rsidRPr="0059720F" w:rsidRDefault="006F7566" w:rsidP="00CA5A56">
      <w:pPr>
        <w:pStyle w:val="BodyText"/>
      </w:pPr>
      <w:r>
        <w:t>S</w:t>
      </w:r>
      <w:r w:rsidR="22C7F097" w:rsidRPr="190DD215">
        <w:t xml:space="preserve">uperintendent </w:t>
      </w:r>
      <w:r w:rsidRPr="00B64EA9">
        <w:t>Tahilian</w:t>
      </w:r>
      <w:r>
        <w:t>i</w:t>
      </w:r>
      <w:r w:rsidRPr="190DD215">
        <w:t xml:space="preserve"> </w:t>
      </w:r>
      <w:r w:rsidR="22C7F097" w:rsidRPr="190DD215">
        <w:t>reported the district</w:t>
      </w:r>
      <w:r>
        <w:t>’</w:t>
      </w:r>
      <w:r w:rsidR="22C7F097" w:rsidRPr="190DD215">
        <w:t xml:space="preserve">s budget controls as having improved substantially since the period of fiscal difficulty, including increased involvement from DESE and the Department of Revenue, implementation of Inspector General recommendations, and adoption of prior-year expenditure data as the primary basis for budget construction. </w:t>
      </w:r>
      <w:r w:rsidR="58105A73" w:rsidRPr="190DD215">
        <w:t>As previously discussed, f</w:t>
      </w:r>
      <w:r w:rsidR="22C7F097" w:rsidRPr="190DD215">
        <w:t>inance leaders noted that consistent encumbering of contracts upon execution, a practice that was not uniform in prior years, is now being reinforced as a standard expectation.</w:t>
      </w:r>
    </w:p>
    <w:p w14:paraId="1CF65AFA" w14:textId="6D6D56D6" w:rsidR="00642326" w:rsidRPr="0059720F" w:rsidRDefault="00642326" w:rsidP="00CA5A56">
      <w:pPr>
        <w:pStyle w:val="BodyText"/>
      </w:pPr>
      <w:r>
        <w:t>Operations leaders described procurement controls that include competitive bidding for facilities-related vendor services, use of state contracts</w:t>
      </w:r>
      <w:r w:rsidR="0023687C">
        <w:t>,</w:t>
      </w:r>
      <w:r>
        <w:t xml:space="preserve"> and purchasing collaboratives such as the Massachusetts Higher Education Consortium and Omnia to leverage pre-procured arrangements, and signed vendor slips to verify hours and services for hourly work</w:t>
      </w:r>
      <w:r w:rsidR="0023687C">
        <w:t>. Finance and operations leaders confirmed in interviews that t</w:t>
      </w:r>
      <w:r>
        <w:t>hese practices align with the district</w:t>
      </w:r>
      <w:r w:rsidR="0023687C">
        <w:t>’</w:t>
      </w:r>
      <w:r>
        <w:t>s emphasis on compliance with Massachusetts procurement law.</w:t>
      </w:r>
    </w:p>
    <w:p w14:paraId="33582209" w14:textId="2CF4A525" w:rsidR="00B827DE" w:rsidRPr="00B1622A" w:rsidRDefault="00434FD0" w:rsidP="2D019F4B">
      <w:pPr>
        <w:pStyle w:val="BodyText"/>
        <w:rPr>
          <w:color w:val="000000" w:themeColor="text1"/>
        </w:rPr>
      </w:pPr>
      <w:r>
        <w:t>Across stakeholder groups, i</w:t>
      </w:r>
      <w:r w:rsidR="00642326">
        <w:t>mplementation of monitoring and control activities was</w:t>
      </w:r>
      <w:r>
        <w:t xml:space="preserve"> described as</w:t>
      </w:r>
      <w:r w:rsidR="00642326">
        <w:t xml:space="preserve"> consistent</w:t>
      </w:r>
      <w:r>
        <w:t xml:space="preserve">, although </w:t>
      </w:r>
      <w:r w:rsidR="00642326">
        <w:t xml:space="preserve">finance leaders and </w:t>
      </w:r>
      <w:r w:rsidR="007303A8">
        <w:t>S</w:t>
      </w:r>
      <w:r w:rsidR="00642326">
        <w:t xml:space="preserve">uperintendent </w:t>
      </w:r>
      <w:r w:rsidR="007303A8">
        <w:t xml:space="preserve">Tahiliani </w:t>
      </w:r>
      <w:r w:rsidR="00642326">
        <w:t xml:space="preserve">characterized current monitoring </w:t>
      </w:r>
      <w:r w:rsidR="00642326" w:rsidRPr="00B1622A">
        <w:rPr>
          <w:color w:val="000000" w:themeColor="text1"/>
        </w:rPr>
        <w:t>and controls as evolving rather than fully institutionalized</w:t>
      </w:r>
      <w:r w:rsidRPr="00B1622A">
        <w:rPr>
          <w:color w:val="000000" w:themeColor="text1"/>
        </w:rPr>
        <w:t xml:space="preserve">. </w:t>
      </w:r>
      <w:r w:rsidR="1476DBA6" w:rsidRPr="00B1622A">
        <w:rPr>
          <w:color w:val="000000" w:themeColor="text1"/>
        </w:rPr>
        <w:t>Though the district is still in the process of embedding greater budgetary controls, e</w:t>
      </w:r>
      <w:r w:rsidR="54A97570" w:rsidRPr="00B1622A">
        <w:rPr>
          <w:color w:val="000000" w:themeColor="text1"/>
        </w:rPr>
        <w:t>fforts to inst</w:t>
      </w:r>
      <w:r w:rsidR="01720620" w:rsidRPr="00B1622A">
        <w:rPr>
          <w:color w:val="000000" w:themeColor="text1"/>
        </w:rPr>
        <w:t>it</w:t>
      </w:r>
      <w:r w:rsidR="54A97570" w:rsidRPr="00B1622A">
        <w:rPr>
          <w:color w:val="000000" w:themeColor="text1"/>
        </w:rPr>
        <w:t>ute im</w:t>
      </w:r>
      <w:r w:rsidR="489A769B" w:rsidRPr="00B1622A">
        <w:rPr>
          <w:color w:val="000000" w:themeColor="text1"/>
        </w:rPr>
        <w:t>proved</w:t>
      </w:r>
      <w:r w:rsidR="54A97570" w:rsidRPr="00B1622A">
        <w:rPr>
          <w:color w:val="000000" w:themeColor="text1"/>
        </w:rPr>
        <w:t xml:space="preserve"> systems, practices</w:t>
      </w:r>
      <w:r w:rsidR="12479BEE" w:rsidRPr="00B1622A">
        <w:rPr>
          <w:color w:val="000000" w:themeColor="text1"/>
        </w:rPr>
        <w:t>,</w:t>
      </w:r>
      <w:r w:rsidR="54A97570" w:rsidRPr="00B1622A">
        <w:rPr>
          <w:color w:val="000000" w:themeColor="text1"/>
        </w:rPr>
        <w:t xml:space="preserve"> and financial controls </w:t>
      </w:r>
      <w:r w:rsidR="24E06029" w:rsidRPr="00B1622A">
        <w:rPr>
          <w:color w:val="000000" w:themeColor="text1"/>
        </w:rPr>
        <w:t xml:space="preserve">for budgeting </w:t>
      </w:r>
      <w:r w:rsidR="68997BB3" w:rsidRPr="00B1622A">
        <w:rPr>
          <w:color w:val="000000" w:themeColor="text1"/>
        </w:rPr>
        <w:t xml:space="preserve">is a strength for the district. </w:t>
      </w:r>
      <w:r w:rsidR="54A97570" w:rsidRPr="00B1622A">
        <w:rPr>
          <w:color w:val="000000" w:themeColor="text1"/>
        </w:rPr>
        <w:t xml:space="preserve"> </w:t>
      </w:r>
    </w:p>
    <w:p w14:paraId="73AB2726" w14:textId="241B525E" w:rsidR="00B827DE" w:rsidRDefault="00041E9B" w:rsidP="00CA5A56">
      <w:pPr>
        <w:pStyle w:val="Heading3"/>
      </w:pPr>
      <w:bookmarkStart w:id="76" w:name="_Operations"/>
      <w:bookmarkEnd w:id="76"/>
      <w:r>
        <w:t>Operations</w:t>
      </w:r>
    </w:p>
    <w:p w14:paraId="79CF5940" w14:textId="423E7876" w:rsidR="00904835" w:rsidRDefault="30B1FBD9" w:rsidP="00CA5A56">
      <w:pPr>
        <w:pStyle w:val="BodyTextposthead"/>
      </w:pPr>
      <w:r>
        <w:t xml:space="preserve">The director of </w:t>
      </w:r>
      <w:r w:rsidR="00C51ED6">
        <w:t>o</w:t>
      </w:r>
      <w:r>
        <w:t>perations leads the district</w:t>
      </w:r>
      <w:r w:rsidR="00732423">
        <w:t>’s</w:t>
      </w:r>
      <w:r>
        <w:t xml:space="preserve"> operations staff</w:t>
      </w:r>
      <w:r w:rsidR="00732423">
        <w:t>, and</w:t>
      </w:r>
      <w:r w:rsidR="1A158972">
        <w:t xml:space="preserve"> </w:t>
      </w:r>
      <w:r w:rsidR="00732423">
        <w:t xml:space="preserve">the </w:t>
      </w:r>
      <w:r w:rsidR="1A158972">
        <w:t>staffing structure intersects with finance functions in areas such as contract management, supply inventory, and city coordination. Operations staff described a sizable facilities and maintenance workforce supported by systems for work order management, supply tracking, and vendor and service contracts</w:t>
      </w:r>
      <w:r w:rsidR="00732423">
        <w:t xml:space="preserve">. The operations focus group confirmed that these </w:t>
      </w:r>
      <w:r w:rsidR="1A158972">
        <w:t>workstreams directly interact with the district</w:t>
      </w:r>
      <w:r w:rsidR="00732423">
        <w:t>’</w:t>
      </w:r>
      <w:r w:rsidR="1A158972">
        <w:t>s financial controls and asset oversight responsibilities.</w:t>
      </w:r>
    </w:p>
    <w:p w14:paraId="4CCE1EAE" w14:textId="344E62A5" w:rsidR="00B862CB" w:rsidRPr="0059720F" w:rsidRDefault="00904835" w:rsidP="00CA5A56">
      <w:pPr>
        <w:pStyle w:val="BodyText"/>
      </w:pPr>
      <w:r w:rsidRPr="342D1620">
        <w:t xml:space="preserve">On the operations side, </w:t>
      </w:r>
      <w:r>
        <w:t>the</w:t>
      </w:r>
      <w:r w:rsidRPr="342D1620">
        <w:t xml:space="preserve"> operations focus group</w:t>
      </w:r>
      <w:r>
        <w:t xml:space="preserve"> explained</w:t>
      </w:r>
      <w:r w:rsidRPr="342D1620">
        <w:t xml:space="preserve"> </w:t>
      </w:r>
      <w:r>
        <w:t xml:space="preserve">that </w:t>
      </w:r>
      <w:r w:rsidRPr="342D1620">
        <w:t>the district tracks supplies and materials using spreadsheets and an inventory folder</w:t>
      </w:r>
      <w:r>
        <w:t>,</w:t>
      </w:r>
      <w:r w:rsidRPr="342D1620">
        <w:t xml:space="preserve"> and </w:t>
      </w:r>
      <w:r>
        <w:t xml:space="preserve">it </w:t>
      </w:r>
      <w:r w:rsidRPr="342D1620">
        <w:t>retains school supply request lists to maintain a working history of requests by school. The district uses an electronic work order system, Flowpath, that records maintenance requests, assignments, notes, and job closeout steps</w:t>
      </w:r>
      <w:r>
        <w:t>;</w:t>
      </w:r>
      <w:r w:rsidRPr="342D1620" w:rsidDel="00537580">
        <w:t xml:space="preserve"> </w:t>
      </w:r>
      <w:r w:rsidRPr="342D1620">
        <w:t>tradespeople</w:t>
      </w:r>
      <w:r>
        <w:t xml:space="preserve"> are</w:t>
      </w:r>
      <w:r w:rsidRPr="342D1620">
        <w:t xml:space="preserve"> required to document completion </w:t>
      </w:r>
      <w:r>
        <w:t xml:space="preserve">of work </w:t>
      </w:r>
      <w:r w:rsidRPr="342D1620">
        <w:t>via a phone application</w:t>
      </w:r>
      <w:r>
        <w:t xml:space="preserve">, which </w:t>
      </w:r>
      <w:r w:rsidRPr="342D1620">
        <w:t>creat</w:t>
      </w:r>
      <w:r>
        <w:t>es</w:t>
      </w:r>
      <w:r w:rsidRPr="342D1620">
        <w:t xml:space="preserve"> a record trail </w:t>
      </w:r>
      <w:r>
        <w:t>of</w:t>
      </w:r>
      <w:r w:rsidRPr="342D1620">
        <w:t xml:space="preserve"> maintenance work.</w:t>
      </w:r>
      <w:r>
        <w:t xml:space="preserve"> </w:t>
      </w:r>
      <w:r w:rsidR="7DE7DE77">
        <w:t xml:space="preserve">The operations focus group described a clear workflow in which maintenance requests originate at the school level through a designated point person, typically a senior custodian, and are then routed to the appropriate trade </w:t>
      </w:r>
      <w:r w:rsidR="7D36686A">
        <w:t>work group</w:t>
      </w:r>
      <w:r w:rsidR="7DE7DE77">
        <w:t xml:space="preserve"> </w:t>
      </w:r>
      <w:r w:rsidR="03C43C3D">
        <w:t>(e.g.</w:t>
      </w:r>
      <w:r w:rsidR="00A85392">
        <w:t>,</w:t>
      </w:r>
      <w:r w:rsidR="03C43C3D">
        <w:t xml:space="preserve"> electrical, HVAC/plumbing, carpentry) </w:t>
      </w:r>
      <w:r w:rsidR="7DE7DE77">
        <w:t>for response. Work orders are assigned directly to tradespeople via a mobile application, and staff are expected</w:t>
      </w:r>
      <w:r w:rsidR="00845045">
        <w:t>,</w:t>
      </w:r>
      <w:r w:rsidR="00A85392">
        <w:t xml:space="preserve"> upon completion</w:t>
      </w:r>
      <w:r w:rsidR="00845045">
        <w:t>,</w:t>
      </w:r>
      <w:r w:rsidR="7DE7DE77">
        <w:t xml:space="preserve"> to close out jobs with notes </w:t>
      </w:r>
      <w:r w:rsidR="00A85392">
        <w:t>to</w:t>
      </w:r>
      <w:r w:rsidR="7DE7DE77">
        <w:t xml:space="preserve"> creat</w:t>
      </w:r>
      <w:r w:rsidR="00A85392">
        <w:t>e</w:t>
      </w:r>
      <w:r w:rsidR="7DE7DE77">
        <w:t xml:space="preserve"> an auditable record of maintenance activity.</w:t>
      </w:r>
    </w:p>
    <w:p w14:paraId="1A7BC7BD" w14:textId="2A5B8F45" w:rsidR="00B862CB" w:rsidRPr="0059720F" w:rsidRDefault="00B862CB" w:rsidP="00CA5A56">
      <w:pPr>
        <w:pStyle w:val="BodyText"/>
      </w:pPr>
      <w:r>
        <w:t>In addition to reactive maintenance, operations leaders described a mix of preventative</w:t>
      </w:r>
      <w:r w:rsidR="00FD74E8">
        <w:t>-</w:t>
      </w:r>
      <w:r>
        <w:t xml:space="preserve"> and trigger</w:t>
      </w:r>
      <w:r w:rsidR="00FD74E8">
        <w:t>-</w:t>
      </w:r>
      <w:r>
        <w:t>based maintenance routines. Examples included scheduled servicing of rooftop units and building staff monitoring equipment indicators</w:t>
      </w:r>
      <w:r w:rsidR="00DB1B36">
        <w:t xml:space="preserve"> (e.g.,</w:t>
      </w:r>
      <w:r>
        <w:t xml:space="preserve"> water bottle filler filter lights</w:t>
      </w:r>
      <w:r w:rsidR="00845045">
        <w:t>) and</w:t>
      </w:r>
      <w:r>
        <w:t xml:space="preserve"> submitting work orders when indicators signal a need for service. Operations leaders noted that </w:t>
      </w:r>
      <w:r w:rsidR="00DB1B36">
        <w:t>most of the</w:t>
      </w:r>
      <w:r>
        <w:t xml:space="preserve"> maintenance work is completed in-house, with external vendor support reserved for specialized needs such as plumbing work during building renovations</w:t>
      </w:r>
      <w:r w:rsidR="00DB1B36">
        <w:t>. One operations leader</w:t>
      </w:r>
      <w:r>
        <w:t xml:space="preserve"> described </w:t>
      </w:r>
      <w:r w:rsidR="00DB1B36">
        <w:t xml:space="preserve">this as </w:t>
      </w:r>
      <w:r>
        <w:t>a “deliberate cost-management approach.”</w:t>
      </w:r>
    </w:p>
    <w:p w14:paraId="38086597" w14:textId="23584B36" w:rsidR="00B862CB" w:rsidRPr="0059720F" w:rsidRDefault="00E42657" w:rsidP="00CA5A56">
      <w:pPr>
        <w:pStyle w:val="BodyText"/>
      </w:pPr>
      <w:r>
        <w:t>As described by the mayor, t</w:t>
      </w:r>
      <w:r w:rsidR="7DE7DE77" w:rsidRPr="190DD215">
        <w:t xml:space="preserve">ransportation </w:t>
      </w:r>
      <w:r w:rsidR="7DE7DE77" w:rsidRPr="190DD215" w:rsidDel="00E42657">
        <w:t xml:space="preserve">is </w:t>
      </w:r>
      <w:r w:rsidR="7DE7DE77" w:rsidRPr="190DD215">
        <w:t>a city responsibility</w:t>
      </w:r>
      <w:r>
        <w:t xml:space="preserve">, and </w:t>
      </w:r>
      <w:r w:rsidR="7DE7DE77" w:rsidRPr="190DD215">
        <w:t>the city funds and oversees student transportation as part of its non-net school spending obligations. District financial documentation reflects transportation as a major operational area, with detailed budget lines for bus drivers, contract transportation services, and specialized transportation categories. The district's year-to-date budget reporting includes transportation as a tracked functional area, indicating that spending in this domain is monitored within the district</w:t>
      </w:r>
      <w:r>
        <w:t>’</w:t>
      </w:r>
      <w:r w:rsidR="7DE7DE77" w:rsidRPr="190DD215">
        <w:t>s regular financial oversight structures.</w:t>
      </w:r>
    </w:p>
    <w:p w14:paraId="352E343D" w14:textId="6E7F269A" w:rsidR="00B862CB" w:rsidRPr="0059720F" w:rsidRDefault="00B862CB" w:rsidP="00CA5A56">
      <w:pPr>
        <w:pStyle w:val="BodyText"/>
      </w:pPr>
      <w:r>
        <w:t xml:space="preserve">Finance staff described a staff role dedicated to facilitating private transportation arrangements, including specialized categories such as McKinney-Vento transportation for students experiencing homelessness and </w:t>
      </w:r>
      <w:r w:rsidR="00E42657">
        <w:t xml:space="preserve">students in </w:t>
      </w:r>
      <w:r>
        <w:t xml:space="preserve">foster care. </w:t>
      </w:r>
      <w:r w:rsidR="00E42657">
        <w:t>S</w:t>
      </w:r>
      <w:r>
        <w:t>uperintendent</w:t>
      </w:r>
      <w:r w:rsidR="00E42657">
        <w:t xml:space="preserve"> Tahiliani</w:t>
      </w:r>
      <w:r>
        <w:t xml:space="preserve"> reported that the district </w:t>
      </w:r>
      <w:r w:rsidR="00F36A6A">
        <w:t>created a</w:t>
      </w:r>
      <w:r>
        <w:t xml:space="preserve"> transportation safety and security subcommittee in response to a prior transportation audit.</w:t>
      </w:r>
    </w:p>
    <w:p w14:paraId="4D031D57" w14:textId="773EEA97" w:rsidR="0046023A" w:rsidRDefault="3CA2751C" w:rsidP="00CA5A56">
      <w:pPr>
        <w:pStyle w:val="BodyText"/>
      </w:pPr>
      <w:r>
        <w:t>The district maintains</w:t>
      </w:r>
      <w:r w:rsidR="7DE7DE77">
        <w:t xml:space="preserve"> a</w:t>
      </w:r>
      <w:r w:rsidR="00C01BC9">
        <w:t>n information</w:t>
      </w:r>
      <w:r w:rsidR="7DE7DE77">
        <w:t xml:space="preserve"> technology </w:t>
      </w:r>
      <w:r>
        <w:t>department</w:t>
      </w:r>
      <w:r w:rsidR="7DE7DE77">
        <w:t xml:space="preserve"> with dedicated staffing and substantial planned investments. The district employs a technology administrator and technology specialists, and</w:t>
      </w:r>
      <w:r w:rsidR="045D3F70">
        <w:t>,</w:t>
      </w:r>
      <w:r w:rsidR="7DE7DE77">
        <w:t xml:space="preserve"> </w:t>
      </w:r>
      <w:r w:rsidR="51B55A9F">
        <w:t>according to finance leaders,</w:t>
      </w:r>
      <w:r w:rsidR="7DE7DE77">
        <w:t xml:space="preserve"> the budget includes multiple contracted services for network management, security, Wi-Fi and internet services, device</w:t>
      </w:r>
      <w:r w:rsidR="00FD74E8">
        <w:t>,</w:t>
      </w:r>
      <w:r w:rsidR="7DE7DE77">
        <w:t xml:space="preserve"> and </w:t>
      </w:r>
      <w:r w:rsidR="00C01BC9">
        <w:t>a</w:t>
      </w:r>
      <w:r w:rsidR="787A3C0B">
        <w:t>udio/</w:t>
      </w:r>
      <w:r w:rsidR="00C01BC9">
        <w:t>v</w:t>
      </w:r>
      <w:r w:rsidR="45053BD4">
        <w:t>isual</w:t>
      </w:r>
      <w:r w:rsidR="7DE7DE77">
        <w:t xml:space="preserve"> support. </w:t>
      </w:r>
      <w:r w:rsidR="112D9160">
        <w:t>A review of the district</w:t>
      </w:r>
      <w:r w:rsidR="00C01BC9">
        <w:t>’</w:t>
      </w:r>
      <w:r w:rsidR="112D9160">
        <w:t xml:space="preserve">s </w:t>
      </w:r>
      <w:r w:rsidR="00C01BC9">
        <w:t xml:space="preserve">fiscal year 2026 </w:t>
      </w:r>
      <w:r w:rsidR="112D9160">
        <w:t>budget indicates m</w:t>
      </w:r>
      <w:r w:rsidR="7DE7DE77">
        <w:t xml:space="preserve">ajor hardware investments include interactive panels, document cameras, audio systems, student laptops, teacher laptops, and desktop computers. The </w:t>
      </w:r>
      <w:r w:rsidR="00C01BC9">
        <w:t xml:space="preserve">fiscal year 2026 </w:t>
      </w:r>
      <w:r w:rsidR="7DE7DE77">
        <w:t>budget also explicitly references asset management tools for technology, including Follett/Destiny for asset tracking and Trackit/BMC for help desk and asset management functions</w:t>
      </w:r>
      <w:r w:rsidR="0046023A">
        <w:t>.</w:t>
      </w:r>
    </w:p>
    <w:p w14:paraId="15A1AC7E" w14:textId="3E2885C0" w:rsidR="00904835" w:rsidRPr="0059720F" w:rsidRDefault="7DE7DE77" w:rsidP="00CA5A56">
      <w:pPr>
        <w:pStyle w:val="BodyText"/>
      </w:pPr>
      <w:r w:rsidRPr="190DD215">
        <w:t xml:space="preserve">The district has a structured procurement and contracting process supported by documentation requirements, multistep approvals, and workflow tools. Finance staff described a contract request process </w:t>
      </w:r>
      <w:r w:rsidR="008575E5">
        <w:t xml:space="preserve">that is </w:t>
      </w:r>
      <w:r w:rsidRPr="190DD215">
        <w:t>accessible through an internal website and staff intranet</w:t>
      </w:r>
      <w:r w:rsidR="008575E5">
        <w:t xml:space="preserve"> and</w:t>
      </w:r>
      <w:r w:rsidRPr="190DD215">
        <w:t xml:space="preserve"> designed to guide users through the required steps </w:t>
      </w:r>
      <w:r w:rsidR="008575E5">
        <w:t>of</w:t>
      </w:r>
      <w:r w:rsidR="008575E5" w:rsidRPr="190DD215">
        <w:t xml:space="preserve"> </w:t>
      </w:r>
      <w:r w:rsidRPr="190DD215">
        <w:t xml:space="preserve">documentation. Focus group participants reported the district uses Microsoft Forms and Power Automate to generate contracts and route them for signature, including a city-required routing form that passes through the district's </w:t>
      </w:r>
      <w:r w:rsidR="008575E5">
        <w:t>c</w:t>
      </w:r>
      <w:r w:rsidRPr="190DD215">
        <w:t xml:space="preserve">hief </w:t>
      </w:r>
      <w:r w:rsidR="008575E5">
        <w:t>f</w:t>
      </w:r>
      <w:r w:rsidRPr="190DD215">
        <w:t xml:space="preserve">inancial </w:t>
      </w:r>
      <w:r w:rsidR="008575E5">
        <w:t>o</w:t>
      </w:r>
      <w:r w:rsidRPr="190DD215">
        <w:t>fficer, auditor, legal counsel, and the mayor before execution.</w:t>
      </w:r>
    </w:p>
    <w:p w14:paraId="5B7BA5BC" w14:textId="36BC0B4A" w:rsidR="0046023A" w:rsidRPr="00B1622A" w:rsidRDefault="00FE0689" w:rsidP="00CA5A56">
      <w:pPr>
        <w:pStyle w:val="BodyText"/>
        <w:rPr>
          <w:color w:val="000000" w:themeColor="text1"/>
        </w:rPr>
      </w:pPr>
      <w:r>
        <w:t>In d</w:t>
      </w:r>
      <w:r w:rsidR="7DE7DE77" w:rsidRPr="190DD215">
        <w:t xml:space="preserve">escribing the procurement process, focus group participants explained that purchase orders are processed through MUNIS, </w:t>
      </w:r>
      <w:r>
        <w:t>although</w:t>
      </w:r>
      <w:r w:rsidRPr="190DD215">
        <w:t xml:space="preserve"> </w:t>
      </w:r>
      <w:r w:rsidR="7DE7DE77" w:rsidRPr="190DD215">
        <w:t xml:space="preserve">contract management occurs partly outside the system. </w:t>
      </w:r>
      <w:r w:rsidR="5121DBF3" w:rsidRPr="190DD215">
        <w:t xml:space="preserve">District staff described a standardized contract and routing form process requiring vendor documentation, </w:t>
      </w:r>
      <w:r w:rsidR="5121DBF3" w:rsidRPr="00B1622A">
        <w:rPr>
          <w:color w:val="000000" w:themeColor="text1"/>
        </w:rPr>
        <w:t>multiple review signatures, and procurement compliance review</w:t>
      </w:r>
      <w:r w:rsidR="00FD74E8" w:rsidRPr="00B1622A">
        <w:rPr>
          <w:color w:val="000000" w:themeColor="text1"/>
        </w:rPr>
        <w:t xml:space="preserve"> (</w:t>
      </w:r>
      <w:r w:rsidR="5121DBF3" w:rsidRPr="00B1622A">
        <w:rPr>
          <w:color w:val="000000" w:themeColor="text1"/>
        </w:rPr>
        <w:t>including consideration of Massachusetts 30B requirements and applicable exemptions</w:t>
      </w:r>
      <w:r w:rsidR="00FD74E8" w:rsidRPr="00B1622A">
        <w:rPr>
          <w:color w:val="000000" w:themeColor="text1"/>
        </w:rPr>
        <w:t>)</w:t>
      </w:r>
      <w:r w:rsidR="5121DBF3" w:rsidRPr="00B1622A">
        <w:rPr>
          <w:color w:val="000000" w:themeColor="text1"/>
        </w:rPr>
        <w:t>, with additional legal and insurance review by the city solicitor. The business office</w:t>
      </w:r>
      <w:r w:rsidRPr="00B1622A">
        <w:rPr>
          <w:color w:val="000000" w:themeColor="text1"/>
        </w:rPr>
        <w:t>’</w:t>
      </w:r>
      <w:r w:rsidR="5121DBF3" w:rsidRPr="00B1622A">
        <w:rPr>
          <w:color w:val="000000" w:themeColor="text1"/>
        </w:rPr>
        <w:t xml:space="preserve">s </w:t>
      </w:r>
      <w:r w:rsidRPr="00B1622A">
        <w:rPr>
          <w:color w:val="000000" w:themeColor="text1"/>
        </w:rPr>
        <w:t xml:space="preserve">documented </w:t>
      </w:r>
      <w:r w:rsidR="5121DBF3" w:rsidRPr="00B1622A">
        <w:rPr>
          <w:color w:val="000000" w:themeColor="text1"/>
        </w:rPr>
        <w:t>policy procedures and structured workflows for procurement and contract management are a strength for the district</w:t>
      </w:r>
      <w:r w:rsidR="0046023A" w:rsidRPr="00B1622A">
        <w:rPr>
          <w:color w:val="000000" w:themeColor="text1"/>
        </w:rPr>
        <w:t>.</w:t>
      </w:r>
    </w:p>
    <w:p w14:paraId="7EC70471" w14:textId="12C65BCB" w:rsidR="0046023A" w:rsidRDefault="00D21605" w:rsidP="00CA5A56">
      <w:pPr>
        <w:pStyle w:val="BodyText"/>
      </w:pPr>
      <w:r>
        <w:t>After</w:t>
      </w:r>
      <w:r w:rsidRPr="190DD215">
        <w:t xml:space="preserve"> </w:t>
      </w:r>
      <w:r w:rsidR="7DE7DE77" w:rsidRPr="190DD215">
        <w:t xml:space="preserve">contracts are executed, </w:t>
      </w:r>
      <w:r>
        <w:t xml:space="preserve">finance </w:t>
      </w:r>
      <w:r w:rsidR="7DE7DE77" w:rsidRPr="190DD215">
        <w:t xml:space="preserve">staff emphasized the practice of encumbering the full contract amount in MUNIS and maintaining procurement files with associated documentation. </w:t>
      </w:r>
      <w:r>
        <w:t>F</w:t>
      </w:r>
      <w:r w:rsidR="7DE7DE77" w:rsidRPr="190DD215">
        <w:t>inance and operations focus group</w:t>
      </w:r>
      <w:r>
        <w:t xml:space="preserve"> participants</w:t>
      </w:r>
      <w:r w:rsidR="7DE7DE77" w:rsidRPr="190DD215">
        <w:t xml:space="preserve"> described tracking contracts through the signature process via a status spreadsheet maintained by a financial analyst, </w:t>
      </w:r>
      <w:r>
        <w:t xml:space="preserve">which </w:t>
      </w:r>
      <w:r w:rsidR="7DE7DE77" w:rsidRPr="190DD215">
        <w:t>provid</w:t>
      </w:r>
      <w:r>
        <w:t>es</w:t>
      </w:r>
      <w:r w:rsidR="7DE7DE77" w:rsidRPr="190DD215">
        <w:t xml:space="preserve"> visibility into where contracts stand at each stage</w:t>
      </w:r>
      <w:r w:rsidR="0046023A">
        <w:t>.</w:t>
      </w:r>
    </w:p>
    <w:p w14:paraId="37829838" w14:textId="47ECD4FC" w:rsidR="00904835" w:rsidRPr="00520238" w:rsidRDefault="7DE7DE77" w:rsidP="00CA5A56">
      <w:pPr>
        <w:pStyle w:val="BodyText"/>
      </w:pPr>
      <w:r>
        <w:t>For facilities-related procurement, operations staff described using competitive bidding processes</w:t>
      </w:r>
      <w:r w:rsidR="00AB1C80">
        <w:t xml:space="preserve"> and </w:t>
      </w:r>
      <w:r>
        <w:t>invitations for bid with defined scopes of work, and</w:t>
      </w:r>
      <w:r w:rsidR="00AB1C80">
        <w:t xml:space="preserve"> they</w:t>
      </w:r>
      <w:r>
        <w:t xml:space="preserve"> confirmed reporting mechanisms for vendors to document time and services. Finance leaders noted that the district reviews procurement arrangements for compliance with Massachusetts General Law Chapter 30B, including determining which exemptions apply, and </w:t>
      </w:r>
      <w:r w:rsidR="00AB1C80">
        <w:t xml:space="preserve">the district then </w:t>
      </w:r>
      <w:r>
        <w:t xml:space="preserve">coordinates with the city solicitor for legal and insurance review. Finance staff also referenced exploring digital signature tools such as PandaDoc </w:t>
      </w:r>
      <w:r w:rsidR="00AB1C80">
        <w:t>and</w:t>
      </w:r>
      <w:r>
        <w:t xml:space="preserve"> </w:t>
      </w:r>
      <w:r w:rsidR="00AB1C80">
        <w:t>Docusign</w:t>
      </w:r>
      <w:r>
        <w:t xml:space="preserve"> to improve contract tracking and reduce delays in the routing process</w:t>
      </w:r>
      <w:r w:rsidR="00AB1C80">
        <w:t>,</w:t>
      </w:r>
      <w:r>
        <w:t xml:space="preserve"> but </w:t>
      </w:r>
      <w:r w:rsidR="00AB1C80">
        <w:t xml:space="preserve">this type of </w:t>
      </w:r>
      <w:r>
        <w:t>tool</w:t>
      </w:r>
      <w:r w:rsidDel="00AB1C80">
        <w:t xml:space="preserve"> </w:t>
      </w:r>
      <w:r w:rsidR="00AB1C80">
        <w:t xml:space="preserve">has </w:t>
      </w:r>
      <w:r>
        <w:t>yet to be deployed.</w:t>
      </w:r>
      <w:r w:rsidR="00904835">
        <w:t xml:space="preserve"> </w:t>
      </w:r>
    </w:p>
    <w:p w14:paraId="22E56B0C" w14:textId="72A319CD" w:rsidR="00B827DE" w:rsidRDefault="00041E9B" w:rsidP="00CA5A56">
      <w:pPr>
        <w:pStyle w:val="Heading3"/>
      </w:pPr>
      <w:bookmarkStart w:id="77" w:name="_Capital_Planning_and"/>
      <w:bookmarkStart w:id="78" w:name="_Managing_Capital_Assets"/>
      <w:bookmarkEnd w:id="77"/>
      <w:bookmarkEnd w:id="78"/>
      <w:r>
        <w:t xml:space="preserve">Managing </w:t>
      </w:r>
      <w:r w:rsidR="00B827DE">
        <w:t xml:space="preserve">Capital </w:t>
      </w:r>
      <w:r>
        <w:t xml:space="preserve">Assets and Capital </w:t>
      </w:r>
      <w:r w:rsidR="00B827DE">
        <w:t>Planning</w:t>
      </w:r>
    </w:p>
    <w:p w14:paraId="52EB03F7" w14:textId="19F0F1B1" w:rsidR="00C9303C" w:rsidRPr="0059720F" w:rsidRDefault="255606DC" w:rsidP="00CA5A56">
      <w:pPr>
        <w:pStyle w:val="BodyTextposthead"/>
      </w:pPr>
      <w:r w:rsidRPr="190DD215">
        <w:t xml:space="preserve">Capital asset tracking in Brockton reflects a shared responsibility between the district and the city. Operations staff explained </w:t>
      </w:r>
      <w:r w:rsidR="009A77C2">
        <w:t xml:space="preserve">that </w:t>
      </w:r>
      <w:r w:rsidRPr="190DD215">
        <w:t xml:space="preserve">the city conducts a comprehensive annual inventory of assets across city properties, </w:t>
      </w:r>
      <w:r w:rsidR="009A77C2">
        <w:t xml:space="preserve">and </w:t>
      </w:r>
      <w:r w:rsidR="009A77C2" w:rsidRPr="190DD215">
        <w:t>all school buildings are city</w:t>
      </w:r>
      <w:r w:rsidR="00DE582C">
        <w:t>-</w:t>
      </w:r>
      <w:r w:rsidR="009A77C2" w:rsidRPr="190DD215">
        <w:t>owned</w:t>
      </w:r>
      <w:r w:rsidR="00DE582C">
        <w:t>. The mayor confirmed that</w:t>
      </w:r>
      <w:r w:rsidRPr="190DD215" w:rsidDel="00DE582C">
        <w:t xml:space="preserve"> </w:t>
      </w:r>
      <w:r w:rsidRPr="190DD215">
        <w:t xml:space="preserve">asset tagging </w:t>
      </w:r>
      <w:r w:rsidR="009A77C2">
        <w:t xml:space="preserve">is </w:t>
      </w:r>
      <w:r w:rsidRPr="190DD215">
        <w:t>performed as part of th</w:t>
      </w:r>
      <w:r w:rsidR="00DE582C">
        <w:t>e inventory</w:t>
      </w:r>
      <w:r w:rsidRPr="190DD215">
        <w:t xml:space="preserve"> process. </w:t>
      </w:r>
      <w:r w:rsidR="00DE582C">
        <w:t>Operations staff also</w:t>
      </w:r>
      <w:r w:rsidRPr="190DD215">
        <w:t xml:space="preserve"> </w:t>
      </w:r>
      <w:r w:rsidR="00AD5CD6">
        <w:t>explained that they</w:t>
      </w:r>
      <w:r w:rsidR="00AD5CD6" w:rsidRPr="190DD215">
        <w:t xml:space="preserve"> </w:t>
      </w:r>
      <w:r w:rsidRPr="190DD215">
        <w:t>monitor their own inventory between annual city inventories.</w:t>
      </w:r>
    </w:p>
    <w:p w14:paraId="458F8F61" w14:textId="1AF900BE" w:rsidR="00F7672E" w:rsidRDefault="255606DC" w:rsidP="00CA5A56">
      <w:pPr>
        <w:pStyle w:val="BodyText"/>
      </w:pPr>
      <w:r>
        <w:t>However, finance-focused stakeholders indicated that the district does not yet have an internal barcode-based asset tracking system, and</w:t>
      </w:r>
      <w:r w:rsidR="00307CE0">
        <w:t xml:space="preserve"> they</w:t>
      </w:r>
      <w:r>
        <w:t xml:space="preserve"> framed comprehensive district-level asset inventory as an area still in development. This distinction suggests that while the annual city inventory provides a baseline record, the district lacks a robust, independently managed system for tracking assets at a granular level across departments and sites between inventory cycles. </w:t>
      </w:r>
      <w:r w:rsidR="00712566">
        <w:t xml:space="preserve">The lack of </w:t>
      </w:r>
      <w:r w:rsidR="00E65259">
        <w:t xml:space="preserve">a district-managed asset tracking system is an area for growth. </w:t>
      </w:r>
    </w:p>
    <w:p w14:paraId="33458519" w14:textId="4DF18531" w:rsidR="00C9303C" w:rsidRPr="0059720F" w:rsidRDefault="255606DC" w:rsidP="00CA5A56">
      <w:pPr>
        <w:pStyle w:val="BodyText"/>
      </w:pPr>
      <w:r>
        <w:t>Capital planning in Brockton is significantly shaped by the city</w:t>
      </w:r>
      <w:r w:rsidR="00CE5CD3">
        <w:t>’</w:t>
      </w:r>
      <w:r>
        <w:t>s ownership of school facilities</w:t>
      </w:r>
      <w:r w:rsidR="006A7C65">
        <w:t xml:space="preserve"> because</w:t>
      </w:r>
      <w:r>
        <w:t xml:space="preserve"> </w:t>
      </w:r>
      <w:r w:rsidR="00CE5CD3">
        <w:t>the</w:t>
      </w:r>
      <w:r>
        <w:t xml:space="preserve"> </w:t>
      </w:r>
      <w:r w:rsidR="00CE5CD3">
        <w:t xml:space="preserve">city has </w:t>
      </w:r>
      <w:r>
        <w:t>primary responsibility for major building repairs. The mayor confirmed this, noting that substantial facility investments, such as roof replacements or boiler repairs, are the city</w:t>
      </w:r>
      <w:r w:rsidR="00CE5CD3">
        <w:t>’</w:t>
      </w:r>
      <w:r>
        <w:t>s responsibility while the district handles routine upkeep. Operations staff noted that capital planning for major expenditures involves collaboration between the distric</w:t>
      </w:r>
      <w:r w:rsidR="00CE5CD3">
        <w:t>t’</w:t>
      </w:r>
      <w:r>
        <w:t>s operations team</w:t>
      </w:r>
      <w:r w:rsidR="00CE5CD3">
        <w:t>/</w:t>
      </w:r>
      <w:r>
        <w:t>finance office</w:t>
      </w:r>
      <w:r w:rsidR="00CE5CD3">
        <w:t xml:space="preserve"> </w:t>
      </w:r>
      <w:r>
        <w:t>and city officials.</w:t>
      </w:r>
    </w:p>
    <w:p w14:paraId="7618353E" w14:textId="71D4FE3F" w:rsidR="0046023A" w:rsidRDefault="00C9303C" w:rsidP="00CA5A56">
      <w:pPr>
        <w:pStyle w:val="BodyText"/>
      </w:pPr>
      <w:r w:rsidRPr="0059720F">
        <w:t>The</w:t>
      </w:r>
      <w:r w:rsidRPr="0059720F" w:rsidDel="00CE5CD3">
        <w:t xml:space="preserve"> </w:t>
      </w:r>
      <w:r w:rsidR="00CE5CD3">
        <w:t>largest</w:t>
      </w:r>
      <w:r w:rsidR="00CE5CD3" w:rsidRPr="0059720F">
        <w:t xml:space="preserve"> </w:t>
      </w:r>
      <w:r w:rsidRPr="0059720F">
        <w:t xml:space="preserve">structured capital planning activity </w:t>
      </w:r>
      <w:r w:rsidR="00CE5CD3">
        <w:t>is</w:t>
      </w:r>
      <w:r w:rsidRPr="0059720F">
        <w:t xml:space="preserve"> the district</w:t>
      </w:r>
      <w:r w:rsidR="00CE5CD3">
        <w:t>’</w:t>
      </w:r>
      <w:r w:rsidRPr="0059720F">
        <w:t xml:space="preserve">s engagement in the Massachusetts School Building Authority (MSBA) feasibility process </w:t>
      </w:r>
      <w:r w:rsidR="00CE5CD3">
        <w:t>related to</w:t>
      </w:r>
      <w:r w:rsidRPr="0059720F">
        <w:t xml:space="preserve"> Brockton High School. </w:t>
      </w:r>
      <w:r w:rsidR="00CE5CD3">
        <w:t>S</w:t>
      </w:r>
      <w:r w:rsidRPr="0059720F">
        <w:t xml:space="preserve">uperintendent </w:t>
      </w:r>
      <w:r w:rsidR="00CE5CD3" w:rsidRPr="00B64EA9">
        <w:t>Tahilian</w:t>
      </w:r>
      <w:r w:rsidR="00CE5CD3">
        <w:t xml:space="preserve">i </w:t>
      </w:r>
      <w:r w:rsidRPr="0059720F">
        <w:t>described using the MSBA educational vision framework to articulate how the current building environment supports or constrains existing programs and how a new facility could expand program opportunities for students</w:t>
      </w:r>
      <w:r w:rsidR="0046023A">
        <w:t>.</w:t>
      </w:r>
    </w:p>
    <w:p w14:paraId="349C8AC8" w14:textId="63283883" w:rsidR="00C9303C" w:rsidRPr="0059720F" w:rsidRDefault="00996AE8" w:rsidP="00CA5A56">
      <w:pPr>
        <w:pStyle w:val="BodyText"/>
      </w:pPr>
      <w:r>
        <w:t>During the review, s</w:t>
      </w:r>
      <w:r w:rsidR="00C9303C" w:rsidRPr="03A6276F">
        <w:t>chool committee discussions also referenced the existence of a district capital improvement plan, noting that the district</w:t>
      </w:r>
      <w:r w:rsidR="00655308">
        <w:t>’</w:t>
      </w:r>
      <w:r w:rsidR="00C9303C" w:rsidRPr="03A6276F">
        <w:t>s plan was more current than the city</w:t>
      </w:r>
      <w:r w:rsidR="00655308">
        <w:t>’</w:t>
      </w:r>
      <w:r w:rsidR="00C9303C" w:rsidRPr="03A6276F">
        <w:t xml:space="preserve">s </w:t>
      </w:r>
      <w:r w:rsidR="5FAB6A19" w:rsidRPr="03A6276F">
        <w:t>plan</w:t>
      </w:r>
      <w:r w:rsidR="00C9303C" w:rsidRPr="03A6276F">
        <w:t xml:space="preserve">, which suggests awareness at the governance level of the need for coordinated capital planning between the district and city. However, </w:t>
      </w:r>
      <w:r w:rsidR="00655308">
        <w:t xml:space="preserve">in the </w:t>
      </w:r>
      <w:r w:rsidR="006A7C65">
        <w:t xml:space="preserve">reviewed </w:t>
      </w:r>
      <w:r w:rsidR="00655308">
        <w:t xml:space="preserve">materials, there is no </w:t>
      </w:r>
      <w:r w:rsidR="00C9303C" w:rsidRPr="03A6276F">
        <w:t xml:space="preserve">formal, written, districtwide capital improvement plan with explicit prioritization criteria (e.g., safety, enrollment, facility condition), multiyear timelines, </w:t>
      </w:r>
      <w:r w:rsidR="00A2092C">
        <w:t>or</w:t>
      </w:r>
      <w:r w:rsidR="00C9303C" w:rsidRPr="03A6276F">
        <w:t xml:space="preserve"> a documented process for aligning district and city capital planning cycles.</w:t>
      </w:r>
    </w:p>
    <w:p w14:paraId="6A8BD12D" w14:textId="17FFCC5B" w:rsidR="002B4CEF" w:rsidRDefault="002B4CEF" w:rsidP="00CA5A56">
      <w:pPr>
        <w:pStyle w:val="Heading3"/>
      </w:pPr>
      <w:r w:rsidRPr="00CA5A56">
        <w:t>Recommendations</w:t>
      </w:r>
    </w:p>
    <w:p w14:paraId="41EA2DA7" w14:textId="1404BCEF" w:rsidR="00BB6D50" w:rsidRDefault="00BB6D50" w:rsidP="00CC1FC2">
      <w:pPr>
        <w:pStyle w:val="Bullet1"/>
        <w:rPr>
          <w:i/>
          <w:iCs/>
        </w:rPr>
      </w:pPr>
      <w:r w:rsidRPr="00BB6D50">
        <w:rPr>
          <w:i/>
          <w:iCs/>
        </w:rPr>
        <w:t>The district should develop and implement strategies to ensure continuity and capacity within the business office, including addressing staffing needs, strengthening succession planning, and sustaining the expertise necessary to manage complex financial operations.</w:t>
      </w:r>
    </w:p>
    <w:p w14:paraId="3824A1D8" w14:textId="6D67525F" w:rsidR="00BB6D50" w:rsidRDefault="006A3F06" w:rsidP="00CC1FC2">
      <w:pPr>
        <w:pStyle w:val="Bullet1"/>
        <w:rPr>
          <w:i/>
          <w:iCs/>
        </w:rPr>
      </w:pPr>
      <w:r w:rsidRPr="006A3F06">
        <w:rPr>
          <w:i/>
          <w:iCs/>
        </w:rPr>
        <w:t>The district should develop and maintain a comprehensive written financial policies and procedures manual that documents key business office processes, internal controls, and roles and responsibilities to support consistent implementation, continuity, and effective financial management.</w:t>
      </w:r>
    </w:p>
    <w:p w14:paraId="10E4978C" w14:textId="0A2EB959" w:rsidR="00CC1FC2" w:rsidRPr="00CC1FC2" w:rsidRDefault="00A13133" w:rsidP="00CC1FC2">
      <w:pPr>
        <w:pStyle w:val="Bullet1"/>
        <w:rPr>
          <w:i/>
          <w:iCs/>
        </w:rPr>
      </w:pPr>
      <w:r w:rsidRPr="2D019F4B">
        <w:rPr>
          <w:i/>
          <w:iCs/>
        </w:rPr>
        <w:t>The district should continue working with its municipal partners to formalize and document the division of financial responsibilities between the district and the city</w:t>
      </w:r>
      <w:r w:rsidR="00075949">
        <w:rPr>
          <w:i/>
          <w:iCs/>
        </w:rPr>
        <w:t xml:space="preserve"> </w:t>
      </w:r>
      <w:r w:rsidR="00277893">
        <w:rPr>
          <w:i/>
          <w:iCs/>
        </w:rPr>
        <w:t>and</w:t>
      </w:r>
      <w:r w:rsidR="00075949">
        <w:rPr>
          <w:i/>
          <w:iCs/>
        </w:rPr>
        <w:t xml:space="preserve"> establish associated timelines</w:t>
      </w:r>
      <w:r w:rsidRPr="2D019F4B">
        <w:rPr>
          <w:i/>
          <w:iCs/>
        </w:rPr>
        <w:t>.</w:t>
      </w:r>
    </w:p>
    <w:p w14:paraId="76F45D46" w14:textId="563BAB3F" w:rsidR="002A674F" w:rsidRPr="00CC1FC2" w:rsidRDefault="002A674F" w:rsidP="00CC1FC2">
      <w:pPr>
        <w:pStyle w:val="Bullet1"/>
        <w:rPr>
          <w:i/>
          <w:iCs/>
        </w:rPr>
      </w:pPr>
      <w:r w:rsidRPr="002A674F">
        <w:rPr>
          <w:i/>
          <w:iCs/>
        </w:rPr>
        <w:t>The district should establish a comprehensive district-managed asset tracking system, including clear processes for inventory management and monitoring, to ensure accurate, accessible, and consistent oversight of capital assets across schools and departments.</w:t>
      </w:r>
    </w:p>
    <w:p w14:paraId="5C46DC14" w14:textId="77777777" w:rsidR="000604FE" w:rsidRDefault="000604FE" w:rsidP="00711976">
      <w:pPr>
        <w:pStyle w:val="BodyText"/>
      </w:pPr>
    </w:p>
    <w:p w14:paraId="26CC0050" w14:textId="23F54D24" w:rsidR="000604FE" w:rsidRPr="00CB0607" w:rsidRDefault="000604FE" w:rsidP="00711976">
      <w:pPr>
        <w:pStyle w:val="BodyText"/>
        <w:sectPr w:rsidR="000604FE" w:rsidRPr="00CB0607" w:rsidSect="00295D21">
          <w:headerReference w:type="even" r:id="rId26"/>
          <w:headerReference w:type="default" r:id="rId27"/>
          <w:footerReference w:type="default" r:id="rId28"/>
          <w:headerReference w:type="first" r:id="rId29"/>
          <w:footerReference w:type="first" r:id="rId30"/>
          <w:pgSz w:w="12240" w:h="15840" w:code="1"/>
          <w:pgMar w:top="1440" w:right="1440" w:bottom="1440" w:left="1440" w:header="720" w:footer="720" w:gutter="0"/>
          <w:cols w:space="720"/>
          <w:docGrid w:linePitch="360"/>
        </w:sectPr>
      </w:pPr>
    </w:p>
    <w:p w14:paraId="3086BDED" w14:textId="6668ACD0" w:rsidR="008E314D" w:rsidRPr="00CB0607" w:rsidRDefault="008E314D" w:rsidP="00CA5A56">
      <w:pPr>
        <w:pStyle w:val="Heading2"/>
      </w:pPr>
      <w:bookmarkStart w:id="79" w:name="_Toc235104381"/>
      <w:bookmarkStart w:id="80" w:name="_Toc235104456"/>
      <w:r w:rsidRPr="00CB0607">
        <w:t>Appendix A</w:t>
      </w:r>
      <w:r w:rsidR="006A3A0E" w:rsidRPr="00CB0607">
        <w:t>.</w:t>
      </w:r>
      <w:r w:rsidRPr="00CB0607">
        <w:t xml:space="preserve"> </w:t>
      </w:r>
      <w:bookmarkEnd w:id="5"/>
      <w:bookmarkEnd w:id="6"/>
      <w:bookmarkEnd w:id="7"/>
      <w:r w:rsidR="00E475E7" w:rsidRPr="00CA5A56">
        <w:t>Summary</w:t>
      </w:r>
      <w:r w:rsidR="00E475E7" w:rsidRPr="00CB0607">
        <w:t xml:space="preserve"> of Site Visit Activities</w:t>
      </w:r>
      <w:bookmarkEnd w:id="8"/>
      <w:bookmarkEnd w:id="79"/>
      <w:bookmarkEnd w:id="80"/>
    </w:p>
    <w:p w14:paraId="5CB5BDC4" w14:textId="3A4070F5" w:rsidR="00B827DE" w:rsidRPr="00CB0607" w:rsidRDefault="00B827DE" w:rsidP="00CA5A56">
      <w:pPr>
        <w:pStyle w:val="BodyTextposthead"/>
      </w:pPr>
      <w:r>
        <w:t xml:space="preserve">The </w:t>
      </w:r>
      <w:r w:rsidR="00246271">
        <w:t>American Institutes for Research</w:t>
      </w:r>
      <w:r w:rsidR="00246271" w:rsidRPr="2D019F4B">
        <w:rPr>
          <w:vertAlign w:val="superscript"/>
        </w:rPr>
        <w:t xml:space="preserve">® </w:t>
      </w:r>
      <w:r w:rsidR="00246271">
        <w:t>(AIR</w:t>
      </w:r>
      <w:r w:rsidR="00246271" w:rsidRPr="2D019F4B">
        <w:rPr>
          <w:vertAlign w:val="superscript"/>
        </w:rPr>
        <w:t>®</w:t>
      </w:r>
      <w:r w:rsidR="00246271">
        <w:t xml:space="preserve">) </w:t>
      </w:r>
      <w:r>
        <w:t xml:space="preserve">team completed the following activities as part of the district review activities in </w:t>
      </w:r>
      <w:r w:rsidR="38C5BD84">
        <w:t>Brockton</w:t>
      </w:r>
      <w:r>
        <w:t>. The team conducted </w:t>
      </w:r>
      <w:r w:rsidR="005C727C">
        <w:t>173</w:t>
      </w:r>
      <w:r>
        <w:t xml:space="preserve"> classroom observations during the week of </w:t>
      </w:r>
      <w:r w:rsidR="005C727C">
        <w:t>March 16</w:t>
      </w:r>
      <w:r w:rsidR="00D73260">
        <w:t>, 2026</w:t>
      </w:r>
      <w:r>
        <w:t xml:space="preserve">, and held interviews and focus groups between </w:t>
      </w:r>
      <w:r w:rsidR="00D73260">
        <w:t xml:space="preserve">March </w:t>
      </w:r>
      <w:r w:rsidR="006E7EC3">
        <w:t>16-</w:t>
      </w:r>
      <w:r w:rsidR="00596248">
        <w:t>23</w:t>
      </w:r>
      <w:r>
        <w:t>. The site visit team conducted interviews and focus groups with the following representatives from the school and the district:</w:t>
      </w:r>
    </w:p>
    <w:p w14:paraId="433DFA3E" w14:textId="26493256" w:rsidR="00B827DE" w:rsidRPr="00CA5A56" w:rsidRDefault="00B827DE" w:rsidP="00CA5A56">
      <w:pPr>
        <w:pStyle w:val="Bullet1"/>
      </w:pPr>
      <w:r w:rsidRPr="00CA5A56">
        <w:t>Superintendent</w:t>
      </w:r>
    </w:p>
    <w:p w14:paraId="3BB607E5" w14:textId="611CE43B" w:rsidR="00B827DE" w:rsidRPr="00CA5A56" w:rsidRDefault="00B827DE" w:rsidP="00CA5A56">
      <w:pPr>
        <w:pStyle w:val="Bullet1"/>
      </w:pPr>
      <w:r w:rsidRPr="00CA5A56">
        <w:t>Other district leaders</w:t>
      </w:r>
    </w:p>
    <w:p w14:paraId="5159C132" w14:textId="2C6CA737" w:rsidR="00B827DE" w:rsidRPr="00CA5A56" w:rsidRDefault="00B827DE" w:rsidP="00CA5A56">
      <w:pPr>
        <w:pStyle w:val="Bullet1"/>
      </w:pPr>
      <w:r w:rsidRPr="00CA5A56">
        <w:t>School committee members</w:t>
      </w:r>
    </w:p>
    <w:p w14:paraId="7B556F4E" w14:textId="5F57C584" w:rsidR="00B827DE" w:rsidRPr="00CA5A56" w:rsidRDefault="00B827DE" w:rsidP="00CA5A56">
      <w:pPr>
        <w:pStyle w:val="Bullet1"/>
      </w:pPr>
      <w:r w:rsidRPr="00CA5A56">
        <w:t>Teachers’ association members</w:t>
      </w:r>
    </w:p>
    <w:p w14:paraId="179C02DE" w14:textId="45413F4E" w:rsidR="00B827DE" w:rsidRPr="00CA5A56" w:rsidRDefault="00B827DE" w:rsidP="00CA5A56">
      <w:pPr>
        <w:pStyle w:val="Bullet1"/>
      </w:pPr>
      <w:r w:rsidRPr="00CA5A56">
        <w:t>Principals</w:t>
      </w:r>
    </w:p>
    <w:p w14:paraId="5726B81E" w14:textId="732671D1" w:rsidR="00B827DE" w:rsidRPr="00CA5A56" w:rsidRDefault="00B827DE" w:rsidP="00CA5A56">
      <w:pPr>
        <w:pStyle w:val="Bullet1"/>
      </w:pPr>
      <w:r w:rsidRPr="00CA5A56">
        <w:t>Teachers</w:t>
      </w:r>
    </w:p>
    <w:p w14:paraId="03723CF4" w14:textId="24E96101" w:rsidR="00B827DE" w:rsidRPr="00CA5A56" w:rsidRDefault="00B827DE" w:rsidP="00CA5A56">
      <w:pPr>
        <w:pStyle w:val="Bullet1"/>
      </w:pPr>
      <w:r w:rsidRPr="00CA5A56">
        <w:t>Support specialists</w:t>
      </w:r>
    </w:p>
    <w:p w14:paraId="50991F40" w14:textId="283B236E" w:rsidR="00B827DE" w:rsidRPr="00CA5A56" w:rsidRDefault="00B827DE" w:rsidP="00CA5A56">
      <w:pPr>
        <w:pStyle w:val="Bullet1"/>
      </w:pPr>
      <w:r w:rsidRPr="00CA5A56">
        <w:t>Parents</w:t>
      </w:r>
    </w:p>
    <w:p w14:paraId="1D50C673" w14:textId="7FCAF20C" w:rsidR="00B827DE" w:rsidRPr="00CA5A56" w:rsidRDefault="00B827DE" w:rsidP="00CA5A56">
      <w:pPr>
        <w:pStyle w:val="Bullet1"/>
      </w:pPr>
      <w:r w:rsidRPr="00CA5A56">
        <w:t>Students</w:t>
      </w:r>
    </w:p>
    <w:p w14:paraId="3ED9E858" w14:textId="27B4B451" w:rsidR="00B827DE" w:rsidRPr="00CA5A56" w:rsidRDefault="00B827DE" w:rsidP="00CA5A56">
      <w:pPr>
        <w:pStyle w:val="Bullet1"/>
      </w:pPr>
      <w:r w:rsidRPr="00CA5A56">
        <w:t>Town representative</w:t>
      </w:r>
    </w:p>
    <w:p w14:paraId="48B34525" w14:textId="5A7647F0" w:rsidR="00B827DE" w:rsidRPr="00CB0607" w:rsidRDefault="00B827DE" w:rsidP="00CA5A56">
      <w:pPr>
        <w:pStyle w:val="BodyText"/>
      </w:pPr>
      <w:r w:rsidRPr="00CB0607">
        <w:t>The review team analyzed multiple datasets and reviewed numerous documents before and during the site visit, including</w:t>
      </w:r>
      <w:r w:rsidR="00494638" w:rsidRPr="00CB0607">
        <w:t xml:space="preserve"> the following</w:t>
      </w:r>
      <w:r w:rsidRPr="00CB0607">
        <w:t>:</w:t>
      </w:r>
    </w:p>
    <w:p w14:paraId="207079BB" w14:textId="5CC435B0" w:rsidR="00B827DE" w:rsidRPr="00CA5A56" w:rsidRDefault="00061EDA" w:rsidP="00CA5A56">
      <w:pPr>
        <w:pStyle w:val="Bullet1"/>
      </w:pPr>
      <w:r w:rsidRPr="00CA5A56">
        <w:t>s</w:t>
      </w:r>
      <w:r w:rsidR="00B827DE" w:rsidRPr="00CA5A56">
        <w:t>tudent and school performance data, including achievement and growth, enrollment, graduation, dropout, retention, suspension, and attendance rates</w:t>
      </w:r>
    </w:p>
    <w:p w14:paraId="17BD34DE" w14:textId="77777777" w:rsidR="004A2221" w:rsidRPr="00CA5A56" w:rsidRDefault="00061EDA" w:rsidP="00CA5A56">
      <w:pPr>
        <w:pStyle w:val="Bullet1"/>
      </w:pPr>
      <w:r w:rsidRPr="00CA5A56">
        <w:t>d</w:t>
      </w:r>
      <w:r w:rsidR="00B827DE" w:rsidRPr="00CA5A56">
        <w:t>ata on the district’s staffing and finances</w:t>
      </w:r>
    </w:p>
    <w:p w14:paraId="15FAB3E2" w14:textId="06B2AB17" w:rsidR="00B827DE" w:rsidRPr="00CA5A56" w:rsidRDefault="004A2221" w:rsidP="00CA5A56">
      <w:pPr>
        <w:pStyle w:val="Bullet1"/>
      </w:pPr>
      <w:r w:rsidRPr="00CA5A56">
        <w:t>independent financial audits</w:t>
      </w:r>
    </w:p>
    <w:p w14:paraId="4DD39A60" w14:textId="08F79FFC" w:rsidR="00B827DE" w:rsidRPr="00CA5A56" w:rsidRDefault="00061EDA" w:rsidP="00CA5A56">
      <w:pPr>
        <w:pStyle w:val="Bullet1"/>
      </w:pPr>
      <w:r w:rsidRPr="00CA5A56">
        <w:t>c</w:t>
      </w:r>
      <w:r w:rsidR="0054101D" w:rsidRPr="00CA5A56">
        <w:t xml:space="preserve">urricular </w:t>
      </w:r>
      <w:r w:rsidR="00B827DE" w:rsidRPr="00CA5A56">
        <w:t>review process and timeline</w:t>
      </w:r>
    </w:p>
    <w:p w14:paraId="49D63455" w14:textId="501386F8" w:rsidR="00B827DE" w:rsidRPr="00CA5A56" w:rsidRDefault="00255B02" w:rsidP="00CA5A56">
      <w:pPr>
        <w:pStyle w:val="Bullet1"/>
      </w:pPr>
      <w:r w:rsidRPr="00CA5A56">
        <w:t>Brockton’s</w:t>
      </w:r>
      <w:r w:rsidR="00B827DE" w:rsidRPr="00CA5A56">
        <w:t xml:space="preserve"> curriculum unit template</w:t>
      </w:r>
    </w:p>
    <w:p w14:paraId="39A28A74" w14:textId="74495BF4" w:rsidR="00B827DE" w:rsidRPr="00CA5A56" w:rsidRDefault="00061EDA" w:rsidP="00CA5A56">
      <w:pPr>
        <w:pStyle w:val="Bullet1"/>
      </w:pPr>
      <w:r w:rsidRPr="00CA5A56">
        <w:t>p</w:t>
      </w:r>
      <w:r w:rsidR="00B827DE" w:rsidRPr="00CA5A56">
        <w:t>ublished educational reports on the district by DESE, the New England Association of Schools and Colleges, and the former Office of Educational Quality and Accountability</w:t>
      </w:r>
    </w:p>
    <w:p w14:paraId="2BA65B5C" w14:textId="327E3168" w:rsidR="00B827DE" w:rsidRPr="00CA5A56" w:rsidRDefault="00061EDA" w:rsidP="00CA5A56">
      <w:pPr>
        <w:pStyle w:val="Bullet1"/>
      </w:pPr>
      <w:r w:rsidRPr="00CA5A56">
        <w:t>d</w:t>
      </w:r>
      <w:r w:rsidR="00B827DE" w:rsidRPr="00CA5A56">
        <w:t xml:space="preserve">istrict documents such as district and </w:t>
      </w:r>
      <w:r w:rsidR="00494638" w:rsidRPr="00CA5A56">
        <w:t xml:space="preserve">school </w:t>
      </w:r>
      <w:r w:rsidR="00B827DE" w:rsidRPr="00CA5A56">
        <w:t>improvement plans, school committee policies, curriculum documents, summaries of student assessments, job descriptions, collective bargaining agreements, evaluation tools for staff, handbooks, school schedules, and the district’s end-of-year financial reports</w:t>
      </w:r>
    </w:p>
    <w:p w14:paraId="645B15D9" w14:textId="0948E78D" w:rsidR="00D60F09" w:rsidRPr="00CA5A56" w:rsidRDefault="00061EDA" w:rsidP="00CA5A56">
      <w:pPr>
        <w:pStyle w:val="Bullet1"/>
      </w:pPr>
      <w:r w:rsidRPr="00CA5A56">
        <w:t>a</w:t>
      </w:r>
      <w:r w:rsidR="00B827DE" w:rsidRPr="00CA5A56">
        <w:t>ll completed program and administrator evaluations and a random selection of completed teacher evaluations</w:t>
      </w:r>
    </w:p>
    <w:p w14:paraId="463A5006" w14:textId="131068F2" w:rsidR="008D6102" w:rsidRPr="00CB0607" w:rsidRDefault="008D6102" w:rsidP="00CA5A56">
      <w:pPr>
        <w:pStyle w:val="BodyText"/>
      </w:pPr>
    </w:p>
    <w:p w14:paraId="6A7B59BA" w14:textId="77777777" w:rsidR="006D0B48" w:rsidRPr="00CB0607" w:rsidRDefault="006D0B48" w:rsidP="006A3A0E">
      <w:pPr>
        <w:numPr>
          <w:ilvl w:val="1"/>
          <w:numId w:val="1"/>
        </w:numPr>
        <w:tabs>
          <w:tab w:val="left" w:pos="360"/>
          <w:tab w:val="left" w:pos="720"/>
          <w:tab w:val="left" w:pos="1080"/>
          <w:tab w:val="left" w:pos="1440"/>
          <w:tab w:val="left" w:pos="1800"/>
          <w:tab w:val="left" w:pos="2160"/>
          <w:tab w:val="left" w:pos="2520"/>
          <w:tab w:val="left" w:pos="2880"/>
        </w:tabs>
        <w:ind w:left="360"/>
        <w:sectPr w:rsidR="006D0B48" w:rsidRPr="00CB0607" w:rsidSect="00D67AD2">
          <w:headerReference w:type="even" r:id="rId31"/>
          <w:headerReference w:type="default" r:id="rId32"/>
          <w:footerReference w:type="default" r:id="rId33"/>
          <w:headerReference w:type="first" r:id="rId34"/>
          <w:pgSz w:w="12240" w:h="15840" w:code="1"/>
          <w:pgMar w:top="1440" w:right="1440" w:bottom="1440" w:left="1440" w:header="720" w:footer="720" w:gutter="0"/>
          <w:pgNumType w:start="1"/>
          <w:cols w:space="720"/>
          <w:docGrid w:linePitch="360"/>
        </w:sectPr>
      </w:pPr>
    </w:p>
    <w:p w14:paraId="2A2032DD" w14:textId="2C3EF6AB" w:rsidR="00486B55" w:rsidRPr="00CA5A56" w:rsidRDefault="00486B55" w:rsidP="00CA5A56">
      <w:pPr>
        <w:pStyle w:val="Heading2"/>
      </w:pPr>
      <w:bookmarkStart w:id="81" w:name="_Toc101878651"/>
      <w:bookmarkStart w:id="82" w:name="_Toc235104382"/>
      <w:bookmarkStart w:id="83" w:name="_Toc235104457"/>
      <w:bookmarkStart w:id="84" w:name="_Hlk100740908"/>
      <w:bookmarkStart w:id="85" w:name="_Toc101878652"/>
      <w:bookmarkStart w:id="86" w:name="_Toc101878650"/>
      <w:r w:rsidRPr="00CB0607">
        <w:t xml:space="preserve">Appendix </w:t>
      </w:r>
      <w:r>
        <w:t>B</w:t>
      </w:r>
      <w:r w:rsidRPr="00CB0607">
        <w:t>. Districtwide Instructional Observation Report</w:t>
      </w:r>
      <w:bookmarkEnd w:id="81"/>
      <w:bookmarkEnd w:id="82"/>
      <w:bookmarkEnd w:id="83"/>
    </w:p>
    <w:p w14:paraId="304C07E7" w14:textId="4F77B491" w:rsidR="00486B55" w:rsidRPr="00CB0607" w:rsidRDefault="00486B55" w:rsidP="00486B55">
      <w:pPr>
        <w:spacing w:line="240" w:lineRule="auto"/>
        <w:sectPr w:rsidR="00486B55" w:rsidRPr="00CB0607" w:rsidSect="00D67AD2">
          <w:headerReference w:type="even" r:id="rId35"/>
          <w:headerReference w:type="default" r:id="rId36"/>
          <w:footerReference w:type="default" r:id="rId37"/>
          <w:headerReference w:type="first" r:id="rId38"/>
          <w:pgSz w:w="12240" w:h="15840" w:code="1"/>
          <w:pgMar w:top="1440" w:right="1440" w:bottom="1440" w:left="1440" w:header="720" w:footer="720" w:gutter="0"/>
          <w:pgNumType w:start="1"/>
          <w:cols w:space="720"/>
          <w:docGrid w:linePitch="360"/>
        </w:sectPr>
      </w:pPr>
    </w:p>
    <w:bookmarkEnd w:id="84"/>
    <w:bookmarkEnd w:id="85"/>
    <w:p w14:paraId="0EC76928" w14:textId="77777777" w:rsidR="00B678B5" w:rsidRPr="006C0161" w:rsidRDefault="00B678B5">
      <w:pPr>
        <w:pStyle w:val="CoverTopLogo"/>
      </w:pPr>
      <w:r w:rsidRPr="00A51539">
        <w:rPr>
          <w:rFonts w:ascii="Times New Roman" w:eastAsia="Calibri" w:hAnsi="Times New Roman" w:cs="Times New Roman"/>
          <w:noProof/>
          <w:sz w:val="20"/>
        </w:rPr>
        <w:drawing>
          <wp:inline distT="0" distB="0" distL="0" distR="0" wp14:anchorId="47AFFF2B" wp14:editId="45DCF31B">
            <wp:extent cx="2404872" cy="685800"/>
            <wp:effectExtent l="0" t="0" r="0" b="0"/>
            <wp:docPr id="30" name="Picture 30" descr="Logo for DESE; Massachusetts Department of Elementary and Secondary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for DESE; Massachusetts Department of Elementary and Secondary Education. "/>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04872" cy="685800"/>
                    </a:xfrm>
                    <a:prstGeom prst="rect">
                      <a:avLst/>
                    </a:prstGeom>
                  </pic:spPr>
                </pic:pic>
              </a:graphicData>
            </a:graphic>
          </wp:inline>
        </w:drawing>
      </w:r>
      <w:r w:rsidRPr="006C0161">
        <w:rPr>
          <w:noProof/>
        </w:rPr>
        <w:drawing>
          <wp:anchor distT="0" distB="0" distL="114300" distR="114300" simplePos="0" relativeHeight="251658240" behindDoc="1" locked="1" layoutInCell="1" allowOverlap="1" wp14:anchorId="48672E85" wp14:editId="39708ABE">
            <wp:simplePos x="0" y="0"/>
            <wp:positionH relativeFrom="column">
              <wp:align>center</wp:align>
            </wp:positionH>
            <wp:positionV relativeFrom="margin">
              <wp:align>top</wp:align>
            </wp:positionV>
            <wp:extent cx="6665976" cy="9134856"/>
            <wp:effectExtent l="0" t="0" r="1905" b="0"/>
            <wp:wrapNone/>
            <wp:docPr id="1928246262" name="Picture 1928246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65976" cy="9134856"/>
                    </a:xfrm>
                    <a:prstGeom prst="rect">
                      <a:avLst/>
                    </a:prstGeom>
                    <a:noFill/>
                  </pic:spPr>
                </pic:pic>
              </a:graphicData>
            </a:graphic>
            <wp14:sizeRelH relativeFrom="margin">
              <wp14:pctWidth>0</wp14:pctWidth>
            </wp14:sizeRelH>
            <wp14:sizeRelV relativeFrom="margin">
              <wp14:pctHeight>0</wp14:pctHeight>
            </wp14:sizeRelV>
          </wp:anchor>
        </w:drawing>
      </w:r>
    </w:p>
    <w:p w14:paraId="1319CBC5" w14:textId="77777777" w:rsidR="00B678B5" w:rsidRPr="00BD0F26" w:rsidRDefault="00B678B5" w:rsidP="00CD5251">
      <w:pPr>
        <w:pStyle w:val="CoverDistrictName"/>
      </w:pPr>
      <w:bookmarkStart w:id="87" w:name="District1"/>
      <w:r w:rsidRPr="00CD5251">
        <w:t>Brockton</w:t>
      </w:r>
      <w:bookmarkEnd w:id="87"/>
      <w:r w:rsidRPr="00BD0F26">
        <w:t xml:space="preserve"> Public Schools</w:t>
      </w:r>
    </w:p>
    <w:p w14:paraId="5FAB0CCC" w14:textId="77777777" w:rsidR="00B678B5" w:rsidRPr="00E70CDF" w:rsidRDefault="00B678B5" w:rsidP="00CD5251">
      <w:pPr>
        <w:pStyle w:val="CoverSubtitle3"/>
      </w:pPr>
      <w:r w:rsidRPr="006C0161">
        <w:t>Classroom</w:t>
      </w:r>
      <w:r w:rsidRPr="00B72BFB">
        <w:t xml:space="preserve"> Visits: Summary of </w:t>
      </w:r>
      <w:r w:rsidRPr="00CD5251">
        <w:t>Findings</w:t>
      </w:r>
    </w:p>
    <w:p w14:paraId="4016CBD8" w14:textId="77777777" w:rsidR="00B678B5" w:rsidRPr="000A42F1" w:rsidRDefault="00B678B5" w:rsidP="00B22A35">
      <w:pPr>
        <w:pStyle w:val="CoverSubtitle2-SIOR"/>
        <w:spacing w:before="720"/>
        <w:rPr>
          <w:color w:val="auto"/>
        </w:rPr>
      </w:pPr>
      <w:r w:rsidRPr="000A42F1">
        <w:rPr>
          <w:color w:val="auto"/>
        </w:rPr>
        <w:t>Districtwide Instructional Observation Report</w:t>
      </w:r>
    </w:p>
    <w:p w14:paraId="45970039" w14:textId="77777777" w:rsidR="00B678B5" w:rsidRDefault="00B678B5" w:rsidP="00CD5251">
      <w:pPr>
        <w:pStyle w:val="CoverDate"/>
      </w:pPr>
      <w:bookmarkStart w:id="88" w:name="MonthName1"/>
      <w:r>
        <w:t>March</w:t>
      </w:r>
      <w:bookmarkEnd w:id="88"/>
      <w:r>
        <w:t xml:space="preserve"> </w:t>
      </w:r>
      <w:bookmarkStart w:id="89" w:name="Year1"/>
      <w:r>
        <w:t>2026</w:t>
      </w:r>
      <w:bookmarkEnd w:id="89"/>
    </w:p>
    <w:p w14:paraId="4CF073FB" w14:textId="77777777" w:rsidR="00B678B5" w:rsidRDefault="00B678B5">
      <w:pPr>
        <w:pStyle w:val="CoverBottomLogo"/>
        <w:spacing w:before="6200"/>
        <w:ind w:left="450"/>
        <w:sectPr w:rsidR="00B678B5" w:rsidSect="00CD5251">
          <w:headerReference w:type="even" r:id="rId41"/>
          <w:headerReference w:type="default" r:id="rId42"/>
          <w:footerReference w:type="default" r:id="rId43"/>
          <w:headerReference w:type="first" r:id="rId44"/>
          <w:endnotePr>
            <w:numFmt w:val="decimal"/>
          </w:endnotePr>
          <w:pgSz w:w="12240" w:h="15840" w:code="1"/>
          <w:pgMar w:top="720" w:right="1008" w:bottom="720" w:left="1008" w:header="720" w:footer="720" w:gutter="0"/>
          <w:pgNumType w:start="1"/>
          <w:cols w:space="720"/>
          <w:noEndnote/>
          <w:docGrid w:linePitch="326"/>
        </w:sectPr>
      </w:pPr>
    </w:p>
    <w:p w14:paraId="3F9E45E4" w14:textId="77777777" w:rsidR="00B678B5" w:rsidRPr="00B72BFB" w:rsidRDefault="00B678B5">
      <w:pPr>
        <w:pStyle w:val="CoverBottomLogo"/>
        <w:spacing w:before="6200"/>
        <w:ind w:left="450"/>
      </w:pPr>
      <w:r>
        <w:rPr>
          <w:noProof/>
        </w:rPr>
        <w:drawing>
          <wp:inline distT="0" distB="0" distL="0" distR="0" wp14:anchorId="2D87807A" wp14:editId="697820EE">
            <wp:extent cx="1655064" cy="484632"/>
            <wp:effectExtent l="0" t="0" r="2540" b="0"/>
            <wp:docPr id="29" name="Picture 29" descr="Logo for AIR; American Institutes for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for AIR; American Institutes for Research. "/>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655064" cy="484632"/>
                    </a:xfrm>
                    <a:prstGeom prst="rect">
                      <a:avLst/>
                    </a:prstGeom>
                    <a:ln>
                      <a:noFill/>
                    </a:ln>
                    <a:extLst>
                      <a:ext uri="{53640926-AAD7-44D8-BBD7-CCE9431645EC}">
                        <a14:shadowObscured xmlns:a14="http://schemas.microsoft.com/office/drawing/2010/main"/>
                      </a:ext>
                    </a:extLst>
                  </pic:spPr>
                </pic:pic>
              </a:graphicData>
            </a:graphic>
          </wp:inline>
        </w:drawing>
      </w:r>
    </w:p>
    <w:p w14:paraId="35EC1046" w14:textId="77777777" w:rsidR="00B678B5" w:rsidRPr="001C2EBA" w:rsidRDefault="00B678B5" w:rsidP="006C173E">
      <w:pPr>
        <w:pStyle w:val="Cover-AIRaddress"/>
        <w:spacing w:before="6000"/>
        <w:ind w:left="0"/>
      </w:pPr>
      <w:r>
        <w:br w:type="column"/>
      </w:r>
      <w:r w:rsidRPr="00D512E6">
        <w:t>1400 Crystal Drive</w:t>
      </w:r>
      <w:r>
        <w:t>, 10</w:t>
      </w:r>
      <w:r w:rsidRPr="00D512E6">
        <w:rPr>
          <w:vertAlign w:val="superscript"/>
        </w:rPr>
        <w:t>th</w:t>
      </w:r>
      <w:r>
        <w:t xml:space="preserve"> Floor</w:t>
      </w:r>
      <w:r>
        <w:br/>
        <w:t xml:space="preserve">Arlington, Virginia </w:t>
      </w:r>
      <w:r w:rsidRPr="005B2970">
        <w:t>22202-3289</w:t>
      </w:r>
      <w:r w:rsidRPr="001C2EBA">
        <w:br/>
      </w:r>
      <w:r w:rsidRPr="005B2970">
        <w:t>(202) 403-5000</w:t>
      </w:r>
    </w:p>
    <w:p w14:paraId="75F80701" w14:textId="18315D81" w:rsidR="00B678B5" w:rsidRDefault="00B678B5" w:rsidP="006C173E">
      <w:pPr>
        <w:pStyle w:val="Cover-AIRaddress"/>
        <w:ind w:hanging="3398"/>
      </w:pPr>
      <w:hyperlink r:id="rId46" w:history="1">
        <w:r w:rsidRPr="001C2EBA">
          <w:rPr>
            <w:rStyle w:val="FranklinGothicDemi"/>
            <w:u w:val="single"/>
          </w:rPr>
          <w:t>www.air.org</w:t>
        </w:r>
      </w:hyperlink>
    </w:p>
    <w:p w14:paraId="4731B157" w14:textId="77777777" w:rsidR="00B678B5" w:rsidRPr="00680137" w:rsidRDefault="00B678B5">
      <w:pPr>
        <w:pStyle w:val="Cover-AIRaddress"/>
        <w:sectPr w:rsidR="00B678B5" w:rsidRPr="00680137" w:rsidSect="00B678B5">
          <w:type w:val="continuous"/>
          <w:pgSz w:w="12240" w:h="15840" w:code="1"/>
          <w:pgMar w:top="720" w:right="1008" w:bottom="720" w:left="1008" w:header="720" w:footer="720" w:gutter="0"/>
          <w:pgNumType w:fmt="lowerRoman" w:start="1"/>
          <w:cols w:num="2" w:space="0" w:equalWidth="0">
            <w:col w:w="4032" w:space="0"/>
            <w:col w:w="6192"/>
          </w:cols>
          <w:docGrid w:linePitch="360"/>
        </w:sectPr>
      </w:pPr>
    </w:p>
    <w:p w14:paraId="586D39BC" w14:textId="77777777" w:rsidR="00B678B5" w:rsidRPr="00E359BF" w:rsidRDefault="00B678B5" w:rsidP="00FC3247">
      <w:pPr>
        <w:pStyle w:val="TOCHeading"/>
      </w:pPr>
      <w:r w:rsidRPr="00FC3247">
        <w:t>Contents</w:t>
      </w:r>
    </w:p>
    <w:p w14:paraId="714CC70C" w14:textId="77777777" w:rsidR="00B678B5" w:rsidRDefault="00B678B5">
      <w:pPr>
        <w:spacing w:after="120"/>
        <w:jc w:val="right"/>
        <w:rPr>
          <w:rFonts w:ascii="Calibri" w:eastAsia="Times New Roman" w:hAnsi="Calibri" w:cs="Calibri"/>
          <w:b/>
          <w:bCs/>
          <w:szCs w:val="20"/>
        </w:rPr>
      </w:pPr>
      <w:r w:rsidRPr="00E359BF">
        <w:rPr>
          <w:rFonts w:ascii="Calibri" w:eastAsia="Times New Roman" w:hAnsi="Calibri" w:cs="Calibri"/>
          <w:b/>
          <w:bCs/>
          <w:szCs w:val="20"/>
        </w:rPr>
        <w:t>Page</w:t>
      </w:r>
    </w:p>
    <w:p w14:paraId="2787AEFB" w14:textId="43334251" w:rsidR="00B22A35" w:rsidRDefault="00B678B5">
      <w:pPr>
        <w:pStyle w:val="TOC1"/>
        <w:tabs>
          <w:tab w:val="right" w:leader="dot" w:pos="9350"/>
        </w:tabs>
        <w:rPr>
          <w:rFonts w:eastAsiaTheme="minorEastAsia"/>
          <w:noProof/>
          <w:kern w:val="2"/>
          <w:sz w:val="24"/>
          <w:szCs w:val="24"/>
          <w14:ligatures w14:val="standardContextual"/>
        </w:rPr>
      </w:pPr>
      <w:r>
        <w:rPr>
          <w:rFonts w:ascii="Calibri" w:eastAsia="Times New Roman" w:hAnsi="Calibri" w:cs="Calibri"/>
          <w:b/>
          <w:bCs/>
          <w:szCs w:val="20"/>
        </w:rPr>
        <w:fldChar w:fldCharType="begin"/>
      </w:r>
      <w:r>
        <w:rPr>
          <w:rFonts w:ascii="Calibri" w:eastAsia="Times New Roman" w:hAnsi="Calibri" w:cs="Calibri"/>
          <w:b/>
          <w:bCs/>
          <w:szCs w:val="20"/>
        </w:rPr>
        <w:instrText xml:space="preserve"> TOC \h \z \t "Heading 2 - SIOR,1" </w:instrText>
      </w:r>
      <w:r>
        <w:rPr>
          <w:rFonts w:ascii="Calibri" w:eastAsia="Times New Roman" w:hAnsi="Calibri" w:cs="Calibri"/>
          <w:b/>
          <w:bCs/>
          <w:szCs w:val="20"/>
        </w:rPr>
        <w:fldChar w:fldCharType="separate"/>
      </w:r>
      <w:hyperlink w:anchor="_Toc231296584" w:history="1">
        <w:r w:rsidR="00B22A35" w:rsidRPr="009C389A">
          <w:rPr>
            <w:rStyle w:val="Hyperlink"/>
            <w:noProof/>
          </w:rPr>
          <w:t>Introduction</w:t>
        </w:r>
        <w:r w:rsidR="00B22A35">
          <w:rPr>
            <w:noProof/>
            <w:webHidden/>
          </w:rPr>
          <w:tab/>
          <w:t>B-</w:t>
        </w:r>
        <w:r w:rsidR="00B22A35">
          <w:rPr>
            <w:noProof/>
            <w:webHidden/>
          </w:rPr>
          <w:fldChar w:fldCharType="begin"/>
        </w:r>
        <w:r w:rsidR="00B22A35">
          <w:rPr>
            <w:noProof/>
            <w:webHidden/>
          </w:rPr>
          <w:instrText xml:space="preserve"> PAGEREF _Toc231296584 \h </w:instrText>
        </w:r>
        <w:r w:rsidR="00B22A35">
          <w:rPr>
            <w:noProof/>
            <w:webHidden/>
          </w:rPr>
        </w:r>
        <w:r w:rsidR="00B22A35">
          <w:rPr>
            <w:noProof/>
            <w:webHidden/>
          </w:rPr>
          <w:fldChar w:fldCharType="separate"/>
        </w:r>
        <w:r w:rsidR="00B13DC7">
          <w:rPr>
            <w:noProof/>
            <w:webHidden/>
          </w:rPr>
          <w:t>4</w:t>
        </w:r>
        <w:r w:rsidR="00B22A35">
          <w:rPr>
            <w:noProof/>
            <w:webHidden/>
          </w:rPr>
          <w:fldChar w:fldCharType="end"/>
        </w:r>
      </w:hyperlink>
    </w:p>
    <w:p w14:paraId="1B50A65B" w14:textId="0404C29C" w:rsidR="00B22A35" w:rsidRDefault="00B22A35">
      <w:pPr>
        <w:pStyle w:val="TOC1"/>
        <w:tabs>
          <w:tab w:val="right" w:leader="dot" w:pos="9350"/>
        </w:tabs>
        <w:rPr>
          <w:rFonts w:eastAsiaTheme="minorEastAsia"/>
          <w:noProof/>
          <w:kern w:val="2"/>
          <w:sz w:val="24"/>
          <w:szCs w:val="24"/>
          <w14:ligatures w14:val="standardContextual"/>
        </w:rPr>
      </w:pPr>
      <w:hyperlink w:anchor="_Toc231296585" w:history="1">
        <w:r w:rsidRPr="009C389A">
          <w:rPr>
            <w:rStyle w:val="Hyperlink"/>
            <w:noProof/>
          </w:rPr>
          <w:t>Positive Climate</w:t>
        </w:r>
        <w:r>
          <w:rPr>
            <w:noProof/>
            <w:webHidden/>
          </w:rPr>
          <w:tab/>
        </w:r>
        <w:r w:rsidRPr="00B22A35">
          <w:rPr>
            <w:noProof/>
            <w:webHidden/>
          </w:rPr>
          <w:t>B-</w:t>
        </w:r>
        <w:r>
          <w:rPr>
            <w:noProof/>
            <w:webHidden/>
          </w:rPr>
          <w:fldChar w:fldCharType="begin"/>
        </w:r>
        <w:r>
          <w:rPr>
            <w:noProof/>
            <w:webHidden/>
          </w:rPr>
          <w:instrText xml:space="preserve"> PAGEREF _Toc231296585 \h </w:instrText>
        </w:r>
        <w:r>
          <w:rPr>
            <w:noProof/>
            <w:webHidden/>
          </w:rPr>
        </w:r>
        <w:r>
          <w:rPr>
            <w:noProof/>
            <w:webHidden/>
          </w:rPr>
          <w:fldChar w:fldCharType="separate"/>
        </w:r>
        <w:r w:rsidR="00B13DC7">
          <w:rPr>
            <w:noProof/>
            <w:webHidden/>
          </w:rPr>
          <w:t>6</w:t>
        </w:r>
        <w:r>
          <w:rPr>
            <w:noProof/>
            <w:webHidden/>
          </w:rPr>
          <w:fldChar w:fldCharType="end"/>
        </w:r>
      </w:hyperlink>
    </w:p>
    <w:p w14:paraId="000ABC5E" w14:textId="39AF09E7" w:rsidR="00B22A35" w:rsidRDefault="00B22A35">
      <w:pPr>
        <w:pStyle w:val="TOC1"/>
        <w:tabs>
          <w:tab w:val="right" w:leader="dot" w:pos="9350"/>
        </w:tabs>
        <w:rPr>
          <w:rFonts w:eastAsiaTheme="minorEastAsia"/>
          <w:noProof/>
          <w:kern w:val="2"/>
          <w:sz w:val="24"/>
          <w:szCs w:val="24"/>
          <w14:ligatures w14:val="standardContextual"/>
        </w:rPr>
      </w:pPr>
      <w:hyperlink w:anchor="_Toc231296586" w:history="1">
        <w:r w:rsidRPr="009C389A">
          <w:rPr>
            <w:rStyle w:val="Hyperlink"/>
            <w:noProof/>
          </w:rPr>
          <w:t>Teacher Sensitivity</w:t>
        </w:r>
        <w:r>
          <w:rPr>
            <w:noProof/>
            <w:webHidden/>
          </w:rPr>
          <w:tab/>
        </w:r>
        <w:r w:rsidRPr="00B22A35">
          <w:rPr>
            <w:noProof/>
            <w:webHidden/>
          </w:rPr>
          <w:t>B-</w:t>
        </w:r>
        <w:r>
          <w:rPr>
            <w:noProof/>
            <w:webHidden/>
          </w:rPr>
          <w:fldChar w:fldCharType="begin"/>
        </w:r>
        <w:r>
          <w:rPr>
            <w:noProof/>
            <w:webHidden/>
          </w:rPr>
          <w:instrText xml:space="preserve"> PAGEREF _Toc231296586 \h </w:instrText>
        </w:r>
        <w:r>
          <w:rPr>
            <w:noProof/>
            <w:webHidden/>
          </w:rPr>
        </w:r>
        <w:r>
          <w:rPr>
            <w:noProof/>
            <w:webHidden/>
          </w:rPr>
          <w:fldChar w:fldCharType="separate"/>
        </w:r>
        <w:r w:rsidR="00B13DC7">
          <w:rPr>
            <w:noProof/>
            <w:webHidden/>
          </w:rPr>
          <w:t>7</w:t>
        </w:r>
        <w:r>
          <w:rPr>
            <w:noProof/>
            <w:webHidden/>
          </w:rPr>
          <w:fldChar w:fldCharType="end"/>
        </w:r>
      </w:hyperlink>
    </w:p>
    <w:p w14:paraId="36E90451" w14:textId="4005E897" w:rsidR="00B22A35" w:rsidRDefault="00B22A35">
      <w:pPr>
        <w:pStyle w:val="TOC1"/>
        <w:tabs>
          <w:tab w:val="right" w:leader="dot" w:pos="9350"/>
        </w:tabs>
        <w:rPr>
          <w:rFonts w:eastAsiaTheme="minorEastAsia"/>
          <w:noProof/>
          <w:kern w:val="2"/>
          <w:sz w:val="24"/>
          <w:szCs w:val="24"/>
          <w14:ligatures w14:val="standardContextual"/>
        </w:rPr>
      </w:pPr>
      <w:hyperlink w:anchor="_Toc231296587" w:history="1">
        <w:r w:rsidRPr="009C389A">
          <w:rPr>
            <w:rStyle w:val="Hyperlink"/>
            <w:noProof/>
          </w:rPr>
          <w:t>Regard for Student Perspectives</w:t>
        </w:r>
        <w:r>
          <w:rPr>
            <w:noProof/>
            <w:webHidden/>
          </w:rPr>
          <w:tab/>
        </w:r>
        <w:r w:rsidRPr="00B22A35">
          <w:rPr>
            <w:noProof/>
            <w:webHidden/>
          </w:rPr>
          <w:t>B-</w:t>
        </w:r>
        <w:r>
          <w:rPr>
            <w:noProof/>
            <w:webHidden/>
          </w:rPr>
          <w:fldChar w:fldCharType="begin"/>
        </w:r>
        <w:r>
          <w:rPr>
            <w:noProof/>
            <w:webHidden/>
          </w:rPr>
          <w:instrText xml:space="preserve"> PAGEREF _Toc231296587 \h </w:instrText>
        </w:r>
        <w:r>
          <w:rPr>
            <w:noProof/>
            <w:webHidden/>
          </w:rPr>
        </w:r>
        <w:r>
          <w:rPr>
            <w:noProof/>
            <w:webHidden/>
          </w:rPr>
          <w:fldChar w:fldCharType="separate"/>
        </w:r>
        <w:r w:rsidR="00B13DC7">
          <w:rPr>
            <w:noProof/>
            <w:webHidden/>
          </w:rPr>
          <w:t>8</w:t>
        </w:r>
        <w:r>
          <w:rPr>
            <w:noProof/>
            <w:webHidden/>
          </w:rPr>
          <w:fldChar w:fldCharType="end"/>
        </w:r>
      </w:hyperlink>
    </w:p>
    <w:p w14:paraId="24576AAD" w14:textId="75BE4510" w:rsidR="00B22A35" w:rsidRDefault="00B22A35">
      <w:pPr>
        <w:pStyle w:val="TOC1"/>
        <w:tabs>
          <w:tab w:val="right" w:leader="dot" w:pos="9350"/>
        </w:tabs>
        <w:rPr>
          <w:rFonts w:eastAsiaTheme="minorEastAsia"/>
          <w:noProof/>
          <w:kern w:val="2"/>
          <w:sz w:val="24"/>
          <w:szCs w:val="24"/>
          <w14:ligatures w14:val="standardContextual"/>
        </w:rPr>
      </w:pPr>
      <w:hyperlink w:anchor="_Toc231296588" w:history="1">
        <w:r w:rsidRPr="009C389A">
          <w:rPr>
            <w:rStyle w:val="Hyperlink"/>
            <w:noProof/>
          </w:rPr>
          <w:t>Negative Climate</w:t>
        </w:r>
        <w:r>
          <w:rPr>
            <w:noProof/>
            <w:webHidden/>
          </w:rPr>
          <w:tab/>
        </w:r>
        <w:r w:rsidRPr="00B22A35">
          <w:rPr>
            <w:noProof/>
            <w:webHidden/>
          </w:rPr>
          <w:t>B-</w:t>
        </w:r>
        <w:r>
          <w:rPr>
            <w:noProof/>
            <w:webHidden/>
          </w:rPr>
          <w:fldChar w:fldCharType="begin"/>
        </w:r>
        <w:r>
          <w:rPr>
            <w:noProof/>
            <w:webHidden/>
          </w:rPr>
          <w:instrText xml:space="preserve"> PAGEREF _Toc231296588 \h </w:instrText>
        </w:r>
        <w:r>
          <w:rPr>
            <w:noProof/>
            <w:webHidden/>
          </w:rPr>
        </w:r>
        <w:r>
          <w:rPr>
            <w:noProof/>
            <w:webHidden/>
          </w:rPr>
          <w:fldChar w:fldCharType="separate"/>
        </w:r>
        <w:r w:rsidR="00B13DC7">
          <w:rPr>
            <w:noProof/>
            <w:webHidden/>
          </w:rPr>
          <w:t>9</w:t>
        </w:r>
        <w:r>
          <w:rPr>
            <w:noProof/>
            <w:webHidden/>
          </w:rPr>
          <w:fldChar w:fldCharType="end"/>
        </w:r>
      </w:hyperlink>
    </w:p>
    <w:p w14:paraId="48A42864" w14:textId="1F04C771" w:rsidR="00B22A35" w:rsidRDefault="00B22A35">
      <w:pPr>
        <w:pStyle w:val="TOC1"/>
        <w:tabs>
          <w:tab w:val="right" w:leader="dot" w:pos="9350"/>
        </w:tabs>
        <w:rPr>
          <w:rFonts w:eastAsiaTheme="minorEastAsia"/>
          <w:noProof/>
          <w:kern w:val="2"/>
          <w:sz w:val="24"/>
          <w:szCs w:val="24"/>
          <w14:ligatures w14:val="standardContextual"/>
        </w:rPr>
      </w:pPr>
      <w:hyperlink w:anchor="_Toc231296589" w:history="1">
        <w:r w:rsidRPr="009C389A">
          <w:rPr>
            <w:rStyle w:val="Hyperlink"/>
            <w:noProof/>
          </w:rPr>
          <w:t>Behavior Management</w:t>
        </w:r>
        <w:r>
          <w:rPr>
            <w:noProof/>
            <w:webHidden/>
          </w:rPr>
          <w:tab/>
        </w:r>
        <w:r w:rsidRPr="00B22A35">
          <w:rPr>
            <w:noProof/>
            <w:webHidden/>
          </w:rPr>
          <w:t>B-</w:t>
        </w:r>
        <w:r>
          <w:rPr>
            <w:noProof/>
            <w:webHidden/>
          </w:rPr>
          <w:fldChar w:fldCharType="begin"/>
        </w:r>
        <w:r>
          <w:rPr>
            <w:noProof/>
            <w:webHidden/>
          </w:rPr>
          <w:instrText xml:space="preserve"> PAGEREF _Toc231296589 \h </w:instrText>
        </w:r>
        <w:r>
          <w:rPr>
            <w:noProof/>
            <w:webHidden/>
          </w:rPr>
        </w:r>
        <w:r>
          <w:rPr>
            <w:noProof/>
            <w:webHidden/>
          </w:rPr>
          <w:fldChar w:fldCharType="separate"/>
        </w:r>
        <w:r w:rsidR="00B13DC7">
          <w:rPr>
            <w:noProof/>
            <w:webHidden/>
          </w:rPr>
          <w:t>10</w:t>
        </w:r>
        <w:r>
          <w:rPr>
            <w:noProof/>
            <w:webHidden/>
          </w:rPr>
          <w:fldChar w:fldCharType="end"/>
        </w:r>
      </w:hyperlink>
    </w:p>
    <w:p w14:paraId="5CAE7159" w14:textId="3770B0A3" w:rsidR="00B22A35" w:rsidRDefault="00B22A35">
      <w:pPr>
        <w:pStyle w:val="TOC1"/>
        <w:tabs>
          <w:tab w:val="right" w:leader="dot" w:pos="9350"/>
        </w:tabs>
        <w:rPr>
          <w:rFonts w:eastAsiaTheme="minorEastAsia"/>
          <w:noProof/>
          <w:kern w:val="2"/>
          <w:sz w:val="24"/>
          <w:szCs w:val="24"/>
          <w14:ligatures w14:val="standardContextual"/>
        </w:rPr>
      </w:pPr>
      <w:hyperlink w:anchor="_Toc231296590" w:history="1">
        <w:r w:rsidRPr="009C389A">
          <w:rPr>
            <w:rStyle w:val="Hyperlink"/>
            <w:noProof/>
          </w:rPr>
          <w:t>Productivity</w:t>
        </w:r>
        <w:r>
          <w:rPr>
            <w:noProof/>
            <w:webHidden/>
          </w:rPr>
          <w:tab/>
        </w:r>
        <w:r w:rsidRPr="00B22A35">
          <w:rPr>
            <w:noProof/>
            <w:webHidden/>
          </w:rPr>
          <w:t>B-</w:t>
        </w:r>
        <w:r>
          <w:rPr>
            <w:noProof/>
            <w:webHidden/>
          </w:rPr>
          <w:fldChar w:fldCharType="begin"/>
        </w:r>
        <w:r>
          <w:rPr>
            <w:noProof/>
            <w:webHidden/>
          </w:rPr>
          <w:instrText xml:space="preserve"> PAGEREF _Toc231296590 \h </w:instrText>
        </w:r>
        <w:r>
          <w:rPr>
            <w:noProof/>
            <w:webHidden/>
          </w:rPr>
        </w:r>
        <w:r>
          <w:rPr>
            <w:noProof/>
            <w:webHidden/>
          </w:rPr>
          <w:fldChar w:fldCharType="separate"/>
        </w:r>
        <w:r w:rsidR="00B13DC7">
          <w:rPr>
            <w:noProof/>
            <w:webHidden/>
          </w:rPr>
          <w:t>11</w:t>
        </w:r>
        <w:r>
          <w:rPr>
            <w:noProof/>
            <w:webHidden/>
          </w:rPr>
          <w:fldChar w:fldCharType="end"/>
        </w:r>
      </w:hyperlink>
    </w:p>
    <w:p w14:paraId="2B3F4830" w14:textId="068E684B" w:rsidR="00B22A35" w:rsidRDefault="00B22A35">
      <w:pPr>
        <w:pStyle w:val="TOC1"/>
        <w:tabs>
          <w:tab w:val="right" w:leader="dot" w:pos="9350"/>
        </w:tabs>
        <w:rPr>
          <w:rFonts w:eastAsiaTheme="minorEastAsia"/>
          <w:noProof/>
          <w:kern w:val="2"/>
          <w:sz w:val="24"/>
          <w:szCs w:val="24"/>
          <w14:ligatures w14:val="standardContextual"/>
        </w:rPr>
      </w:pPr>
      <w:hyperlink w:anchor="_Toc231296591" w:history="1">
        <w:r w:rsidRPr="009C389A">
          <w:rPr>
            <w:rStyle w:val="Hyperlink"/>
            <w:noProof/>
          </w:rPr>
          <w:t>Instructional Learning Formats</w:t>
        </w:r>
        <w:r>
          <w:rPr>
            <w:noProof/>
            <w:webHidden/>
          </w:rPr>
          <w:tab/>
        </w:r>
        <w:r w:rsidRPr="00B22A35">
          <w:rPr>
            <w:noProof/>
            <w:webHidden/>
          </w:rPr>
          <w:t>B-</w:t>
        </w:r>
        <w:r>
          <w:rPr>
            <w:noProof/>
            <w:webHidden/>
          </w:rPr>
          <w:fldChar w:fldCharType="begin"/>
        </w:r>
        <w:r>
          <w:rPr>
            <w:noProof/>
            <w:webHidden/>
          </w:rPr>
          <w:instrText xml:space="preserve"> PAGEREF _Toc231296591 \h </w:instrText>
        </w:r>
        <w:r>
          <w:rPr>
            <w:noProof/>
            <w:webHidden/>
          </w:rPr>
        </w:r>
        <w:r>
          <w:rPr>
            <w:noProof/>
            <w:webHidden/>
          </w:rPr>
          <w:fldChar w:fldCharType="separate"/>
        </w:r>
        <w:r w:rsidR="00B13DC7">
          <w:rPr>
            <w:noProof/>
            <w:webHidden/>
          </w:rPr>
          <w:t>12</w:t>
        </w:r>
        <w:r>
          <w:rPr>
            <w:noProof/>
            <w:webHidden/>
          </w:rPr>
          <w:fldChar w:fldCharType="end"/>
        </w:r>
      </w:hyperlink>
    </w:p>
    <w:p w14:paraId="35C11FA5" w14:textId="5F2F789B" w:rsidR="00B22A35" w:rsidRDefault="00B22A35">
      <w:pPr>
        <w:pStyle w:val="TOC1"/>
        <w:tabs>
          <w:tab w:val="right" w:leader="dot" w:pos="9350"/>
        </w:tabs>
        <w:rPr>
          <w:rFonts w:eastAsiaTheme="minorEastAsia"/>
          <w:noProof/>
          <w:kern w:val="2"/>
          <w:sz w:val="24"/>
          <w:szCs w:val="24"/>
          <w14:ligatures w14:val="standardContextual"/>
        </w:rPr>
      </w:pPr>
      <w:hyperlink w:anchor="_Toc231296592" w:history="1">
        <w:r w:rsidRPr="009C389A">
          <w:rPr>
            <w:rStyle w:val="Hyperlink"/>
            <w:noProof/>
          </w:rPr>
          <w:t>Concept Development</w:t>
        </w:r>
        <w:r>
          <w:rPr>
            <w:noProof/>
            <w:webHidden/>
          </w:rPr>
          <w:tab/>
        </w:r>
        <w:r w:rsidRPr="00B22A35">
          <w:rPr>
            <w:noProof/>
            <w:webHidden/>
          </w:rPr>
          <w:t>B-</w:t>
        </w:r>
        <w:r>
          <w:rPr>
            <w:noProof/>
            <w:webHidden/>
          </w:rPr>
          <w:fldChar w:fldCharType="begin"/>
        </w:r>
        <w:r>
          <w:rPr>
            <w:noProof/>
            <w:webHidden/>
          </w:rPr>
          <w:instrText xml:space="preserve"> PAGEREF _Toc231296592 \h </w:instrText>
        </w:r>
        <w:r>
          <w:rPr>
            <w:noProof/>
            <w:webHidden/>
          </w:rPr>
        </w:r>
        <w:r>
          <w:rPr>
            <w:noProof/>
            <w:webHidden/>
          </w:rPr>
          <w:fldChar w:fldCharType="separate"/>
        </w:r>
        <w:r w:rsidR="00B13DC7">
          <w:rPr>
            <w:noProof/>
            <w:webHidden/>
          </w:rPr>
          <w:t>13</w:t>
        </w:r>
        <w:r>
          <w:rPr>
            <w:noProof/>
            <w:webHidden/>
          </w:rPr>
          <w:fldChar w:fldCharType="end"/>
        </w:r>
      </w:hyperlink>
    </w:p>
    <w:p w14:paraId="4CE7DE59" w14:textId="2236BD27" w:rsidR="00B22A35" w:rsidRDefault="00B22A35">
      <w:pPr>
        <w:pStyle w:val="TOC1"/>
        <w:tabs>
          <w:tab w:val="right" w:leader="dot" w:pos="9350"/>
        </w:tabs>
        <w:rPr>
          <w:rFonts w:eastAsiaTheme="minorEastAsia"/>
          <w:noProof/>
          <w:kern w:val="2"/>
          <w:sz w:val="24"/>
          <w:szCs w:val="24"/>
          <w14:ligatures w14:val="standardContextual"/>
        </w:rPr>
      </w:pPr>
      <w:hyperlink w:anchor="_Toc231296593" w:history="1">
        <w:r w:rsidRPr="009C389A">
          <w:rPr>
            <w:rStyle w:val="Hyperlink"/>
            <w:noProof/>
          </w:rPr>
          <w:t>Content Understanding</w:t>
        </w:r>
        <w:r>
          <w:rPr>
            <w:noProof/>
            <w:webHidden/>
          </w:rPr>
          <w:tab/>
        </w:r>
        <w:r w:rsidRPr="00B22A35">
          <w:rPr>
            <w:noProof/>
            <w:webHidden/>
          </w:rPr>
          <w:t>B-</w:t>
        </w:r>
        <w:r>
          <w:rPr>
            <w:noProof/>
            <w:webHidden/>
          </w:rPr>
          <w:fldChar w:fldCharType="begin"/>
        </w:r>
        <w:r>
          <w:rPr>
            <w:noProof/>
            <w:webHidden/>
          </w:rPr>
          <w:instrText xml:space="preserve"> PAGEREF _Toc231296593 \h </w:instrText>
        </w:r>
        <w:r>
          <w:rPr>
            <w:noProof/>
            <w:webHidden/>
          </w:rPr>
        </w:r>
        <w:r>
          <w:rPr>
            <w:noProof/>
            <w:webHidden/>
          </w:rPr>
          <w:fldChar w:fldCharType="separate"/>
        </w:r>
        <w:r w:rsidR="00B13DC7">
          <w:rPr>
            <w:noProof/>
            <w:webHidden/>
          </w:rPr>
          <w:t>14</w:t>
        </w:r>
        <w:r>
          <w:rPr>
            <w:noProof/>
            <w:webHidden/>
          </w:rPr>
          <w:fldChar w:fldCharType="end"/>
        </w:r>
      </w:hyperlink>
    </w:p>
    <w:p w14:paraId="7649DB43" w14:textId="7B57EBFD" w:rsidR="00B22A35" w:rsidRDefault="00B22A35">
      <w:pPr>
        <w:pStyle w:val="TOC1"/>
        <w:tabs>
          <w:tab w:val="right" w:leader="dot" w:pos="9350"/>
        </w:tabs>
        <w:rPr>
          <w:rFonts w:eastAsiaTheme="minorEastAsia"/>
          <w:noProof/>
          <w:kern w:val="2"/>
          <w:sz w:val="24"/>
          <w:szCs w:val="24"/>
          <w14:ligatures w14:val="standardContextual"/>
        </w:rPr>
      </w:pPr>
      <w:hyperlink w:anchor="_Toc231296594" w:history="1">
        <w:r w:rsidRPr="009C389A">
          <w:rPr>
            <w:rStyle w:val="Hyperlink"/>
            <w:noProof/>
          </w:rPr>
          <w:t>Analysis and Inquiry</w:t>
        </w:r>
        <w:r>
          <w:rPr>
            <w:noProof/>
            <w:webHidden/>
          </w:rPr>
          <w:tab/>
        </w:r>
        <w:r w:rsidRPr="00B22A35">
          <w:rPr>
            <w:noProof/>
            <w:webHidden/>
          </w:rPr>
          <w:t>B-</w:t>
        </w:r>
        <w:r>
          <w:rPr>
            <w:noProof/>
            <w:webHidden/>
          </w:rPr>
          <w:fldChar w:fldCharType="begin"/>
        </w:r>
        <w:r>
          <w:rPr>
            <w:noProof/>
            <w:webHidden/>
          </w:rPr>
          <w:instrText xml:space="preserve"> PAGEREF _Toc231296594 \h </w:instrText>
        </w:r>
        <w:r>
          <w:rPr>
            <w:noProof/>
            <w:webHidden/>
          </w:rPr>
        </w:r>
        <w:r>
          <w:rPr>
            <w:noProof/>
            <w:webHidden/>
          </w:rPr>
          <w:fldChar w:fldCharType="separate"/>
        </w:r>
        <w:r w:rsidR="00B13DC7">
          <w:rPr>
            <w:noProof/>
            <w:webHidden/>
          </w:rPr>
          <w:t>15</w:t>
        </w:r>
        <w:r>
          <w:rPr>
            <w:noProof/>
            <w:webHidden/>
          </w:rPr>
          <w:fldChar w:fldCharType="end"/>
        </w:r>
      </w:hyperlink>
    </w:p>
    <w:p w14:paraId="0A6D9EDE" w14:textId="20B5F094" w:rsidR="00B22A35" w:rsidRDefault="00B22A35">
      <w:pPr>
        <w:pStyle w:val="TOC1"/>
        <w:tabs>
          <w:tab w:val="right" w:leader="dot" w:pos="9350"/>
        </w:tabs>
        <w:rPr>
          <w:rFonts w:eastAsiaTheme="minorEastAsia"/>
          <w:noProof/>
          <w:kern w:val="2"/>
          <w:sz w:val="24"/>
          <w:szCs w:val="24"/>
          <w14:ligatures w14:val="standardContextual"/>
        </w:rPr>
      </w:pPr>
      <w:hyperlink w:anchor="_Toc231296595" w:history="1">
        <w:r w:rsidRPr="009C389A">
          <w:rPr>
            <w:rStyle w:val="Hyperlink"/>
            <w:noProof/>
          </w:rPr>
          <w:t>Quality of Feedback</w:t>
        </w:r>
        <w:r>
          <w:rPr>
            <w:noProof/>
            <w:webHidden/>
          </w:rPr>
          <w:tab/>
        </w:r>
        <w:r w:rsidRPr="00B22A35">
          <w:rPr>
            <w:noProof/>
            <w:webHidden/>
          </w:rPr>
          <w:t>B-</w:t>
        </w:r>
        <w:r>
          <w:rPr>
            <w:noProof/>
            <w:webHidden/>
          </w:rPr>
          <w:fldChar w:fldCharType="begin"/>
        </w:r>
        <w:r>
          <w:rPr>
            <w:noProof/>
            <w:webHidden/>
          </w:rPr>
          <w:instrText xml:space="preserve"> PAGEREF _Toc231296595 \h </w:instrText>
        </w:r>
        <w:r>
          <w:rPr>
            <w:noProof/>
            <w:webHidden/>
          </w:rPr>
        </w:r>
        <w:r>
          <w:rPr>
            <w:noProof/>
            <w:webHidden/>
          </w:rPr>
          <w:fldChar w:fldCharType="separate"/>
        </w:r>
        <w:r w:rsidR="00B13DC7">
          <w:rPr>
            <w:noProof/>
            <w:webHidden/>
          </w:rPr>
          <w:t>16</w:t>
        </w:r>
        <w:r>
          <w:rPr>
            <w:noProof/>
            <w:webHidden/>
          </w:rPr>
          <w:fldChar w:fldCharType="end"/>
        </w:r>
      </w:hyperlink>
    </w:p>
    <w:p w14:paraId="2A745223" w14:textId="369B78E7" w:rsidR="00B22A35" w:rsidRDefault="00B22A35">
      <w:pPr>
        <w:pStyle w:val="TOC1"/>
        <w:tabs>
          <w:tab w:val="right" w:leader="dot" w:pos="9350"/>
        </w:tabs>
        <w:rPr>
          <w:rFonts w:eastAsiaTheme="minorEastAsia"/>
          <w:noProof/>
          <w:kern w:val="2"/>
          <w:sz w:val="24"/>
          <w:szCs w:val="24"/>
          <w14:ligatures w14:val="standardContextual"/>
        </w:rPr>
      </w:pPr>
      <w:hyperlink w:anchor="_Toc231296596" w:history="1">
        <w:r w:rsidRPr="009C389A">
          <w:rPr>
            <w:rStyle w:val="Hyperlink"/>
            <w:noProof/>
          </w:rPr>
          <w:t>Language Modeling</w:t>
        </w:r>
        <w:r>
          <w:rPr>
            <w:noProof/>
            <w:webHidden/>
          </w:rPr>
          <w:tab/>
        </w:r>
        <w:r w:rsidRPr="00B22A35">
          <w:rPr>
            <w:noProof/>
            <w:webHidden/>
          </w:rPr>
          <w:t>B-</w:t>
        </w:r>
        <w:r>
          <w:rPr>
            <w:noProof/>
            <w:webHidden/>
          </w:rPr>
          <w:fldChar w:fldCharType="begin"/>
        </w:r>
        <w:r>
          <w:rPr>
            <w:noProof/>
            <w:webHidden/>
          </w:rPr>
          <w:instrText xml:space="preserve"> PAGEREF _Toc231296596 \h </w:instrText>
        </w:r>
        <w:r>
          <w:rPr>
            <w:noProof/>
            <w:webHidden/>
          </w:rPr>
        </w:r>
        <w:r>
          <w:rPr>
            <w:noProof/>
            <w:webHidden/>
          </w:rPr>
          <w:fldChar w:fldCharType="separate"/>
        </w:r>
        <w:r w:rsidR="00B13DC7">
          <w:rPr>
            <w:noProof/>
            <w:webHidden/>
          </w:rPr>
          <w:t>17</w:t>
        </w:r>
        <w:r>
          <w:rPr>
            <w:noProof/>
            <w:webHidden/>
          </w:rPr>
          <w:fldChar w:fldCharType="end"/>
        </w:r>
      </w:hyperlink>
    </w:p>
    <w:p w14:paraId="4B7FD7FD" w14:textId="33967B5C" w:rsidR="00B22A35" w:rsidRDefault="00B22A35">
      <w:pPr>
        <w:pStyle w:val="TOC1"/>
        <w:tabs>
          <w:tab w:val="right" w:leader="dot" w:pos="9350"/>
        </w:tabs>
        <w:rPr>
          <w:rFonts w:eastAsiaTheme="minorEastAsia"/>
          <w:noProof/>
          <w:kern w:val="2"/>
          <w:sz w:val="24"/>
          <w:szCs w:val="24"/>
          <w14:ligatures w14:val="standardContextual"/>
        </w:rPr>
      </w:pPr>
      <w:hyperlink w:anchor="_Toc231296597" w:history="1">
        <w:r w:rsidRPr="009C389A">
          <w:rPr>
            <w:rStyle w:val="Hyperlink"/>
            <w:noProof/>
            <w:lang w:val="fr-FR"/>
          </w:rPr>
          <w:t xml:space="preserve">Instructional </w:t>
        </w:r>
        <w:r w:rsidRPr="009C389A">
          <w:rPr>
            <w:rStyle w:val="Hyperlink"/>
            <w:noProof/>
          </w:rPr>
          <w:t>Dialogue</w:t>
        </w:r>
        <w:r>
          <w:rPr>
            <w:noProof/>
            <w:webHidden/>
          </w:rPr>
          <w:tab/>
        </w:r>
        <w:r w:rsidRPr="00B22A35">
          <w:rPr>
            <w:noProof/>
            <w:webHidden/>
          </w:rPr>
          <w:t>B-</w:t>
        </w:r>
        <w:r>
          <w:rPr>
            <w:noProof/>
            <w:webHidden/>
          </w:rPr>
          <w:fldChar w:fldCharType="begin"/>
        </w:r>
        <w:r>
          <w:rPr>
            <w:noProof/>
            <w:webHidden/>
          </w:rPr>
          <w:instrText xml:space="preserve"> PAGEREF _Toc231296597 \h </w:instrText>
        </w:r>
        <w:r>
          <w:rPr>
            <w:noProof/>
            <w:webHidden/>
          </w:rPr>
        </w:r>
        <w:r>
          <w:rPr>
            <w:noProof/>
            <w:webHidden/>
          </w:rPr>
          <w:fldChar w:fldCharType="separate"/>
        </w:r>
        <w:r w:rsidR="00B13DC7">
          <w:rPr>
            <w:noProof/>
            <w:webHidden/>
          </w:rPr>
          <w:t>18</w:t>
        </w:r>
        <w:r>
          <w:rPr>
            <w:noProof/>
            <w:webHidden/>
          </w:rPr>
          <w:fldChar w:fldCharType="end"/>
        </w:r>
      </w:hyperlink>
    </w:p>
    <w:p w14:paraId="028DE57F" w14:textId="474D619D" w:rsidR="00B22A35" w:rsidRDefault="00B22A35">
      <w:pPr>
        <w:pStyle w:val="TOC1"/>
        <w:tabs>
          <w:tab w:val="right" w:leader="dot" w:pos="9350"/>
        </w:tabs>
        <w:rPr>
          <w:rFonts w:eastAsiaTheme="minorEastAsia"/>
          <w:noProof/>
          <w:kern w:val="2"/>
          <w:sz w:val="24"/>
          <w:szCs w:val="24"/>
          <w14:ligatures w14:val="standardContextual"/>
        </w:rPr>
      </w:pPr>
      <w:hyperlink w:anchor="_Toc231296598" w:history="1">
        <w:r w:rsidRPr="009C389A">
          <w:rPr>
            <w:rStyle w:val="Hyperlink"/>
            <w:noProof/>
            <w:lang w:val="fr-FR"/>
          </w:rPr>
          <w:t xml:space="preserve">Student </w:t>
        </w:r>
        <w:r w:rsidRPr="009C389A">
          <w:rPr>
            <w:rStyle w:val="Hyperlink"/>
            <w:noProof/>
          </w:rPr>
          <w:t>Engagement</w:t>
        </w:r>
        <w:r>
          <w:rPr>
            <w:noProof/>
            <w:webHidden/>
          </w:rPr>
          <w:tab/>
        </w:r>
        <w:r w:rsidRPr="00B22A35">
          <w:rPr>
            <w:noProof/>
            <w:webHidden/>
          </w:rPr>
          <w:t>B-</w:t>
        </w:r>
        <w:r>
          <w:rPr>
            <w:noProof/>
            <w:webHidden/>
          </w:rPr>
          <w:fldChar w:fldCharType="begin"/>
        </w:r>
        <w:r>
          <w:rPr>
            <w:noProof/>
            <w:webHidden/>
          </w:rPr>
          <w:instrText xml:space="preserve"> PAGEREF _Toc231296598 \h </w:instrText>
        </w:r>
        <w:r>
          <w:rPr>
            <w:noProof/>
            <w:webHidden/>
          </w:rPr>
        </w:r>
        <w:r>
          <w:rPr>
            <w:noProof/>
            <w:webHidden/>
          </w:rPr>
          <w:fldChar w:fldCharType="separate"/>
        </w:r>
        <w:r w:rsidR="00B13DC7">
          <w:rPr>
            <w:noProof/>
            <w:webHidden/>
          </w:rPr>
          <w:t>19</w:t>
        </w:r>
        <w:r>
          <w:rPr>
            <w:noProof/>
            <w:webHidden/>
          </w:rPr>
          <w:fldChar w:fldCharType="end"/>
        </w:r>
      </w:hyperlink>
    </w:p>
    <w:p w14:paraId="18A9F1C9" w14:textId="5AF1D5CD" w:rsidR="00B22A35" w:rsidRDefault="00B22A35">
      <w:pPr>
        <w:pStyle w:val="TOC1"/>
        <w:tabs>
          <w:tab w:val="right" w:leader="dot" w:pos="9350"/>
        </w:tabs>
        <w:rPr>
          <w:rFonts w:eastAsiaTheme="minorEastAsia"/>
          <w:noProof/>
          <w:kern w:val="2"/>
          <w:sz w:val="24"/>
          <w:szCs w:val="24"/>
          <w14:ligatures w14:val="standardContextual"/>
        </w:rPr>
      </w:pPr>
      <w:hyperlink w:anchor="_Toc231296599" w:history="1">
        <w:r w:rsidRPr="009C389A">
          <w:rPr>
            <w:rStyle w:val="Hyperlink"/>
            <w:noProof/>
          </w:rPr>
          <w:t>Summary of Average Ratings: Grades PK–5</w:t>
        </w:r>
        <w:r>
          <w:rPr>
            <w:noProof/>
            <w:webHidden/>
          </w:rPr>
          <w:tab/>
        </w:r>
        <w:r w:rsidRPr="00B22A35">
          <w:rPr>
            <w:noProof/>
            <w:webHidden/>
          </w:rPr>
          <w:t>B-</w:t>
        </w:r>
        <w:r>
          <w:rPr>
            <w:noProof/>
            <w:webHidden/>
          </w:rPr>
          <w:fldChar w:fldCharType="begin"/>
        </w:r>
        <w:r>
          <w:rPr>
            <w:noProof/>
            <w:webHidden/>
          </w:rPr>
          <w:instrText xml:space="preserve"> PAGEREF _Toc231296599 \h </w:instrText>
        </w:r>
        <w:r>
          <w:rPr>
            <w:noProof/>
            <w:webHidden/>
          </w:rPr>
        </w:r>
        <w:r>
          <w:rPr>
            <w:noProof/>
            <w:webHidden/>
          </w:rPr>
          <w:fldChar w:fldCharType="separate"/>
        </w:r>
        <w:r w:rsidR="00B13DC7">
          <w:rPr>
            <w:noProof/>
            <w:webHidden/>
          </w:rPr>
          <w:t>20</w:t>
        </w:r>
        <w:r>
          <w:rPr>
            <w:noProof/>
            <w:webHidden/>
          </w:rPr>
          <w:fldChar w:fldCharType="end"/>
        </w:r>
      </w:hyperlink>
    </w:p>
    <w:p w14:paraId="4AAD6BC9" w14:textId="51B0F397" w:rsidR="00B22A35" w:rsidRDefault="00B22A35">
      <w:pPr>
        <w:pStyle w:val="TOC1"/>
        <w:tabs>
          <w:tab w:val="right" w:leader="dot" w:pos="9350"/>
        </w:tabs>
        <w:rPr>
          <w:rFonts w:eastAsiaTheme="minorEastAsia"/>
          <w:noProof/>
          <w:kern w:val="2"/>
          <w:sz w:val="24"/>
          <w:szCs w:val="24"/>
          <w14:ligatures w14:val="standardContextual"/>
        </w:rPr>
      </w:pPr>
      <w:hyperlink w:anchor="_Toc231296600" w:history="1">
        <w:r w:rsidRPr="009C389A">
          <w:rPr>
            <w:rStyle w:val="Hyperlink"/>
            <w:noProof/>
          </w:rPr>
          <w:t>Summary of Average Ratings: Grades 6–8</w:t>
        </w:r>
        <w:r>
          <w:rPr>
            <w:noProof/>
            <w:webHidden/>
          </w:rPr>
          <w:tab/>
        </w:r>
        <w:r w:rsidRPr="00B22A35">
          <w:rPr>
            <w:noProof/>
            <w:webHidden/>
          </w:rPr>
          <w:t>B-</w:t>
        </w:r>
        <w:r>
          <w:rPr>
            <w:noProof/>
            <w:webHidden/>
          </w:rPr>
          <w:fldChar w:fldCharType="begin"/>
        </w:r>
        <w:r>
          <w:rPr>
            <w:noProof/>
            <w:webHidden/>
          </w:rPr>
          <w:instrText xml:space="preserve"> PAGEREF _Toc231296600 \h </w:instrText>
        </w:r>
        <w:r>
          <w:rPr>
            <w:noProof/>
            <w:webHidden/>
          </w:rPr>
        </w:r>
        <w:r>
          <w:rPr>
            <w:noProof/>
            <w:webHidden/>
          </w:rPr>
          <w:fldChar w:fldCharType="separate"/>
        </w:r>
        <w:r w:rsidR="00B13DC7">
          <w:rPr>
            <w:noProof/>
            <w:webHidden/>
          </w:rPr>
          <w:t>21</w:t>
        </w:r>
        <w:r>
          <w:rPr>
            <w:noProof/>
            <w:webHidden/>
          </w:rPr>
          <w:fldChar w:fldCharType="end"/>
        </w:r>
      </w:hyperlink>
    </w:p>
    <w:p w14:paraId="7A0CDE99" w14:textId="531A31B1" w:rsidR="00B22A35" w:rsidRDefault="00B22A35">
      <w:pPr>
        <w:pStyle w:val="TOC1"/>
        <w:tabs>
          <w:tab w:val="right" w:leader="dot" w:pos="9350"/>
        </w:tabs>
        <w:rPr>
          <w:rFonts w:eastAsiaTheme="minorEastAsia"/>
          <w:noProof/>
          <w:kern w:val="2"/>
          <w:sz w:val="24"/>
          <w:szCs w:val="24"/>
          <w14:ligatures w14:val="standardContextual"/>
        </w:rPr>
      </w:pPr>
      <w:hyperlink w:anchor="_Toc231296601" w:history="1">
        <w:r w:rsidRPr="009C389A">
          <w:rPr>
            <w:rStyle w:val="Hyperlink"/>
            <w:noProof/>
          </w:rPr>
          <w:t>Summary of Average Ratings: Grades 9–12</w:t>
        </w:r>
        <w:r>
          <w:rPr>
            <w:noProof/>
            <w:webHidden/>
          </w:rPr>
          <w:tab/>
        </w:r>
        <w:r w:rsidRPr="00B22A35">
          <w:rPr>
            <w:noProof/>
            <w:webHidden/>
          </w:rPr>
          <w:t>B-</w:t>
        </w:r>
        <w:r>
          <w:rPr>
            <w:noProof/>
            <w:webHidden/>
          </w:rPr>
          <w:fldChar w:fldCharType="begin"/>
        </w:r>
        <w:r>
          <w:rPr>
            <w:noProof/>
            <w:webHidden/>
          </w:rPr>
          <w:instrText xml:space="preserve"> PAGEREF _Toc231296601 \h </w:instrText>
        </w:r>
        <w:r>
          <w:rPr>
            <w:noProof/>
            <w:webHidden/>
          </w:rPr>
        </w:r>
        <w:r>
          <w:rPr>
            <w:noProof/>
            <w:webHidden/>
          </w:rPr>
          <w:fldChar w:fldCharType="separate"/>
        </w:r>
        <w:r w:rsidR="00B13DC7">
          <w:rPr>
            <w:noProof/>
            <w:webHidden/>
          </w:rPr>
          <w:t>22</w:t>
        </w:r>
        <w:r>
          <w:rPr>
            <w:noProof/>
            <w:webHidden/>
          </w:rPr>
          <w:fldChar w:fldCharType="end"/>
        </w:r>
      </w:hyperlink>
    </w:p>
    <w:p w14:paraId="5AC498F4" w14:textId="77A7F55D" w:rsidR="00B22A35" w:rsidRDefault="00B22A35">
      <w:pPr>
        <w:pStyle w:val="TOC1"/>
        <w:tabs>
          <w:tab w:val="right" w:leader="dot" w:pos="9350"/>
        </w:tabs>
        <w:rPr>
          <w:rFonts w:eastAsiaTheme="minorEastAsia"/>
          <w:noProof/>
          <w:kern w:val="2"/>
          <w:sz w:val="24"/>
          <w:szCs w:val="24"/>
          <w14:ligatures w14:val="standardContextual"/>
        </w:rPr>
      </w:pPr>
      <w:hyperlink w:anchor="_Toc231296602" w:history="1">
        <w:r w:rsidRPr="009C389A">
          <w:rPr>
            <w:rStyle w:val="Hyperlink"/>
            <w:noProof/>
          </w:rPr>
          <w:t>References</w:t>
        </w:r>
        <w:r>
          <w:rPr>
            <w:noProof/>
            <w:webHidden/>
          </w:rPr>
          <w:tab/>
        </w:r>
        <w:r w:rsidRPr="00B22A35">
          <w:rPr>
            <w:noProof/>
            <w:webHidden/>
          </w:rPr>
          <w:t>B-</w:t>
        </w:r>
        <w:r>
          <w:rPr>
            <w:noProof/>
            <w:webHidden/>
          </w:rPr>
          <w:fldChar w:fldCharType="begin"/>
        </w:r>
        <w:r>
          <w:rPr>
            <w:noProof/>
            <w:webHidden/>
          </w:rPr>
          <w:instrText xml:space="preserve"> PAGEREF _Toc231296602 \h </w:instrText>
        </w:r>
        <w:r>
          <w:rPr>
            <w:noProof/>
            <w:webHidden/>
          </w:rPr>
        </w:r>
        <w:r>
          <w:rPr>
            <w:noProof/>
            <w:webHidden/>
          </w:rPr>
          <w:fldChar w:fldCharType="separate"/>
        </w:r>
        <w:r w:rsidR="00B13DC7">
          <w:rPr>
            <w:noProof/>
            <w:webHidden/>
          </w:rPr>
          <w:t>23</w:t>
        </w:r>
        <w:r>
          <w:rPr>
            <w:noProof/>
            <w:webHidden/>
          </w:rPr>
          <w:fldChar w:fldCharType="end"/>
        </w:r>
      </w:hyperlink>
    </w:p>
    <w:p w14:paraId="3D5A530E" w14:textId="432CAEC5" w:rsidR="00B678B5" w:rsidRDefault="00B678B5" w:rsidP="00FC3247">
      <w:pPr>
        <w:pStyle w:val="BodyText"/>
      </w:pPr>
      <w:r>
        <w:fldChar w:fldCharType="end"/>
      </w:r>
    </w:p>
    <w:p w14:paraId="4D3126BD" w14:textId="77777777" w:rsidR="00B678B5" w:rsidRDefault="00B678B5">
      <w:pPr>
        <w:spacing w:after="120"/>
        <w:rPr>
          <w:rFonts w:ascii="Calibri" w:eastAsia="Times New Roman" w:hAnsi="Calibri" w:cs="Calibri"/>
          <w:b/>
          <w:bCs/>
          <w:szCs w:val="20"/>
        </w:rPr>
        <w:sectPr w:rsidR="00B678B5" w:rsidSect="00B678B5">
          <w:headerReference w:type="even" r:id="rId47"/>
          <w:headerReference w:type="default" r:id="rId48"/>
          <w:footerReference w:type="default" r:id="rId49"/>
          <w:headerReference w:type="first" r:id="rId50"/>
          <w:footnotePr>
            <w:numRestart w:val="eachSect"/>
          </w:footnotePr>
          <w:pgSz w:w="12240" w:h="15840"/>
          <w:pgMar w:top="1080" w:right="1440" w:bottom="1080" w:left="1440" w:header="720" w:footer="720" w:gutter="0"/>
          <w:pgNumType w:start="1"/>
          <w:cols w:space="720"/>
          <w:docGrid w:linePitch="360"/>
        </w:sectPr>
      </w:pPr>
    </w:p>
    <w:p w14:paraId="71A7F4A7" w14:textId="77777777" w:rsidR="00B678B5" w:rsidRPr="00E359BF" w:rsidRDefault="00B678B5" w:rsidP="00263C62">
      <w:pPr>
        <w:pStyle w:val="DIOR"/>
      </w:pPr>
      <w:bookmarkStart w:id="90" w:name="_Toc411329825"/>
      <w:bookmarkStart w:id="91" w:name="_Toc430114874"/>
      <w:bookmarkStart w:id="92" w:name="_Toc496109989"/>
      <w:bookmarkStart w:id="93" w:name="_Toc231296584"/>
      <w:r w:rsidRPr="005D288F">
        <w:t>Introduction</w:t>
      </w:r>
      <w:bookmarkEnd w:id="90"/>
      <w:bookmarkEnd w:id="91"/>
      <w:bookmarkEnd w:id="92"/>
      <w:bookmarkEnd w:id="93"/>
    </w:p>
    <w:p w14:paraId="53619C42" w14:textId="0F44F697" w:rsidR="00B678B5" w:rsidRPr="00E359BF" w:rsidRDefault="00B678B5" w:rsidP="005D288F">
      <w:pPr>
        <w:pStyle w:val="BodyTextposthead"/>
      </w:pPr>
      <w:r w:rsidRPr="00E359BF">
        <w:t>The</w:t>
      </w:r>
      <w:r>
        <w:t xml:space="preserve"> </w:t>
      </w:r>
      <w:r>
        <w:rPr>
          <w:i/>
        </w:rPr>
        <w:t>Districtwide</w:t>
      </w:r>
      <w:r w:rsidRPr="00E359BF">
        <w:rPr>
          <w:i/>
        </w:rPr>
        <w:t xml:space="preserve"> Instructional Observation Report </w:t>
      </w:r>
      <w:r w:rsidRPr="00BC09E0">
        <w:t>presents ratings for the classroom observations that were conducted by certified observers at American Institutes for Research (AIR) as part of the M</w:t>
      </w:r>
      <w:r>
        <w:t>assachusetts District Reviews</w:t>
      </w:r>
      <w:r w:rsidRPr="00BC09E0">
        <w:t>.</w:t>
      </w:r>
    </w:p>
    <w:p w14:paraId="62B477E6" w14:textId="78641B13" w:rsidR="00B678B5" w:rsidRPr="00E359BF" w:rsidRDefault="00B678B5" w:rsidP="00562B89">
      <w:pPr>
        <w:pStyle w:val="BodyText"/>
      </w:pPr>
      <w:bookmarkStart w:id="94" w:name="N_Observers1"/>
      <w:r>
        <w:t>Seven</w:t>
      </w:r>
      <w:bookmarkEnd w:id="94"/>
      <w:r>
        <w:t xml:space="preserve"> observers visited </w:t>
      </w:r>
      <w:bookmarkStart w:id="95" w:name="District2"/>
      <w:r>
        <w:t>Brockton</w:t>
      </w:r>
      <w:bookmarkEnd w:id="95"/>
      <w:r w:rsidRPr="00BC09E0">
        <w:t xml:space="preserve"> </w:t>
      </w:r>
      <w:r>
        <w:t>Public Schools during the week of</w:t>
      </w:r>
      <w:r w:rsidRPr="00BC09E0">
        <w:t xml:space="preserve"> </w:t>
      </w:r>
      <w:bookmarkStart w:id="96" w:name="Obs_Dates1"/>
      <w:r>
        <w:t>March 16, 2026</w:t>
      </w:r>
      <w:bookmarkEnd w:id="96"/>
      <w:r w:rsidRPr="00BC09E0">
        <w:t xml:space="preserve">. </w:t>
      </w:r>
      <w:r>
        <w:t>O</w:t>
      </w:r>
      <w:r w:rsidRPr="00BC09E0">
        <w:t xml:space="preserve">bservers conducted </w:t>
      </w:r>
      <w:bookmarkStart w:id="97" w:name="N_Observations1"/>
      <w:r>
        <w:t>173</w:t>
      </w:r>
      <w:bookmarkEnd w:id="97"/>
      <w:r w:rsidRPr="00BC09E0">
        <w:t xml:space="preserve"> observations in a sample of classrooms across </w:t>
      </w:r>
      <w:r w:rsidR="00CB3151">
        <w:t>twenty-three</w:t>
      </w:r>
      <w:r>
        <w:t xml:space="preserve"> schools. Observations were conducted in grades PK-12 and</w:t>
      </w:r>
      <w:r w:rsidRPr="00BC09E0">
        <w:t xml:space="preserve"> focused </w:t>
      </w:r>
      <w:r>
        <w:t xml:space="preserve">primarily </w:t>
      </w:r>
      <w:r w:rsidRPr="00BC09E0">
        <w:t>on literacy, English language arts, and mathematics</w:t>
      </w:r>
      <w:r>
        <w:t xml:space="preserve"> instruction</w:t>
      </w:r>
      <w:r w:rsidRPr="00BC09E0">
        <w:t>.</w:t>
      </w:r>
    </w:p>
    <w:p w14:paraId="4068B049" w14:textId="77777777" w:rsidR="00B678B5" w:rsidRPr="00E359BF" w:rsidRDefault="00B678B5" w:rsidP="00B66D2B">
      <w:pPr>
        <w:pStyle w:val="BodyText"/>
      </w:pPr>
      <w:r w:rsidRPr="00E359BF">
        <w:t xml:space="preserve">The </w:t>
      </w:r>
      <w:r w:rsidRPr="00BC09E0">
        <w:t>classroom observations were guided by the Classroom Assessment Scoring System (CLASS)</w:t>
      </w:r>
      <w:r>
        <w:t>,</w:t>
      </w:r>
      <w:r w:rsidRPr="00BC09E0">
        <w:t xml:space="preserve"> developed by the Center for Advanced Study of Teaching and Learning (CASTL</w:t>
      </w:r>
      <w:r>
        <w:t>) at the University of Virginia. Three levels of CLASS Manuals were used: PK–</w:t>
      </w:r>
      <w:r w:rsidRPr="00BC09E0">
        <w:t>3</w:t>
      </w:r>
      <w:r>
        <w:t xml:space="preserve">, </w:t>
      </w:r>
      <w:r w:rsidRPr="00BC09E0">
        <w:t>Upper Elementary</w:t>
      </w:r>
      <w:r>
        <w:t>, and Secondary. The P</w:t>
      </w:r>
      <w:r w:rsidRPr="00BC09E0">
        <w:t>K–3</w:t>
      </w:r>
      <w:r>
        <w:t xml:space="preserve"> tool was used to observe grades P</w:t>
      </w:r>
      <w:r w:rsidRPr="00BC09E0">
        <w:t>K–3</w:t>
      </w:r>
      <w:r>
        <w:t>, the Upper Elementary tool was used to observe grades 4</w:t>
      </w:r>
      <w:r w:rsidRPr="00BC09E0">
        <w:t>–</w:t>
      </w:r>
      <w:r>
        <w:t>5, and the Secondary tool was used to observe grades 6</w:t>
      </w:r>
      <w:r w:rsidRPr="00BC09E0">
        <w:t>–</w:t>
      </w:r>
      <w:r>
        <w:t>12.</w:t>
      </w:r>
    </w:p>
    <w:p w14:paraId="0B3FB26B" w14:textId="77777777" w:rsidR="00B678B5" w:rsidRPr="00E359BF" w:rsidRDefault="00B678B5" w:rsidP="00B66D2B">
      <w:pPr>
        <w:pStyle w:val="BodyText"/>
      </w:pPr>
      <w:r w:rsidRPr="00E359BF">
        <w:t xml:space="preserve">The </w:t>
      </w:r>
      <w:r>
        <w:t>P</w:t>
      </w:r>
      <w:r w:rsidRPr="00BC09E0">
        <w:t>K–3 protocol include</w:t>
      </w:r>
      <w:r>
        <w:t>s</w:t>
      </w:r>
      <w:r w:rsidRPr="00BC09E0">
        <w:t xml:space="preserve"> 10 classroom dimensions related to three domains: Emotional Support, Classroom Organization, and Instructional Support (listed in Table 1).</w:t>
      </w:r>
    </w:p>
    <w:p w14:paraId="25AC7ACE" w14:textId="77777777" w:rsidR="00B678B5" w:rsidRPr="00E359BF" w:rsidRDefault="00B678B5" w:rsidP="00B66D2B">
      <w:pPr>
        <w:pStyle w:val="TableTitle0"/>
      </w:pPr>
      <w:r w:rsidRPr="00E359BF">
        <w:t xml:space="preserve">Table 1. CLASS </w:t>
      </w:r>
      <w:r>
        <w:t>P</w:t>
      </w:r>
      <w:r w:rsidRPr="00E359BF">
        <w:t>K–3 Domains and Dimensions</w:t>
      </w:r>
    </w:p>
    <w:tbl>
      <w:tblPr>
        <w:tblStyle w:val="MSVTable1"/>
        <w:tblW w:w="5000" w:type="pct"/>
        <w:tblLook w:val="04A0" w:firstRow="1" w:lastRow="0" w:firstColumn="1" w:lastColumn="0" w:noHBand="0" w:noVBand="1"/>
        <w:tblCaption w:val="Table 1. CLASS PK–3 Domains and Dimensions"/>
        <w:tblDescription w:val="CLASS PK–3 Domains and Dimensions"/>
      </w:tblPr>
      <w:tblGrid>
        <w:gridCol w:w="3114"/>
        <w:gridCol w:w="3115"/>
        <w:gridCol w:w="3115"/>
      </w:tblGrid>
      <w:tr w:rsidR="00B678B5" w:rsidRPr="00E359BF" w14:paraId="20675819" w14:textId="77777777" w:rsidTr="00B66D2B">
        <w:trPr>
          <w:cnfStyle w:val="100000000000" w:firstRow="1" w:lastRow="0" w:firstColumn="0" w:lastColumn="0" w:oddVBand="0" w:evenVBand="0" w:oddHBand="0" w:evenHBand="0" w:firstRowFirstColumn="0" w:firstRowLastColumn="0" w:lastRowFirstColumn="0" w:lastRowLastColumn="0"/>
          <w:tblHeader/>
        </w:trPr>
        <w:tc>
          <w:tcPr>
            <w:tcW w:w="3192" w:type="dxa"/>
          </w:tcPr>
          <w:p w14:paraId="64EFF2B2" w14:textId="77777777" w:rsidR="00B678B5" w:rsidRPr="00B66D2B" w:rsidRDefault="00B678B5" w:rsidP="00B66D2B">
            <w:pPr>
              <w:pStyle w:val="TableColHeadingCenter"/>
            </w:pPr>
            <w:r w:rsidRPr="00B66D2B">
              <w:t>Emotional Support</w:t>
            </w:r>
          </w:p>
        </w:tc>
        <w:tc>
          <w:tcPr>
            <w:tcW w:w="3192" w:type="dxa"/>
          </w:tcPr>
          <w:p w14:paraId="643E89E7" w14:textId="77777777" w:rsidR="00B678B5" w:rsidRPr="00B66D2B" w:rsidRDefault="00B678B5" w:rsidP="00B66D2B">
            <w:pPr>
              <w:pStyle w:val="TableColHeadingCenter"/>
            </w:pPr>
            <w:r w:rsidRPr="00B66D2B">
              <w:t>Classroom Organization</w:t>
            </w:r>
          </w:p>
        </w:tc>
        <w:tc>
          <w:tcPr>
            <w:tcW w:w="3192" w:type="dxa"/>
          </w:tcPr>
          <w:p w14:paraId="4E3D4AB1" w14:textId="77777777" w:rsidR="00B678B5" w:rsidRPr="00B66D2B" w:rsidRDefault="00B678B5" w:rsidP="00B66D2B">
            <w:pPr>
              <w:pStyle w:val="TableColHeadingCenter"/>
            </w:pPr>
            <w:r w:rsidRPr="00B66D2B">
              <w:t>Instructional Support</w:t>
            </w:r>
          </w:p>
        </w:tc>
      </w:tr>
      <w:tr w:rsidR="00B678B5" w:rsidRPr="00E359BF" w14:paraId="4B33636B" w14:textId="77777777" w:rsidTr="00B66D2B">
        <w:trPr>
          <w:cnfStyle w:val="000000100000" w:firstRow="0" w:lastRow="0" w:firstColumn="0" w:lastColumn="0" w:oddVBand="0" w:evenVBand="0" w:oddHBand="1" w:evenHBand="0" w:firstRowFirstColumn="0" w:firstRowLastColumn="0" w:lastRowFirstColumn="0" w:lastRowLastColumn="0"/>
        </w:trPr>
        <w:tc>
          <w:tcPr>
            <w:tcW w:w="3192" w:type="dxa"/>
          </w:tcPr>
          <w:p w14:paraId="37AB6ADC" w14:textId="77777777" w:rsidR="00B678B5" w:rsidRPr="00B66D2B" w:rsidRDefault="00B678B5" w:rsidP="00B66D2B">
            <w:pPr>
              <w:pStyle w:val="TableBullet1"/>
            </w:pPr>
            <w:r w:rsidRPr="00B66D2B">
              <w:t>Positive Climate</w:t>
            </w:r>
          </w:p>
          <w:p w14:paraId="462F411B" w14:textId="77777777" w:rsidR="00B678B5" w:rsidRPr="00B66D2B" w:rsidRDefault="00B678B5" w:rsidP="00B66D2B">
            <w:pPr>
              <w:pStyle w:val="TableBullet1"/>
            </w:pPr>
            <w:r w:rsidRPr="00B66D2B">
              <w:t>Negative Climate</w:t>
            </w:r>
          </w:p>
          <w:p w14:paraId="1DE171B7" w14:textId="77777777" w:rsidR="00B678B5" w:rsidRPr="00B66D2B" w:rsidRDefault="00B678B5" w:rsidP="00B66D2B">
            <w:pPr>
              <w:pStyle w:val="TableBullet1"/>
            </w:pPr>
            <w:r w:rsidRPr="00B66D2B">
              <w:t>Teacher Sensitivity</w:t>
            </w:r>
          </w:p>
          <w:p w14:paraId="6CD44934" w14:textId="77777777" w:rsidR="00B678B5" w:rsidRPr="00B66D2B" w:rsidRDefault="00B678B5" w:rsidP="00B66D2B">
            <w:pPr>
              <w:pStyle w:val="TableBullet1"/>
            </w:pPr>
            <w:r w:rsidRPr="00B66D2B">
              <w:t>Regard for Student Perspectives</w:t>
            </w:r>
          </w:p>
        </w:tc>
        <w:tc>
          <w:tcPr>
            <w:tcW w:w="3192" w:type="dxa"/>
          </w:tcPr>
          <w:p w14:paraId="270933EC" w14:textId="77777777" w:rsidR="00B678B5" w:rsidRPr="00B66D2B" w:rsidRDefault="00B678B5" w:rsidP="00B66D2B">
            <w:pPr>
              <w:pStyle w:val="TableBullet1"/>
            </w:pPr>
            <w:r w:rsidRPr="00B66D2B">
              <w:t>Behavior Management</w:t>
            </w:r>
          </w:p>
          <w:p w14:paraId="2719AB18" w14:textId="77777777" w:rsidR="00B678B5" w:rsidRPr="00B66D2B" w:rsidRDefault="00B678B5" w:rsidP="00B66D2B">
            <w:pPr>
              <w:pStyle w:val="TableBullet1"/>
            </w:pPr>
            <w:r w:rsidRPr="00B66D2B">
              <w:t>Productivity</w:t>
            </w:r>
          </w:p>
          <w:p w14:paraId="1EC580B4" w14:textId="77777777" w:rsidR="00B678B5" w:rsidRPr="00B66D2B" w:rsidRDefault="00B678B5" w:rsidP="00B66D2B">
            <w:pPr>
              <w:pStyle w:val="TableBullet1"/>
            </w:pPr>
            <w:r w:rsidRPr="00B66D2B">
              <w:t>Instructional Learning Formats</w:t>
            </w:r>
          </w:p>
        </w:tc>
        <w:tc>
          <w:tcPr>
            <w:tcW w:w="3192" w:type="dxa"/>
          </w:tcPr>
          <w:p w14:paraId="19E729B9" w14:textId="77777777" w:rsidR="00B678B5" w:rsidRPr="00B66D2B" w:rsidRDefault="00B678B5" w:rsidP="00B66D2B">
            <w:pPr>
              <w:pStyle w:val="TableBullet1"/>
            </w:pPr>
            <w:r w:rsidRPr="00B66D2B">
              <w:t>Concept Development</w:t>
            </w:r>
          </w:p>
          <w:p w14:paraId="543857C0" w14:textId="77777777" w:rsidR="00B678B5" w:rsidRPr="00B66D2B" w:rsidRDefault="00B678B5" w:rsidP="00B66D2B">
            <w:pPr>
              <w:pStyle w:val="TableBullet1"/>
            </w:pPr>
            <w:r w:rsidRPr="00B66D2B">
              <w:t>Quality of Feedback</w:t>
            </w:r>
          </w:p>
          <w:p w14:paraId="108B4DC6" w14:textId="77777777" w:rsidR="00B678B5" w:rsidRPr="00B66D2B" w:rsidRDefault="00B678B5" w:rsidP="00B66D2B">
            <w:pPr>
              <w:pStyle w:val="TableBullet1"/>
            </w:pPr>
            <w:r w:rsidRPr="00B66D2B">
              <w:t>Language Modeling</w:t>
            </w:r>
          </w:p>
        </w:tc>
      </w:tr>
    </w:tbl>
    <w:p w14:paraId="0D79EC72" w14:textId="493BA7CC" w:rsidR="00B678B5" w:rsidRPr="00E359BF" w:rsidRDefault="00B678B5" w:rsidP="00B66D2B">
      <w:pPr>
        <w:pStyle w:val="BodyText"/>
      </w:pPr>
      <w:r w:rsidRPr="00E359BF">
        <w:t>The Upper Elementary</w:t>
      </w:r>
      <w:r>
        <w:t xml:space="preserve"> and Secondary</w:t>
      </w:r>
      <w:r w:rsidRPr="00E359BF">
        <w:t xml:space="preserve"> protocol</w:t>
      </w:r>
      <w:r>
        <w:t>s</w:t>
      </w:r>
      <w:r w:rsidRPr="00E359BF">
        <w:t xml:space="preserve"> include 11 classroom dimensions related to three domains: Emotional Support, Classroom Organization, and Instructional Support (listed in Table 2), in addition to Student Engagement.</w:t>
      </w:r>
    </w:p>
    <w:p w14:paraId="19708C76" w14:textId="77777777" w:rsidR="00B678B5" w:rsidRPr="00E359BF" w:rsidRDefault="00B678B5" w:rsidP="00B66D2B">
      <w:pPr>
        <w:pStyle w:val="TableTitle0"/>
      </w:pPr>
      <w:r w:rsidRPr="00E359BF">
        <w:t xml:space="preserve">Table 2. CLASS Upper Elementary </w:t>
      </w:r>
      <w:r>
        <w:t xml:space="preserve">and </w:t>
      </w:r>
      <w:r w:rsidRPr="00B66D2B">
        <w:t>Secondary</w:t>
      </w:r>
      <w:r>
        <w:t xml:space="preserve"> </w:t>
      </w:r>
      <w:r w:rsidRPr="00E359BF">
        <w:t>Domains and Dimensions</w:t>
      </w:r>
    </w:p>
    <w:tbl>
      <w:tblPr>
        <w:tblStyle w:val="MSVTable1"/>
        <w:tblW w:w="5000" w:type="pct"/>
        <w:tblLook w:val="04A0" w:firstRow="1" w:lastRow="0" w:firstColumn="1" w:lastColumn="0" w:noHBand="0" w:noVBand="1"/>
        <w:tblCaption w:val="Table 2. CLASS Upper Elementary and Secondary Domains and Dimensions"/>
        <w:tblDescription w:val="CLASS Upper Elementary and Secondary Domains and Dimensions"/>
      </w:tblPr>
      <w:tblGrid>
        <w:gridCol w:w="3112"/>
        <w:gridCol w:w="3114"/>
        <w:gridCol w:w="3118"/>
      </w:tblGrid>
      <w:tr w:rsidR="00B678B5" w:rsidRPr="00E359BF" w14:paraId="369D812F" w14:textId="77777777" w:rsidTr="00B66D2B">
        <w:trPr>
          <w:cnfStyle w:val="100000000000" w:firstRow="1" w:lastRow="0" w:firstColumn="0" w:lastColumn="0" w:oddVBand="0" w:evenVBand="0" w:oddHBand="0" w:evenHBand="0" w:firstRowFirstColumn="0" w:firstRowLastColumn="0" w:lastRowFirstColumn="0" w:lastRowLastColumn="0"/>
          <w:tblHeader/>
        </w:trPr>
        <w:tc>
          <w:tcPr>
            <w:tcW w:w="3111" w:type="dxa"/>
          </w:tcPr>
          <w:p w14:paraId="0DC94371" w14:textId="77777777" w:rsidR="00B678B5" w:rsidRPr="00B66D2B" w:rsidRDefault="00B678B5" w:rsidP="00B66D2B">
            <w:pPr>
              <w:pStyle w:val="TableColHeadingCenter"/>
            </w:pPr>
            <w:r w:rsidRPr="00B66D2B">
              <w:t>Emotional Support</w:t>
            </w:r>
          </w:p>
        </w:tc>
        <w:tc>
          <w:tcPr>
            <w:tcW w:w="3114" w:type="dxa"/>
          </w:tcPr>
          <w:p w14:paraId="7D2CFED8" w14:textId="77777777" w:rsidR="00B678B5" w:rsidRPr="00B66D2B" w:rsidRDefault="00B678B5" w:rsidP="00B66D2B">
            <w:pPr>
              <w:pStyle w:val="TableColHeadingCenter"/>
            </w:pPr>
            <w:r w:rsidRPr="00B66D2B">
              <w:t>Classroom Organization</w:t>
            </w:r>
          </w:p>
        </w:tc>
        <w:tc>
          <w:tcPr>
            <w:tcW w:w="3119" w:type="dxa"/>
          </w:tcPr>
          <w:p w14:paraId="42399888" w14:textId="77777777" w:rsidR="00B678B5" w:rsidRPr="00B66D2B" w:rsidRDefault="00B678B5" w:rsidP="00B66D2B">
            <w:pPr>
              <w:pStyle w:val="TableColHeadingCenter"/>
            </w:pPr>
            <w:r w:rsidRPr="00B66D2B">
              <w:t>Instructional Support</w:t>
            </w:r>
          </w:p>
        </w:tc>
      </w:tr>
      <w:tr w:rsidR="00B678B5" w:rsidRPr="00E359BF" w14:paraId="526161F7" w14:textId="77777777" w:rsidTr="00B66D2B">
        <w:trPr>
          <w:cnfStyle w:val="000000100000" w:firstRow="0" w:lastRow="0" w:firstColumn="0" w:lastColumn="0" w:oddVBand="0" w:evenVBand="0" w:oddHBand="1" w:evenHBand="0" w:firstRowFirstColumn="0" w:firstRowLastColumn="0" w:lastRowFirstColumn="0" w:lastRowLastColumn="0"/>
        </w:trPr>
        <w:tc>
          <w:tcPr>
            <w:tcW w:w="3111" w:type="dxa"/>
            <w:tcBorders>
              <w:bottom w:val="single" w:sz="6" w:space="0" w:color="2F5496" w:themeColor="accent5" w:themeShade="BF"/>
            </w:tcBorders>
          </w:tcPr>
          <w:p w14:paraId="5371B181" w14:textId="77777777" w:rsidR="00B678B5" w:rsidRPr="00B66D2B" w:rsidRDefault="00B678B5" w:rsidP="00B66D2B">
            <w:pPr>
              <w:pStyle w:val="TableBullet1"/>
            </w:pPr>
            <w:r w:rsidRPr="00B66D2B">
              <w:t>Positive Climate</w:t>
            </w:r>
          </w:p>
          <w:p w14:paraId="4BB37C00" w14:textId="77777777" w:rsidR="00B678B5" w:rsidRPr="00B66D2B" w:rsidRDefault="00B678B5" w:rsidP="00B66D2B">
            <w:pPr>
              <w:pStyle w:val="TableBullet1"/>
            </w:pPr>
            <w:r w:rsidRPr="00B66D2B">
              <w:t>Teacher Sensitivity</w:t>
            </w:r>
          </w:p>
          <w:p w14:paraId="3FA8F98C" w14:textId="77777777" w:rsidR="00B678B5" w:rsidRPr="00B66D2B" w:rsidRDefault="00B678B5" w:rsidP="00B66D2B">
            <w:pPr>
              <w:pStyle w:val="TableBullet1"/>
            </w:pPr>
            <w:r w:rsidRPr="00B66D2B">
              <w:t>Regard for Student Perspectives</w:t>
            </w:r>
          </w:p>
        </w:tc>
        <w:tc>
          <w:tcPr>
            <w:tcW w:w="3114" w:type="dxa"/>
            <w:tcBorders>
              <w:bottom w:val="single" w:sz="6" w:space="0" w:color="2F5496" w:themeColor="accent5" w:themeShade="BF"/>
            </w:tcBorders>
          </w:tcPr>
          <w:p w14:paraId="507A38C4" w14:textId="77777777" w:rsidR="00B678B5" w:rsidRPr="00B66D2B" w:rsidRDefault="00B678B5" w:rsidP="00B66D2B">
            <w:pPr>
              <w:pStyle w:val="TableBullet1"/>
            </w:pPr>
            <w:r w:rsidRPr="00B66D2B">
              <w:t>Behavior Management</w:t>
            </w:r>
          </w:p>
          <w:p w14:paraId="7BE086EC" w14:textId="77777777" w:rsidR="00B678B5" w:rsidRPr="00B66D2B" w:rsidRDefault="00B678B5" w:rsidP="00B66D2B">
            <w:pPr>
              <w:pStyle w:val="TableBullet1"/>
            </w:pPr>
            <w:r w:rsidRPr="00B66D2B">
              <w:t>Productivity</w:t>
            </w:r>
          </w:p>
          <w:p w14:paraId="6FA51620" w14:textId="77777777" w:rsidR="00B678B5" w:rsidRPr="00B66D2B" w:rsidRDefault="00B678B5" w:rsidP="00B66D2B">
            <w:pPr>
              <w:pStyle w:val="TableBullet1"/>
            </w:pPr>
            <w:r w:rsidRPr="00B66D2B">
              <w:t>Negative Climate</w:t>
            </w:r>
          </w:p>
        </w:tc>
        <w:tc>
          <w:tcPr>
            <w:tcW w:w="3119" w:type="dxa"/>
          </w:tcPr>
          <w:p w14:paraId="2B4EB659" w14:textId="77777777" w:rsidR="00B678B5" w:rsidRPr="00B66D2B" w:rsidRDefault="00B678B5" w:rsidP="00B66D2B">
            <w:pPr>
              <w:pStyle w:val="TableBullet1"/>
            </w:pPr>
            <w:r w:rsidRPr="00B66D2B">
              <w:t xml:space="preserve">Instructional Learning Formats </w:t>
            </w:r>
          </w:p>
          <w:p w14:paraId="05B63D64" w14:textId="77777777" w:rsidR="00B678B5" w:rsidRPr="00B66D2B" w:rsidRDefault="00B678B5" w:rsidP="00B66D2B">
            <w:pPr>
              <w:pStyle w:val="TableBullet1"/>
            </w:pPr>
            <w:r w:rsidRPr="00B66D2B">
              <w:t>Content Understanding</w:t>
            </w:r>
          </w:p>
          <w:p w14:paraId="3B5DDCA0" w14:textId="77777777" w:rsidR="00B678B5" w:rsidRPr="00B66D2B" w:rsidRDefault="00B678B5" w:rsidP="00B66D2B">
            <w:pPr>
              <w:pStyle w:val="TableBullet1"/>
            </w:pPr>
            <w:r w:rsidRPr="00B66D2B">
              <w:t>Analysis and Inquiry</w:t>
            </w:r>
          </w:p>
          <w:p w14:paraId="1AE5C1EA" w14:textId="77777777" w:rsidR="00B678B5" w:rsidRPr="00B66D2B" w:rsidRDefault="00B678B5" w:rsidP="00B66D2B">
            <w:pPr>
              <w:pStyle w:val="TableBullet1"/>
            </w:pPr>
            <w:r w:rsidRPr="00B66D2B">
              <w:t>Quality of Feedback</w:t>
            </w:r>
          </w:p>
          <w:p w14:paraId="7B4CF509" w14:textId="77777777" w:rsidR="00B678B5" w:rsidRPr="00B66D2B" w:rsidRDefault="00B678B5" w:rsidP="00B66D2B">
            <w:pPr>
              <w:pStyle w:val="TableBullet1"/>
            </w:pPr>
            <w:r w:rsidRPr="00B66D2B">
              <w:t>Instructional Dialogue</w:t>
            </w:r>
          </w:p>
        </w:tc>
      </w:tr>
      <w:tr w:rsidR="00B678B5" w:rsidRPr="00E359BF" w14:paraId="0AFC0B55" w14:textId="77777777" w:rsidTr="00B66D2B">
        <w:tc>
          <w:tcPr>
            <w:tcW w:w="3114" w:type="dxa"/>
            <w:tcBorders>
              <w:right w:val="single" w:sz="4" w:space="0" w:color="FFFFFF" w:themeColor="background1"/>
            </w:tcBorders>
          </w:tcPr>
          <w:p w14:paraId="7CF818C5" w14:textId="7AF3CA24" w:rsidR="00B678B5" w:rsidRPr="00E359BF" w:rsidRDefault="009D3052">
            <w:pPr>
              <w:pStyle w:val="TableSubheadingCentered"/>
            </w:pPr>
            <w:r>
              <w:t>N/A</w:t>
            </w:r>
          </w:p>
        </w:tc>
        <w:tc>
          <w:tcPr>
            <w:tcW w:w="3115" w:type="dxa"/>
            <w:tcBorders>
              <w:left w:val="single" w:sz="4" w:space="0" w:color="FFFFFF" w:themeColor="background1"/>
              <w:right w:val="single" w:sz="4" w:space="0" w:color="FFFFFF" w:themeColor="background1"/>
            </w:tcBorders>
          </w:tcPr>
          <w:p w14:paraId="54DB27D0" w14:textId="77777777" w:rsidR="00B678B5" w:rsidRPr="00E359BF" w:rsidRDefault="00B678B5" w:rsidP="00B66D2B">
            <w:pPr>
              <w:pStyle w:val="TableSubheadingCentered"/>
            </w:pPr>
            <w:r w:rsidRPr="00E359BF">
              <w:t>Student Engagement</w:t>
            </w:r>
          </w:p>
        </w:tc>
        <w:tc>
          <w:tcPr>
            <w:tcW w:w="3115" w:type="dxa"/>
            <w:tcBorders>
              <w:left w:val="single" w:sz="4" w:space="0" w:color="FFFFFF" w:themeColor="background1"/>
            </w:tcBorders>
          </w:tcPr>
          <w:p w14:paraId="76934647" w14:textId="58B51871" w:rsidR="00B678B5" w:rsidRPr="00E359BF" w:rsidRDefault="009D3052">
            <w:pPr>
              <w:pStyle w:val="TableSubheadingCentered"/>
            </w:pPr>
            <w:r>
              <w:t>N/A</w:t>
            </w:r>
          </w:p>
        </w:tc>
      </w:tr>
    </w:tbl>
    <w:p w14:paraId="024B60F9" w14:textId="6F8015A0" w:rsidR="00B678B5" w:rsidRPr="00BC09E0" w:rsidRDefault="00B678B5" w:rsidP="00B66D2B">
      <w:pPr>
        <w:pStyle w:val="BodyText"/>
      </w:pPr>
      <w:bookmarkStart w:id="98" w:name="_Toc411329826"/>
      <w:bookmarkStart w:id="99" w:name="_Toc430114875"/>
      <w:bookmarkStart w:id="100" w:name="_Toc496109990"/>
      <w:r w:rsidRPr="00BC09E0">
        <w:t>When conducting a visit to a classroom, the observer rates each dimension (including Student Engagement) on a scale of 1 to 7. A rating of 1 or 2 indicates that the dimension was never or rarely evident during the visit. For example, a rating of 1 or 2 on Teacher Sensitivity indicates that, at the time of the visit, the teacher was not aware of students who needed extra support or attention, was unresponsive to or dismissive of students, or was ineffective at addressing students’ problems; as a result, students rarely sought support from the teacher or communicated openly with the teacher. A rating of 3, 4, or 5 indicates that the dimension was evident but not exhibited consistently or in a way that included all students. A rating of 6 or 7 indicates that the dimension was reflected in all or most classroom activities and in a way that included all or most students.</w:t>
      </w:r>
    </w:p>
    <w:p w14:paraId="20D3E090" w14:textId="77777777" w:rsidR="00B678B5" w:rsidRPr="00BC09E0" w:rsidRDefault="00B678B5" w:rsidP="00B66D2B">
      <w:pPr>
        <w:pStyle w:val="BodyText"/>
      </w:pPr>
      <w:r w:rsidRPr="00BC09E0">
        <w:t xml:space="preserve">Members of the </w:t>
      </w:r>
      <w:r>
        <w:t xml:space="preserve">observation </w:t>
      </w:r>
      <w:r w:rsidRPr="00BC09E0">
        <w:t>team who visited the classrooms all received training on the CLASS protocol and then passed a rigorous certification exam</w:t>
      </w:r>
      <w:r>
        <w:t xml:space="preserve"> for each CLASS protocol</w:t>
      </w:r>
      <w:r w:rsidRPr="00BC09E0">
        <w:t xml:space="preserve"> to ensure that they were able to accurately rate the dimensions.</w:t>
      </w:r>
      <w:r w:rsidRPr="00AC194C">
        <w:t xml:space="preserve"> </w:t>
      </w:r>
      <w:r>
        <w:t>All observers must pass an exam annually to maintain their certification.</w:t>
      </w:r>
    </w:p>
    <w:p w14:paraId="7B5ABF51" w14:textId="5E2DD9CF" w:rsidR="00B678B5" w:rsidRPr="00BC09E0" w:rsidRDefault="00B678B5" w:rsidP="00B66D2B">
      <w:pPr>
        <w:pStyle w:val="BodyText"/>
      </w:pPr>
      <w:r w:rsidRPr="00BC09E0">
        <w:t xml:space="preserve">Research on CLASS protocol shows that students in classrooms that rated high using this observation tool have greater gains in social skills and academic success than students in classrooms with lower ratings (MET Project, 2010; CASTL, n.d.). </w:t>
      </w:r>
      <w:r>
        <w:t>Furthermore, s</w:t>
      </w:r>
      <w:r w:rsidRPr="00BC09E0">
        <w:t>mall improvements on these domains can affect student outcomes</w:t>
      </w:r>
      <w:r>
        <w:t>:</w:t>
      </w:r>
      <w:r w:rsidRPr="00BC09E0">
        <w:t xml:space="preserve"> “The ability to demonstrate even small changes in effective interactions has practical implications—differences in just over 1 point on the CLASS 7-point scale translate into improved achievement and social skill development for students” (CASTL, n.d., p.</w:t>
      </w:r>
      <w:r w:rsidR="00FC3247">
        <w:t> </w:t>
      </w:r>
      <w:r w:rsidRPr="00BC09E0">
        <w:t>3).</w:t>
      </w:r>
    </w:p>
    <w:p w14:paraId="636A7073" w14:textId="77C0AC37" w:rsidR="00FC3247" w:rsidRDefault="00B678B5" w:rsidP="00B66D2B">
      <w:pPr>
        <w:pStyle w:val="BodyText"/>
      </w:pPr>
      <w:r w:rsidRPr="00BC09E0">
        <w:t>In this report, each CLASS dimension is defined, and descriptions of the dimensions at the high (6</w:t>
      </w:r>
      <w:r w:rsidR="00FC3247">
        <w:t> </w:t>
      </w:r>
      <w:r w:rsidRPr="00BC09E0">
        <w:t>or</w:t>
      </w:r>
      <w:r w:rsidR="00FC3247">
        <w:t> </w:t>
      </w:r>
      <w:r w:rsidRPr="00BC09E0">
        <w:t xml:space="preserve">7), middle (3, 4, or 5), and low levels (1 or 2) are presented </w:t>
      </w:r>
      <w:r w:rsidRPr="00BC09E0">
        <w:rPr>
          <w:i/>
        </w:rPr>
        <w:t>(</w:t>
      </w:r>
      <w:r>
        <w:rPr>
          <w:i/>
        </w:rPr>
        <w:t>d</w:t>
      </w:r>
      <w:r w:rsidRPr="00BC09E0">
        <w:rPr>
          <w:i/>
        </w:rPr>
        <w:t xml:space="preserve">efinitions and rating descriptions are derived from the </w:t>
      </w:r>
      <w:r>
        <w:rPr>
          <w:i/>
        </w:rPr>
        <w:t>CLASS P</w:t>
      </w:r>
      <w:r w:rsidRPr="00BC09E0">
        <w:rPr>
          <w:i/>
        </w:rPr>
        <w:t>K–3</w:t>
      </w:r>
      <w:r>
        <w:t>,</w:t>
      </w:r>
      <w:r w:rsidRPr="00BC09E0">
        <w:rPr>
          <w:i/>
        </w:rPr>
        <w:t xml:space="preserve"> Upper Elementary</w:t>
      </w:r>
      <w:r>
        <w:rPr>
          <w:i/>
        </w:rPr>
        <w:t>, and Secondary</w:t>
      </w:r>
      <w:r w:rsidRPr="00BC09E0">
        <w:rPr>
          <w:i/>
        </w:rPr>
        <w:t xml:space="preserve"> Manuals)</w:t>
      </w:r>
      <w:r>
        <w:rPr>
          <w:i/>
        </w:rPr>
        <w:t>.</w:t>
      </w:r>
      <w:r w:rsidRPr="00BC09E0">
        <w:t xml:space="preserve"> For each dimension we indicate the frequency of classroom observations across the ratings and provide a </w:t>
      </w:r>
      <w:r>
        <w:t>district</w:t>
      </w:r>
      <w:r w:rsidRPr="00BC09E0">
        <w:t>wide average of the observed classrooms. In cases where a dimension is included i</w:t>
      </w:r>
      <w:r>
        <w:t>n more than one CLASS manual level</w:t>
      </w:r>
      <w:r w:rsidRPr="00BC09E0">
        <w:t xml:space="preserve">, those results are combined on the dimension-specific pages. In the summary of ratings table following the dimension-specific pages the averages for every dimension are presented by </w:t>
      </w:r>
      <w:r>
        <w:t xml:space="preserve">grade band (PK-5, 6-8, and 9-12). </w:t>
      </w:r>
      <w:r w:rsidRPr="00BC09E0">
        <w:t>For each dimension, we indicate the grade levels for which this dimension is included.</w:t>
      </w:r>
      <w:r w:rsidR="00FC3247">
        <w:br w:type="page"/>
      </w:r>
    </w:p>
    <w:p w14:paraId="0568C685" w14:textId="77777777" w:rsidR="00B678B5" w:rsidRPr="00E359BF" w:rsidRDefault="00B678B5" w:rsidP="00263C62">
      <w:pPr>
        <w:pStyle w:val="DIOR"/>
      </w:pPr>
      <w:bookmarkStart w:id="101" w:name="_Toc231296585"/>
      <w:bookmarkStart w:id="102" w:name="_Hlk92190807"/>
      <w:r w:rsidRPr="00E359BF">
        <w:t xml:space="preserve">Positive </w:t>
      </w:r>
      <w:r w:rsidRPr="00B13966">
        <w:t>Climate</w:t>
      </w:r>
      <w:bookmarkEnd w:id="98"/>
      <w:bookmarkEnd w:id="99"/>
      <w:bookmarkEnd w:id="100"/>
      <w:bookmarkEnd w:id="101"/>
    </w:p>
    <w:p w14:paraId="1F948E85" w14:textId="77777777" w:rsidR="00B678B5" w:rsidRPr="00626C03" w:rsidRDefault="00B678B5">
      <w:pPr>
        <w:pStyle w:val="BodyTextDomain"/>
      </w:pPr>
      <w:r w:rsidRPr="00626C03">
        <w:t xml:space="preserve">Emotional Support domain, Grades </w:t>
      </w:r>
      <w:r>
        <w:t>PK</w:t>
      </w:r>
      <w:r w:rsidRPr="00626C03">
        <w:t>−</w:t>
      </w:r>
      <w:r>
        <w:t>12</w:t>
      </w:r>
    </w:p>
    <w:p w14:paraId="212C529E" w14:textId="77777777" w:rsidR="00B678B5" w:rsidRPr="00E359BF" w:rsidRDefault="00B678B5" w:rsidP="00822EC3">
      <w:pPr>
        <w:pStyle w:val="BodyTextposthead"/>
      </w:pPr>
      <w:r w:rsidRPr="00E359BF">
        <w:t xml:space="preserve">Positive </w:t>
      </w:r>
      <w:r w:rsidRPr="00BC09E0">
        <w:t>Climate reflects the emotional connection between the teacher and students and among students and the warmth, respect, and enjoyment communicated by verbal and nonverbal interactions (</w:t>
      </w:r>
      <w:r w:rsidRPr="00BC09E0">
        <w:rPr>
          <w:i/>
        </w:rPr>
        <w:t xml:space="preserve">CLASS </w:t>
      </w:r>
      <w:r>
        <w:rPr>
          <w:i/>
        </w:rPr>
        <w:t>P</w:t>
      </w:r>
      <w:r w:rsidRPr="00BC09E0">
        <w:rPr>
          <w:i/>
        </w:rPr>
        <w:t>K–3 Manual</w:t>
      </w:r>
      <w:r w:rsidRPr="00BC09E0">
        <w:t xml:space="preserve">, p. 23, </w:t>
      </w:r>
      <w:r w:rsidRPr="00BC09E0">
        <w:rPr>
          <w:i/>
        </w:rPr>
        <w:t xml:space="preserve">CLASS Upper Elementary Manual, </w:t>
      </w:r>
      <w:r w:rsidRPr="00BC09E0">
        <w:t>p. 21</w:t>
      </w:r>
      <w:r>
        <w:t xml:space="preserve">, </w:t>
      </w:r>
      <w:r w:rsidRPr="0085328B">
        <w:rPr>
          <w:i/>
        </w:rPr>
        <w:t>CLASS Secondary Manual</w:t>
      </w:r>
      <w:r>
        <w:t>, p. 21</w:t>
      </w:r>
      <w:r w:rsidRPr="00BC09E0">
        <w:t xml:space="preserve">). </w:t>
      </w:r>
      <w:r w:rsidRPr="0000126A">
        <w:t>Table 3 (as well as tables for the remaining dimensions) includes the number of classrooms for each rating on each dimension and the district average for that dimension.</w:t>
      </w:r>
    </w:p>
    <w:p w14:paraId="3C6A4A1F" w14:textId="77777777" w:rsidR="00B678B5" w:rsidRPr="00E359BF" w:rsidRDefault="00B678B5">
      <w:pPr>
        <w:pStyle w:val="TableTitle0"/>
      </w:pPr>
      <w:r w:rsidRPr="00E359BF">
        <w:t xml:space="preserve">Table 3. </w:t>
      </w:r>
      <w:r w:rsidRPr="00BC09E0">
        <w:t xml:space="preserve">Positive Climate: Number of Classrooms for Each Rating </w:t>
      </w:r>
      <w:r w:rsidRPr="0000126A">
        <w:t>and District Average</w:t>
      </w:r>
    </w:p>
    <w:p w14:paraId="54AA4F1E" w14:textId="77777777" w:rsidR="00B678B5" w:rsidRPr="00E359BF" w:rsidRDefault="00B678B5">
      <w:pPr>
        <w:pStyle w:val="BodyTextDemi"/>
      </w:pPr>
      <w:r w:rsidRPr="00E359BF">
        <w:t xml:space="preserve">Positive </w:t>
      </w:r>
      <w:r w:rsidRPr="00BC09E0">
        <w:t xml:space="preserve">Climate </w:t>
      </w:r>
      <w:r>
        <w:t xml:space="preserve">District </w:t>
      </w:r>
      <w:r w:rsidRPr="00BC09E0">
        <w:t xml:space="preserve">Average*: </w:t>
      </w:r>
      <w:bookmarkStart w:id="103" w:name="Dist_PC_Avg"/>
      <w:r>
        <w:t>5.2</w:t>
      </w:r>
      <w:bookmarkEnd w:id="103"/>
    </w:p>
    <w:tbl>
      <w:tblPr>
        <w:tblStyle w:val="MSVTable1"/>
        <w:tblW w:w="5000" w:type="pct"/>
        <w:tblLook w:val="04A0" w:firstRow="1" w:lastRow="0" w:firstColumn="1" w:lastColumn="0" w:noHBand="0" w:noVBand="1"/>
        <w:tblCaption w:val="Table 3. Positive Climate: Number of Classrooms for Each Rating and District Average"/>
        <w:tblDescription w:val="Positive Climate: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0B99FB9B" w14:textId="77777777" w:rsidTr="000C1E41">
        <w:trPr>
          <w:cnfStyle w:val="100000000000" w:firstRow="1" w:lastRow="0" w:firstColumn="0" w:lastColumn="0" w:oddVBand="0" w:evenVBand="0" w:oddHBand="0" w:evenHBand="0" w:firstRowFirstColumn="0" w:firstRowLastColumn="0" w:lastRowFirstColumn="0" w:lastRowLastColumn="0"/>
        </w:trPr>
        <w:tc>
          <w:tcPr>
            <w:tcW w:w="1431" w:type="dxa"/>
            <w:vAlign w:val="center"/>
          </w:tcPr>
          <w:p w14:paraId="24AA1328" w14:textId="77777777" w:rsidR="00B678B5" w:rsidRPr="00E359BF" w:rsidRDefault="00B678B5" w:rsidP="000C1E41">
            <w:pPr>
              <w:pStyle w:val="TableColHeadingCenter"/>
              <w:rPr>
                <w:rFonts w:eastAsia="MS Mincho"/>
              </w:rPr>
            </w:pPr>
            <w:bookmarkStart w:id="104" w:name="Tbl_PC"/>
            <w:r>
              <w:rPr>
                <w:rFonts w:eastAsia="MS Mincho"/>
              </w:rPr>
              <w:t>Grade Band</w:t>
            </w:r>
          </w:p>
        </w:tc>
        <w:tc>
          <w:tcPr>
            <w:tcW w:w="874" w:type="dxa"/>
            <w:vAlign w:val="center"/>
          </w:tcPr>
          <w:p w14:paraId="2BADB688" w14:textId="77777777" w:rsidR="00B678B5" w:rsidRPr="00E359BF" w:rsidRDefault="00B678B5" w:rsidP="000C1E41">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42404072" w14:textId="77777777" w:rsidR="00B678B5" w:rsidRPr="00E359BF" w:rsidRDefault="00B678B5" w:rsidP="000C1E41">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35F5225E" w14:textId="77777777" w:rsidR="00B678B5" w:rsidRPr="00E359BF" w:rsidRDefault="00B678B5" w:rsidP="000C1E41">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18343888" w14:textId="77777777" w:rsidR="00B678B5" w:rsidRPr="00E359BF" w:rsidRDefault="00B678B5" w:rsidP="000C1E41">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26697EB8" w14:textId="77777777" w:rsidR="00B678B5" w:rsidRPr="00E359BF" w:rsidRDefault="00B678B5" w:rsidP="000C1E41">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382F0CFF" w14:textId="77777777" w:rsidR="00B678B5" w:rsidRPr="00E359BF" w:rsidRDefault="00B678B5" w:rsidP="000C1E41">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0012564D" w14:textId="77777777" w:rsidR="00B678B5" w:rsidRPr="00E359BF" w:rsidRDefault="00B678B5" w:rsidP="000C1E41">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5A857C45" w14:textId="77777777" w:rsidR="00B678B5" w:rsidRPr="00E359BF" w:rsidRDefault="00B678B5" w:rsidP="000C1E41">
            <w:pPr>
              <w:pStyle w:val="TableColHeadingCenter"/>
              <w:rPr>
                <w:rFonts w:eastAsia="MS Mincho"/>
              </w:rPr>
            </w:pPr>
            <w:r>
              <w:rPr>
                <w:rFonts w:eastAsia="MS Mincho"/>
              </w:rPr>
              <w:t>n</w:t>
            </w:r>
          </w:p>
        </w:tc>
        <w:tc>
          <w:tcPr>
            <w:tcW w:w="892" w:type="dxa"/>
            <w:vAlign w:val="center"/>
          </w:tcPr>
          <w:p w14:paraId="4DFD5B07" w14:textId="77777777" w:rsidR="00B678B5" w:rsidRPr="00E359BF" w:rsidRDefault="00B678B5" w:rsidP="000C1E41">
            <w:pPr>
              <w:pStyle w:val="TableColHeadingCenter"/>
              <w:rPr>
                <w:rFonts w:eastAsia="MS Mincho"/>
              </w:rPr>
            </w:pPr>
            <w:r>
              <w:rPr>
                <w:rFonts w:eastAsia="MS Mincho"/>
              </w:rPr>
              <w:t>Average</w:t>
            </w:r>
          </w:p>
        </w:tc>
      </w:tr>
      <w:tr w:rsidR="00B678B5" w:rsidRPr="00E359BF" w14:paraId="40958DD9" w14:textId="77777777" w:rsidTr="00ED6288">
        <w:trPr>
          <w:cnfStyle w:val="000000100000" w:firstRow="0" w:lastRow="0" w:firstColumn="0" w:lastColumn="0" w:oddVBand="0" w:evenVBand="0" w:oddHBand="1" w:evenHBand="0" w:firstRowFirstColumn="0" w:firstRowLastColumn="0" w:lastRowFirstColumn="0" w:lastRowLastColumn="0"/>
        </w:trPr>
        <w:tc>
          <w:tcPr>
            <w:tcW w:w="1431" w:type="dxa"/>
          </w:tcPr>
          <w:p w14:paraId="2D56178A" w14:textId="77777777" w:rsidR="00B678B5" w:rsidRPr="008F6B0C" w:rsidRDefault="00B678B5">
            <w:pPr>
              <w:pStyle w:val="TableText"/>
            </w:pPr>
            <w:r>
              <w:t>Grades PK-5</w:t>
            </w:r>
          </w:p>
        </w:tc>
        <w:tc>
          <w:tcPr>
            <w:tcW w:w="874" w:type="dxa"/>
          </w:tcPr>
          <w:p w14:paraId="5AD1E5BE" w14:textId="77777777" w:rsidR="00B678B5" w:rsidRPr="00E359BF" w:rsidRDefault="00B678B5">
            <w:pPr>
              <w:pStyle w:val="TableTextCentered"/>
              <w:rPr>
                <w:rFonts w:eastAsia="Times New Roman"/>
              </w:rPr>
            </w:pPr>
            <w:r>
              <w:rPr>
                <w:rFonts w:eastAsia="Times New Roman"/>
              </w:rPr>
              <w:t>0</w:t>
            </w:r>
          </w:p>
        </w:tc>
        <w:tc>
          <w:tcPr>
            <w:tcW w:w="874" w:type="dxa"/>
          </w:tcPr>
          <w:p w14:paraId="41679758" w14:textId="77777777" w:rsidR="00B678B5" w:rsidRPr="00E359BF" w:rsidRDefault="00B678B5">
            <w:pPr>
              <w:pStyle w:val="TableTextCentered"/>
              <w:rPr>
                <w:rFonts w:eastAsia="Times New Roman"/>
              </w:rPr>
            </w:pPr>
            <w:r>
              <w:rPr>
                <w:rFonts w:eastAsia="Times New Roman"/>
              </w:rPr>
              <w:t>2</w:t>
            </w:r>
          </w:p>
        </w:tc>
        <w:tc>
          <w:tcPr>
            <w:tcW w:w="874" w:type="dxa"/>
          </w:tcPr>
          <w:p w14:paraId="3E25E555" w14:textId="77777777" w:rsidR="00B678B5" w:rsidRPr="00E359BF" w:rsidRDefault="00B678B5">
            <w:pPr>
              <w:pStyle w:val="TableTextCentered"/>
              <w:rPr>
                <w:rFonts w:eastAsia="Times New Roman"/>
              </w:rPr>
            </w:pPr>
            <w:r>
              <w:rPr>
                <w:rFonts w:eastAsia="Times New Roman"/>
              </w:rPr>
              <w:t>3</w:t>
            </w:r>
          </w:p>
        </w:tc>
        <w:tc>
          <w:tcPr>
            <w:tcW w:w="875" w:type="dxa"/>
          </w:tcPr>
          <w:p w14:paraId="4EDBC9F7" w14:textId="77777777" w:rsidR="00B678B5" w:rsidRPr="00E359BF" w:rsidRDefault="00B678B5">
            <w:pPr>
              <w:pStyle w:val="TableTextCentered"/>
              <w:rPr>
                <w:rFonts w:eastAsia="Times New Roman"/>
              </w:rPr>
            </w:pPr>
            <w:r>
              <w:rPr>
                <w:rFonts w:eastAsia="Times New Roman"/>
              </w:rPr>
              <w:t>19</w:t>
            </w:r>
          </w:p>
        </w:tc>
        <w:tc>
          <w:tcPr>
            <w:tcW w:w="875" w:type="dxa"/>
          </w:tcPr>
          <w:p w14:paraId="60DFEBA2" w14:textId="77777777" w:rsidR="00B678B5" w:rsidRPr="00E359BF" w:rsidRDefault="00B678B5">
            <w:pPr>
              <w:pStyle w:val="TableTextCentered"/>
              <w:rPr>
                <w:rFonts w:eastAsia="Times New Roman"/>
              </w:rPr>
            </w:pPr>
            <w:r>
              <w:rPr>
                <w:rFonts w:eastAsia="Times New Roman"/>
              </w:rPr>
              <w:t>28</w:t>
            </w:r>
          </w:p>
        </w:tc>
        <w:tc>
          <w:tcPr>
            <w:tcW w:w="874" w:type="dxa"/>
          </w:tcPr>
          <w:p w14:paraId="095F9D11" w14:textId="77777777" w:rsidR="00B678B5" w:rsidRPr="00E359BF" w:rsidRDefault="00B678B5">
            <w:pPr>
              <w:pStyle w:val="TableTextCentered"/>
              <w:rPr>
                <w:rFonts w:eastAsia="Times New Roman"/>
              </w:rPr>
            </w:pPr>
            <w:r>
              <w:rPr>
                <w:rFonts w:eastAsia="Times New Roman"/>
              </w:rPr>
              <w:t>16</w:t>
            </w:r>
          </w:p>
        </w:tc>
        <w:tc>
          <w:tcPr>
            <w:tcW w:w="875" w:type="dxa"/>
          </w:tcPr>
          <w:p w14:paraId="34194847" w14:textId="77777777" w:rsidR="00B678B5" w:rsidRPr="00E359BF" w:rsidRDefault="00B678B5">
            <w:pPr>
              <w:pStyle w:val="TableTextCentered"/>
              <w:rPr>
                <w:rFonts w:eastAsia="Times New Roman"/>
              </w:rPr>
            </w:pPr>
            <w:r>
              <w:rPr>
                <w:rFonts w:eastAsia="Times New Roman"/>
              </w:rPr>
              <w:t>12</w:t>
            </w:r>
          </w:p>
        </w:tc>
        <w:tc>
          <w:tcPr>
            <w:tcW w:w="900" w:type="dxa"/>
          </w:tcPr>
          <w:p w14:paraId="48F6A0FC" w14:textId="77777777" w:rsidR="00B678B5" w:rsidRPr="00E359BF" w:rsidRDefault="00B678B5">
            <w:pPr>
              <w:pStyle w:val="TableTextCentered"/>
              <w:rPr>
                <w:rFonts w:eastAsia="Times New Roman"/>
              </w:rPr>
            </w:pPr>
            <w:r>
              <w:rPr>
                <w:rFonts w:eastAsia="Times New Roman"/>
              </w:rPr>
              <w:t>80</w:t>
            </w:r>
          </w:p>
        </w:tc>
        <w:tc>
          <w:tcPr>
            <w:tcW w:w="892" w:type="dxa"/>
          </w:tcPr>
          <w:p w14:paraId="388AD18B" w14:textId="77777777" w:rsidR="00B678B5" w:rsidRPr="00E359BF" w:rsidRDefault="00B678B5">
            <w:pPr>
              <w:pStyle w:val="TableTextCentered"/>
              <w:rPr>
                <w:rFonts w:eastAsia="Times New Roman"/>
              </w:rPr>
            </w:pPr>
            <w:r>
              <w:rPr>
                <w:rFonts w:eastAsia="Times New Roman"/>
              </w:rPr>
              <w:t>5.1</w:t>
            </w:r>
          </w:p>
        </w:tc>
      </w:tr>
      <w:tr w:rsidR="00B678B5" w:rsidRPr="00E359BF" w14:paraId="7E34858F" w14:textId="77777777" w:rsidTr="00ED6288">
        <w:tc>
          <w:tcPr>
            <w:tcW w:w="1431" w:type="dxa"/>
          </w:tcPr>
          <w:p w14:paraId="446F9B31" w14:textId="77777777" w:rsidR="00B678B5" w:rsidRPr="008F6B0C" w:rsidRDefault="00B678B5">
            <w:pPr>
              <w:pStyle w:val="TableText"/>
            </w:pPr>
            <w:r>
              <w:t>Grades 6-8</w:t>
            </w:r>
          </w:p>
        </w:tc>
        <w:tc>
          <w:tcPr>
            <w:tcW w:w="874" w:type="dxa"/>
          </w:tcPr>
          <w:p w14:paraId="08A18D15" w14:textId="77777777" w:rsidR="00B678B5" w:rsidRPr="00E359BF" w:rsidRDefault="00B678B5">
            <w:pPr>
              <w:pStyle w:val="TableTextCentered"/>
              <w:rPr>
                <w:rFonts w:eastAsia="Times New Roman"/>
              </w:rPr>
            </w:pPr>
            <w:r>
              <w:rPr>
                <w:rFonts w:eastAsia="Times New Roman"/>
              </w:rPr>
              <w:t>0</w:t>
            </w:r>
          </w:p>
        </w:tc>
        <w:tc>
          <w:tcPr>
            <w:tcW w:w="874" w:type="dxa"/>
          </w:tcPr>
          <w:p w14:paraId="38AE0FC8" w14:textId="77777777" w:rsidR="00B678B5" w:rsidRPr="00E359BF" w:rsidRDefault="00B678B5">
            <w:pPr>
              <w:pStyle w:val="TableTextCentered"/>
              <w:rPr>
                <w:rFonts w:eastAsia="Times New Roman"/>
              </w:rPr>
            </w:pPr>
            <w:r>
              <w:rPr>
                <w:rFonts w:eastAsia="Times New Roman"/>
              </w:rPr>
              <w:t>0</w:t>
            </w:r>
          </w:p>
        </w:tc>
        <w:tc>
          <w:tcPr>
            <w:tcW w:w="874" w:type="dxa"/>
          </w:tcPr>
          <w:p w14:paraId="08A04B7E" w14:textId="77777777" w:rsidR="00B678B5" w:rsidRPr="00E359BF" w:rsidRDefault="00B678B5">
            <w:pPr>
              <w:pStyle w:val="TableTextCentered"/>
              <w:rPr>
                <w:rFonts w:eastAsia="Times New Roman"/>
              </w:rPr>
            </w:pPr>
            <w:r>
              <w:rPr>
                <w:rFonts w:eastAsia="Times New Roman"/>
              </w:rPr>
              <w:t>0</w:t>
            </w:r>
          </w:p>
        </w:tc>
        <w:tc>
          <w:tcPr>
            <w:tcW w:w="875" w:type="dxa"/>
          </w:tcPr>
          <w:p w14:paraId="087CE077" w14:textId="77777777" w:rsidR="00B678B5" w:rsidRPr="00E359BF" w:rsidRDefault="00B678B5">
            <w:pPr>
              <w:pStyle w:val="TableTextCentered"/>
              <w:rPr>
                <w:rFonts w:eastAsia="Times New Roman"/>
              </w:rPr>
            </w:pPr>
            <w:r>
              <w:rPr>
                <w:rFonts w:eastAsia="Times New Roman"/>
              </w:rPr>
              <w:t>3</w:t>
            </w:r>
          </w:p>
        </w:tc>
        <w:tc>
          <w:tcPr>
            <w:tcW w:w="875" w:type="dxa"/>
          </w:tcPr>
          <w:p w14:paraId="39BBF7D8" w14:textId="77777777" w:rsidR="00B678B5" w:rsidRPr="00E359BF" w:rsidRDefault="00B678B5">
            <w:pPr>
              <w:pStyle w:val="TableTextCentered"/>
              <w:rPr>
                <w:rFonts w:eastAsia="Times New Roman"/>
              </w:rPr>
            </w:pPr>
            <w:r>
              <w:rPr>
                <w:rFonts w:eastAsia="Times New Roman"/>
              </w:rPr>
              <w:t>14</w:t>
            </w:r>
          </w:p>
        </w:tc>
        <w:tc>
          <w:tcPr>
            <w:tcW w:w="874" w:type="dxa"/>
          </w:tcPr>
          <w:p w14:paraId="7B1FDF4C" w14:textId="77777777" w:rsidR="00B678B5" w:rsidRPr="00E359BF" w:rsidRDefault="00B678B5">
            <w:pPr>
              <w:pStyle w:val="TableTextCentered"/>
              <w:rPr>
                <w:rFonts w:eastAsia="Times New Roman"/>
              </w:rPr>
            </w:pPr>
            <w:r>
              <w:rPr>
                <w:rFonts w:eastAsia="Times New Roman"/>
              </w:rPr>
              <w:t>18</w:t>
            </w:r>
          </w:p>
        </w:tc>
        <w:tc>
          <w:tcPr>
            <w:tcW w:w="875" w:type="dxa"/>
          </w:tcPr>
          <w:p w14:paraId="10C671E7" w14:textId="77777777" w:rsidR="00B678B5" w:rsidRPr="00E359BF" w:rsidRDefault="00B678B5">
            <w:pPr>
              <w:pStyle w:val="TableTextCentered"/>
              <w:rPr>
                <w:rFonts w:eastAsia="Times New Roman"/>
              </w:rPr>
            </w:pPr>
            <w:r>
              <w:rPr>
                <w:rFonts w:eastAsia="Times New Roman"/>
              </w:rPr>
              <w:t>5</w:t>
            </w:r>
          </w:p>
        </w:tc>
        <w:tc>
          <w:tcPr>
            <w:tcW w:w="900" w:type="dxa"/>
          </w:tcPr>
          <w:p w14:paraId="280C782C" w14:textId="77777777" w:rsidR="00B678B5" w:rsidRPr="00E359BF" w:rsidRDefault="00B678B5">
            <w:pPr>
              <w:pStyle w:val="TableTextCentered"/>
              <w:rPr>
                <w:rFonts w:eastAsia="Times New Roman"/>
              </w:rPr>
            </w:pPr>
            <w:r>
              <w:rPr>
                <w:rFonts w:eastAsia="Times New Roman"/>
              </w:rPr>
              <w:t>40</w:t>
            </w:r>
          </w:p>
        </w:tc>
        <w:tc>
          <w:tcPr>
            <w:tcW w:w="892" w:type="dxa"/>
          </w:tcPr>
          <w:p w14:paraId="016AEDE1" w14:textId="77777777" w:rsidR="00B678B5" w:rsidRPr="00E359BF" w:rsidRDefault="00B678B5">
            <w:pPr>
              <w:pStyle w:val="TableTextCentered"/>
              <w:rPr>
                <w:rFonts w:eastAsia="Times New Roman"/>
              </w:rPr>
            </w:pPr>
            <w:r>
              <w:rPr>
                <w:rFonts w:eastAsia="Times New Roman"/>
              </w:rPr>
              <w:t>5.6</w:t>
            </w:r>
          </w:p>
        </w:tc>
      </w:tr>
      <w:tr w:rsidR="00B678B5" w:rsidRPr="00E359BF" w14:paraId="4CAF8CF7" w14:textId="77777777" w:rsidTr="00ED6288">
        <w:trPr>
          <w:cnfStyle w:val="000000100000" w:firstRow="0" w:lastRow="0" w:firstColumn="0" w:lastColumn="0" w:oddVBand="0" w:evenVBand="0" w:oddHBand="1" w:evenHBand="0" w:firstRowFirstColumn="0" w:firstRowLastColumn="0" w:lastRowFirstColumn="0" w:lastRowLastColumn="0"/>
        </w:trPr>
        <w:tc>
          <w:tcPr>
            <w:tcW w:w="1431" w:type="dxa"/>
          </w:tcPr>
          <w:p w14:paraId="3FF4C153" w14:textId="77777777" w:rsidR="00B678B5" w:rsidRPr="008F6B0C" w:rsidRDefault="00B678B5">
            <w:pPr>
              <w:pStyle w:val="TableText"/>
            </w:pPr>
            <w:r>
              <w:t>Grades 9-12</w:t>
            </w:r>
          </w:p>
        </w:tc>
        <w:tc>
          <w:tcPr>
            <w:tcW w:w="874" w:type="dxa"/>
          </w:tcPr>
          <w:p w14:paraId="2BA974A1" w14:textId="77777777" w:rsidR="00B678B5" w:rsidRPr="00E359BF" w:rsidRDefault="00B678B5">
            <w:pPr>
              <w:pStyle w:val="TableTextCentered"/>
              <w:rPr>
                <w:rFonts w:eastAsia="Times New Roman"/>
              </w:rPr>
            </w:pPr>
            <w:r>
              <w:rPr>
                <w:rFonts w:eastAsia="Times New Roman"/>
              </w:rPr>
              <w:t>0</w:t>
            </w:r>
          </w:p>
        </w:tc>
        <w:tc>
          <w:tcPr>
            <w:tcW w:w="874" w:type="dxa"/>
          </w:tcPr>
          <w:p w14:paraId="1EEC1869" w14:textId="77777777" w:rsidR="00B678B5" w:rsidRPr="00E359BF" w:rsidRDefault="00B678B5">
            <w:pPr>
              <w:pStyle w:val="TableTextCentered"/>
              <w:rPr>
                <w:rFonts w:eastAsia="Times New Roman"/>
              </w:rPr>
            </w:pPr>
            <w:r>
              <w:rPr>
                <w:rFonts w:eastAsia="Times New Roman"/>
              </w:rPr>
              <w:t>1</w:t>
            </w:r>
          </w:p>
        </w:tc>
        <w:tc>
          <w:tcPr>
            <w:tcW w:w="874" w:type="dxa"/>
          </w:tcPr>
          <w:p w14:paraId="62713867" w14:textId="77777777" w:rsidR="00B678B5" w:rsidRPr="00E359BF" w:rsidRDefault="00B678B5">
            <w:pPr>
              <w:pStyle w:val="TableTextCentered"/>
              <w:rPr>
                <w:rFonts w:eastAsia="Times New Roman"/>
              </w:rPr>
            </w:pPr>
            <w:r>
              <w:rPr>
                <w:rFonts w:eastAsia="Times New Roman"/>
              </w:rPr>
              <w:t>4</w:t>
            </w:r>
          </w:p>
        </w:tc>
        <w:tc>
          <w:tcPr>
            <w:tcW w:w="875" w:type="dxa"/>
          </w:tcPr>
          <w:p w14:paraId="2C8DB377" w14:textId="77777777" w:rsidR="00B678B5" w:rsidRPr="00E359BF" w:rsidRDefault="00B678B5">
            <w:pPr>
              <w:pStyle w:val="TableTextCentered"/>
              <w:rPr>
                <w:rFonts w:eastAsia="Times New Roman"/>
              </w:rPr>
            </w:pPr>
            <w:r>
              <w:rPr>
                <w:rFonts w:eastAsia="Times New Roman"/>
              </w:rPr>
              <w:t>9</w:t>
            </w:r>
          </w:p>
        </w:tc>
        <w:tc>
          <w:tcPr>
            <w:tcW w:w="875" w:type="dxa"/>
          </w:tcPr>
          <w:p w14:paraId="532AB339" w14:textId="77777777" w:rsidR="00B678B5" w:rsidRPr="00E359BF" w:rsidRDefault="00B678B5">
            <w:pPr>
              <w:pStyle w:val="TableTextCentered"/>
              <w:rPr>
                <w:rFonts w:eastAsia="Times New Roman"/>
              </w:rPr>
            </w:pPr>
            <w:r>
              <w:rPr>
                <w:rFonts w:eastAsia="Times New Roman"/>
              </w:rPr>
              <w:t>18</w:t>
            </w:r>
          </w:p>
        </w:tc>
        <w:tc>
          <w:tcPr>
            <w:tcW w:w="874" w:type="dxa"/>
          </w:tcPr>
          <w:p w14:paraId="282A6721" w14:textId="77777777" w:rsidR="00B678B5" w:rsidRPr="00E359BF" w:rsidRDefault="00B678B5">
            <w:pPr>
              <w:pStyle w:val="TableTextCentered"/>
              <w:rPr>
                <w:rFonts w:eastAsia="Times New Roman"/>
              </w:rPr>
            </w:pPr>
            <w:r>
              <w:rPr>
                <w:rFonts w:eastAsia="Times New Roman"/>
              </w:rPr>
              <w:t>19</w:t>
            </w:r>
          </w:p>
        </w:tc>
        <w:tc>
          <w:tcPr>
            <w:tcW w:w="875" w:type="dxa"/>
          </w:tcPr>
          <w:p w14:paraId="7DC31328" w14:textId="77777777" w:rsidR="00B678B5" w:rsidRPr="00E359BF" w:rsidRDefault="00B678B5">
            <w:pPr>
              <w:pStyle w:val="TableTextCentered"/>
              <w:rPr>
                <w:rFonts w:eastAsia="Times New Roman"/>
              </w:rPr>
            </w:pPr>
            <w:r>
              <w:rPr>
                <w:rFonts w:eastAsia="Times New Roman"/>
              </w:rPr>
              <w:t>2</w:t>
            </w:r>
          </w:p>
        </w:tc>
        <w:tc>
          <w:tcPr>
            <w:tcW w:w="900" w:type="dxa"/>
          </w:tcPr>
          <w:p w14:paraId="3FC2F23F" w14:textId="77777777" w:rsidR="00B678B5" w:rsidRPr="00E359BF" w:rsidRDefault="00B678B5">
            <w:pPr>
              <w:pStyle w:val="TableTextCentered"/>
              <w:rPr>
                <w:rFonts w:eastAsia="Times New Roman"/>
              </w:rPr>
            </w:pPr>
            <w:r>
              <w:rPr>
                <w:rFonts w:eastAsia="Times New Roman"/>
              </w:rPr>
              <w:t>53</w:t>
            </w:r>
          </w:p>
        </w:tc>
        <w:tc>
          <w:tcPr>
            <w:tcW w:w="892" w:type="dxa"/>
          </w:tcPr>
          <w:p w14:paraId="34D43986" w14:textId="77777777" w:rsidR="00B678B5" w:rsidRPr="00E359BF" w:rsidRDefault="00B678B5">
            <w:pPr>
              <w:pStyle w:val="TableTextCentered"/>
              <w:rPr>
                <w:rFonts w:eastAsia="Times New Roman"/>
              </w:rPr>
            </w:pPr>
            <w:r>
              <w:rPr>
                <w:rFonts w:eastAsia="Times New Roman"/>
              </w:rPr>
              <w:t>5.1</w:t>
            </w:r>
          </w:p>
        </w:tc>
      </w:tr>
      <w:tr w:rsidR="00B678B5" w:rsidRPr="00E359BF" w14:paraId="23BE2814" w14:textId="77777777" w:rsidTr="00ED6288">
        <w:tc>
          <w:tcPr>
            <w:tcW w:w="1431" w:type="dxa"/>
          </w:tcPr>
          <w:p w14:paraId="05BFBDEB"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27E5A036"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4" w:type="dxa"/>
          </w:tcPr>
          <w:p w14:paraId="2F40082B"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w:t>
            </w:r>
          </w:p>
        </w:tc>
        <w:tc>
          <w:tcPr>
            <w:tcW w:w="874" w:type="dxa"/>
          </w:tcPr>
          <w:p w14:paraId="46861736"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7</w:t>
            </w:r>
          </w:p>
        </w:tc>
        <w:tc>
          <w:tcPr>
            <w:tcW w:w="875" w:type="dxa"/>
          </w:tcPr>
          <w:p w14:paraId="2135584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31</w:t>
            </w:r>
          </w:p>
        </w:tc>
        <w:tc>
          <w:tcPr>
            <w:tcW w:w="875" w:type="dxa"/>
          </w:tcPr>
          <w:p w14:paraId="168921BF"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60</w:t>
            </w:r>
          </w:p>
        </w:tc>
        <w:tc>
          <w:tcPr>
            <w:tcW w:w="874" w:type="dxa"/>
          </w:tcPr>
          <w:p w14:paraId="25E0507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53</w:t>
            </w:r>
          </w:p>
        </w:tc>
        <w:tc>
          <w:tcPr>
            <w:tcW w:w="875" w:type="dxa"/>
          </w:tcPr>
          <w:p w14:paraId="297BA1E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19</w:t>
            </w:r>
          </w:p>
        </w:tc>
        <w:tc>
          <w:tcPr>
            <w:tcW w:w="900" w:type="dxa"/>
          </w:tcPr>
          <w:p w14:paraId="06FFB986"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173</w:t>
            </w:r>
          </w:p>
        </w:tc>
        <w:tc>
          <w:tcPr>
            <w:tcW w:w="892" w:type="dxa"/>
          </w:tcPr>
          <w:p w14:paraId="1B7CF48B"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5.2</w:t>
            </w:r>
          </w:p>
        </w:tc>
      </w:tr>
    </w:tbl>
    <w:bookmarkEnd w:id="104"/>
    <w:p w14:paraId="511447DA" w14:textId="302B1DCC" w:rsidR="00B678B5" w:rsidRPr="00F2299E" w:rsidRDefault="00B678B5" w:rsidP="00822EC3">
      <w:pPr>
        <w:pStyle w:val="TableNote"/>
      </w:pPr>
      <w:r w:rsidRPr="0000126A">
        <w:rPr>
          <w:szCs w:val="20"/>
        </w:rPr>
        <w:t>*</w:t>
      </w:r>
      <w:r w:rsidRPr="0000126A">
        <w:t xml:space="preserve">The district average is an average of the observation scores. In Table 3, the district average is computed as: </w:t>
      </w:r>
      <w:bookmarkStart w:id="105" w:name="Dist_PC_Calc"/>
      <w:r>
        <w:t>([2 x 3] + [3 x 7] + [4 x 31] + [5 x 60] + [6 x 53] + [7 x 19]) ÷ 173 observations = 5.2</w:t>
      </w:r>
      <w:bookmarkEnd w:id="105"/>
    </w:p>
    <w:p w14:paraId="12156611" w14:textId="77777777" w:rsidR="00B678B5" w:rsidRPr="00E359BF" w:rsidRDefault="00B678B5" w:rsidP="00822EC3">
      <w:pPr>
        <w:pStyle w:val="BodyText"/>
      </w:pPr>
      <w:r w:rsidRPr="00626C03">
        <w:rPr>
          <w:rStyle w:val="BodyTextDemiChar"/>
        </w:rPr>
        <w:t>Ratings in the Low Range</w:t>
      </w:r>
      <w:r w:rsidRPr="00E359BF">
        <w:t xml:space="preserve">. </w:t>
      </w:r>
      <w:r w:rsidRPr="00BC09E0">
        <w:t>All indicators are absent or only minimally present. Teachers and students do not appear to share a warm, supportive relationship. Interpersonal connections are not evident or only minimally evident. Affect in the classroom is flat, and there are rarely instances of teachers and students smiling, sharing humor, or laughing together. There are no, or very few, positive communications among the teacher and students; the teacher does not communicate encouragement. There is no evidence that students and the teacher respect one another or that the teacher encourages students to respect one another.</w:t>
      </w:r>
    </w:p>
    <w:p w14:paraId="59F954EB" w14:textId="77777777" w:rsidR="00B678B5" w:rsidRPr="00E359BF" w:rsidRDefault="00B678B5" w:rsidP="00ED6288">
      <w:pPr>
        <w:pStyle w:val="BodyTextposthead"/>
      </w:pPr>
      <w:r w:rsidRPr="00626C03">
        <w:rPr>
          <w:rStyle w:val="BodyTextDemiChar"/>
        </w:rPr>
        <w:t>Ratings in the Middle Range.</w:t>
      </w:r>
      <w:r w:rsidRPr="00E359BF">
        <w:t xml:space="preserve"> </w:t>
      </w:r>
      <w:r w:rsidRPr="00BC09E0">
        <w:t>There are some indications that the teacher and students share a warm and supportive relationship, but some students may be excluded from this relationship, either by the teacher or the students. Some relationships appear constrained—for example, the teacher expresses a perfunctory interest in students, or encouragement seems to be an automatic statement and is not sincere. Sometimes, teachers and students demonstrate respect for one another.</w:t>
      </w:r>
    </w:p>
    <w:p w14:paraId="042DEF65" w14:textId="1221A7B2" w:rsidR="00B678B5" w:rsidRDefault="00B678B5" w:rsidP="00ED6288">
      <w:pPr>
        <w:pStyle w:val="BodyTextposthead"/>
      </w:pPr>
      <w:r w:rsidRPr="00626C03">
        <w:rPr>
          <w:rStyle w:val="BodyTextDemiChar"/>
        </w:rPr>
        <w:t xml:space="preserve">Ratings in the High Range. </w:t>
      </w:r>
      <w:r w:rsidRPr="00BC09E0">
        <w:t>There are many indications that the relationship among students and the teacher is positive and warm. The teacher is typically in close proximity to students, and encouragement is sincere and personal. There are frequent displays of shared laughter, smiles, and enthusiasm. Teachers and students show respect for one another (e.g., listening, using calm voices, using polite language). Positive communication (both verbal and nonverbal) and mutual respect are evident throughout the session.</w:t>
      </w:r>
      <w:bookmarkEnd w:id="102"/>
      <w:r>
        <w:br w:type="page"/>
      </w:r>
    </w:p>
    <w:p w14:paraId="71459B87" w14:textId="77777777" w:rsidR="00B678B5" w:rsidRPr="00BC09E0" w:rsidRDefault="00B678B5" w:rsidP="00814B3F">
      <w:pPr>
        <w:pStyle w:val="DIOR"/>
      </w:pPr>
      <w:bookmarkStart w:id="106" w:name="_Toc411329828"/>
      <w:bookmarkStart w:id="107" w:name="_Toc430114876"/>
      <w:bookmarkStart w:id="108" w:name="_Toc231296586"/>
      <w:r w:rsidRPr="00BC09E0">
        <w:t xml:space="preserve">Teacher </w:t>
      </w:r>
      <w:r w:rsidRPr="00ED6288">
        <w:t>Sensitivity</w:t>
      </w:r>
      <w:bookmarkEnd w:id="106"/>
      <w:bookmarkEnd w:id="107"/>
      <w:bookmarkEnd w:id="108"/>
    </w:p>
    <w:p w14:paraId="166C7FD5" w14:textId="77777777" w:rsidR="00B678B5" w:rsidRPr="00BC09E0" w:rsidRDefault="00B678B5">
      <w:pPr>
        <w:pStyle w:val="BodyTextDomain"/>
      </w:pPr>
      <w:r w:rsidRPr="00BC09E0">
        <w:t xml:space="preserve">Emotional Support domain, </w:t>
      </w:r>
      <w:r>
        <w:t>G</w:t>
      </w:r>
      <w:r w:rsidRPr="00BC09E0">
        <w:t xml:space="preserve">rades </w:t>
      </w:r>
      <w:r>
        <w:t>PK</w:t>
      </w:r>
      <w:r w:rsidRPr="00BC09E0">
        <w:t>−</w:t>
      </w:r>
      <w:r>
        <w:t>12</w:t>
      </w:r>
    </w:p>
    <w:p w14:paraId="5B70D689" w14:textId="52D14CE4" w:rsidR="00B678B5" w:rsidRPr="00BC09E0" w:rsidRDefault="00B678B5" w:rsidP="00ED6288">
      <w:pPr>
        <w:pStyle w:val="BodyTextposthead"/>
      </w:pPr>
      <w:r w:rsidRPr="00BC09E0">
        <w:t>Teacher Sensitivity encompasses the teacher’s awareness of and responsiveness to students’ academic and emotional needs. High levels of sensitivity facilitate students’ abilities to actively explore and learn because the teacher consistently provides comfort, reassurance, and encouragement (</w:t>
      </w:r>
      <w:r w:rsidRPr="00BC09E0">
        <w:rPr>
          <w:i/>
        </w:rPr>
        <w:t xml:space="preserve">CLASS </w:t>
      </w:r>
      <w:r>
        <w:rPr>
          <w:i/>
        </w:rPr>
        <w:t>PK–</w:t>
      </w:r>
      <w:r w:rsidRPr="00BC09E0">
        <w:rPr>
          <w:i/>
        </w:rPr>
        <w:t>3 Manual,</w:t>
      </w:r>
      <w:r w:rsidRPr="00BC09E0">
        <w:t xml:space="preserve"> p. 32, </w:t>
      </w:r>
      <w:r w:rsidRPr="00BC09E0">
        <w:rPr>
          <w:i/>
        </w:rPr>
        <w:t xml:space="preserve">CLASS Upper Elementary Manual, </w:t>
      </w:r>
      <w:r w:rsidRPr="00BC09E0">
        <w:t>p. 27</w:t>
      </w:r>
      <w:r>
        <w:t xml:space="preserve">, </w:t>
      </w:r>
      <w:r w:rsidRPr="0085328B">
        <w:rPr>
          <w:i/>
        </w:rPr>
        <w:t>CLASS Secondary Manual,</w:t>
      </w:r>
      <w:r>
        <w:t xml:space="preserve"> p. 27</w:t>
      </w:r>
      <w:r w:rsidRPr="00BC09E0">
        <w:t>).</w:t>
      </w:r>
    </w:p>
    <w:p w14:paraId="12E31C8A" w14:textId="77777777" w:rsidR="00B678B5" w:rsidRPr="00CB2CE9" w:rsidRDefault="00B678B5" w:rsidP="00ED6288">
      <w:pPr>
        <w:pStyle w:val="TableTitle0"/>
      </w:pPr>
      <w:r w:rsidRPr="00CB2CE9">
        <w:t xml:space="preserve">Table 4. Teacher </w:t>
      </w:r>
      <w:r w:rsidRPr="00ED6288">
        <w:t>Sensitivity</w:t>
      </w:r>
      <w:r w:rsidRPr="00CB2CE9">
        <w:t xml:space="preserve">: Number of Classrooms for Each Rating </w:t>
      </w:r>
      <w:r w:rsidRPr="0000126A">
        <w:t>and District Average</w:t>
      </w:r>
    </w:p>
    <w:p w14:paraId="2DCA9AA6" w14:textId="77777777" w:rsidR="00B678B5" w:rsidRDefault="00B678B5" w:rsidP="00B22A35">
      <w:pPr>
        <w:pStyle w:val="BodyTextDemi"/>
        <w:spacing w:before="120"/>
      </w:pPr>
      <w:r w:rsidRPr="0000126A">
        <w:t xml:space="preserve">Teacher Sensitivity District Average*: </w:t>
      </w:r>
      <w:bookmarkStart w:id="109" w:name="Dist_TS_Avg"/>
      <w:r>
        <w:t>5.8</w:t>
      </w:r>
      <w:bookmarkEnd w:id="109"/>
    </w:p>
    <w:tbl>
      <w:tblPr>
        <w:tblStyle w:val="MSVTable1"/>
        <w:tblW w:w="5000" w:type="pct"/>
        <w:tblLook w:val="04A0" w:firstRow="1" w:lastRow="0" w:firstColumn="1" w:lastColumn="0" w:noHBand="0" w:noVBand="1"/>
        <w:tblCaption w:val="Table 4. Teacher Sensitivity: Number of Classrooms for Each Rating and District Average"/>
        <w:tblDescription w:val="Teacher Sensitivity: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3EE0A7D7" w14:textId="77777777" w:rsidTr="000C1E41">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509B94D7" w14:textId="77777777" w:rsidR="00B678B5" w:rsidRPr="00ED6288" w:rsidRDefault="00B678B5" w:rsidP="000C1E41">
            <w:pPr>
              <w:pStyle w:val="TableColHeadingCenter"/>
            </w:pPr>
            <w:bookmarkStart w:id="110" w:name="Tbl_TS"/>
            <w:r w:rsidRPr="00ED6288">
              <w:t>Grade Band</w:t>
            </w:r>
          </w:p>
        </w:tc>
        <w:tc>
          <w:tcPr>
            <w:tcW w:w="874" w:type="dxa"/>
            <w:vAlign w:val="center"/>
          </w:tcPr>
          <w:p w14:paraId="7BA9E155" w14:textId="77777777" w:rsidR="00B678B5" w:rsidRPr="00ED6288" w:rsidRDefault="00B678B5" w:rsidP="000C1E41">
            <w:pPr>
              <w:pStyle w:val="TableColHeadingCenter"/>
            </w:pPr>
            <w:r w:rsidRPr="00ED6288">
              <w:t>Low Range (1)</w:t>
            </w:r>
          </w:p>
        </w:tc>
        <w:tc>
          <w:tcPr>
            <w:tcW w:w="874" w:type="dxa"/>
            <w:vAlign w:val="center"/>
          </w:tcPr>
          <w:p w14:paraId="3F3662EE" w14:textId="77777777" w:rsidR="00B678B5" w:rsidRPr="00ED6288" w:rsidRDefault="00B678B5" w:rsidP="000C1E41">
            <w:pPr>
              <w:pStyle w:val="TableColHeadingCenter"/>
            </w:pPr>
            <w:r w:rsidRPr="00ED6288">
              <w:t>Low Range (2)</w:t>
            </w:r>
          </w:p>
        </w:tc>
        <w:tc>
          <w:tcPr>
            <w:tcW w:w="874" w:type="dxa"/>
            <w:vAlign w:val="center"/>
          </w:tcPr>
          <w:p w14:paraId="247E116A" w14:textId="77777777" w:rsidR="00B678B5" w:rsidRPr="00ED6288" w:rsidRDefault="00B678B5" w:rsidP="000C1E41">
            <w:pPr>
              <w:pStyle w:val="TableColHeadingCenter"/>
            </w:pPr>
            <w:r w:rsidRPr="00ED6288">
              <w:t>Middle Range (3)</w:t>
            </w:r>
          </w:p>
        </w:tc>
        <w:tc>
          <w:tcPr>
            <w:tcW w:w="875" w:type="dxa"/>
            <w:vAlign w:val="center"/>
          </w:tcPr>
          <w:p w14:paraId="136ED7E4" w14:textId="77777777" w:rsidR="00B678B5" w:rsidRPr="00ED6288" w:rsidRDefault="00B678B5" w:rsidP="000C1E41">
            <w:pPr>
              <w:pStyle w:val="TableColHeadingCenter"/>
            </w:pPr>
            <w:r w:rsidRPr="00ED6288">
              <w:t>Middle Range (4)</w:t>
            </w:r>
          </w:p>
        </w:tc>
        <w:tc>
          <w:tcPr>
            <w:tcW w:w="875" w:type="dxa"/>
            <w:vAlign w:val="center"/>
          </w:tcPr>
          <w:p w14:paraId="1E5D0B24" w14:textId="77777777" w:rsidR="00B678B5" w:rsidRPr="00ED6288" w:rsidRDefault="00B678B5" w:rsidP="000C1E41">
            <w:pPr>
              <w:pStyle w:val="TableColHeadingCenter"/>
            </w:pPr>
            <w:r w:rsidRPr="00ED6288">
              <w:t>Middle Range (5)</w:t>
            </w:r>
          </w:p>
        </w:tc>
        <w:tc>
          <w:tcPr>
            <w:tcW w:w="874" w:type="dxa"/>
            <w:vAlign w:val="center"/>
          </w:tcPr>
          <w:p w14:paraId="7281183A" w14:textId="77777777" w:rsidR="00B678B5" w:rsidRPr="00ED6288" w:rsidRDefault="00B678B5" w:rsidP="000C1E41">
            <w:pPr>
              <w:pStyle w:val="TableColHeadingCenter"/>
            </w:pPr>
            <w:r w:rsidRPr="00ED6288">
              <w:t>High Range (6)</w:t>
            </w:r>
          </w:p>
        </w:tc>
        <w:tc>
          <w:tcPr>
            <w:tcW w:w="875" w:type="dxa"/>
            <w:vAlign w:val="center"/>
          </w:tcPr>
          <w:p w14:paraId="5D8B5318" w14:textId="77777777" w:rsidR="00B678B5" w:rsidRPr="00ED6288" w:rsidRDefault="00B678B5" w:rsidP="000C1E41">
            <w:pPr>
              <w:pStyle w:val="TableColHeadingCenter"/>
            </w:pPr>
            <w:r w:rsidRPr="00ED6288">
              <w:t>High Range (7)</w:t>
            </w:r>
          </w:p>
        </w:tc>
        <w:tc>
          <w:tcPr>
            <w:tcW w:w="900" w:type="dxa"/>
            <w:vAlign w:val="center"/>
          </w:tcPr>
          <w:p w14:paraId="44FF9A75" w14:textId="77777777" w:rsidR="00B678B5" w:rsidRPr="00ED6288" w:rsidRDefault="00B678B5" w:rsidP="000C1E41">
            <w:pPr>
              <w:pStyle w:val="TableColHeadingCenter"/>
            </w:pPr>
            <w:r w:rsidRPr="00ED6288">
              <w:t>n</w:t>
            </w:r>
          </w:p>
        </w:tc>
        <w:tc>
          <w:tcPr>
            <w:tcW w:w="892" w:type="dxa"/>
            <w:vAlign w:val="center"/>
          </w:tcPr>
          <w:p w14:paraId="1CD55312" w14:textId="77777777" w:rsidR="00B678B5" w:rsidRPr="00ED6288" w:rsidRDefault="00B678B5" w:rsidP="000C1E41">
            <w:pPr>
              <w:pStyle w:val="TableColHeadingCenter"/>
            </w:pPr>
            <w:r w:rsidRPr="00ED6288">
              <w:t>Average</w:t>
            </w:r>
          </w:p>
        </w:tc>
      </w:tr>
      <w:tr w:rsidR="00B678B5" w:rsidRPr="00E359BF" w14:paraId="3E9D3C40" w14:textId="77777777" w:rsidTr="00ED6288">
        <w:trPr>
          <w:cnfStyle w:val="000000100000" w:firstRow="0" w:lastRow="0" w:firstColumn="0" w:lastColumn="0" w:oddVBand="0" w:evenVBand="0" w:oddHBand="1" w:evenHBand="0" w:firstRowFirstColumn="0" w:firstRowLastColumn="0" w:lastRowFirstColumn="0" w:lastRowLastColumn="0"/>
        </w:trPr>
        <w:tc>
          <w:tcPr>
            <w:tcW w:w="1431" w:type="dxa"/>
          </w:tcPr>
          <w:p w14:paraId="4B93B5D3" w14:textId="77777777" w:rsidR="00B678B5" w:rsidRPr="00E359BF" w:rsidRDefault="00B678B5">
            <w:pPr>
              <w:pStyle w:val="TableText"/>
            </w:pPr>
            <w:r>
              <w:t>Grades PK-5</w:t>
            </w:r>
          </w:p>
        </w:tc>
        <w:tc>
          <w:tcPr>
            <w:tcW w:w="874" w:type="dxa"/>
          </w:tcPr>
          <w:p w14:paraId="7CB34DDE" w14:textId="77777777" w:rsidR="00B678B5" w:rsidRPr="00E359BF" w:rsidRDefault="00B678B5">
            <w:pPr>
              <w:pStyle w:val="TableTextCentered"/>
              <w:rPr>
                <w:rFonts w:eastAsia="Times New Roman"/>
              </w:rPr>
            </w:pPr>
            <w:r>
              <w:rPr>
                <w:rFonts w:eastAsia="Times New Roman"/>
              </w:rPr>
              <w:t>0</w:t>
            </w:r>
          </w:p>
        </w:tc>
        <w:tc>
          <w:tcPr>
            <w:tcW w:w="874" w:type="dxa"/>
          </w:tcPr>
          <w:p w14:paraId="05BF4546" w14:textId="77777777" w:rsidR="00B678B5" w:rsidRPr="00E359BF" w:rsidRDefault="00B678B5">
            <w:pPr>
              <w:pStyle w:val="TableTextCentered"/>
              <w:rPr>
                <w:rFonts w:eastAsia="Times New Roman"/>
              </w:rPr>
            </w:pPr>
            <w:r>
              <w:rPr>
                <w:rFonts w:eastAsia="Times New Roman"/>
              </w:rPr>
              <w:t>1</w:t>
            </w:r>
          </w:p>
        </w:tc>
        <w:tc>
          <w:tcPr>
            <w:tcW w:w="874" w:type="dxa"/>
          </w:tcPr>
          <w:p w14:paraId="15D13937" w14:textId="77777777" w:rsidR="00B678B5" w:rsidRPr="00E359BF" w:rsidRDefault="00B678B5">
            <w:pPr>
              <w:pStyle w:val="TableTextCentered"/>
              <w:rPr>
                <w:rFonts w:eastAsia="Times New Roman"/>
              </w:rPr>
            </w:pPr>
            <w:r>
              <w:rPr>
                <w:rFonts w:eastAsia="Times New Roman"/>
              </w:rPr>
              <w:t>4</w:t>
            </w:r>
          </w:p>
        </w:tc>
        <w:tc>
          <w:tcPr>
            <w:tcW w:w="875" w:type="dxa"/>
          </w:tcPr>
          <w:p w14:paraId="168CC1F5" w14:textId="77777777" w:rsidR="00B678B5" w:rsidRPr="00E359BF" w:rsidRDefault="00B678B5">
            <w:pPr>
              <w:pStyle w:val="TableTextCentered"/>
              <w:rPr>
                <w:rFonts w:eastAsia="Times New Roman"/>
              </w:rPr>
            </w:pPr>
            <w:r>
              <w:rPr>
                <w:rFonts w:eastAsia="Times New Roman"/>
              </w:rPr>
              <w:t>5</w:t>
            </w:r>
          </w:p>
        </w:tc>
        <w:tc>
          <w:tcPr>
            <w:tcW w:w="875" w:type="dxa"/>
          </w:tcPr>
          <w:p w14:paraId="30F998B7" w14:textId="77777777" w:rsidR="00B678B5" w:rsidRPr="00E359BF" w:rsidRDefault="00B678B5">
            <w:pPr>
              <w:pStyle w:val="TableTextCentered"/>
              <w:rPr>
                <w:rFonts w:eastAsia="Times New Roman"/>
              </w:rPr>
            </w:pPr>
            <w:r>
              <w:rPr>
                <w:rFonts w:eastAsia="Times New Roman"/>
              </w:rPr>
              <w:t>12</w:t>
            </w:r>
          </w:p>
        </w:tc>
        <w:tc>
          <w:tcPr>
            <w:tcW w:w="874" w:type="dxa"/>
          </w:tcPr>
          <w:p w14:paraId="72646D9C" w14:textId="77777777" w:rsidR="00B678B5" w:rsidRPr="00E359BF" w:rsidRDefault="00B678B5">
            <w:pPr>
              <w:pStyle w:val="TableTextCentered"/>
              <w:rPr>
                <w:rFonts w:eastAsia="Times New Roman"/>
              </w:rPr>
            </w:pPr>
            <w:r>
              <w:rPr>
                <w:rFonts w:eastAsia="Times New Roman"/>
              </w:rPr>
              <w:t>20</w:t>
            </w:r>
          </w:p>
        </w:tc>
        <w:tc>
          <w:tcPr>
            <w:tcW w:w="875" w:type="dxa"/>
          </w:tcPr>
          <w:p w14:paraId="11CDDE4E" w14:textId="77777777" w:rsidR="00B678B5" w:rsidRPr="00E359BF" w:rsidRDefault="00B678B5">
            <w:pPr>
              <w:pStyle w:val="TableTextCentered"/>
              <w:rPr>
                <w:rFonts w:eastAsia="Times New Roman"/>
              </w:rPr>
            </w:pPr>
            <w:r>
              <w:rPr>
                <w:rFonts w:eastAsia="Times New Roman"/>
              </w:rPr>
              <w:t>38</w:t>
            </w:r>
          </w:p>
        </w:tc>
        <w:tc>
          <w:tcPr>
            <w:tcW w:w="900" w:type="dxa"/>
          </w:tcPr>
          <w:p w14:paraId="21D607B7" w14:textId="77777777" w:rsidR="00B678B5" w:rsidRPr="00E359BF" w:rsidRDefault="00B678B5">
            <w:pPr>
              <w:pStyle w:val="TableTextCentered"/>
              <w:rPr>
                <w:rFonts w:eastAsia="Times New Roman"/>
              </w:rPr>
            </w:pPr>
            <w:r>
              <w:rPr>
                <w:rFonts w:eastAsia="Times New Roman"/>
              </w:rPr>
              <w:t>80</w:t>
            </w:r>
          </w:p>
        </w:tc>
        <w:tc>
          <w:tcPr>
            <w:tcW w:w="892" w:type="dxa"/>
          </w:tcPr>
          <w:p w14:paraId="2AF2C5DB" w14:textId="77777777" w:rsidR="00B678B5" w:rsidRPr="00E359BF" w:rsidRDefault="00B678B5">
            <w:pPr>
              <w:pStyle w:val="TableTextCentered"/>
              <w:rPr>
                <w:rFonts w:eastAsia="Times New Roman"/>
              </w:rPr>
            </w:pPr>
            <w:r>
              <w:rPr>
                <w:rFonts w:eastAsia="Times New Roman"/>
              </w:rPr>
              <w:t>6.0</w:t>
            </w:r>
          </w:p>
        </w:tc>
      </w:tr>
      <w:tr w:rsidR="00B678B5" w:rsidRPr="00E359BF" w14:paraId="482F5D9D" w14:textId="77777777" w:rsidTr="00ED6288">
        <w:tc>
          <w:tcPr>
            <w:tcW w:w="1431" w:type="dxa"/>
          </w:tcPr>
          <w:p w14:paraId="311D26FD" w14:textId="77777777" w:rsidR="00B678B5" w:rsidRPr="00E359BF" w:rsidRDefault="00B678B5">
            <w:pPr>
              <w:pStyle w:val="TableText"/>
            </w:pPr>
            <w:r>
              <w:t>Grades 6-8</w:t>
            </w:r>
          </w:p>
        </w:tc>
        <w:tc>
          <w:tcPr>
            <w:tcW w:w="874" w:type="dxa"/>
          </w:tcPr>
          <w:p w14:paraId="466D732E" w14:textId="77777777" w:rsidR="00B678B5" w:rsidRPr="00E359BF" w:rsidRDefault="00B678B5">
            <w:pPr>
              <w:pStyle w:val="TableTextCentered"/>
              <w:rPr>
                <w:rFonts w:eastAsia="Times New Roman"/>
              </w:rPr>
            </w:pPr>
            <w:r>
              <w:rPr>
                <w:rFonts w:eastAsia="Times New Roman"/>
              </w:rPr>
              <w:t>0</w:t>
            </w:r>
          </w:p>
        </w:tc>
        <w:tc>
          <w:tcPr>
            <w:tcW w:w="874" w:type="dxa"/>
          </w:tcPr>
          <w:p w14:paraId="6FE8792F" w14:textId="77777777" w:rsidR="00B678B5" w:rsidRPr="00E359BF" w:rsidRDefault="00B678B5">
            <w:pPr>
              <w:pStyle w:val="TableTextCentered"/>
              <w:rPr>
                <w:rFonts w:eastAsia="Times New Roman"/>
              </w:rPr>
            </w:pPr>
            <w:r>
              <w:rPr>
                <w:rFonts w:eastAsia="Times New Roman"/>
              </w:rPr>
              <w:t>0</w:t>
            </w:r>
          </w:p>
        </w:tc>
        <w:tc>
          <w:tcPr>
            <w:tcW w:w="874" w:type="dxa"/>
          </w:tcPr>
          <w:p w14:paraId="447DF93C" w14:textId="77777777" w:rsidR="00B678B5" w:rsidRPr="00E359BF" w:rsidRDefault="00B678B5">
            <w:pPr>
              <w:pStyle w:val="TableTextCentered"/>
              <w:rPr>
                <w:rFonts w:eastAsia="Times New Roman"/>
              </w:rPr>
            </w:pPr>
            <w:r>
              <w:rPr>
                <w:rFonts w:eastAsia="Times New Roman"/>
              </w:rPr>
              <w:t>2</w:t>
            </w:r>
          </w:p>
        </w:tc>
        <w:tc>
          <w:tcPr>
            <w:tcW w:w="875" w:type="dxa"/>
          </w:tcPr>
          <w:p w14:paraId="2FCF41B3" w14:textId="77777777" w:rsidR="00B678B5" w:rsidRPr="00E359BF" w:rsidRDefault="00B678B5">
            <w:pPr>
              <w:pStyle w:val="TableTextCentered"/>
              <w:rPr>
                <w:rFonts w:eastAsia="Times New Roman"/>
              </w:rPr>
            </w:pPr>
            <w:r>
              <w:rPr>
                <w:rFonts w:eastAsia="Times New Roman"/>
              </w:rPr>
              <w:t>1</w:t>
            </w:r>
          </w:p>
        </w:tc>
        <w:tc>
          <w:tcPr>
            <w:tcW w:w="875" w:type="dxa"/>
          </w:tcPr>
          <w:p w14:paraId="3D182DC5" w14:textId="77777777" w:rsidR="00B678B5" w:rsidRPr="00E359BF" w:rsidRDefault="00B678B5">
            <w:pPr>
              <w:pStyle w:val="TableTextCentered"/>
              <w:rPr>
                <w:rFonts w:eastAsia="Times New Roman"/>
              </w:rPr>
            </w:pPr>
            <w:r>
              <w:rPr>
                <w:rFonts w:eastAsia="Times New Roman"/>
              </w:rPr>
              <w:t>10</w:t>
            </w:r>
          </w:p>
        </w:tc>
        <w:tc>
          <w:tcPr>
            <w:tcW w:w="874" w:type="dxa"/>
          </w:tcPr>
          <w:p w14:paraId="63A0ABD1" w14:textId="77777777" w:rsidR="00B678B5" w:rsidRPr="00E359BF" w:rsidRDefault="00B678B5">
            <w:pPr>
              <w:pStyle w:val="TableTextCentered"/>
              <w:rPr>
                <w:rFonts w:eastAsia="Times New Roman"/>
              </w:rPr>
            </w:pPr>
            <w:r>
              <w:rPr>
                <w:rFonts w:eastAsia="Times New Roman"/>
              </w:rPr>
              <w:t>17</w:t>
            </w:r>
          </w:p>
        </w:tc>
        <w:tc>
          <w:tcPr>
            <w:tcW w:w="875" w:type="dxa"/>
          </w:tcPr>
          <w:p w14:paraId="25EC552F" w14:textId="77777777" w:rsidR="00B678B5" w:rsidRPr="00E359BF" w:rsidRDefault="00B678B5">
            <w:pPr>
              <w:pStyle w:val="TableTextCentered"/>
              <w:rPr>
                <w:rFonts w:eastAsia="Times New Roman"/>
              </w:rPr>
            </w:pPr>
            <w:r>
              <w:rPr>
                <w:rFonts w:eastAsia="Times New Roman"/>
              </w:rPr>
              <w:t>10</w:t>
            </w:r>
          </w:p>
        </w:tc>
        <w:tc>
          <w:tcPr>
            <w:tcW w:w="900" w:type="dxa"/>
          </w:tcPr>
          <w:p w14:paraId="768CA0E5" w14:textId="77777777" w:rsidR="00B678B5" w:rsidRPr="00E359BF" w:rsidRDefault="00B678B5">
            <w:pPr>
              <w:pStyle w:val="TableTextCentered"/>
              <w:rPr>
                <w:rFonts w:eastAsia="Times New Roman"/>
              </w:rPr>
            </w:pPr>
            <w:r>
              <w:rPr>
                <w:rFonts w:eastAsia="Times New Roman"/>
              </w:rPr>
              <w:t>40</w:t>
            </w:r>
          </w:p>
        </w:tc>
        <w:tc>
          <w:tcPr>
            <w:tcW w:w="892" w:type="dxa"/>
          </w:tcPr>
          <w:p w14:paraId="0C057392" w14:textId="77777777" w:rsidR="00B678B5" w:rsidRPr="00E359BF" w:rsidRDefault="00B678B5">
            <w:pPr>
              <w:pStyle w:val="TableTextCentered"/>
              <w:rPr>
                <w:rFonts w:eastAsia="Times New Roman"/>
              </w:rPr>
            </w:pPr>
            <w:r>
              <w:rPr>
                <w:rFonts w:eastAsia="Times New Roman"/>
              </w:rPr>
              <w:t>5.8</w:t>
            </w:r>
          </w:p>
        </w:tc>
      </w:tr>
      <w:tr w:rsidR="00B678B5" w:rsidRPr="00E359BF" w14:paraId="4CAFE85A" w14:textId="77777777" w:rsidTr="00ED6288">
        <w:trPr>
          <w:cnfStyle w:val="000000100000" w:firstRow="0" w:lastRow="0" w:firstColumn="0" w:lastColumn="0" w:oddVBand="0" w:evenVBand="0" w:oddHBand="1" w:evenHBand="0" w:firstRowFirstColumn="0" w:firstRowLastColumn="0" w:lastRowFirstColumn="0" w:lastRowLastColumn="0"/>
        </w:trPr>
        <w:tc>
          <w:tcPr>
            <w:tcW w:w="1431" w:type="dxa"/>
          </w:tcPr>
          <w:p w14:paraId="5C272501" w14:textId="77777777" w:rsidR="00B678B5" w:rsidRPr="00E359BF" w:rsidRDefault="00B678B5">
            <w:pPr>
              <w:pStyle w:val="TableText"/>
            </w:pPr>
            <w:r>
              <w:t>Grades 9-12</w:t>
            </w:r>
          </w:p>
        </w:tc>
        <w:tc>
          <w:tcPr>
            <w:tcW w:w="874" w:type="dxa"/>
          </w:tcPr>
          <w:p w14:paraId="64C37073" w14:textId="77777777" w:rsidR="00B678B5" w:rsidRPr="00E359BF" w:rsidRDefault="00B678B5">
            <w:pPr>
              <w:pStyle w:val="TableTextCentered"/>
              <w:rPr>
                <w:rFonts w:eastAsia="Times New Roman"/>
              </w:rPr>
            </w:pPr>
            <w:r>
              <w:rPr>
                <w:rFonts w:eastAsia="Times New Roman"/>
              </w:rPr>
              <w:t>0</w:t>
            </w:r>
          </w:p>
        </w:tc>
        <w:tc>
          <w:tcPr>
            <w:tcW w:w="874" w:type="dxa"/>
          </w:tcPr>
          <w:p w14:paraId="38BDEADB" w14:textId="77777777" w:rsidR="00B678B5" w:rsidRPr="00E359BF" w:rsidRDefault="00B678B5">
            <w:pPr>
              <w:pStyle w:val="TableTextCentered"/>
              <w:rPr>
                <w:rFonts w:eastAsia="Times New Roman"/>
              </w:rPr>
            </w:pPr>
            <w:r>
              <w:rPr>
                <w:rFonts w:eastAsia="Times New Roman"/>
              </w:rPr>
              <w:t>0</w:t>
            </w:r>
          </w:p>
        </w:tc>
        <w:tc>
          <w:tcPr>
            <w:tcW w:w="874" w:type="dxa"/>
          </w:tcPr>
          <w:p w14:paraId="68E7AFCB" w14:textId="77777777" w:rsidR="00B678B5" w:rsidRPr="00E359BF" w:rsidRDefault="00B678B5">
            <w:pPr>
              <w:pStyle w:val="TableTextCentered"/>
              <w:rPr>
                <w:rFonts w:eastAsia="Times New Roman"/>
              </w:rPr>
            </w:pPr>
            <w:r>
              <w:rPr>
                <w:rFonts w:eastAsia="Times New Roman"/>
              </w:rPr>
              <w:t>6</w:t>
            </w:r>
          </w:p>
        </w:tc>
        <w:tc>
          <w:tcPr>
            <w:tcW w:w="875" w:type="dxa"/>
          </w:tcPr>
          <w:p w14:paraId="1B4FEF97" w14:textId="77777777" w:rsidR="00B678B5" w:rsidRPr="00E359BF" w:rsidRDefault="00B678B5">
            <w:pPr>
              <w:pStyle w:val="TableTextCentered"/>
              <w:rPr>
                <w:rFonts w:eastAsia="Times New Roman"/>
              </w:rPr>
            </w:pPr>
            <w:r>
              <w:rPr>
                <w:rFonts w:eastAsia="Times New Roman"/>
              </w:rPr>
              <w:t>4</w:t>
            </w:r>
          </w:p>
        </w:tc>
        <w:tc>
          <w:tcPr>
            <w:tcW w:w="875" w:type="dxa"/>
          </w:tcPr>
          <w:p w14:paraId="64A73C76" w14:textId="77777777" w:rsidR="00B678B5" w:rsidRPr="00E359BF" w:rsidRDefault="00B678B5">
            <w:pPr>
              <w:pStyle w:val="TableTextCentered"/>
              <w:rPr>
                <w:rFonts w:eastAsia="Times New Roman"/>
              </w:rPr>
            </w:pPr>
            <w:r>
              <w:rPr>
                <w:rFonts w:eastAsia="Times New Roman"/>
              </w:rPr>
              <w:t>13</w:t>
            </w:r>
          </w:p>
        </w:tc>
        <w:tc>
          <w:tcPr>
            <w:tcW w:w="874" w:type="dxa"/>
          </w:tcPr>
          <w:p w14:paraId="7EC75514" w14:textId="77777777" w:rsidR="00B678B5" w:rsidRPr="00E359BF" w:rsidRDefault="00B678B5">
            <w:pPr>
              <w:pStyle w:val="TableTextCentered"/>
              <w:rPr>
                <w:rFonts w:eastAsia="Times New Roman"/>
              </w:rPr>
            </w:pPr>
            <w:r>
              <w:rPr>
                <w:rFonts w:eastAsia="Times New Roman"/>
              </w:rPr>
              <w:t>19</w:t>
            </w:r>
          </w:p>
        </w:tc>
        <w:tc>
          <w:tcPr>
            <w:tcW w:w="875" w:type="dxa"/>
          </w:tcPr>
          <w:p w14:paraId="4017D4C8" w14:textId="77777777" w:rsidR="00B678B5" w:rsidRPr="00E359BF" w:rsidRDefault="00B678B5">
            <w:pPr>
              <w:pStyle w:val="TableTextCentered"/>
              <w:rPr>
                <w:rFonts w:eastAsia="Times New Roman"/>
              </w:rPr>
            </w:pPr>
            <w:r>
              <w:rPr>
                <w:rFonts w:eastAsia="Times New Roman"/>
              </w:rPr>
              <w:t>11</w:t>
            </w:r>
          </w:p>
        </w:tc>
        <w:tc>
          <w:tcPr>
            <w:tcW w:w="900" w:type="dxa"/>
          </w:tcPr>
          <w:p w14:paraId="6D4AC183" w14:textId="77777777" w:rsidR="00B678B5" w:rsidRPr="00E359BF" w:rsidRDefault="00B678B5">
            <w:pPr>
              <w:pStyle w:val="TableTextCentered"/>
              <w:rPr>
                <w:rFonts w:eastAsia="Times New Roman"/>
              </w:rPr>
            </w:pPr>
            <w:r>
              <w:rPr>
                <w:rFonts w:eastAsia="Times New Roman"/>
              </w:rPr>
              <w:t>53</w:t>
            </w:r>
          </w:p>
        </w:tc>
        <w:tc>
          <w:tcPr>
            <w:tcW w:w="892" w:type="dxa"/>
          </w:tcPr>
          <w:p w14:paraId="67EEBC05" w14:textId="77777777" w:rsidR="00B678B5" w:rsidRPr="00E359BF" w:rsidRDefault="00B678B5">
            <w:pPr>
              <w:pStyle w:val="TableTextCentered"/>
              <w:rPr>
                <w:rFonts w:eastAsia="Times New Roman"/>
              </w:rPr>
            </w:pPr>
            <w:r>
              <w:rPr>
                <w:rFonts w:eastAsia="Times New Roman"/>
              </w:rPr>
              <w:t>5.5</w:t>
            </w:r>
          </w:p>
        </w:tc>
      </w:tr>
      <w:tr w:rsidR="00B678B5" w:rsidRPr="00E359BF" w14:paraId="5931436C" w14:textId="77777777" w:rsidTr="00ED6288">
        <w:tc>
          <w:tcPr>
            <w:tcW w:w="1431" w:type="dxa"/>
          </w:tcPr>
          <w:p w14:paraId="1371AB0D"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0ABBC9D9"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4" w:type="dxa"/>
          </w:tcPr>
          <w:p w14:paraId="613B3F2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w:t>
            </w:r>
          </w:p>
        </w:tc>
        <w:tc>
          <w:tcPr>
            <w:tcW w:w="874" w:type="dxa"/>
          </w:tcPr>
          <w:p w14:paraId="38F3AE23"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12</w:t>
            </w:r>
          </w:p>
        </w:tc>
        <w:tc>
          <w:tcPr>
            <w:tcW w:w="875" w:type="dxa"/>
          </w:tcPr>
          <w:p w14:paraId="776C5A2A"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10</w:t>
            </w:r>
          </w:p>
        </w:tc>
        <w:tc>
          <w:tcPr>
            <w:tcW w:w="875" w:type="dxa"/>
          </w:tcPr>
          <w:p w14:paraId="12CBFB3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35</w:t>
            </w:r>
          </w:p>
        </w:tc>
        <w:tc>
          <w:tcPr>
            <w:tcW w:w="874" w:type="dxa"/>
          </w:tcPr>
          <w:p w14:paraId="36712D7F"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56</w:t>
            </w:r>
          </w:p>
        </w:tc>
        <w:tc>
          <w:tcPr>
            <w:tcW w:w="875" w:type="dxa"/>
          </w:tcPr>
          <w:p w14:paraId="2EEB23A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59</w:t>
            </w:r>
          </w:p>
        </w:tc>
        <w:tc>
          <w:tcPr>
            <w:tcW w:w="900" w:type="dxa"/>
          </w:tcPr>
          <w:p w14:paraId="0DC462B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173</w:t>
            </w:r>
          </w:p>
        </w:tc>
        <w:tc>
          <w:tcPr>
            <w:tcW w:w="892" w:type="dxa"/>
          </w:tcPr>
          <w:p w14:paraId="420BC92B"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5.8</w:t>
            </w:r>
          </w:p>
        </w:tc>
      </w:tr>
    </w:tbl>
    <w:bookmarkEnd w:id="110"/>
    <w:p w14:paraId="51F4670A" w14:textId="3C4C3670" w:rsidR="00B678B5" w:rsidRPr="00BC09E0" w:rsidRDefault="00B678B5" w:rsidP="00ED6288">
      <w:pPr>
        <w:pStyle w:val="TableNote"/>
      </w:pPr>
      <w:r w:rsidRPr="00A96DD7">
        <w:t xml:space="preserve">*The district average is an average of the observation scores. In Table 4, the district average is computed as: </w:t>
      </w:r>
      <w:bookmarkStart w:id="111" w:name="Dist_TS_Calc"/>
      <w:r>
        <w:t>([2 x 1] + [3 x 12] + [4 x 10] + [5 x 35] + [6 x 56] + [7 x 59]) ÷ 173 observations = 5.8</w:t>
      </w:r>
      <w:bookmarkEnd w:id="111"/>
    </w:p>
    <w:p w14:paraId="2821DE8C" w14:textId="77777777" w:rsidR="00B678B5" w:rsidRPr="00BC09E0" w:rsidRDefault="00B678B5" w:rsidP="00ED6288">
      <w:pPr>
        <w:pStyle w:val="BodyText"/>
      </w:pPr>
      <w:r w:rsidRPr="00CB2CE9">
        <w:rPr>
          <w:rStyle w:val="BodyTextDemiChar"/>
        </w:rPr>
        <w:t>Ratings in the Low Range.</w:t>
      </w:r>
      <w:r w:rsidRPr="00BC09E0">
        <w:t xml:space="preserve"> In these sessions, the teacher has not been aware of students who </w:t>
      </w:r>
      <w:r w:rsidRPr="00BC09E0">
        <w:rPr>
          <w:spacing w:val="-4"/>
        </w:rPr>
        <w:t>need extra support and pays little attention to students’ needs. As a result, students are frustrated</w:t>
      </w:r>
      <w:r w:rsidRPr="00BC09E0">
        <w:t xml:space="preserve">, confused, and disengaged. The teacher is unresponsive to and dismissive of students and may ignore students, squash their enthusiasm, and not allow them to share their moods or feelings. </w:t>
      </w:r>
      <w:r w:rsidRPr="00BC09E0">
        <w:rPr>
          <w:spacing w:val="-4"/>
        </w:rPr>
        <w:t>The teacher is not effective in addressing students’ needs and does not appropriately acknowledge situations that may be upsetting to students. Students rarely seek support from the teacher</w:t>
      </w:r>
      <w:r w:rsidRPr="00BC09E0">
        <w:t xml:space="preserve"> and minimize conversations with the teacher, not sharing ideas or responding to questions.</w:t>
      </w:r>
    </w:p>
    <w:p w14:paraId="36637AA0" w14:textId="24F09336" w:rsidR="00B678B5" w:rsidRPr="00BC09E0" w:rsidRDefault="00B678B5" w:rsidP="00ED6288">
      <w:pPr>
        <w:pStyle w:val="BodyTextposthead"/>
      </w:pPr>
      <w:r w:rsidRPr="00CB2CE9">
        <w:rPr>
          <w:rStyle w:val="BodyTextDemiChar"/>
        </w:rPr>
        <w:t>Ratings in the Middle Range.</w:t>
      </w:r>
      <w:r w:rsidRPr="00BC09E0">
        <w:t xml:space="preserve"> The teacher is sometimes aware of student needs or aware of only a limited type of student needs, such as academic needs, not social-emotional needs. Or the teacher may be aware of some students and not of other students. The teacher does not always realize a student is confused and needs extra help or when a student already knows the material being taught. The teacher may be responsive at times to students but at other times may ignore or dismiss students. The teacher may respond only to students who are upbeat and positive and not support students who are upset. Sometimes, the teacher is effective in addressing students’ concerns or problems, but not always.</w:t>
      </w:r>
    </w:p>
    <w:p w14:paraId="216416D5" w14:textId="63F0B8DB" w:rsidR="00B678B5" w:rsidRDefault="00B678B5" w:rsidP="00ED6288">
      <w:pPr>
        <w:pStyle w:val="BodyTextposthead"/>
      </w:pPr>
      <w:r w:rsidRPr="00CB2CE9">
        <w:rPr>
          <w:rStyle w:val="BodyTextDemiChar"/>
        </w:rPr>
        <w:t>Ratings in the High Range.</w:t>
      </w:r>
      <w:r w:rsidRPr="00BC09E0">
        <w:t xml:space="preserve"> The teacher’s awareness of students and their needs is consistent </w:t>
      </w:r>
      <w:r w:rsidRPr="00BC09E0">
        <w:rPr>
          <w:spacing w:val="-4"/>
        </w:rPr>
        <w:t>and accurate. The teacher may predict how difficult a new task is for a student and acknowledge</w:t>
      </w:r>
      <w:r w:rsidRPr="00BC09E0">
        <w:t xml:space="preserve"> this difficulty. The teacher is responsive to students’ comments and behaviors, whether positive or negative. The teacher consistently addresses students’ problems and concerns and is effective in doing so. Students are obviously comfortable with the teacher and share ideas, work comfortably together, and ask and respond to questions, even difficult questions.</w:t>
      </w:r>
      <w:r>
        <w:br w:type="page"/>
      </w:r>
    </w:p>
    <w:p w14:paraId="17CCA087" w14:textId="77777777" w:rsidR="00B678B5" w:rsidRPr="00BC09E0" w:rsidRDefault="00B678B5" w:rsidP="00814B3F">
      <w:pPr>
        <w:pStyle w:val="DIOR"/>
      </w:pPr>
      <w:bookmarkStart w:id="112" w:name="_Toc411329829"/>
      <w:bookmarkStart w:id="113" w:name="_Toc430114877"/>
      <w:bookmarkStart w:id="114" w:name="_Toc231296587"/>
      <w:r w:rsidRPr="00BC09E0">
        <w:t xml:space="preserve">Regard for </w:t>
      </w:r>
      <w:r w:rsidRPr="00400B6F">
        <w:t>Student</w:t>
      </w:r>
      <w:r w:rsidRPr="00BC09E0">
        <w:t xml:space="preserve"> Perspectives</w:t>
      </w:r>
      <w:bookmarkEnd w:id="112"/>
      <w:bookmarkEnd w:id="113"/>
      <w:bookmarkEnd w:id="114"/>
    </w:p>
    <w:p w14:paraId="203728E5" w14:textId="77777777" w:rsidR="00B678B5" w:rsidRPr="00F008EE" w:rsidRDefault="00B678B5">
      <w:pPr>
        <w:pStyle w:val="BodyTextDomain"/>
      </w:pPr>
      <w:r w:rsidRPr="00BC09E0">
        <w:t xml:space="preserve">Emotional Support domain, </w:t>
      </w:r>
      <w:r>
        <w:t>G</w:t>
      </w:r>
      <w:r w:rsidRPr="00BC09E0">
        <w:t xml:space="preserve">rades </w:t>
      </w:r>
      <w:r>
        <w:t>PK</w:t>
      </w:r>
      <w:r w:rsidRPr="00BC09E0">
        <w:t>−</w:t>
      </w:r>
      <w:r>
        <w:t>12</w:t>
      </w:r>
    </w:p>
    <w:p w14:paraId="7F28A876" w14:textId="77777777" w:rsidR="00B678B5" w:rsidRPr="00BC09E0" w:rsidRDefault="00B678B5" w:rsidP="00400B6F">
      <w:pPr>
        <w:pStyle w:val="BodyTextposthead"/>
      </w:pPr>
      <w:r w:rsidRPr="00BC09E0">
        <w:t>Regard for Student Perspectives captures the degree to which the teacher’s interactions with students and classroom activities place an emphasis on students’ interests, motivations, and points of view and encourage student responsibility and autonomy (</w:t>
      </w:r>
      <w:r w:rsidRPr="00BC09E0">
        <w:rPr>
          <w:i/>
        </w:rPr>
        <w:t xml:space="preserve">CLASS </w:t>
      </w:r>
      <w:r>
        <w:rPr>
          <w:i/>
        </w:rPr>
        <w:t>PK–</w:t>
      </w:r>
      <w:r w:rsidRPr="00BC09E0">
        <w:rPr>
          <w:i/>
        </w:rPr>
        <w:t>3 Manual,</w:t>
      </w:r>
      <w:r w:rsidRPr="00BC09E0">
        <w:t xml:space="preserve"> p. 38, </w:t>
      </w:r>
      <w:r w:rsidRPr="00BC09E0">
        <w:rPr>
          <w:i/>
        </w:rPr>
        <w:t xml:space="preserve">CLASS Upper Elementary Manual, </w:t>
      </w:r>
      <w:r w:rsidRPr="00BC09E0">
        <w:t>p. 35</w:t>
      </w:r>
      <w:r>
        <w:t xml:space="preserve">, </w:t>
      </w:r>
      <w:r w:rsidRPr="001C5792">
        <w:rPr>
          <w:i/>
          <w:spacing w:val="-4"/>
        </w:rPr>
        <w:t>CLASS Secondary Manual</w:t>
      </w:r>
      <w:r w:rsidRPr="001C5792">
        <w:rPr>
          <w:spacing w:val="-4"/>
        </w:rPr>
        <w:t>, p. 35</w:t>
      </w:r>
      <w:r w:rsidRPr="00BC09E0">
        <w:t xml:space="preserve">). </w:t>
      </w:r>
    </w:p>
    <w:p w14:paraId="55D3BDD0" w14:textId="77777777" w:rsidR="00B678B5" w:rsidRPr="00BC09E0" w:rsidRDefault="00B678B5">
      <w:pPr>
        <w:pStyle w:val="TableTitle0"/>
      </w:pPr>
      <w:r w:rsidRPr="00BC09E0">
        <w:t xml:space="preserve">Table 5. Regard for Student Perspectives: Number of Classrooms for Each Rating </w:t>
      </w:r>
      <w:r w:rsidRPr="00A96DD7">
        <w:t>and District Average</w:t>
      </w:r>
    </w:p>
    <w:p w14:paraId="3725B3A6" w14:textId="77777777" w:rsidR="00B678B5" w:rsidRDefault="00B678B5">
      <w:pPr>
        <w:pStyle w:val="BodyTextDemi"/>
      </w:pPr>
      <w:r w:rsidRPr="00A96DD7">
        <w:t xml:space="preserve">Regard for Student Perspectives District Average*: </w:t>
      </w:r>
      <w:bookmarkStart w:id="115" w:name="Dist_RSP_Avg"/>
      <w:r>
        <w:t>3.0</w:t>
      </w:r>
      <w:bookmarkEnd w:id="115"/>
    </w:p>
    <w:tbl>
      <w:tblPr>
        <w:tblStyle w:val="MSVTable1"/>
        <w:tblW w:w="5000" w:type="pct"/>
        <w:tblLook w:val="04A0" w:firstRow="1" w:lastRow="0" w:firstColumn="1" w:lastColumn="0" w:noHBand="0" w:noVBand="1"/>
        <w:tblCaption w:val="Table 5. Regard for Student Perspectives: Number of Classrooms for Each Rating and District Average"/>
        <w:tblDescription w:val="Regard for Student Perspectives: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1B2BF973" w14:textId="77777777" w:rsidTr="005F7BB2">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3C69AE0A" w14:textId="77777777" w:rsidR="00B678B5" w:rsidRPr="00E359BF" w:rsidRDefault="00B678B5" w:rsidP="005F7BB2">
            <w:pPr>
              <w:pStyle w:val="TableColHeadingCenter"/>
              <w:rPr>
                <w:rFonts w:eastAsia="MS Mincho"/>
              </w:rPr>
            </w:pPr>
            <w:bookmarkStart w:id="116" w:name="Tbl_RSP"/>
            <w:r>
              <w:rPr>
                <w:rFonts w:eastAsia="MS Mincho"/>
              </w:rPr>
              <w:t>Grade Band</w:t>
            </w:r>
          </w:p>
        </w:tc>
        <w:tc>
          <w:tcPr>
            <w:tcW w:w="874" w:type="dxa"/>
            <w:vAlign w:val="center"/>
          </w:tcPr>
          <w:p w14:paraId="3D467B18" w14:textId="77777777" w:rsidR="00B678B5" w:rsidRPr="00E359BF" w:rsidRDefault="00B678B5" w:rsidP="005F7BB2">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53ED09CE" w14:textId="77777777" w:rsidR="00B678B5" w:rsidRPr="00E359BF" w:rsidRDefault="00B678B5" w:rsidP="005F7BB2">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479E059E" w14:textId="77777777" w:rsidR="00B678B5" w:rsidRPr="00E359BF" w:rsidRDefault="00B678B5" w:rsidP="005F7BB2">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144A59D0" w14:textId="77777777" w:rsidR="00B678B5" w:rsidRPr="00E359BF" w:rsidRDefault="00B678B5" w:rsidP="005F7BB2">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03644B1F" w14:textId="77777777" w:rsidR="00B678B5" w:rsidRPr="00E359BF" w:rsidRDefault="00B678B5" w:rsidP="005F7BB2">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39A28D79" w14:textId="77777777" w:rsidR="00B678B5" w:rsidRPr="00E359BF" w:rsidRDefault="00B678B5" w:rsidP="005F7BB2">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2C1A310D" w14:textId="77777777" w:rsidR="00B678B5" w:rsidRPr="00E359BF" w:rsidRDefault="00B678B5" w:rsidP="005F7BB2">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03D88E40" w14:textId="77777777" w:rsidR="00B678B5" w:rsidRPr="00E359BF" w:rsidRDefault="00B678B5" w:rsidP="005F7BB2">
            <w:pPr>
              <w:pStyle w:val="TableColHeadingCenter"/>
              <w:rPr>
                <w:rFonts w:eastAsia="MS Mincho"/>
              </w:rPr>
            </w:pPr>
            <w:r>
              <w:rPr>
                <w:rFonts w:eastAsia="MS Mincho"/>
              </w:rPr>
              <w:t>n</w:t>
            </w:r>
          </w:p>
        </w:tc>
        <w:tc>
          <w:tcPr>
            <w:tcW w:w="892" w:type="dxa"/>
            <w:vAlign w:val="center"/>
          </w:tcPr>
          <w:p w14:paraId="25D5EE84" w14:textId="77777777" w:rsidR="00B678B5" w:rsidRPr="00E359BF" w:rsidRDefault="00B678B5" w:rsidP="005F7BB2">
            <w:pPr>
              <w:pStyle w:val="TableColHeadingCenter"/>
              <w:rPr>
                <w:rFonts w:eastAsia="MS Mincho"/>
              </w:rPr>
            </w:pPr>
            <w:r>
              <w:rPr>
                <w:rFonts w:eastAsia="MS Mincho"/>
              </w:rPr>
              <w:t>Average</w:t>
            </w:r>
          </w:p>
        </w:tc>
      </w:tr>
      <w:tr w:rsidR="00B678B5" w:rsidRPr="00E359BF" w14:paraId="663E7247"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010D6CCD" w14:textId="77777777" w:rsidR="00B678B5" w:rsidRPr="00E359BF" w:rsidRDefault="00B678B5">
            <w:pPr>
              <w:pStyle w:val="TableText"/>
            </w:pPr>
            <w:r>
              <w:t>Grades PK-5</w:t>
            </w:r>
          </w:p>
        </w:tc>
        <w:tc>
          <w:tcPr>
            <w:tcW w:w="874" w:type="dxa"/>
          </w:tcPr>
          <w:p w14:paraId="7B13948A" w14:textId="77777777" w:rsidR="00B678B5" w:rsidRPr="00E359BF" w:rsidRDefault="00B678B5">
            <w:pPr>
              <w:pStyle w:val="TableTextCentered"/>
              <w:rPr>
                <w:rFonts w:eastAsia="Times New Roman"/>
              </w:rPr>
            </w:pPr>
            <w:r>
              <w:rPr>
                <w:rFonts w:eastAsia="Times New Roman"/>
              </w:rPr>
              <w:t>15</w:t>
            </w:r>
          </w:p>
        </w:tc>
        <w:tc>
          <w:tcPr>
            <w:tcW w:w="874" w:type="dxa"/>
          </w:tcPr>
          <w:p w14:paraId="39366872" w14:textId="77777777" w:rsidR="00B678B5" w:rsidRPr="00E359BF" w:rsidRDefault="00B678B5">
            <w:pPr>
              <w:pStyle w:val="TableTextCentered"/>
              <w:rPr>
                <w:rFonts w:eastAsia="Times New Roman"/>
              </w:rPr>
            </w:pPr>
            <w:r>
              <w:rPr>
                <w:rFonts w:eastAsia="Times New Roman"/>
              </w:rPr>
              <w:t>23</w:t>
            </w:r>
          </w:p>
        </w:tc>
        <w:tc>
          <w:tcPr>
            <w:tcW w:w="874" w:type="dxa"/>
          </w:tcPr>
          <w:p w14:paraId="7751BB99" w14:textId="77777777" w:rsidR="00B678B5" w:rsidRPr="00E359BF" w:rsidRDefault="00B678B5">
            <w:pPr>
              <w:pStyle w:val="TableTextCentered"/>
              <w:rPr>
                <w:rFonts w:eastAsia="Times New Roman"/>
              </w:rPr>
            </w:pPr>
            <w:r>
              <w:rPr>
                <w:rFonts w:eastAsia="Times New Roman"/>
              </w:rPr>
              <w:t>17</w:t>
            </w:r>
          </w:p>
        </w:tc>
        <w:tc>
          <w:tcPr>
            <w:tcW w:w="875" w:type="dxa"/>
          </w:tcPr>
          <w:p w14:paraId="1596C2CA" w14:textId="77777777" w:rsidR="00B678B5" w:rsidRPr="00E359BF" w:rsidRDefault="00B678B5">
            <w:pPr>
              <w:pStyle w:val="TableTextCentered"/>
              <w:rPr>
                <w:rFonts w:eastAsia="Times New Roman"/>
              </w:rPr>
            </w:pPr>
            <w:r>
              <w:rPr>
                <w:rFonts w:eastAsia="Times New Roman"/>
              </w:rPr>
              <w:t>16</w:t>
            </w:r>
          </w:p>
        </w:tc>
        <w:tc>
          <w:tcPr>
            <w:tcW w:w="875" w:type="dxa"/>
          </w:tcPr>
          <w:p w14:paraId="53BB6991" w14:textId="77777777" w:rsidR="00B678B5" w:rsidRPr="00E359BF" w:rsidRDefault="00B678B5">
            <w:pPr>
              <w:pStyle w:val="TableTextCentered"/>
              <w:rPr>
                <w:rFonts w:eastAsia="Times New Roman"/>
              </w:rPr>
            </w:pPr>
            <w:r>
              <w:rPr>
                <w:rFonts w:eastAsia="Times New Roman"/>
              </w:rPr>
              <w:t>7</w:t>
            </w:r>
          </w:p>
        </w:tc>
        <w:tc>
          <w:tcPr>
            <w:tcW w:w="874" w:type="dxa"/>
          </w:tcPr>
          <w:p w14:paraId="57CDC3A1" w14:textId="77777777" w:rsidR="00B678B5" w:rsidRPr="00E359BF" w:rsidRDefault="00B678B5">
            <w:pPr>
              <w:pStyle w:val="TableTextCentered"/>
              <w:rPr>
                <w:rFonts w:eastAsia="Times New Roman"/>
              </w:rPr>
            </w:pPr>
            <w:r>
              <w:rPr>
                <w:rFonts w:eastAsia="Times New Roman"/>
              </w:rPr>
              <w:t>2</w:t>
            </w:r>
          </w:p>
        </w:tc>
        <w:tc>
          <w:tcPr>
            <w:tcW w:w="875" w:type="dxa"/>
          </w:tcPr>
          <w:p w14:paraId="0BD6DD2B" w14:textId="77777777" w:rsidR="00B678B5" w:rsidRPr="00E359BF" w:rsidRDefault="00B678B5">
            <w:pPr>
              <w:pStyle w:val="TableTextCentered"/>
              <w:rPr>
                <w:rFonts w:eastAsia="Times New Roman"/>
              </w:rPr>
            </w:pPr>
            <w:r>
              <w:rPr>
                <w:rFonts w:eastAsia="Times New Roman"/>
              </w:rPr>
              <w:t>0</w:t>
            </w:r>
          </w:p>
        </w:tc>
        <w:tc>
          <w:tcPr>
            <w:tcW w:w="900" w:type="dxa"/>
          </w:tcPr>
          <w:p w14:paraId="4CEF80C1" w14:textId="77777777" w:rsidR="00B678B5" w:rsidRPr="00E359BF" w:rsidRDefault="00B678B5">
            <w:pPr>
              <w:pStyle w:val="TableTextCentered"/>
              <w:rPr>
                <w:rFonts w:eastAsia="Times New Roman"/>
              </w:rPr>
            </w:pPr>
            <w:r>
              <w:rPr>
                <w:rFonts w:eastAsia="Times New Roman"/>
              </w:rPr>
              <w:t>80</w:t>
            </w:r>
          </w:p>
        </w:tc>
        <w:tc>
          <w:tcPr>
            <w:tcW w:w="892" w:type="dxa"/>
          </w:tcPr>
          <w:p w14:paraId="1B2B468E" w14:textId="77777777" w:rsidR="00B678B5" w:rsidRPr="00E359BF" w:rsidRDefault="00B678B5">
            <w:pPr>
              <w:pStyle w:val="TableTextCentered"/>
              <w:rPr>
                <w:rFonts w:eastAsia="Times New Roman"/>
              </w:rPr>
            </w:pPr>
            <w:r>
              <w:rPr>
                <w:rFonts w:eastAsia="Times New Roman"/>
              </w:rPr>
              <w:t>2.8</w:t>
            </w:r>
          </w:p>
        </w:tc>
      </w:tr>
      <w:tr w:rsidR="00B678B5" w:rsidRPr="00E359BF" w14:paraId="0D5004B1" w14:textId="77777777" w:rsidTr="00400B6F">
        <w:tc>
          <w:tcPr>
            <w:tcW w:w="1431" w:type="dxa"/>
          </w:tcPr>
          <w:p w14:paraId="04B2EC95" w14:textId="77777777" w:rsidR="00B678B5" w:rsidRPr="00E359BF" w:rsidRDefault="00B678B5">
            <w:pPr>
              <w:pStyle w:val="TableText"/>
            </w:pPr>
            <w:r>
              <w:t>Grades 6-8</w:t>
            </w:r>
          </w:p>
        </w:tc>
        <w:tc>
          <w:tcPr>
            <w:tcW w:w="874" w:type="dxa"/>
          </w:tcPr>
          <w:p w14:paraId="5F2ABAFC" w14:textId="77777777" w:rsidR="00B678B5" w:rsidRPr="00E359BF" w:rsidRDefault="00B678B5">
            <w:pPr>
              <w:pStyle w:val="TableTextCentered"/>
              <w:rPr>
                <w:rFonts w:eastAsia="Times New Roman"/>
              </w:rPr>
            </w:pPr>
            <w:r>
              <w:rPr>
                <w:rFonts w:eastAsia="Times New Roman"/>
              </w:rPr>
              <w:t>11</w:t>
            </w:r>
          </w:p>
        </w:tc>
        <w:tc>
          <w:tcPr>
            <w:tcW w:w="874" w:type="dxa"/>
          </w:tcPr>
          <w:p w14:paraId="055451DB" w14:textId="77777777" w:rsidR="00B678B5" w:rsidRPr="00E359BF" w:rsidRDefault="00B678B5">
            <w:pPr>
              <w:pStyle w:val="TableTextCentered"/>
              <w:rPr>
                <w:rFonts w:eastAsia="Times New Roman"/>
              </w:rPr>
            </w:pPr>
            <w:r>
              <w:rPr>
                <w:rFonts w:eastAsia="Times New Roman"/>
              </w:rPr>
              <w:t>10</w:t>
            </w:r>
          </w:p>
        </w:tc>
        <w:tc>
          <w:tcPr>
            <w:tcW w:w="874" w:type="dxa"/>
          </w:tcPr>
          <w:p w14:paraId="0ED4FF26" w14:textId="77777777" w:rsidR="00B678B5" w:rsidRPr="00E359BF" w:rsidRDefault="00B678B5">
            <w:pPr>
              <w:pStyle w:val="TableTextCentered"/>
              <w:rPr>
                <w:rFonts w:eastAsia="Times New Roman"/>
              </w:rPr>
            </w:pPr>
            <w:r>
              <w:rPr>
                <w:rFonts w:eastAsia="Times New Roman"/>
              </w:rPr>
              <w:t>5</w:t>
            </w:r>
          </w:p>
        </w:tc>
        <w:tc>
          <w:tcPr>
            <w:tcW w:w="875" w:type="dxa"/>
          </w:tcPr>
          <w:p w14:paraId="1C4D1E50" w14:textId="77777777" w:rsidR="00B678B5" w:rsidRPr="00E359BF" w:rsidRDefault="00B678B5">
            <w:pPr>
              <w:pStyle w:val="TableTextCentered"/>
              <w:rPr>
                <w:rFonts w:eastAsia="Times New Roman"/>
              </w:rPr>
            </w:pPr>
            <w:r>
              <w:rPr>
                <w:rFonts w:eastAsia="Times New Roman"/>
              </w:rPr>
              <w:t>5</w:t>
            </w:r>
          </w:p>
        </w:tc>
        <w:tc>
          <w:tcPr>
            <w:tcW w:w="875" w:type="dxa"/>
          </w:tcPr>
          <w:p w14:paraId="55909DCE" w14:textId="77777777" w:rsidR="00B678B5" w:rsidRPr="00E359BF" w:rsidRDefault="00B678B5">
            <w:pPr>
              <w:pStyle w:val="TableTextCentered"/>
              <w:rPr>
                <w:rFonts w:eastAsia="Times New Roman"/>
              </w:rPr>
            </w:pPr>
            <w:r>
              <w:rPr>
                <w:rFonts w:eastAsia="Times New Roman"/>
              </w:rPr>
              <w:t>7</w:t>
            </w:r>
          </w:p>
        </w:tc>
        <w:tc>
          <w:tcPr>
            <w:tcW w:w="874" w:type="dxa"/>
          </w:tcPr>
          <w:p w14:paraId="2802D143" w14:textId="77777777" w:rsidR="00B678B5" w:rsidRPr="00E359BF" w:rsidRDefault="00B678B5">
            <w:pPr>
              <w:pStyle w:val="TableTextCentered"/>
              <w:rPr>
                <w:rFonts w:eastAsia="Times New Roman"/>
              </w:rPr>
            </w:pPr>
            <w:r>
              <w:rPr>
                <w:rFonts w:eastAsia="Times New Roman"/>
              </w:rPr>
              <w:t>1</w:t>
            </w:r>
          </w:p>
        </w:tc>
        <w:tc>
          <w:tcPr>
            <w:tcW w:w="875" w:type="dxa"/>
          </w:tcPr>
          <w:p w14:paraId="0F22C09F" w14:textId="77777777" w:rsidR="00B678B5" w:rsidRPr="00E359BF" w:rsidRDefault="00B678B5">
            <w:pPr>
              <w:pStyle w:val="TableTextCentered"/>
              <w:rPr>
                <w:rFonts w:eastAsia="Times New Roman"/>
              </w:rPr>
            </w:pPr>
            <w:r>
              <w:rPr>
                <w:rFonts w:eastAsia="Times New Roman"/>
              </w:rPr>
              <w:t>1</w:t>
            </w:r>
          </w:p>
        </w:tc>
        <w:tc>
          <w:tcPr>
            <w:tcW w:w="900" w:type="dxa"/>
          </w:tcPr>
          <w:p w14:paraId="43445FF7" w14:textId="77777777" w:rsidR="00B678B5" w:rsidRPr="00E359BF" w:rsidRDefault="00B678B5">
            <w:pPr>
              <w:pStyle w:val="TableTextCentered"/>
              <w:rPr>
                <w:rFonts w:eastAsia="Times New Roman"/>
              </w:rPr>
            </w:pPr>
            <w:r>
              <w:rPr>
                <w:rFonts w:eastAsia="Times New Roman"/>
              </w:rPr>
              <w:t>40</w:t>
            </w:r>
          </w:p>
        </w:tc>
        <w:tc>
          <w:tcPr>
            <w:tcW w:w="892" w:type="dxa"/>
          </w:tcPr>
          <w:p w14:paraId="31225628" w14:textId="77777777" w:rsidR="00B678B5" w:rsidRPr="00E359BF" w:rsidRDefault="00B678B5">
            <w:pPr>
              <w:pStyle w:val="TableTextCentered"/>
              <w:rPr>
                <w:rFonts w:eastAsia="Times New Roman"/>
              </w:rPr>
            </w:pPr>
            <w:r>
              <w:rPr>
                <w:rFonts w:eastAsia="Times New Roman"/>
              </w:rPr>
              <w:t>2.9</w:t>
            </w:r>
          </w:p>
        </w:tc>
      </w:tr>
      <w:tr w:rsidR="00B678B5" w:rsidRPr="00E359BF" w14:paraId="38E9BB05"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51D0AAB4" w14:textId="77777777" w:rsidR="00B678B5" w:rsidRPr="00E359BF" w:rsidRDefault="00B678B5">
            <w:pPr>
              <w:pStyle w:val="TableText"/>
            </w:pPr>
            <w:r>
              <w:t>Grades 9-12</w:t>
            </w:r>
          </w:p>
        </w:tc>
        <w:tc>
          <w:tcPr>
            <w:tcW w:w="874" w:type="dxa"/>
          </w:tcPr>
          <w:p w14:paraId="4D31A244" w14:textId="77777777" w:rsidR="00B678B5" w:rsidRPr="00E359BF" w:rsidRDefault="00B678B5">
            <w:pPr>
              <w:pStyle w:val="TableTextCentered"/>
              <w:rPr>
                <w:rFonts w:eastAsia="Times New Roman"/>
              </w:rPr>
            </w:pPr>
            <w:r>
              <w:rPr>
                <w:rFonts w:eastAsia="Times New Roman"/>
              </w:rPr>
              <w:t>7</w:t>
            </w:r>
          </w:p>
        </w:tc>
        <w:tc>
          <w:tcPr>
            <w:tcW w:w="874" w:type="dxa"/>
          </w:tcPr>
          <w:p w14:paraId="042AF39B" w14:textId="77777777" w:rsidR="00B678B5" w:rsidRPr="00E359BF" w:rsidRDefault="00B678B5">
            <w:pPr>
              <w:pStyle w:val="TableTextCentered"/>
              <w:rPr>
                <w:rFonts w:eastAsia="Times New Roman"/>
              </w:rPr>
            </w:pPr>
            <w:r>
              <w:rPr>
                <w:rFonts w:eastAsia="Times New Roman"/>
              </w:rPr>
              <w:t>11</w:t>
            </w:r>
          </w:p>
        </w:tc>
        <w:tc>
          <w:tcPr>
            <w:tcW w:w="874" w:type="dxa"/>
          </w:tcPr>
          <w:p w14:paraId="7ED0402C" w14:textId="77777777" w:rsidR="00B678B5" w:rsidRPr="00E359BF" w:rsidRDefault="00B678B5">
            <w:pPr>
              <w:pStyle w:val="TableTextCentered"/>
              <w:rPr>
                <w:rFonts w:eastAsia="Times New Roman"/>
              </w:rPr>
            </w:pPr>
            <w:r>
              <w:rPr>
                <w:rFonts w:eastAsia="Times New Roman"/>
              </w:rPr>
              <w:t>6</w:t>
            </w:r>
          </w:p>
        </w:tc>
        <w:tc>
          <w:tcPr>
            <w:tcW w:w="875" w:type="dxa"/>
          </w:tcPr>
          <w:p w14:paraId="163AC109" w14:textId="77777777" w:rsidR="00B678B5" w:rsidRPr="00E359BF" w:rsidRDefault="00B678B5">
            <w:pPr>
              <w:pStyle w:val="TableTextCentered"/>
              <w:rPr>
                <w:rFonts w:eastAsia="Times New Roman"/>
              </w:rPr>
            </w:pPr>
            <w:r>
              <w:rPr>
                <w:rFonts w:eastAsia="Times New Roman"/>
              </w:rPr>
              <w:t>10</w:t>
            </w:r>
          </w:p>
        </w:tc>
        <w:tc>
          <w:tcPr>
            <w:tcW w:w="875" w:type="dxa"/>
          </w:tcPr>
          <w:p w14:paraId="670C4338" w14:textId="77777777" w:rsidR="00B678B5" w:rsidRPr="00E359BF" w:rsidRDefault="00B678B5">
            <w:pPr>
              <w:pStyle w:val="TableTextCentered"/>
              <w:rPr>
                <w:rFonts w:eastAsia="Times New Roman"/>
              </w:rPr>
            </w:pPr>
            <w:r>
              <w:rPr>
                <w:rFonts w:eastAsia="Times New Roman"/>
              </w:rPr>
              <w:t>13</w:t>
            </w:r>
          </w:p>
        </w:tc>
        <w:tc>
          <w:tcPr>
            <w:tcW w:w="874" w:type="dxa"/>
          </w:tcPr>
          <w:p w14:paraId="5C7BAA16" w14:textId="77777777" w:rsidR="00B678B5" w:rsidRPr="00E359BF" w:rsidRDefault="00B678B5">
            <w:pPr>
              <w:pStyle w:val="TableTextCentered"/>
              <w:rPr>
                <w:rFonts w:eastAsia="Times New Roman"/>
              </w:rPr>
            </w:pPr>
            <w:r>
              <w:rPr>
                <w:rFonts w:eastAsia="Times New Roman"/>
              </w:rPr>
              <w:t>5</w:t>
            </w:r>
          </w:p>
        </w:tc>
        <w:tc>
          <w:tcPr>
            <w:tcW w:w="875" w:type="dxa"/>
          </w:tcPr>
          <w:p w14:paraId="0F38F9AB" w14:textId="77777777" w:rsidR="00B678B5" w:rsidRPr="00E359BF" w:rsidRDefault="00B678B5">
            <w:pPr>
              <w:pStyle w:val="TableTextCentered"/>
              <w:rPr>
                <w:rFonts w:eastAsia="Times New Roman"/>
              </w:rPr>
            </w:pPr>
            <w:r>
              <w:rPr>
                <w:rFonts w:eastAsia="Times New Roman"/>
              </w:rPr>
              <w:t>1</w:t>
            </w:r>
          </w:p>
        </w:tc>
        <w:tc>
          <w:tcPr>
            <w:tcW w:w="900" w:type="dxa"/>
          </w:tcPr>
          <w:p w14:paraId="17CEC946" w14:textId="77777777" w:rsidR="00B678B5" w:rsidRPr="00E359BF" w:rsidRDefault="00B678B5">
            <w:pPr>
              <w:pStyle w:val="TableTextCentered"/>
              <w:rPr>
                <w:rFonts w:eastAsia="Times New Roman"/>
              </w:rPr>
            </w:pPr>
            <w:r>
              <w:rPr>
                <w:rFonts w:eastAsia="Times New Roman"/>
              </w:rPr>
              <w:t>53</w:t>
            </w:r>
          </w:p>
        </w:tc>
        <w:tc>
          <w:tcPr>
            <w:tcW w:w="892" w:type="dxa"/>
          </w:tcPr>
          <w:p w14:paraId="730C4616" w14:textId="77777777" w:rsidR="00B678B5" w:rsidRPr="00E359BF" w:rsidRDefault="00B678B5">
            <w:pPr>
              <w:pStyle w:val="TableTextCentered"/>
              <w:rPr>
                <w:rFonts w:eastAsia="Times New Roman"/>
              </w:rPr>
            </w:pPr>
            <w:r>
              <w:rPr>
                <w:rFonts w:eastAsia="Times New Roman"/>
              </w:rPr>
              <w:t>3.6</w:t>
            </w:r>
          </w:p>
        </w:tc>
      </w:tr>
      <w:tr w:rsidR="00B678B5" w:rsidRPr="00E359BF" w14:paraId="24E228F4" w14:textId="77777777" w:rsidTr="00400B6F">
        <w:tc>
          <w:tcPr>
            <w:tcW w:w="1431" w:type="dxa"/>
          </w:tcPr>
          <w:p w14:paraId="79B8808F"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3628F4A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33</w:t>
            </w:r>
          </w:p>
        </w:tc>
        <w:tc>
          <w:tcPr>
            <w:tcW w:w="874" w:type="dxa"/>
          </w:tcPr>
          <w:p w14:paraId="5C3F34B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44</w:t>
            </w:r>
          </w:p>
        </w:tc>
        <w:tc>
          <w:tcPr>
            <w:tcW w:w="874" w:type="dxa"/>
          </w:tcPr>
          <w:p w14:paraId="7FD710B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28</w:t>
            </w:r>
          </w:p>
        </w:tc>
        <w:tc>
          <w:tcPr>
            <w:tcW w:w="875" w:type="dxa"/>
          </w:tcPr>
          <w:p w14:paraId="78A96FC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31</w:t>
            </w:r>
          </w:p>
        </w:tc>
        <w:tc>
          <w:tcPr>
            <w:tcW w:w="875" w:type="dxa"/>
          </w:tcPr>
          <w:p w14:paraId="17323F20"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27</w:t>
            </w:r>
          </w:p>
        </w:tc>
        <w:tc>
          <w:tcPr>
            <w:tcW w:w="874" w:type="dxa"/>
          </w:tcPr>
          <w:p w14:paraId="7DAC5EA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8</w:t>
            </w:r>
          </w:p>
        </w:tc>
        <w:tc>
          <w:tcPr>
            <w:tcW w:w="875" w:type="dxa"/>
          </w:tcPr>
          <w:p w14:paraId="58B81711"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w:t>
            </w:r>
          </w:p>
        </w:tc>
        <w:tc>
          <w:tcPr>
            <w:tcW w:w="900" w:type="dxa"/>
          </w:tcPr>
          <w:p w14:paraId="2959BE52"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173</w:t>
            </w:r>
          </w:p>
        </w:tc>
        <w:tc>
          <w:tcPr>
            <w:tcW w:w="892" w:type="dxa"/>
          </w:tcPr>
          <w:p w14:paraId="72E70CC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3.0</w:t>
            </w:r>
          </w:p>
        </w:tc>
      </w:tr>
    </w:tbl>
    <w:bookmarkEnd w:id="116"/>
    <w:p w14:paraId="1349D975" w14:textId="3C8C0D8D" w:rsidR="00B678B5" w:rsidRPr="00BC09E0" w:rsidRDefault="00B678B5" w:rsidP="00400B6F">
      <w:pPr>
        <w:pStyle w:val="TableNote"/>
      </w:pPr>
      <w:r w:rsidRPr="00A96DD7">
        <w:t xml:space="preserve">*The district average is an average of the observation scores. In Table 5, the district average is computed as: </w:t>
      </w:r>
      <w:bookmarkStart w:id="117" w:name="Dist_RSP_Calc"/>
      <w:r>
        <w:t>([1 x 33] + [2 x 44] + [3 x 28] + [4 x 31] + [5 x 27] + [6 x 8] + [7 x 2]) ÷ 173 observations = 3.0</w:t>
      </w:r>
      <w:bookmarkEnd w:id="117"/>
    </w:p>
    <w:p w14:paraId="1328158E" w14:textId="16AE6CAE" w:rsidR="00B678B5" w:rsidRPr="00BC09E0" w:rsidRDefault="00B678B5" w:rsidP="00400B6F">
      <w:pPr>
        <w:pStyle w:val="BodyText"/>
      </w:pPr>
      <w:r w:rsidRPr="00270124">
        <w:rPr>
          <w:rStyle w:val="BodyTextDemiChar"/>
        </w:rPr>
        <w:t>Ratings in the Low Range.</w:t>
      </w:r>
      <w:r w:rsidRPr="00BC09E0">
        <w:t xml:space="preserve"> At the low range, the teacher exhibits an inflexible, rigid adherence to his or her plan, without considering student ideas or allowing students to make contribu</w:t>
      </w:r>
      <w:r w:rsidRPr="00270124">
        <w:t>ti</w:t>
      </w:r>
      <w:r w:rsidRPr="00BC09E0">
        <w:t>ons. The teacher inhibits student enthusiasm by imposing guidelines or making remarks that inhibit student expression. The teacher may rigidly adhere to a lesson plan and not respond to student interests. The teacher does not allow students any autonomy on how they conduct an activity, may control materials tightly, and may offer few opportunities for students to help out with classroom responsibilities. There are few opportunities for students to talk and express themselves.</w:t>
      </w:r>
    </w:p>
    <w:p w14:paraId="03CF96F8" w14:textId="211751EB" w:rsidR="00B678B5" w:rsidRPr="00BC09E0" w:rsidRDefault="00B678B5" w:rsidP="00400B6F">
      <w:pPr>
        <w:pStyle w:val="BodyTextposthead"/>
      </w:pPr>
      <w:r w:rsidRPr="00270124">
        <w:rPr>
          <w:rStyle w:val="BodyTextDemiChar"/>
        </w:rPr>
        <w:t>Ratings in the Middle Range.</w:t>
      </w:r>
      <w:r w:rsidRPr="00BC09E0">
        <w:t xml:space="preserve"> The teacher exhibits control at times and at other times follows the students’ lead and gives them some choices and opportunities to follow their interests. There are some opportunities for students to exercise autonomy, but student choice is limited. The teacher may assign students responsibility in the classroom, but in a limited way. At times, the teacher dominates the discussion, but at other times the teacher allows students to share ideas, although only at a minimal level or for a short period of time.</w:t>
      </w:r>
    </w:p>
    <w:p w14:paraId="0F49C4E0" w14:textId="46796D04" w:rsidR="00B678B5" w:rsidRDefault="00B678B5" w:rsidP="00400B6F">
      <w:pPr>
        <w:pStyle w:val="BodyTextposthead"/>
        <w:rPr>
          <w:rFonts w:eastAsiaTheme="majorEastAsia"/>
        </w:rPr>
      </w:pPr>
      <w:r w:rsidRPr="00270124">
        <w:rPr>
          <w:rStyle w:val="BodyTextDemiChar"/>
        </w:rPr>
        <w:t xml:space="preserve">Ratings in the High Range. </w:t>
      </w:r>
      <w:r w:rsidRPr="00270124">
        <w:t>The teacher is flexible in following student leads, interests, and ideas and looks for ways to meaningfully engage students. Although the teacher has a lesson plan, students’ ideas are incorporated into the lesson plan. The teacher consistently supports student autonomy and provides meaningful leadership opportunities. Students have frequent opportunities to talk, share ideas, and work together. Students have appropriate freedom of movement during activities.</w:t>
      </w:r>
      <w:r>
        <w:rPr>
          <w:rFonts w:eastAsiaTheme="majorEastAsia"/>
        </w:rPr>
        <w:br w:type="page"/>
      </w:r>
    </w:p>
    <w:p w14:paraId="1C127A21" w14:textId="77777777" w:rsidR="00B678B5" w:rsidRPr="00BC09E0" w:rsidRDefault="00B678B5" w:rsidP="00814B3F">
      <w:pPr>
        <w:pStyle w:val="DIOR"/>
      </w:pPr>
      <w:bookmarkStart w:id="118" w:name="_Toc430114878"/>
      <w:bookmarkStart w:id="119" w:name="_Toc231296588"/>
      <w:r w:rsidRPr="00BC09E0">
        <w:t xml:space="preserve">Negative </w:t>
      </w:r>
      <w:r w:rsidRPr="00400B6F">
        <w:t>Climate</w:t>
      </w:r>
      <w:bookmarkEnd w:id="118"/>
      <w:bookmarkEnd w:id="119"/>
    </w:p>
    <w:p w14:paraId="0BE3F2AC" w14:textId="2A2440E2" w:rsidR="00B678B5" w:rsidRPr="00F008EE" w:rsidRDefault="00B678B5">
      <w:pPr>
        <w:pStyle w:val="BodyTextDomain"/>
      </w:pPr>
      <w:r w:rsidRPr="00BC09E0">
        <w:t>Emotional Support domain,</w:t>
      </w:r>
      <w:r w:rsidRPr="00F008EE">
        <w:t xml:space="preserve"> </w:t>
      </w:r>
      <w:r>
        <w:t>G</w:t>
      </w:r>
      <w:r w:rsidRPr="00BC09E0">
        <w:t xml:space="preserve">rades </w:t>
      </w:r>
      <w:r>
        <w:t>PK</w:t>
      </w:r>
      <w:r w:rsidRPr="00BC09E0">
        <w:rPr>
          <w:rFonts w:ascii="Vijaya" w:hAnsi="Vijaya" w:cs="Vijaya"/>
        </w:rPr>
        <w:t>−</w:t>
      </w:r>
      <w:r w:rsidRPr="00BC09E0">
        <w:t>3</w:t>
      </w:r>
      <w:r w:rsidRPr="00BC09E0">
        <w:br/>
      </w:r>
      <w:r w:rsidRPr="00F008EE">
        <w:t>Classroom Organiz</w:t>
      </w:r>
      <w:r w:rsidRPr="00BC09E0">
        <w:t xml:space="preserve">ation domain, </w:t>
      </w:r>
      <w:r>
        <w:t>G</w:t>
      </w:r>
      <w:r w:rsidRPr="00BC09E0">
        <w:t xml:space="preserve">rades </w:t>
      </w:r>
      <w:r>
        <w:t>4</w:t>
      </w:r>
      <w:r w:rsidRPr="00BC09E0">
        <w:rPr>
          <w:rFonts w:ascii="Vijaya" w:hAnsi="Vijaya" w:cs="Vijaya"/>
        </w:rPr>
        <w:t>−</w:t>
      </w:r>
      <w:r>
        <w:t>12</w:t>
      </w:r>
    </w:p>
    <w:p w14:paraId="42E16A2E" w14:textId="6566FE3D" w:rsidR="00B678B5" w:rsidRPr="00BC09E0" w:rsidRDefault="00B678B5" w:rsidP="00400B6F">
      <w:pPr>
        <w:pStyle w:val="BodyTextposthead"/>
      </w:pPr>
      <w:r w:rsidRPr="00BC09E0">
        <w:t>Negative Climate reflects the overall level of expressed negativity in the classroom. The frequency, quality, and intensity of teacher and student negativity are key to this dimension (</w:t>
      </w:r>
      <w:r w:rsidRPr="00BC09E0">
        <w:rPr>
          <w:i/>
        </w:rPr>
        <w:t xml:space="preserve">CLASS </w:t>
      </w:r>
      <w:r>
        <w:rPr>
          <w:i/>
        </w:rPr>
        <w:t>PK–</w:t>
      </w:r>
      <w:r w:rsidRPr="00BC09E0">
        <w:rPr>
          <w:i/>
        </w:rPr>
        <w:t>3 Manual</w:t>
      </w:r>
      <w:r w:rsidRPr="00BC09E0">
        <w:t xml:space="preserve">, p. 28, </w:t>
      </w:r>
      <w:r w:rsidRPr="00BC09E0">
        <w:rPr>
          <w:i/>
        </w:rPr>
        <w:t xml:space="preserve">CLASS Upper Elementary Manual, </w:t>
      </w:r>
      <w:r w:rsidRPr="00BC09E0">
        <w:t>p. 55</w:t>
      </w:r>
      <w:r>
        <w:t xml:space="preserve">, </w:t>
      </w:r>
      <w:r w:rsidRPr="0085328B">
        <w:rPr>
          <w:i/>
        </w:rPr>
        <w:t>CLASS Secondary Manual,</w:t>
      </w:r>
      <w:r>
        <w:t xml:space="preserve"> p. 55</w:t>
      </w:r>
      <w:r w:rsidRPr="00BC09E0">
        <w:t>). For the purposes of this report, we have inversed the observers scores, to be consistent with the range scores across all dimensions. Therefore</w:t>
      </w:r>
      <w:r>
        <w:t>,</w:t>
      </w:r>
      <w:r w:rsidRPr="00BC09E0">
        <w:t xml:space="preserve"> a high range score in this dimension indicates an absence of negative climate, and a low range score indicates the presence of negative climate.</w:t>
      </w:r>
      <w:r w:rsidRPr="00BC09E0">
        <w:rPr>
          <w:rStyle w:val="FootnoteReference"/>
        </w:rPr>
        <w:footnoteReference w:id="5"/>
      </w:r>
      <w:r w:rsidRPr="00BC09E0">
        <w:t xml:space="preserve"> </w:t>
      </w:r>
    </w:p>
    <w:p w14:paraId="5CB33B4E" w14:textId="77777777" w:rsidR="00B678B5" w:rsidRPr="00BC09E0" w:rsidRDefault="00B678B5">
      <w:pPr>
        <w:pStyle w:val="TableTitle0"/>
      </w:pPr>
      <w:r w:rsidRPr="00BC09E0">
        <w:t xml:space="preserve">Table 6. Negative Climate: Number of Classrooms for Each Rating </w:t>
      </w:r>
      <w:r w:rsidRPr="00A96DD7">
        <w:t>and District Average</w:t>
      </w:r>
    </w:p>
    <w:p w14:paraId="62F6FBF2" w14:textId="77777777" w:rsidR="00B678B5" w:rsidRDefault="00B678B5" w:rsidP="00B22A35">
      <w:pPr>
        <w:pStyle w:val="BodyTextDemi"/>
        <w:spacing w:before="120"/>
      </w:pPr>
      <w:r w:rsidRPr="00A96DD7">
        <w:t xml:space="preserve">Negative Climate District Average*: </w:t>
      </w:r>
      <w:bookmarkStart w:id="120" w:name="Dist_NC_Avg"/>
      <w:r>
        <w:t>6.9</w:t>
      </w:r>
      <w:bookmarkEnd w:id="120"/>
    </w:p>
    <w:tbl>
      <w:tblPr>
        <w:tblStyle w:val="MSVTable1"/>
        <w:tblW w:w="5000" w:type="pct"/>
        <w:tblLook w:val="04A0" w:firstRow="1" w:lastRow="0" w:firstColumn="1" w:lastColumn="0" w:noHBand="0" w:noVBand="1"/>
        <w:tblCaption w:val="Table 6. Negative Climate: Number of Classrooms for Each Rating and District Average"/>
        <w:tblDescription w:val="Negative Climate: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4D685EBE" w14:textId="77777777" w:rsidTr="000279E3">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382C603C" w14:textId="77777777" w:rsidR="00B678B5" w:rsidRPr="00E359BF" w:rsidRDefault="00B678B5" w:rsidP="000279E3">
            <w:pPr>
              <w:pStyle w:val="TableColHeadingCenter"/>
              <w:rPr>
                <w:rFonts w:eastAsia="MS Mincho"/>
              </w:rPr>
            </w:pPr>
            <w:bookmarkStart w:id="121" w:name="Tbl_NC"/>
            <w:r>
              <w:rPr>
                <w:rFonts w:eastAsia="MS Mincho"/>
              </w:rPr>
              <w:t>Grade Band</w:t>
            </w:r>
          </w:p>
        </w:tc>
        <w:tc>
          <w:tcPr>
            <w:tcW w:w="874" w:type="dxa"/>
            <w:vAlign w:val="center"/>
          </w:tcPr>
          <w:p w14:paraId="1974B82A" w14:textId="77777777" w:rsidR="00B678B5" w:rsidRPr="00E359BF" w:rsidRDefault="00B678B5" w:rsidP="000279E3">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2DC9D8FC" w14:textId="77777777" w:rsidR="00B678B5" w:rsidRPr="00E359BF" w:rsidRDefault="00B678B5" w:rsidP="000279E3">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3395F817"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1B5B5B35"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1AC6B35C"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53DB7F40" w14:textId="77777777" w:rsidR="00B678B5" w:rsidRPr="00E359BF" w:rsidRDefault="00B678B5" w:rsidP="000279E3">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26ADA83F" w14:textId="77777777" w:rsidR="00B678B5" w:rsidRPr="00E359BF" w:rsidRDefault="00B678B5" w:rsidP="000279E3">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6F1C453C" w14:textId="77777777" w:rsidR="00B678B5" w:rsidRPr="00E359BF" w:rsidRDefault="00B678B5" w:rsidP="000279E3">
            <w:pPr>
              <w:pStyle w:val="TableColHeadingCenter"/>
              <w:rPr>
                <w:rFonts w:eastAsia="MS Mincho"/>
              </w:rPr>
            </w:pPr>
            <w:r>
              <w:rPr>
                <w:rFonts w:eastAsia="MS Mincho"/>
              </w:rPr>
              <w:t>n</w:t>
            </w:r>
          </w:p>
        </w:tc>
        <w:tc>
          <w:tcPr>
            <w:tcW w:w="892" w:type="dxa"/>
            <w:vAlign w:val="center"/>
          </w:tcPr>
          <w:p w14:paraId="2A991286" w14:textId="77777777" w:rsidR="00B678B5" w:rsidRPr="00E359BF" w:rsidRDefault="00B678B5" w:rsidP="000279E3">
            <w:pPr>
              <w:pStyle w:val="TableColHeadingCenter"/>
              <w:rPr>
                <w:rFonts w:eastAsia="MS Mincho"/>
              </w:rPr>
            </w:pPr>
            <w:r>
              <w:rPr>
                <w:rFonts w:eastAsia="MS Mincho"/>
              </w:rPr>
              <w:t>Average</w:t>
            </w:r>
          </w:p>
        </w:tc>
      </w:tr>
      <w:tr w:rsidR="00B678B5" w:rsidRPr="00E359BF" w14:paraId="69BC886F"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3807847A" w14:textId="77777777" w:rsidR="00B678B5" w:rsidRPr="00E359BF" w:rsidRDefault="00B678B5">
            <w:pPr>
              <w:pStyle w:val="TableText"/>
            </w:pPr>
            <w:r>
              <w:t>Grades PK-5</w:t>
            </w:r>
          </w:p>
        </w:tc>
        <w:tc>
          <w:tcPr>
            <w:tcW w:w="874" w:type="dxa"/>
          </w:tcPr>
          <w:p w14:paraId="137213EA" w14:textId="77777777" w:rsidR="00B678B5" w:rsidRPr="00E359BF" w:rsidRDefault="00B678B5">
            <w:pPr>
              <w:pStyle w:val="TableTextCentered"/>
              <w:rPr>
                <w:rFonts w:eastAsia="Times New Roman"/>
              </w:rPr>
            </w:pPr>
            <w:r>
              <w:rPr>
                <w:rFonts w:eastAsia="Times New Roman"/>
              </w:rPr>
              <w:t>0</w:t>
            </w:r>
          </w:p>
        </w:tc>
        <w:tc>
          <w:tcPr>
            <w:tcW w:w="874" w:type="dxa"/>
          </w:tcPr>
          <w:p w14:paraId="1A72B873" w14:textId="77777777" w:rsidR="00B678B5" w:rsidRPr="00E359BF" w:rsidRDefault="00B678B5">
            <w:pPr>
              <w:pStyle w:val="TableTextCentered"/>
              <w:rPr>
                <w:rFonts w:eastAsia="Times New Roman"/>
              </w:rPr>
            </w:pPr>
            <w:r>
              <w:rPr>
                <w:rFonts w:eastAsia="Times New Roman"/>
              </w:rPr>
              <w:t>0</w:t>
            </w:r>
          </w:p>
        </w:tc>
        <w:tc>
          <w:tcPr>
            <w:tcW w:w="874" w:type="dxa"/>
          </w:tcPr>
          <w:p w14:paraId="3E1ACF59" w14:textId="77777777" w:rsidR="00B678B5" w:rsidRPr="00E359BF" w:rsidRDefault="00B678B5">
            <w:pPr>
              <w:pStyle w:val="TableTextCentered"/>
              <w:rPr>
                <w:rFonts w:eastAsia="Times New Roman"/>
              </w:rPr>
            </w:pPr>
            <w:r>
              <w:rPr>
                <w:rFonts w:eastAsia="Times New Roman"/>
              </w:rPr>
              <w:t>0</w:t>
            </w:r>
          </w:p>
        </w:tc>
        <w:tc>
          <w:tcPr>
            <w:tcW w:w="875" w:type="dxa"/>
          </w:tcPr>
          <w:p w14:paraId="25914C52" w14:textId="77777777" w:rsidR="00B678B5" w:rsidRPr="00E359BF" w:rsidRDefault="00B678B5">
            <w:pPr>
              <w:pStyle w:val="TableTextCentered"/>
              <w:rPr>
                <w:rFonts w:eastAsia="Times New Roman"/>
              </w:rPr>
            </w:pPr>
            <w:r>
              <w:rPr>
                <w:rFonts w:eastAsia="Times New Roman"/>
              </w:rPr>
              <w:t>0</w:t>
            </w:r>
          </w:p>
        </w:tc>
        <w:tc>
          <w:tcPr>
            <w:tcW w:w="875" w:type="dxa"/>
          </w:tcPr>
          <w:p w14:paraId="5229A81A" w14:textId="77777777" w:rsidR="00B678B5" w:rsidRPr="00E359BF" w:rsidRDefault="00B678B5">
            <w:pPr>
              <w:pStyle w:val="TableTextCentered"/>
              <w:rPr>
                <w:rFonts w:eastAsia="Times New Roman"/>
              </w:rPr>
            </w:pPr>
            <w:r>
              <w:rPr>
                <w:rFonts w:eastAsia="Times New Roman"/>
              </w:rPr>
              <w:t>1</w:t>
            </w:r>
          </w:p>
        </w:tc>
        <w:tc>
          <w:tcPr>
            <w:tcW w:w="874" w:type="dxa"/>
          </w:tcPr>
          <w:p w14:paraId="2322BDC5" w14:textId="77777777" w:rsidR="00B678B5" w:rsidRPr="00E359BF" w:rsidRDefault="00B678B5">
            <w:pPr>
              <w:pStyle w:val="TableTextCentered"/>
              <w:rPr>
                <w:rFonts w:eastAsia="Times New Roman"/>
              </w:rPr>
            </w:pPr>
            <w:r>
              <w:rPr>
                <w:rFonts w:eastAsia="Times New Roman"/>
              </w:rPr>
              <w:t>6</w:t>
            </w:r>
          </w:p>
        </w:tc>
        <w:tc>
          <w:tcPr>
            <w:tcW w:w="875" w:type="dxa"/>
          </w:tcPr>
          <w:p w14:paraId="06D6FD9F" w14:textId="77777777" w:rsidR="00B678B5" w:rsidRPr="00E359BF" w:rsidRDefault="00B678B5">
            <w:pPr>
              <w:pStyle w:val="TableTextCentered"/>
              <w:rPr>
                <w:rFonts w:eastAsia="Times New Roman"/>
              </w:rPr>
            </w:pPr>
            <w:r>
              <w:rPr>
                <w:rFonts w:eastAsia="Times New Roman"/>
              </w:rPr>
              <w:t>73</w:t>
            </w:r>
          </w:p>
        </w:tc>
        <w:tc>
          <w:tcPr>
            <w:tcW w:w="900" w:type="dxa"/>
          </w:tcPr>
          <w:p w14:paraId="00CC6215" w14:textId="77777777" w:rsidR="00B678B5" w:rsidRPr="00E359BF" w:rsidRDefault="00B678B5">
            <w:pPr>
              <w:pStyle w:val="TableTextCentered"/>
              <w:rPr>
                <w:rFonts w:eastAsia="Times New Roman"/>
              </w:rPr>
            </w:pPr>
            <w:r>
              <w:rPr>
                <w:rFonts w:eastAsia="Times New Roman"/>
              </w:rPr>
              <w:t>80</w:t>
            </w:r>
          </w:p>
        </w:tc>
        <w:tc>
          <w:tcPr>
            <w:tcW w:w="892" w:type="dxa"/>
          </w:tcPr>
          <w:p w14:paraId="3BDB5E46" w14:textId="77777777" w:rsidR="00B678B5" w:rsidRPr="00E359BF" w:rsidRDefault="00B678B5">
            <w:pPr>
              <w:pStyle w:val="TableTextCentered"/>
              <w:rPr>
                <w:rFonts w:eastAsia="Times New Roman"/>
              </w:rPr>
            </w:pPr>
            <w:r>
              <w:rPr>
                <w:rFonts w:eastAsia="Times New Roman"/>
              </w:rPr>
              <w:t>6.9</w:t>
            </w:r>
          </w:p>
        </w:tc>
      </w:tr>
      <w:tr w:rsidR="00B678B5" w:rsidRPr="00E359BF" w14:paraId="67451BA9" w14:textId="77777777" w:rsidTr="00400B6F">
        <w:tc>
          <w:tcPr>
            <w:tcW w:w="1431" w:type="dxa"/>
          </w:tcPr>
          <w:p w14:paraId="00CAE9F0" w14:textId="77777777" w:rsidR="00B678B5" w:rsidRPr="00E359BF" w:rsidRDefault="00B678B5">
            <w:pPr>
              <w:pStyle w:val="TableText"/>
            </w:pPr>
            <w:r>
              <w:t>Grades 6-8</w:t>
            </w:r>
          </w:p>
        </w:tc>
        <w:tc>
          <w:tcPr>
            <w:tcW w:w="874" w:type="dxa"/>
          </w:tcPr>
          <w:p w14:paraId="037D46FA" w14:textId="77777777" w:rsidR="00B678B5" w:rsidRPr="00E359BF" w:rsidRDefault="00B678B5">
            <w:pPr>
              <w:pStyle w:val="TableTextCentered"/>
              <w:rPr>
                <w:rFonts w:eastAsia="Times New Roman"/>
              </w:rPr>
            </w:pPr>
            <w:r>
              <w:rPr>
                <w:rFonts w:eastAsia="Times New Roman"/>
              </w:rPr>
              <w:t>0</w:t>
            </w:r>
          </w:p>
        </w:tc>
        <w:tc>
          <w:tcPr>
            <w:tcW w:w="874" w:type="dxa"/>
          </w:tcPr>
          <w:p w14:paraId="78188D6E" w14:textId="77777777" w:rsidR="00B678B5" w:rsidRPr="00E359BF" w:rsidRDefault="00B678B5">
            <w:pPr>
              <w:pStyle w:val="TableTextCentered"/>
              <w:rPr>
                <w:rFonts w:eastAsia="Times New Roman"/>
              </w:rPr>
            </w:pPr>
            <w:r>
              <w:rPr>
                <w:rFonts w:eastAsia="Times New Roman"/>
              </w:rPr>
              <w:t>0</w:t>
            </w:r>
          </w:p>
        </w:tc>
        <w:tc>
          <w:tcPr>
            <w:tcW w:w="874" w:type="dxa"/>
          </w:tcPr>
          <w:p w14:paraId="60F6AB87" w14:textId="77777777" w:rsidR="00B678B5" w:rsidRPr="00E359BF" w:rsidRDefault="00B678B5">
            <w:pPr>
              <w:pStyle w:val="TableTextCentered"/>
              <w:rPr>
                <w:rFonts w:eastAsia="Times New Roman"/>
              </w:rPr>
            </w:pPr>
            <w:r>
              <w:rPr>
                <w:rFonts w:eastAsia="Times New Roman"/>
              </w:rPr>
              <w:t>0</w:t>
            </w:r>
          </w:p>
        </w:tc>
        <w:tc>
          <w:tcPr>
            <w:tcW w:w="875" w:type="dxa"/>
          </w:tcPr>
          <w:p w14:paraId="721F50A7" w14:textId="77777777" w:rsidR="00B678B5" w:rsidRPr="00E359BF" w:rsidRDefault="00B678B5">
            <w:pPr>
              <w:pStyle w:val="TableTextCentered"/>
              <w:rPr>
                <w:rFonts w:eastAsia="Times New Roman"/>
              </w:rPr>
            </w:pPr>
            <w:r>
              <w:rPr>
                <w:rFonts w:eastAsia="Times New Roman"/>
              </w:rPr>
              <w:t>0</w:t>
            </w:r>
          </w:p>
        </w:tc>
        <w:tc>
          <w:tcPr>
            <w:tcW w:w="875" w:type="dxa"/>
          </w:tcPr>
          <w:p w14:paraId="3666051D" w14:textId="77777777" w:rsidR="00B678B5" w:rsidRPr="00E359BF" w:rsidRDefault="00B678B5">
            <w:pPr>
              <w:pStyle w:val="TableTextCentered"/>
              <w:rPr>
                <w:rFonts w:eastAsia="Times New Roman"/>
              </w:rPr>
            </w:pPr>
            <w:r>
              <w:rPr>
                <w:rFonts w:eastAsia="Times New Roman"/>
              </w:rPr>
              <w:t>0</w:t>
            </w:r>
          </w:p>
        </w:tc>
        <w:tc>
          <w:tcPr>
            <w:tcW w:w="874" w:type="dxa"/>
          </w:tcPr>
          <w:p w14:paraId="02DEF97D" w14:textId="77777777" w:rsidR="00B678B5" w:rsidRPr="00E359BF" w:rsidRDefault="00B678B5">
            <w:pPr>
              <w:pStyle w:val="TableTextCentered"/>
              <w:rPr>
                <w:rFonts w:eastAsia="Times New Roman"/>
              </w:rPr>
            </w:pPr>
            <w:r>
              <w:rPr>
                <w:rFonts w:eastAsia="Times New Roman"/>
              </w:rPr>
              <w:t>2</w:t>
            </w:r>
          </w:p>
        </w:tc>
        <w:tc>
          <w:tcPr>
            <w:tcW w:w="875" w:type="dxa"/>
          </w:tcPr>
          <w:p w14:paraId="3F15DC9E" w14:textId="77777777" w:rsidR="00B678B5" w:rsidRPr="00E359BF" w:rsidRDefault="00B678B5">
            <w:pPr>
              <w:pStyle w:val="TableTextCentered"/>
              <w:rPr>
                <w:rFonts w:eastAsia="Times New Roman"/>
              </w:rPr>
            </w:pPr>
            <w:r>
              <w:rPr>
                <w:rFonts w:eastAsia="Times New Roman"/>
              </w:rPr>
              <w:t>38</w:t>
            </w:r>
          </w:p>
        </w:tc>
        <w:tc>
          <w:tcPr>
            <w:tcW w:w="900" w:type="dxa"/>
          </w:tcPr>
          <w:p w14:paraId="44BD79AF" w14:textId="77777777" w:rsidR="00B678B5" w:rsidRPr="00E359BF" w:rsidRDefault="00B678B5">
            <w:pPr>
              <w:pStyle w:val="TableTextCentered"/>
              <w:rPr>
                <w:rFonts w:eastAsia="Times New Roman"/>
              </w:rPr>
            </w:pPr>
            <w:r>
              <w:rPr>
                <w:rFonts w:eastAsia="Times New Roman"/>
              </w:rPr>
              <w:t>40</w:t>
            </w:r>
          </w:p>
        </w:tc>
        <w:tc>
          <w:tcPr>
            <w:tcW w:w="892" w:type="dxa"/>
          </w:tcPr>
          <w:p w14:paraId="33F208B7" w14:textId="77777777" w:rsidR="00B678B5" w:rsidRPr="00E359BF" w:rsidRDefault="00B678B5">
            <w:pPr>
              <w:pStyle w:val="TableTextCentered"/>
              <w:rPr>
                <w:rFonts w:eastAsia="Times New Roman"/>
              </w:rPr>
            </w:pPr>
            <w:r>
              <w:rPr>
                <w:rFonts w:eastAsia="Times New Roman"/>
              </w:rPr>
              <w:t>7.0</w:t>
            </w:r>
          </w:p>
        </w:tc>
      </w:tr>
      <w:tr w:rsidR="00B678B5" w:rsidRPr="00E359BF" w14:paraId="0033D001"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614311A9" w14:textId="77777777" w:rsidR="00B678B5" w:rsidRPr="00E359BF" w:rsidRDefault="00B678B5">
            <w:pPr>
              <w:pStyle w:val="TableText"/>
            </w:pPr>
            <w:r>
              <w:t>Grades 9-12</w:t>
            </w:r>
          </w:p>
        </w:tc>
        <w:tc>
          <w:tcPr>
            <w:tcW w:w="874" w:type="dxa"/>
          </w:tcPr>
          <w:p w14:paraId="6509767B" w14:textId="77777777" w:rsidR="00B678B5" w:rsidRPr="00E359BF" w:rsidRDefault="00B678B5">
            <w:pPr>
              <w:pStyle w:val="TableTextCentered"/>
              <w:rPr>
                <w:rFonts w:eastAsia="Times New Roman"/>
              </w:rPr>
            </w:pPr>
            <w:r>
              <w:rPr>
                <w:rFonts w:eastAsia="Times New Roman"/>
              </w:rPr>
              <w:t>0</w:t>
            </w:r>
          </w:p>
        </w:tc>
        <w:tc>
          <w:tcPr>
            <w:tcW w:w="874" w:type="dxa"/>
          </w:tcPr>
          <w:p w14:paraId="371330B7" w14:textId="77777777" w:rsidR="00B678B5" w:rsidRPr="00E359BF" w:rsidRDefault="00B678B5">
            <w:pPr>
              <w:pStyle w:val="TableTextCentered"/>
              <w:rPr>
                <w:rFonts w:eastAsia="Times New Roman"/>
              </w:rPr>
            </w:pPr>
            <w:r>
              <w:rPr>
                <w:rFonts w:eastAsia="Times New Roman"/>
              </w:rPr>
              <w:t>0</w:t>
            </w:r>
          </w:p>
        </w:tc>
        <w:tc>
          <w:tcPr>
            <w:tcW w:w="874" w:type="dxa"/>
          </w:tcPr>
          <w:p w14:paraId="7640A2C3" w14:textId="77777777" w:rsidR="00B678B5" w:rsidRPr="00E359BF" w:rsidRDefault="00B678B5">
            <w:pPr>
              <w:pStyle w:val="TableTextCentered"/>
              <w:rPr>
                <w:rFonts w:eastAsia="Times New Roman"/>
              </w:rPr>
            </w:pPr>
            <w:r>
              <w:rPr>
                <w:rFonts w:eastAsia="Times New Roman"/>
              </w:rPr>
              <w:t>0</w:t>
            </w:r>
          </w:p>
        </w:tc>
        <w:tc>
          <w:tcPr>
            <w:tcW w:w="875" w:type="dxa"/>
          </w:tcPr>
          <w:p w14:paraId="28B0FB37" w14:textId="77777777" w:rsidR="00B678B5" w:rsidRPr="00E359BF" w:rsidRDefault="00B678B5">
            <w:pPr>
              <w:pStyle w:val="TableTextCentered"/>
              <w:rPr>
                <w:rFonts w:eastAsia="Times New Roman"/>
              </w:rPr>
            </w:pPr>
            <w:r>
              <w:rPr>
                <w:rFonts w:eastAsia="Times New Roman"/>
              </w:rPr>
              <w:t>0</w:t>
            </w:r>
          </w:p>
        </w:tc>
        <w:tc>
          <w:tcPr>
            <w:tcW w:w="875" w:type="dxa"/>
          </w:tcPr>
          <w:p w14:paraId="28A247DF" w14:textId="77777777" w:rsidR="00B678B5" w:rsidRPr="00E359BF" w:rsidRDefault="00B678B5">
            <w:pPr>
              <w:pStyle w:val="TableTextCentered"/>
              <w:rPr>
                <w:rFonts w:eastAsia="Times New Roman"/>
              </w:rPr>
            </w:pPr>
            <w:r>
              <w:rPr>
                <w:rFonts w:eastAsia="Times New Roman"/>
              </w:rPr>
              <w:t>0</w:t>
            </w:r>
          </w:p>
        </w:tc>
        <w:tc>
          <w:tcPr>
            <w:tcW w:w="874" w:type="dxa"/>
          </w:tcPr>
          <w:p w14:paraId="74ABF626" w14:textId="77777777" w:rsidR="00B678B5" w:rsidRPr="00E359BF" w:rsidRDefault="00B678B5">
            <w:pPr>
              <w:pStyle w:val="TableTextCentered"/>
              <w:rPr>
                <w:rFonts w:eastAsia="Times New Roman"/>
              </w:rPr>
            </w:pPr>
            <w:r>
              <w:rPr>
                <w:rFonts w:eastAsia="Times New Roman"/>
              </w:rPr>
              <w:t>5</w:t>
            </w:r>
          </w:p>
        </w:tc>
        <w:tc>
          <w:tcPr>
            <w:tcW w:w="875" w:type="dxa"/>
          </w:tcPr>
          <w:p w14:paraId="040EFC3B" w14:textId="77777777" w:rsidR="00B678B5" w:rsidRPr="00E359BF" w:rsidRDefault="00B678B5">
            <w:pPr>
              <w:pStyle w:val="TableTextCentered"/>
              <w:rPr>
                <w:rFonts w:eastAsia="Times New Roman"/>
              </w:rPr>
            </w:pPr>
            <w:r>
              <w:rPr>
                <w:rFonts w:eastAsia="Times New Roman"/>
              </w:rPr>
              <w:t>48</w:t>
            </w:r>
          </w:p>
        </w:tc>
        <w:tc>
          <w:tcPr>
            <w:tcW w:w="900" w:type="dxa"/>
          </w:tcPr>
          <w:p w14:paraId="4DEF109D" w14:textId="77777777" w:rsidR="00B678B5" w:rsidRPr="00E359BF" w:rsidRDefault="00B678B5">
            <w:pPr>
              <w:pStyle w:val="TableTextCentered"/>
              <w:rPr>
                <w:rFonts w:eastAsia="Times New Roman"/>
              </w:rPr>
            </w:pPr>
            <w:r>
              <w:rPr>
                <w:rFonts w:eastAsia="Times New Roman"/>
              </w:rPr>
              <w:t>53</w:t>
            </w:r>
          </w:p>
        </w:tc>
        <w:tc>
          <w:tcPr>
            <w:tcW w:w="892" w:type="dxa"/>
          </w:tcPr>
          <w:p w14:paraId="675D452D" w14:textId="77777777" w:rsidR="00B678B5" w:rsidRPr="00E359BF" w:rsidRDefault="00B678B5">
            <w:pPr>
              <w:pStyle w:val="TableTextCentered"/>
              <w:rPr>
                <w:rFonts w:eastAsia="Times New Roman"/>
              </w:rPr>
            </w:pPr>
            <w:r>
              <w:rPr>
                <w:rFonts w:eastAsia="Times New Roman"/>
              </w:rPr>
              <w:t>6.9</w:t>
            </w:r>
          </w:p>
        </w:tc>
      </w:tr>
      <w:tr w:rsidR="00B678B5" w:rsidRPr="00E359BF" w14:paraId="17B6DE6D" w14:textId="77777777" w:rsidTr="00400B6F">
        <w:tc>
          <w:tcPr>
            <w:tcW w:w="1431" w:type="dxa"/>
          </w:tcPr>
          <w:p w14:paraId="5EBF651E"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6F9716E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4" w:type="dxa"/>
          </w:tcPr>
          <w:p w14:paraId="125760F6"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4" w:type="dxa"/>
          </w:tcPr>
          <w:p w14:paraId="3D2F6F5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5" w:type="dxa"/>
          </w:tcPr>
          <w:p w14:paraId="5FCF62BA"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5" w:type="dxa"/>
          </w:tcPr>
          <w:p w14:paraId="320B58A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w:t>
            </w:r>
          </w:p>
        </w:tc>
        <w:tc>
          <w:tcPr>
            <w:tcW w:w="874" w:type="dxa"/>
          </w:tcPr>
          <w:p w14:paraId="7854EBC3"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13</w:t>
            </w:r>
          </w:p>
        </w:tc>
        <w:tc>
          <w:tcPr>
            <w:tcW w:w="875" w:type="dxa"/>
          </w:tcPr>
          <w:p w14:paraId="6CE583A9"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159</w:t>
            </w:r>
          </w:p>
        </w:tc>
        <w:tc>
          <w:tcPr>
            <w:tcW w:w="900" w:type="dxa"/>
          </w:tcPr>
          <w:p w14:paraId="3BF8D2E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173</w:t>
            </w:r>
          </w:p>
        </w:tc>
        <w:tc>
          <w:tcPr>
            <w:tcW w:w="892" w:type="dxa"/>
          </w:tcPr>
          <w:p w14:paraId="53C06A32"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6.9</w:t>
            </w:r>
          </w:p>
        </w:tc>
      </w:tr>
    </w:tbl>
    <w:bookmarkEnd w:id="121"/>
    <w:p w14:paraId="5D7FC267" w14:textId="7D918737" w:rsidR="00B678B5" w:rsidRPr="00BC09E0" w:rsidRDefault="00B678B5" w:rsidP="00400B6F">
      <w:pPr>
        <w:pStyle w:val="TableNote"/>
      </w:pPr>
      <w:r w:rsidRPr="00A96DD7">
        <w:t xml:space="preserve">*The district average is an average of the observation scores. In Table 6, the district average is computed as: </w:t>
      </w:r>
      <w:bookmarkStart w:id="122" w:name="Dist_NC_Calc"/>
      <w:r>
        <w:t>([5 x 1] + [6 x 13] + [7 x 159]) ÷ 173 observations = 6.9</w:t>
      </w:r>
      <w:bookmarkEnd w:id="122"/>
    </w:p>
    <w:p w14:paraId="0951DC36" w14:textId="52FD339A" w:rsidR="00B678B5" w:rsidRPr="00BC09E0" w:rsidRDefault="00B678B5" w:rsidP="00400B6F">
      <w:pPr>
        <w:pStyle w:val="BodyText"/>
      </w:pPr>
      <w:r w:rsidRPr="00524A30">
        <w:rPr>
          <w:rStyle w:val="BodyTextDemiChar"/>
        </w:rPr>
        <w:t>Ratings in the Low Range.</w:t>
      </w:r>
      <w:r w:rsidRPr="00BC09E0">
        <w:rPr>
          <w:b/>
        </w:rPr>
        <w:t xml:space="preserve"> </w:t>
      </w:r>
      <w:r w:rsidRPr="00BC09E0">
        <w:t>Negativity is pervasive. The teacher may express constant irritation, annoyance, or anger; unduly criticize students; or consistently use a harsh tone and/or take a harsh stance as he or she interacts with students. Threats or yelling are frequently used to establish control. Language is disrespectful and sarcastic. Severe negativity, such as the following actions, would lead to a high rating on negative climate, even if the action is not extended: students bullying one another, a teacher hitting a student, or students physically fighting with one another.</w:t>
      </w:r>
    </w:p>
    <w:p w14:paraId="2479C196" w14:textId="119433BD" w:rsidR="00B678B5" w:rsidRPr="00BC09E0" w:rsidRDefault="00B678B5" w:rsidP="00400B6F">
      <w:pPr>
        <w:pStyle w:val="BodyTextposthead"/>
      </w:pPr>
      <w:r w:rsidRPr="00524A30">
        <w:rPr>
          <w:rStyle w:val="BodyTextDemiChar"/>
        </w:rPr>
        <w:t>Ratings in the Middle Range.</w:t>
      </w:r>
      <w:r w:rsidRPr="00BC09E0">
        <w:t xml:space="preserve"> There are some expressions of mild negativity by the teacher or students. The teacher may express irritability, use a harsh tone, and/or express annoyance—usually during difficult moments in the classroom. Threats or yelling may be used to establish control over the classroom, but not constantly; they are used more as a response to situations. At times, the teacher and students may be sarcastic or disrespectful toward one another.</w:t>
      </w:r>
    </w:p>
    <w:p w14:paraId="6E045348" w14:textId="77777777" w:rsidR="00B678B5" w:rsidRPr="00C31373" w:rsidRDefault="00B678B5" w:rsidP="00400B6F">
      <w:pPr>
        <w:pStyle w:val="BodyTextposthead"/>
        <w:rPr>
          <w:rFonts w:eastAsiaTheme="majorEastAsia"/>
        </w:rPr>
      </w:pPr>
      <w:r w:rsidRPr="00524A30">
        <w:rPr>
          <w:rStyle w:val="BodyTextDemiChar"/>
        </w:rPr>
        <w:t>Ratings in the High Range.</w:t>
      </w:r>
      <w:r w:rsidRPr="00BC09E0">
        <w:t xml:space="preserve"> There is no display of negativity: No strong expressions of anger or aggression are exhibited, either by the teacher or students; if there is such a display, it is contained and does not escalate. The teacher does not issue threats or yell to establish control. The teacher and students are respectful and do not express sarcasm.</w:t>
      </w:r>
      <w:r>
        <w:br w:type="page"/>
      </w:r>
    </w:p>
    <w:p w14:paraId="36FBEF69" w14:textId="77777777" w:rsidR="00B678B5" w:rsidRPr="00BC09E0" w:rsidRDefault="00B678B5" w:rsidP="00814B3F">
      <w:pPr>
        <w:pStyle w:val="DIOR"/>
      </w:pPr>
      <w:bookmarkStart w:id="123" w:name="_Toc430114879"/>
      <w:bookmarkStart w:id="124" w:name="_Toc231296589"/>
      <w:r w:rsidRPr="00BC09E0">
        <w:t xml:space="preserve">Behavior </w:t>
      </w:r>
      <w:r w:rsidRPr="00400B6F">
        <w:t>Management</w:t>
      </w:r>
      <w:bookmarkEnd w:id="123"/>
      <w:bookmarkEnd w:id="124"/>
    </w:p>
    <w:p w14:paraId="7A1C6B87" w14:textId="77777777" w:rsidR="00B678B5" w:rsidRPr="00BC09E0" w:rsidRDefault="00B678B5">
      <w:pPr>
        <w:pStyle w:val="BodyTextDomain"/>
      </w:pPr>
      <w:r w:rsidRPr="00BC09E0">
        <w:t xml:space="preserve">Classroom Organization domain, </w:t>
      </w:r>
      <w:r>
        <w:t>G</w:t>
      </w:r>
      <w:r w:rsidRPr="00BC09E0">
        <w:t xml:space="preserve">rades </w:t>
      </w:r>
      <w:r>
        <w:t>PK</w:t>
      </w:r>
      <w:r w:rsidRPr="00BC09E0">
        <w:t>−</w:t>
      </w:r>
      <w:r>
        <w:t>12</w:t>
      </w:r>
    </w:p>
    <w:p w14:paraId="2F5618D3" w14:textId="77777777" w:rsidR="00B678B5" w:rsidRPr="00BC09E0" w:rsidRDefault="00B678B5" w:rsidP="00400B6F">
      <w:pPr>
        <w:pStyle w:val="BodyTextposthead"/>
      </w:pPr>
      <w:r w:rsidRPr="00BC09E0">
        <w:t>Behavior Management refers to the teacher’s ability to provide clear behavioral expectations and use effective methods to prevent and redirect misbehavior (</w:t>
      </w:r>
      <w:r w:rsidRPr="00BC09E0">
        <w:rPr>
          <w:i/>
        </w:rPr>
        <w:t xml:space="preserve">CLASS </w:t>
      </w:r>
      <w:r>
        <w:rPr>
          <w:i/>
        </w:rPr>
        <w:t>PK–</w:t>
      </w:r>
      <w:r w:rsidRPr="00BC09E0">
        <w:rPr>
          <w:i/>
        </w:rPr>
        <w:t>3 Manual</w:t>
      </w:r>
      <w:r w:rsidRPr="00BC09E0">
        <w:t xml:space="preserve">, p. 45, </w:t>
      </w:r>
      <w:r w:rsidRPr="00BC09E0">
        <w:rPr>
          <w:i/>
        </w:rPr>
        <w:t xml:space="preserve">CLASS Upper Elementary Manual, </w:t>
      </w:r>
      <w:r w:rsidRPr="00BC09E0">
        <w:t>p. 41</w:t>
      </w:r>
      <w:r>
        <w:t xml:space="preserve">, </w:t>
      </w:r>
      <w:r w:rsidRPr="0085328B">
        <w:rPr>
          <w:i/>
        </w:rPr>
        <w:t>CLASS Secondary Manual</w:t>
      </w:r>
      <w:r>
        <w:t>, p. 41</w:t>
      </w:r>
      <w:r w:rsidRPr="00BC09E0">
        <w:t>).</w:t>
      </w:r>
    </w:p>
    <w:p w14:paraId="15031705" w14:textId="77777777" w:rsidR="00B678B5" w:rsidRPr="00BC09E0" w:rsidRDefault="00B678B5">
      <w:pPr>
        <w:pStyle w:val="TableTitle0"/>
      </w:pPr>
      <w:r w:rsidRPr="00BC09E0">
        <w:t xml:space="preserve">Table 7. Behavior Management: Number of Classrooms for Each Rating </w:t>
      </w:r>
      <w:r w:rsidRPr="00A96DD7">
        <w:t>and District Average</w:t>
      </w:r>
    </w:p>
    <w:p w14:paraId="3296CF6B" w14:textId="77777777" w:rsidR="00B678B5" w:rsidRDefault="00B678B5">
      <w:pPr>
        <w:pStyle w:val="BodyTextDemi"/>
      </w:pPr>
      <w:r w:rsidRPr="00A96DD7">
        <w:t xml:space="preserve">Behavior Management District Average*: </w:t>
      </w:r>
      <w:bookmarkStart w:id="125" w:name="Dist_BM_Avg"/>
      <w:r>
        <w:t>6.0</w:t>
      </w:r>
      <w:bookmarkEnd w:id="125"/>
    </w:p>
    <w:tbl>
      <w:tblPr>
        <w:tblStyle w:val="MSVTable1"/>
        <w:tblW w:w="5000" w:type="pct"/>
        <w:tblLook w:val="04A0" w:firstRow="1" w:lastRow="0" w:firstColumn="1" w:lastColumn="0" w:noHBand="0" w:noVBand="1"/>
        <w:tblCaption w:val="Table 7. Behavior Management: Number of Classrooms for Each Rating and District Average"/>
        <w:tblDescription w:val="Behavior Management: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25DA233A" w14:textId="77777777" w:rsidTr="000279E3">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5EA002FA" w14:textId="77777777" w:rsidR="00B678B5" w:rsidRPr="00E359BF" w:rsidRDefault="00B678B5" w:rsidP="000279E3">
            <w:pPr>
              <w:pStyle w:val="TableColHeadingCenter"/>
              <w:rPr>
                <w:rFonts w:eastAsia="MS Mincho"/>
              </w:rPr>
            </w:pPr>
            <w:bookmarkStart w:id="126" w:name="Tbl_BM"/>
            <w:r>
              <w:rPr>
                <w:rFonts w:eastAsia="MS Mincho"/>
              </w:rPr>
              <w:t>Grade Band</w:t>
            </w:r>
          </w:p>
        </w:tc>
        <w:tc>
          <w:tcPr>
            <w:tcW w:w="874" w:type="dxa"/>
            <w:vAlign w:val="center"/>
          </w:tcPr>
          <w:p w14:paraId="3B9F191F" w14:textId="77777777" w:rsidR="00B678B5" w:rsidRPr="00E359BF" w:rsidRDefault="00B678B5" w:rsidP="000279E3">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61938E1B" w14:textId="77777777" w:rsidR="00B678B5" w:rsidRPr="00E359BF" w:rsidRDefault="00B678B5" w:rsidP="000279E3">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74BF8576"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726FF008"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4B585FF6"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1866405A" w14:textId="77777777" w:rsidR="00B678B5" w:rsidRPr="00E359BF" w:rsidRDefault="00B678B5" w:rsidP="000279E3">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25BF8A53" w14:textId="77777777" w:rsidR="00B678B5" w:rsidRPr="00E359BF" w:rsidRDefault="00B678B5" w:rsidP="000279E3">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402A4C86" w14:textId="77777777" w:rsidR="00B678B5" w:rsidRPr="00E359BF" w:rsidRDefault="00B678B5" w:rsidP="000279E3">
            <w:pPr>
              <w:pStyle w:val="TableColHeadingCenter"/>
              <w:rPr>
                <w:rFonts w:eastAsia="MS Mincho"/>
              </w:rPr>
            </w:pPr>
            <w:r>
              <w:rPr>
                <w:rFonts w:eastAsia="MS Mincho"/>
              </w:rPr>
              <w:t>n</w:t>
            </w:r>
          </w:p>
        </w:tc>
        <w:tc>
          <w:tcPr>
            <w:tcW w:w="892" w:type="dxa"/>
            <w:vAlign w:val="center"/>
          </w:tcPr>
          <w:p w14:paraId="31C67743" w14:textId="77777777" w:rsidR="00B678B5" w:rsidRPr="00E359BF" w:rsidRDefault="00B678B5" w:rsidP="000279E3">
            <w:pPr>
              <w:pStyle w:val="TableColHeadingCenter"/>
              <w:rPr>
                <w:rFonts w:eastAsia="MS Mincho"/>
              </w:rPr>
            </w:pPr>
            <w:r>
              <w:rPr>
                <w:rFonts w:eastAsia="MS Mincho"/>
              </w:rPr>
              <w:t>Average</w:t>
            </w:r>
          </w:p>
        </w:tc>
      </w:tr>
      <w:tr w:rsidR="00B678B5" w:rsidRPr="00E359BF" w14:paraId="3D6FE7C1"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3C863266" w14:textId="77777777" w:rsidR="00B678B5" w:rsidRPr="00E359BF" w:rsidRDefault="00B678B5">
            <w:pPr>
              <w:pStyle w:val="TableText"/>
            </w:pPr>
            <w:r>
              <w:t>Grades PK-5</w:t>
            </w:r>
          </w:p>
        </w:tc>
        <w:tc>
          <w:tcPr>
            <w:tcW w:w="874" w:type="dxa"/>
          </w:tcPr>
          <w:p w14:paraId="03485417" w14:textId="77777777" w:rsidR="00B678B5" w:rsidRPr="00E359BF" w:rsidRDefault="00B678B5">
            <w:pPr>
              <w:pStyle w:val="TableTextCentered"/>
              <w:rPr>
                <w:rFonts w:eastAsia="Times New Roman"/>
              </w:rPr>
            </w:pPr>
            <w:r>
              <w:rPr>
                <w:rFonts w:eastAsia="Times New Roman"/>
              </w:rPr>
              <w:t>0</w:t>
            </w:r>
          </w:p>
        </w:tc>
        <w:tc>
          <w:tcPr>
            <w:tcW w:w="874" w:type="dxa"/>
          </w:tcPr>
          <w:p w14:paraId="08CEB274" w14:textId="77777777" w:rsidR="00B678B5" w:rsidRPr="00E359BF" w:rsidRDefault="00B678B5">
            <w:pPr>
              <w:pStyle w:val="TableTextCentered"/>
              <w:rPr>
                <w:rFonts w:eastAsia="Times New Roman"/>
              </w:rPr>
            </w:pPr>
            <w:r>
              <w:rPr>
                <w:rFonts w:eastAsia="Times New Roman"/>
              </w:rPr>
              <w:t>1</w:t>
            </w:r>
          </w:p>
        </w:tc>
        <w:tc>
          <w:tcPr>
            <w:tcW w:w="874" w:type="dxa"/>
          </w:tcPr>
          <w:p w14:paraId="7CA0B32D" w14:textId="77777777" w:rsidR="00B678B5" w:rsidRPr="00E359BF" w:rsidRDefault="00B678B5">
            <w:pPr>
              <w:pStyle w:val="TableTextCentered"/>
              <w:rPr>
                <w:rFonts w:eastAsia="Times New Roman"/>
              </w:rPr>
            </w:pPr>
            <w:r>
              <w:rPr>
                <w:rFonts w:eastAsia="Times New Roman"/>
              </w:rPr>
              <w:t>2</w:t>
            </w:r>
          </w:p>
        </w:tc>
        <w:tc>
          <w:tcPr>
            <w:tcW w:w="875" w:type="dxa"/>
          </w:tcPr>
          <w:p w14:paraId="3C06CE88" w14:textId="77777777" w:rsidR="00B678B5" w:rsidRPr="00E359BF" w:rsidRDefault="00B678B5">
            <w:pPr>
              <w:pStyle w:val="TableTextCentered"/>
              <w:rPr>
                <w:rFonts w:eastAsia="Times New Roman"/>
              </w:rPr>
            </w:pPr>
            <w:r>
              <w:rPr>
                <w:rFonts w:eastAsia="Times New Roman"/>
              </w:rPr>
              <w:t>4</w:t>
            </w:r>
          </w:p>
        </w:tc>
        <w:tc>
          <w:tcPr>
            <w:tcW w:w="875" w:type="dxa"/>
          </w:tcPr>
          <w:p w14:paraId="6C2E1870" w14:textId="77777777" w:rsidR="00B678B5" w:rsidRPr="00E359BF" w:rsidRDefault="00B678B5">
            <w:pPr>
              <w:pStyle w:val="TableTextCentered"/>
              <w:rPr>
                <w:rFonts w:eastAsia="Times New Roman"/>
              </w:rPr>
            </w:pPr>
            <w:r>
              <w:rPr>
                <w:rFonts w:eastAsia="Times New Roman"/>
              </w:rPr>
              <w:t>9</w:t>
            </w:r>
          </w:p>
        </w:tc>
        <w:tc>
          <w:tcPr>
            <w:tcW w:w="874" w:type="dxa"/>
          </w:tcPr>
          <w:p w14:paraId="3F6C6325" w14:textId="77777777" w:rsidR="00B678B5" w:rsidRPr="00E359BF" w:rsidRDefault="00B678B5">
            <w:pPr>
              <w:pStyle w:val="TableTextCentered"/>
              <w:rPr>
                <w:rFonts w:eastAsia="Times New Roman"/>
              </w:rPr>
            </w:pPr>
            <w:r>
              <w:rPr>
                <w:rFonts w:eastAsia="Times New Roman"/>
              </w:rPr>
              <w:t>20</w:t>
            </w:r>
          </w:p>
        </w:tc>
        <w:tc>
          <w:tcPr>
            <w:tcW w:w="875" w:type="dxa"/>
          </w:tcPr>
          <w:p w14:paraId="3C244FFE" w14:textId="77777777" w:rsidR="00B678B5" w:rsidRPr="00E359BF" w:rsidRDefault="00B678B5">
            <w:pPr>
              <w:pStyle w:val="TableTextCentered"/>
              <w:rPr>
                <w:rFonts w:eastAsia="Times New Roman"/>
              </w:rPr>
            </w:pPr>
            <w:r>
              <w:rPr>
                <w:rFonts w:eastAsia="Times New Roman"/>
              </w:rPr>
              <w:t>44</w:t>
            </w:r>
          </w:p>
        </w:tc>
        <w:tc>
          <w:tcPr>
            <w:tcW w:w="900" w:type="dxa"/>
          </w:tcPr>
          <w:p w14:paraId="581D9D09" w14:textId="77777777" w:rsidR="00B678B5" w:rsidRPr="00E359BF" w:rsidRDefault="00B678B5">
            <w:pPr>
              <w:pStyle w:val="TableTextCentered"/>
              <w:rPr>
                <w:rFonts w:eastAsia="Times New Roman"/>
              </w:rPr>
            </w:pPr>
            <w:r>
              <w:rPr>
                <w:rFonts w:eastAsia="Times New Roman"/>
              </w:rPr>
              <w:t>80</w:t>
            </w:r>
          </w:p>
        </w:tc>
        <w:tc>
          <w:tcPr>
            <w:tcW w:w="892" w:type="dxa"/>
          </w:tcPr>
          <w:p w14:paraId="031E5357" w14:textId="77777777" w:rsidR="00B678B5" w:rsidRPr="00E359BF" w:rsidRDefault="00B678B5">
            <w:pPr>
              <w:pStyle w:val="TableTextCentered"/>
              <w:rPr>
                <w:rFonts w:eastAsia="Times New Roman"/>
              </w:rPr>
            </w:pPr>
            <w:r>
              <w:rPr>
                <w:rFonts w:eastAsia="Times New Roman"/>
              </w:rPr>
              <w:t>6.2</w:t>
            </w:r>
          </w:p>
        </w:tc>
      </w:tr>
      <w:tr w:rsidR="00B678B5" w:rsidRPr="00E359BF" w14:paraId="6BEC0FE1" w14:textId="77777777" w:rsidTr="00400B6F">
        <w:tc>
          <w:tcPr>
            <w:tcW w:w="1431" w:type="dxa"/>
          </w:tcPr>
          <w:p w14:paraId="091AA4F8" w14:textId="77777777" w:rsidR="00B678B5" w:rsidRPr="00E359BF" w:rsidRDefault="00B678B5">
            <w:pPr>
              <w:pStyle w:val="TableText"/>
            </w:pPr>
            <w:r>
              <w:t>Grades 6-8</w:t>
            </w:r>
          </w:p>
        </w:tc>
        <w:tc>
          <w:tcPr>
            <w:tcW w:w="874" w:type="dxa"/>
          </w:tcPr>
          <w:p w14:paraId="5E377E02" w14:textId="77777777" w:rsidR="00B678B5" w:rsidRPr="00E359BF" w:rsidRDefault="00B678B5">
            <w:pPr>
              <w:pStyle w:val="TableTextCentered"/>
              <w:rPr>
                <w:rFonts w:eastAsia="Times New Roman"/>
              </w:rPr>
            </w:pPr>
            <w:r>
              <w:rPr>
                <w:rFonts w:eastAsia="Times New Roman"/>
              </w:rPr>
              <w:t>0</w:t>
            </w:r>
          </w:p>
        </w:tc>
        <w:tc>
          <w:tcPr>
            <w:tcW w:w="874" w:type="dxa"/>
          </w:tcPr>
          <w:p w14:paraId="11E9EA3F" w14:textId="77777777" w:rsidR="00B678B5" w:rsidRPr="00E359BF" w:rsidRDefault="00B678B5">
            <w:pPr>
              <w:pStyle w:val="TableTextCentered"/>
              <w:rPr>
                <w:rFonts w:eastAsia="Times New Roman"/>
              </w:rPr>
            </w:pPr>
            <w:r>
              <w:rPr>
                <w:rFonts w:eastAsia="Times New Roman"/>
              </w:rPr>
              <w:t>1</w:t>
            </w:r>
          </w:p>
        </w:tc>
        <w:tc>
          <w:tcPr>
            <w:tcW w:w="874" w:type="dxa"/>
          </w:tcPr>
          <w:p w14:paraId="55CC2C5B" w14:textId="77777777" w:rsidR="00B678B5" w:rsidRPr="00E359BF" w:rsidRDefault="00B678B5">
            <w:pPr>
              <w:pStyle w:val="TableTextCentered"/>
              <w:rPr>
                <w:rFonts w:eastAsia="Times New Roman"/>
              </w:rPr>
            </w:pPr>
            <w:r>
              <w:rPr>
                <w:rFonts w:eastAsia="Times New Roman"/>
              </w:rPr>
              <w:t>1</w:t>
            </w:r>
          </w:p>
        </w:tc>
        <w:tc>
          <w:tcPr>
            <w:tcW w:w="875" w:type="dxa"/>
          </w:tcPr>
          <w:p w14:paraId="14CE851D" w14:textId="77777777" w:rsidR="00B678B5" w:rsidRPr="00E359BF" w:rsidRDefault="00B678B5">
            <w:pPr>
              <w:pStyle w:val="TableTextCentered"/>
              <w:rPr>
                <w:rFonts w:eastAsia="Times New Roman"/>
              </w:rPr>
            </w:pPr>
            <w:r>
              <w:rPr>
                <w:rFonts w:eastAsia="Times New Roman"/>
              </w:rPr>
              <w:t>5</w:t>
            </w:r>
          </w:p>
        </w:tc>
        <w:tc>
          <w:tcPr>
            <w:tcW w:w="875" w:type="dxa"/>
          </w:tcPr>
          <w:p w14:paraId="51D56C25" w14:textId="77777777" w:rsidR="00B678B5" w:rsidRPr="00E359BF" w:rsidRDefault="00B678B5">
            <w:pPr>
              <w:pStyle w:val="TableTextCentered"/>
              <w:rPr>
                <w:rFonts w:eastAsia="Times New Roman"/>
              </w:rPr>
            </w:pPr>
            <w:r>
              <w:rPr>
                <w:rFonts w:eastAsia="Times New Roman"/>
              </w:rPr>
              <w:t>7</w:t>
            </w:r>
          </w:p>
        </w:tc>
        <w:tc>
          <w:tcPr>
            <w:tcW w:w="874" w:type="dxa"/>
          </w:tcPr>
          <w:p w14:paraId="03A2B3A4" w14:textId="77777777" w:rsidR="00B678B5" w:rsidRPr="00E359BF" w:rsidRDefault="00B678B5">
            <w:pPr>
              <w:pStyle w:val="TableTextCentered"/>
              <w:rPr>
                <w:rFonts w:eastAsia="Times New Roman"/>
              </w:rPr>
            </w:pPr>
            <w:r>
              <w:rPr>
                <w:rFonts w:eastAsia="Times New Roman"/>
              </w:rPr>
              <w:t>8</w:t>
            </w:r>
          </w:p>
        </w:tc>
        <w:tc>
          <w:tcPr>
            <w:tcW w:w="875" w:type="dxa"/>
          </w:tcPr>
          <w:p w14:paraId="13D25925" w14:textId="77777777" w:rsidR="00B678B5" w:rsidRPr="00E359BF" w:rsidRDefault="00B678B5">
            <w:pPr>
              <w:pStyle w:val="TableTextCentered"/>
              <w:rPr>
                <w:rFonts w:eastAsia="Times New Roman"/>
              </w:rPr>
            </w:pPr>
            <w:r>
              <w:rPr>
                <w:rFonts w:eastAsia="Times New Roman"/>
              </w:rPr>
              <w:t>18</w:t>
            </w:r>
          </w:p>
        </w:tc>
        <w:tc>
          <w:tcPr>
            <w:tcW w:w="900" w:type="dxa"/>
          </w:tcPr>
          <w:p w14:paraId="07B2AD9F" w14:textId="77777777" w:rsidR="00B678B5" w:rsidRPr="00E359BF" w:rsidRDefault="00B678B5">
            <w:pPr>
              <w:pStyle w:val="TableTextCentered"/>
              <w:rPr>
                <w:rFonts w:eastAsia="Times New Roman"/>
              </w:rPr>
            </w:pPr>
            <w:r>
              <w:rPr>
                <w:rFonts w:eastAsia="Times New Roman"/>
              </w:rPr>
              <w:t>40</w:t>
            </w:r>
          </w:p>
        </w:tc>
        <w:tc>
          <w:tcPr>
            <w:tcW w:w="892" w:type="dxa"/>
          </w:tcPr>
          <w:p w14:paraId="6CBB63AF" w14:textId="77777777" w:rsidR="00B678B5" w:rsidRPr="00E359BF" w:rsidRDefault="00B678B5">
            <w:pPr>
              <w:pStyle w:val="TableTextCentered"/>
              <w:rPr>
                <w:rFonts w:eastAsia="Times New Roman"/>
              </w:rPr>
            </w:pPr>
            <w:r>
              <w:rPr>
                <w:rFonts w:eastAsia="Times New Roman"/>
              </w:rPr>
              <w:t>5.9</w:t>
            </w:r>
          </w:p>
        </w:tc>
      </w:tr>
      <w:tr w:rsidR="00B678B5" w:rsidRPr="00E359BF" w14:paraId="7C0E6FB6"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5A2A2CBD" w14:textId="77777777" w:rsidR="00B678B5" w:rsidRPr="00E359BF" w:rsidRDefault="00B678B5">
            <w:pPr>
              <w:pStyle w:val="TableText"/>
            </w:pPr>
            <w:r>
              <w:t>Grades 9-12</w:t>
            </w:r>
          </w:p>
        </w:tc>
        <w:tc>
          <w:tcPr>
            <w:tcW w:w="874" w:type="dxa"/>
          </w:tcPr>
          <w:p w14:paraId="1F032E32" w14:textId="77777777" w:rsidR="00B678B5" w:rsidRPr="00E359BF" w:rsidRDefault="00B678B5">
            <w:pPr>
              <w:pStyle w:val="TableTextCentered"/>
              <w:rPr>
                <w:rFonts w:eastAsia="Times New Roman"/>
              </w:rPr>
            </w:pPr>
            <w:r>
              <w:rPr>
                <w:rFonts w:eastAsia="Times New Roman"/>
              </w:rPr>
              <w:t>0</w:t>
            </w:r>
          </w:p>
        </w:tc>
        <w:tc>
          <w:tcPr>
            <w:tcW w:w="874" w:type="dxa"/>
          </w:tcPr>
          <w:p w14:paraId="580FFE58" w14:textId="77777777" w:rsidR="00B678B5" w:rsidRPr="00E359BF" w:rsidRDefault="00B678B5">
            <w:pPr>
              <w:pStyle w:val="TableTextCentered"/>
              <w:rPr>
                <w:rFonts w:eastAsia="Times New Roman"/>
              </w:rPr>
            </w:pPr>
            <w:r>
              <w:rPr>
                <w:rFonts w:eastAsia="Times New Roman"/>
              </w:rPr>
              <w:t>1</w:t>
            </w:r>
          </w:p>
        </w:tc>
        <w:tc>
          <w:tcPr>
            <w:tcW w:w="874" w:type="dxa"/>
          </w:tcPr>
          <w:p w14:paraId="789D4910" w14:textId="77777777" w:rsidR="00B678B5" w:rsidRPr="00E359BF" w:rsidRDefault="00B678B5">
            <w:pPr>
              <w:pStyle w:val="TableTextCentered"/>
              <w:rPr>
                <w:rFonts w:eastAsia="Times New Roman"/>
              </w:rPr>
            </w:pPr>
            <w:r>
              <w:rPr>
                <w:rFonts w:eastAsia="Times New Roman"/>
              </w:rPr>
              <w:t>2</w:t>
            </w:r>
          </w:p>
        </w:tc>
        <w:tc>
          <w:tcPr>
            <w:tcW w:w="875" w:type="dxa"/>
          </w:tcPr>
          <w:p w14:paraId="4508D583" w14:textId="77777777" w:rsidR="00B678B5" w:rsidRPr="00E359BF" w:rsidRDefault="00B678B5">
            <w:pPr>
              <w:pStyle w:val="TableTextCentered"/>
              <w:rPr>
                <w:rFonts w:eastAsia="Times New Roman"/>
              </w:rPr>
            </w:pPr>
            <w:r>
              <w:rPr>
                <w:rFonts w:eastAsia="Times New Roman"/>
              </w:rPr>
              <w:t>9</w:t>
            </w:r>
          </w:p>
        </w:tc>
        <w:tc>
          <w:tcPr>
            <w:tcW w:w="875" w:type="dxa"/>
          </w:tcPr>
          <w:p w14:paraId="7EF3CF3D" w14:textId="77777777" w:rsidR="00B678B5" w:rsidRPr="00E359BF" w:rsidRDefault="00B678B5">
            <w:pPr>
              <w:pStyle w:val="TableTextCentered"/>
              <w:rPr>
                <w:rFonts w:eastAsia="Times New Roman"/>
              </w:rPr>
            </w:pPr>
            <w:r>
              <w:rPr>
                <w:rFonts w:eastAsia="Times New Roman"/>
              </w:rPr>
              <w:t>7</w:t>
            </w:r>
          </w:p>
        </w:tc>
        <w:tc>
          <w:tcPr>
            <w:tcW w:w="874" w:type="dxa"/>
          </w:tcPr>
          <w:p w14:paraId="6A625064" w14:textId="77777777" w:rsidR="00B678B5" w:rsidRPr="00E359BF" w:rsidRDefault="00B678B5">
            <w:pPr>
              <w:pStyle w:val="TableTextCentered"/>
              <w:rPr>
                <w:rFonts w:eastAsia="Times New Roman"/>
              </w:rPr>
            </w:pPr>
            <w:r>
              <w:rPr>
                <w:rFonts w:eastAsia="Times New Roman"/>
              </w:rPr>
              <w:t>18</w:t>
            </w:r>
          </w:p>
        </w:tc>
        <w:tc>
          <w:tcPr>
            <w:tcW w:w="875" w:type="dxa"/>
          </w:tcPr>
          <w:p w14:paraId="58B308A2" w14:textId="77777777" w:rsidR="00B678B5" w:rsidRPr="00E359BF" w:rsidRDefault="00B678B5">
            <w:pPr>
              <w:pStyle w:val="TableTextCentered"/>
              <w:rPr>
                <w:rFonts w:eastAsia="Times New Roman"/>
              </w:rPr>
            </w:pPr>
            <w:r>
              <w:rPr>
                <w:rFonts w:eastAsia="Times New Roman"/>
              </w:rPr>
              <w:t>16</w:t>
            </w:r>
          </w:p>
        </w:tc>
        <w:tc>
          <w:tcPr>
            <w:tcW w:w="900" w:type="dxa"/>
          </w:tcPr>
          <w:p w14:paraId="675F15CD" w14:textId="77777777" w:rsidR="00B678B5" w:rsidRPr="00E359BF" w:rsidRDefault="00B678B5">
            <w:pPr>
              <w:pStyle w:val="TableTextCentered"/>
              <w:rPr>
                <w:rFonts w:eastAsia="Times New Roman"/>
              </w:rPr>
            </w:pPr>
            <w:r>
              <w:rPr>
                <w:rFonts w:eastAsia="Times New Roman"/>
              </w:rPr>
              <w:t>53</w:t>
            </w:r>
          </w:p>
        </w:tc>
        <w:tc>
          <w:tcPr>
            <w:tcW w:w="892" w:type="dxa"/>
          </w:tcPr>
          <w:p w14:paraId="45D44957" w14:textId="77777777" w:rsidR="00B678B5" w:rsidRPr="00E359BF" w:rsidRDefault="00B678B5">
            <w:pPr>
              <w:pStyle w:val="TableTextCentered"/>
              <w:rPr>
                <w:rFonts w:eastAsia="Times New Roman"/>
              </w:rPr>
            </w:pPr>
            <w:r>
              <w:rPr>
                <w:rFonts w:eastAsia="Times New Roman"/>
              </w:rPr>
              <w:t>5.6</w:t>
            </w:r>
          </w:p>
        </w:tc>
      </w:tr>
      <w:tr w:rsidR="00B678B5" w:rsidRPr="00E359BF" w14:paraId="77DD1E13" w14:textId="77777777" w:rsidTr="00400B6F">
        <w:tc>
          <w:tcPr>
            <w:tcW w:w="1431" w:type="dxa"/>
          </w:tcPr>
          <w:p w14:paraId="50E0828A"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4FFCD7DA"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4" w:type="dxa"/>
          </w:tcPr>
          <w:p w14:paraId="31F1995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w:t>
            </w:r>
          </w:p>
        </w:tc>
        <w:tc>
          <w:tcPr>
            <w:tcW w:w="874" w:type="dxa"/>
          </w:tcPr>
          <w:p w14:paraId="1C957674"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w:t>
            </w:r>
          </w:p>
        </w:tc>
        <w:tc>
          <w:tcPr>
            <w:tcW w:w="875" w:type="dxa"/>
          </w:tcPr>
          <w:p w14:paraId="2CEE08A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18</w:t>
            </w:r>
          </w:p>
        </w:tc>
        <w:tc>
          <w:tcPr>
            <w:tcW w:w="875" w:type="dxa"/>
          </w:tcPr>
          <w:p w14:paraId="42CF81BB"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23</w:t>
            </w:r>
          </w:p>
        </w:tc>
        <w:tc>
          <w:tcPr>
            <w:tcW w:w="874" w:type="dxa"/>
          </w:tcPr>
          <w:p w14:paraId="2DB0B535"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46</w:t>
            </w:r>
          </w:p>
        </w:tc>
        <w:tc>
          <w:tcPr>
            <w:tcW w:w="875" w:type="dxa"/>
          </w:tcPr>
          <w:p w14:paraId="6F2476A9"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78</w:t>
            </w:r>
          </w:p>
        </w:tc>
        <w:tc>
          <w:tcPr>
            <w:tcW w:w="900" w:type="dxa"/>
          </w:tcPr>
          <w:p w14:paraId="64E92B60"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173</w:t>
            </w:r>
          </w:p>
        </w:tc>
        <w:tc>
          <w:tcPr>
            <w:tcW w:w="892" w:type="dxa"/>
          </w:tcPr>
          <w:p w14:paraId="6031F6F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6.0</w:t>
            </w:r>
          </w:p>
        </w:tc>
      </w:tr>
    </w:tbl>
    <w:bookmarkEnd w:id="126"/>
    <w:p w14:paraId="78D7BAC1" w14:textId="2852F52B" w:rsidR="00B678B5" w:rsidRPr="00BC09E0" w:rsidRDefault="00B678B5" w:rsidP="00400B6F">
      <w:pPr>
        <w:pStyle w:val="TableNote"/>
      </w:pPr>
      <w:r w:rsidRPr="00A96DD7">
        <w:t xml:space="preserve">*The district average is an average of the observation scores. In Table 7, the district average is computed as: </w:t>
      </w:r>
      <w:bookmarkStart w:id="127" w:name="Dist_BM_Calc"/>
      <w:r>
        <w:t>([2 x 3] + [3 x 5] + [4 x 18] + [5 x 23] + [6 x 46] + [7 x 78]) ÷ 173 observations = 6.0</w:t>
      </w:r>
      <w:bookmarkEnd w:id="127"/>
    </w:p>
    <w:p w14:paraId="0724880F" w14:textId="7C24BC26" w:rsidR="00B678B5" w:rsidRPr="00BC09E0" w:rsidRDefault="00B678B5" w:rsidP="00400B6F">
      <w:pPr>
        <w:pStyle w:val="BodyText"/>
      </w:pPr>
      <w:r w:rsidRPr="00524A30">
        <w:rPr>
          <w:rStyle w:val="BodyTextDemiChar"/>
        </w:rPr>
        <w:t>Ratings in the Low Range.</w:t>
      </w:r>
      <w:r w:rsidRPr="00BC09E0">
        <w:t xml:space="preserve"> At the low range, the classroom is chaotic. There are no rules and expectations, or they are not enforced consistently. The teacher does not monitor the classroom effectively and only reacts to student disruption, which is frequent. There are frequent instances of misbehavior in the classroom, and the teacher’s attempts to redirect misbehavior are ineffective. The teacher does not use cues, such as eye contact, slight touches, gestures, or physical proximity, to respond to and redirect negative behavior.</w:t>
      </w:r>
    </w:p>
    <w:p w14:paraId="1F846A5D" w14:textId="77777777" w:rsidR="00B678B5" w:rsidRPr="00BC09E0" w:rsidRDefault="00B678B5" w:rsidP="00400B6F">
      <w:pPr>
        <w:pStyle w:val="BodyTextposthead"/>
      </w:pPr>
      <w:r w:rsidRPr="00524A30">
        <w:rPr>
          <w:rStyle w:val="BodyTextDemiChar"/>
        </w:rPr>
        <w:t>Ratings in the Middle Range.</w:t>
      </w:r>
      <w:r w:rsidRPr="00BC09E0">
        <w:t xml:space="preserve"> Although rules and expectations may be stated, they are not consistently enforced, or the rules may be unclear. Sometimes, the teacher proactively anticipates and prevents misbehavior, but at other times the teacher ignores behavior problems until it is too late. Misbehavior may escalate because redirection is not always effective. Episodes of misbehavior are periodic.</w:t>
      </w:r>
    </w:p>
    <w:p w14:paraId="005D1F70" w14:textId="26112E2A" w:rsidR="00B678B5" w:rsidRDefault="00B678B5" w:rsidP="00400B6F">
      <w:pPr>
        <w:pStyle w:val="BodyTextposthead"/>
      </w:pPr>
      <w:r w:rsidRPr="00524A30">
        <w:rPr>
          <w:rStyle w:val="BodyTextDemiChar"/>
        </w:rPr>
        <w:t>Ratings in the High Range.</w:t>
      </w:r>
      <w:r w:rsidRPr="00BC09E0">
        <w:t xml:space="preserve"> At the high range, the rules and guidelines for behavior are clear, and they are consistently reinforced by the teacher. The teacher monitors the classroom and prevents problems from developing, using subtle cues to redirect behavior and address situations before they escalate. The teacher focuses on positive behavior and consistently affirms students’ desirable behaviors. The teacher effectively uses cues to redirect behavior. There are no, or very few, instances of student misbehavior or disruptions.</w:t>
      </w:r>
      <w:r>
        <w:br w:type="page"/>
      </w:r>
    </w:p>
    <w:p w14:paraId="0F8BB401" w14:textId="77777777" w:rsidR="00B678B5" w:rsidRPr="00BC09E0" w:rsidRDefault="00B678B5" w:rsidP="00E35A27">
      <w:pPr>
        <w:pStyle w:val="DIOR"/>
      </w:pPr>
      <w:bookmarkStart w:id="128" w:name="_Toc411329831"/>
      <w:bookmarkStart w:id="129" w:name="_Toc430114880"/>
      <w:bookmarkStart w:id="130" w:name="_Toc231296590"/>
      <w:r w:rsidRPr="00400B6F">
        <w:t>Productivity</w:t>
      </w:r>
      <w:bookmarkEnd w:id="128"/>
      <w:bookmarkEnd w:id="129"/>
      <w:bookmarkEnd w:id="130"/>
    </w:p>
    <w:p w14:paraId="7D853332" w14:textId="77777777" w:rsidR="00B678B5" w:rsidRPr="00BC09E0" w:rsidRDefault="00B678B5">
      <w:pPr>
        <w:pStyle w:val="BodyTextDomain"/>
      </w:pPr>
      <w:r w:rsidRPr="00BC09E0">
        <w:t xml:space="preserve">Classroom Organization domain, </w:t>
      </w:r>
      <w:r>
        <w:t>G</w:t>
      </w:r>
      <w:r w:rsidRPr="00BC09E0">
        <w:t xml:space="preserve">rades </w:t>
      </w:r>
      <w:r>
        <w:t>PK</w:t>
      </w:r>
      <w:r w:rsidRPr="00BC09E0">
        <w:t>−</w:t>
      </w:r>
      <w:r>
        <w:t>12</w:t>
      </w:r>
    </w:p>
    <w:p w14:paraId="7A0A1382" w14:textId="27849654" w:rsidR="00B678B5" w:rsidRPr="00BC09E0" w:rsidRDefault="00B678B5" w:rsidP="00400B6F">
      <w:pPr>
        <w:pStyle w:val="BodyTextposthead"/>
      </w:pPr>
      <w:r w:rsidRPr="00BC09E0">
        <w:t>Productivity considers how well the teacher manages instructional time and routines and provides activities for students so that they have the opportunity to be involved in learning activities (</w:t>
      </w:r>
      <w:r w:rsidRPr="00BC09E0">
        <w:rPr>
          <w:i/>
        </w:rPr>
        <w:t xml:space="preserve">CLASS </w:t>
      </w:r>
      <w:r>
        <w:rPr>
          <w:i/>
        </w:rPr>
        <w:t>PK–</w:t>
      </w:r>
      <w:r w:rsidRPr="00BC09E0">
        <w:rPr>
          <w:i/>
        </w:rPr>
        <w:t>3 Manual,</w:t>
      </w:r>
      <w:r w:rsidRPr="00BC09E0">
        <w:t xml:space="preserve"> p. 51, </w:t>
      </w:r>
      <w:r w:rsidRPr="00BC09E0">
        <w:rPr>
          <w:i/>
        </w:rPr>
        <w:t xml:space="preserve">CLASS Upper Elementary Manual, </w:t>
      </w:r>
      <w:r w:rsidRPr="00BC09E0">
        <w:t>p. 49</w:t>
      </w:r>
      <w:r>
        <w:t xml:space="preserve">, </w:t>
      </w:r>
      <w:r w:rsidRPr="0085328B">
        <w:rPr>
          <w:i/>
        </w:rPr>
        <w:t>CLASS Secondary Manual</w:t>
      </w:r>
      <w:r w:rsidRPr="00E000DA">
        <w:t>, p. 49</w:t>
      </w:r>
      <w:r w:rsidRPr="00BC09E0">
        <w:t>).</w:t>
      </w:r>
    </w:p>
    <w:p w14:paraId="6F9B4880" w14:textId="77777777" w:rsidR="00B678B5" w:rsidRPr="00BC09E0" w:rsidRDefault="00B678B5">
      <w:pPr>
        <w:pStyle w:val="TableTitle0"/>
      </w:pPr>
      <w:r w:rsidRPr="00BC09E0">
        <w:t xml:space="preserve">Table 8. Productivity: Number of Classrooms for Each Rating </w:t>
      </w:r>
      <w:r w:rsidRPr="00A96DD7">
        <w:t>and District Average</w:t>
      </w:r>
    </w:p>
    <w:p w14:paraId="33395475" w14:textId="77777777" w:rsidR="00B678B5" w:rsidRDefault="00B678B5">
      <w:pPr>
        <w:pStyle w:val="BodyTextDemi"/>
      </w:pPr>
      <w:r w:rsidRPr="00A96DD7">
        <w:t xml:space="preserve">Productivity District Average*: </w:t>
      </w:r>
      <w:bookmarkStart w:id="131" w:name="Dist_PD_Avg"/>
      <w:r>
        <w:t>6.2</w:t>
      </w:r>
      <w:bookmarkEnd w:id="131"/>
    </w:p>
    <w:tbl>
      <w:tblPr>
        <w:tblStyle w:val="MSVTable1"/>
        <w:tblW w:w="5000" w:type="pct"/>
        <w:tblLook w:val="04A0" w:firstRow="1" w:lastRow="0" w:firstColumn="1" w:lastColumn="0" w:noHBand="0" w:noVBand="1"/>
        <w:tblCaption w:val="Table 8. Productivity: Number of Classrooms for Each Rating and District Average"/>
        <w:tblDescription w:val="Productivity: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592CC8DA" w14:textId="77777777" w:rsidTr="000279E3">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3969CD05" w14:textId="77777777" w:rsidR="00B678B5" w:rsidRPr="00E359BF" w:rsidRDefault="00B678B5" w:rsidP="000279E3">
            <w:pPr>
              <w:pStyle w:val="TableColHeadingCenter"/>
              <w:rPr>
                <w:rFonts w:eastAsia="MS Mincho"/>
              </w:rPr>
            </w:pPr>
            <w:bookmarkStart w:id="132" w:name="Tbl_PD"/>
            <w:r>
              <w:rPr>
                <w:rFonts w:eastAsia="MS Mincho"/>
              </w:rPr>
              <w:t>Grade Band</w:t>
            </w:r>
          </w:p>
        </w:tc>
        <w:tc>
          <w:tcPr>
            <w:tcW w:w="874" w:type="dxa"/>
            <w:vAlign w:val="center"/>
          </w:tcPr>
          <w:p w14:paraId="2AEAFB5B" w14:textId="77777777" w:rsidR="00B678B5" w:rsidRPr="00E359BF" w:rsidRDefault="00B678B5" w:rsidP="000279E3">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13B990ED" w14:textId="77777777" w:rsidR="00B678B5" w:rsidRPr="00E359BF" w:rsidRDefault="00B678B5" w:rsidP="000279E3">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50F996C8"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121A69D3"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1A5A7E19"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1CA452A3" w14:textId="77777777" w:rsidR="00B678B5" w:rsidRPr="00E359BF" w:rsidRDefault="00B678B5" w:rsidP="000279E3">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6702EA9D" w14:textId="77777777" w:rsidR="00B678B5" w:rsidRPr="00E359BF" w:rsidRDefault="00B678B5" w:rsidP="000279E3">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75EF7A19" w14:textId="77777777" w:rsidR="00B678B5" w:rsidRPr="00E359BF" w:rsidRDefault="00B678B5" w:rsidP="000279E3">
            <w:pPr>
              <w:pStyle w:val="TableColHeadingCenter"/>
              <w:rPr>
                <w:rFonts w:eastAsia="MS Mincho"/>
              </w:rPr>
            </w:pPr>
            <w:r>
              <w:rPr>
                <w:rFonts w:eastAsia="MS Mincho"/>
              </w:rPr>
              <w:t>n</w:t>
            </w:r>
          </w:p>
        </w:tc>
        <w:tc>
          <w:tcPr>
            <w:tcW w:w="892" w:type="dxa"/>
            <w:vAlign w:val="center"/>
          </w:tcPr>
          <w:p w14:paraId="7F2C14F4" w14:textId="77777777" w:rsidR="00B678B5" w:rsidRPr="00E359BF" w:rsidRDefault="00B678B5" w:rsidP="000279E3">
            <w:pPr>
              <w:pStyle w:val="TableColHeadingCenter"/>
              <w:rPr>
                <w:rFonts w:eastAsia="MS Mincho"/>
              </w:rPr>
            </w:pPr>
            <w:r>
              <w:rPr>
                <w:rFonts w:eastAsia="MS Mincho"/>
              </w:rPr>
              <w:t>Average</w:t>
            </w:r>
          </w:p>
        </w:tc>
      </w:tr>
      <w:tr w:rsidR="00B678B5" w:rsidRPr="00E359BF" w14:paraId="145CA4D1"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262248E9" w14:textId="77777777" w:rsidR="00B678B5" w:rsidRPr="00E359BF" w:rsidRDefault="00B678B5">
            <w:pPr>
              <w:pStyle w:val="TableText"/>
            </w:pPr>
            <w:r>
              <w:t>Grades PK-5</w:t>
            </w:r>
          </w:p>
        </w:tc>
        <w:tc>
          <w:tcPr>
            <w:tcW w:w="874" w:type="dxa"/>
          </w:tcPr>
          <w:p w14:paraId="0C53D3D6" w14:textId="77777777" w:rsidR="00B678B5" w:rsidRPr="00E359BF" w:rsidRDefault="00B678B5">
            <w:pPr>
              <w:pStyle w:val="TableTextCentered"/>
              <w:rPr>
                <w:rFonts w:eastAsia="Times New Roman"/>
              </w:rPr>
            </w:pPr>
            <w:r>
              <w:rPr>
                <w:rFonts w:eastAsia="Times New Roman"/>
              </w:rPr>
              <w:t>0</w:t>
            </w:r>
          </w:p>
        </w:tc>
        <w:tc>
          <w:tcPr>
            <w:tcW w:w="874" w:type="dxa"/>
          </w:tcPr>
          <w:p w14:paraId="06F26D45" w14:textId="77777777" w:rsidR="00B678B5" w:rsidRPr="00E359BF" w:rsidRDefault="00B678B5">
            <w:pPr>
              <w:pStyle w:val="TableTextCentered"/>
              <w:rPr>
                <w:rFonts w:eastAsia="Times New Roman"/>
              </w:rPr>
            </w:pPr>
            <w:r>
              <w:rPr>
                <w:rFonts w:eastAsia="Times New Roman"/>
              </w:rPr>
              <w:t>1</w:t>
            </w:r>
          </w:p>
        </w:tc>
        <w:tc>
          <w:tcPr>
            <w:tcW w:w="874" w:type="dxa"/>
          </w:tcPr>
          <w:p w14:paraId="1D56B035" w14:textId="77777777" w:rsidR="00B678B5" w:rsidRPr="00E359BF" w:rsidRDefault="00B678B5">
            <w:pPr>
              <w:pStyle w:val="TableTextCentered"/>
              <w:rPr>
                <w:rFonts w:eastAsia="Times New Roman"/>
              </w:rPr>
            </w:pPr>
            <w:r>
              <w:rPr>
                <w:rFonts w:eastAsia="Times New Roman"/>
              </w:rPr>
              <w:t>1</w:t>
            </w:r>
          </w:p>
        </w:tc>
        <w:tc>
          <w:tcPr>
            <w:tcW w:w="875" w:type="dxa"/>
          </w:tcPr>
          <w:p w14:paraId="21B2A750" w14:textId="77777777" w:rsidR="00B678B5" w:rsidRPr="00E359BF" w:rsidRDefault="00B678B5">
            <w:pPr>
              <w:pStyle w:val="TableTextCentered"/>
              <w:rPr>
                <w:rFonts w:eastAsia="Times New Roman"/>
              </w:rPr>
            </w:pPr>
            <w:r>
              <w:rPr>
                <w:rFonts w:eastAsia="Times New Roman"/>
              </w:rPr>
              <w:t>4</w:t>
            </w:r>
          </w:p>
        </w:tc>
        <w:tc>
          <w:tcPr>
            <w:tcW w:w="875" w:type="dxa"/>
          </w:tcPr>
          <w:p w14:paraId="5DC97B88" w14:textId="77777777" w:rsidR="00B678B5" w:rsidRPr="00E359BF" w:rsidRDefault="00B678B5">
            <w:pPr>
              <w:pStyle w:val="TableTextCentered"/>
              <w:rPr>
                <w:rFonts w:eastAsia="Times New Roman"/>
              </w:rPr>
            </w:pPr>
            <w:r>
              <w:rPr>
                <w:rFonts w:eastAsia="Times New Roman"/>
              </w:rPr>
              <w:t>7</w:t>
            </w:r>
          </w:p>
        </w:tc>
        <w:tc>
          <w:tcPr>
            <w:tcW w:w="874" w:type="dxa"/>
          </w:tcPr>
          <w:p w14:paraId="1594F796" w14:textId="77777777" w:rsidR="00B678B5" w:rsidRPr="00E359BF" w:rsidRDefault="00B678B5">
            <w:pPr>
              <w:pStyle w:val="TableTextCentered"/>
              <w:rPr>
                <w:rFonts w:eastAsia="Times New Roman"/>
              </w:rPr>
            </w:pPr>
            <w:r>
              <w:rPr>
                <w:rFonts w:eastAsia="Times New Roman"/>
              </w:rPr>
              <w:t>9</w:t>
            </w:r>
          </w:p>
        </w:tc>
        <w:tc>
          <w:tcPr>
            <w:tcW w:w="875" w:type="dxa"/>
          </w:tcPr>
          <w:p w14:paraId="0EEAED8B" w14:textId="77777777" w:rsidR="00B678B5" w:rsidRPr="00E359BF" w:rsidRDefault="00B678B5">
            <w:pPr>
              <w:pStyle w:val="TableTextCentered"/>
              <w:rPr>
                <w:rFonts w:eastAsia="Times New Roman"/>
              </w:rPr>
            </w:pPr>
            <w:r>
              <w:rPr>
                <w:rFonts w:eastAsia="Times New Roman"/>
              </w:rPr>
              <w:t>58</w:t>
            </w:r>
          </w:p>
        </w:tc>
        <w:tc>
          <w:tcPr>
            <w:tcW w:w="900" w:type="dxa"/>
          </w:tcPr>
          <w:p w14:paraId="65A79BE0" w14:textId="77777777" w:rsidR="00B678B5" w:rsidRPr="00E359BF" w:rsidRDefault="00B678B5">
            <w:pPr>
              <w:pStyle w:val="TableTextCentered"/>
              <w:rPr>
                <w:rFonts w:eastAsia="Times New Roman"/>
              </w:rPr>
            </w:pPr>
            <w:r>
              <w:rPr>
                <w:rFonts w:eastAsia="Times New Roman"/>
              </w:rPr>
              <w:t>80</w:t>
            </w:r>
          </w:p>
        </w:tc>
        <w:tc>
          <w:tcPr>
            <w:tcW w:w="892" w:type="dxa"/>
          </w:tcPr>
          <w:p w14:paraId="6A13CAEC" w14:textId="77777777" w:rsidR="00B678B5" w:rsidRPr="00E359BF" w:rsidRDefault="00B678B5">
            <w:pPr>
              <w:pStyle w:val="TableTextCentered"/>
              <w:rPr>
                <w:rFonts w:eastAsia="Times New Roman"/>
              </w:rPr>
            </w:pPr>
            <w:r>
              <w:rPr>
                <w:rFonts w:eastAsia="Times New Roman"/>
              </w:rPr>
              <w:t>6.5</w:t>
            </w:r>
          </w:p>
        </w:tc>
      </w:tr>
      <w:tr w:rsidR="00B678B5" w:rsidRPr="00E359BF" w14:paraId="4913F48B" w14:textId="77777777" w:rsidTr="00400B6F">
        <w:tc>
          <w:tcPr>
            <w:tcW w:w="1431" w:type="dxa"/>
          </w:tcPr>
          <w:p w14:paraId="412B9AAD" w14:textId="77777777" w:rsidR="00B678B5" w:rsidRPr="00E359BF" w:rsidRDefault="00B678B5">
            <w:pPr>
              <w:pStyle w:val="TableText"/>
            </w:pPr>
            <w:r>
              <w:t>Grades 6-8</w:t>
            </w:r>
          </w:p>
        </w:tc>
        <w:tc>
          <w:tcPr>
            <w:tcW w:w="874" w:type="dxa"/>
          </w:tcPr>
          <w:p w14:paraId="40D9B3E4" w14:textId="77777777" w:rsidR="00B678B5" w:rsidRPr="00E359BF" w:rsidRDefault="00B678B5">
            <w:pPr>
              <w:pStyle w:val="TableTextCentered"/>
              <w:rPr>
                <w:rFonts w:eastAsia="Times New Roman"/>
              </w:rPr>
            </w:pPr>
            <w:r>
              <w:rPr>
                <w:rFonts w:eastAsia="Times New Roman"/>
              </w:rPr>
              <w:t>0</w:t>
            </w:r>
          </w:p>
        </w:tc>
        <w:tc>
          <w:tcPr>
            <w:tcW w:w="874" w:type="dxa"/>
          </w:tcPr>
          <w:p w14:paraId="7AD711E2" w14:textId="77777777" w:rsidR="00B678B5" w:rsidRPr="00E359BF" w:rsidRDefault="00B678B5">
            <w:pPr>
              <w:pStyle w:val="TableTextCentered"/>
              <w:rPr>
                <w:rFonts w:eastAsia="Times New Roman"/>
              </w:rPr>
            </w:pPr>
            <w:r>
              <w:rPr>
                <w:rFonts w:eastAsia="Times New Roman"/>
              </w:rPr>
              <w:t>0</w:t>
            </w:r>
          </w:p>
        </w:tc>
        <w:tc>
          <w:tcPr>
            <w:tcW w:w="874" w:type="dxa"/>
          </w:tcPr>
          <w:p w14:paraId="27D60610" w14:textId="77777777" w:rsidR="00B678B5" w:rsidRPr="00E359BF" w:rsidRDefault="00B678B5">
            <w:pPr>
              <w:pStyle w:val="TableTextCentered"/>
              <w:rPr>
                <w:rFonts w:eastAsia="Times New Roman"/>
              </w:rPr>
            </w:pPr>
            <w:r>
              <w:rPr>
                <w:rFonts w:eastAsia="Times New Roman"/>
              </w:rPr>
              <w:t>0</w:t>
            </w:r>
          </w:p>
        </w:tc>
        <w:tc>
          <w:tcPr>
            <w:tcW w:w="875" w:type="dxa"/>
          </w:tcPr>
          <w:p w14:paraId="58B34A22" w14:textId="77777777" w:rsidR="00B678B5" w:rsidRPr="00E359BF" w:rsidRDefault="00B678B5">
            <w:pPr>
              <w:pStyle w:val="TableTextCentered"/>
              <w:rPr>
                <w:rFonts w:eastAsia="Times New Roman"/>
              </w:rPr>
            </w:pPr>
            <w:r>
              <w:rPr>
                <w:rFonts w:eastAsia="Times New Roman"/>
              </w:rPr>
              <w:t>2</w:t>
            </w:r>
          </w:p>
        </w:tc>
        <w:tc>
          <w:tcPr>
            <w:tcW w:w="875" w:type="dxa"/>
          </w:tcPr>
          <w:p w14:paraId="712FEEA3" w14:textId="77777777" w:rsidR="00B678B5" w:rsidRPr="00E359BF" w:rsidRDefault="00B678B5">
            <w:pPr>
              <w:pStyle w:val="TableTextCentered"/>
              <w:rPr>
                <w:rFonts w:eastAsia="Times New Roman"/>
              </w:rPr>
            </w:pPr>
            <w:r>
              <w:rPr>
                <w:rFonts w:eastAsia="Times New Roman"/>
              </w:rPr>
              <w:t>7</w:t>
            </w:r>
          </w:p>
        </w:tc>
        <w:tc>
          <w:tcPr>
            <w:tcW w:w="874" w:type="dxa"/>
          </w:tcPr>
          <w:p w14:paraId="56E2DFD2" w14:textId="77777777" w:rsidR="00B678B5" w:rsidRPr="00E359BF" w:rsidRDefault="00B678B5">
            <w:pPr>
              <w:pStyle w:val="TableTextCentered"/>
              <w:rPr>
                <w:rFonts w:eastAsia="Times New Roman"/>
              </w:rPr>
            </w:pPr>
            <w:r>
              <w:rPr>
                <w:rFonts w:eastAsia="Times New Roman"/>
              </w:rPr>
              <w:t>15</w:t>
            </w:r>
          </w:p>
        </w:tc>
        <w:tc>
          <w:tcPr>
            <w:tcW w:w="875" w:type="dxa"/>
          </w:tcPr>
          <w:p w14:paraId="58B157D3" w14:textId="77777777" w:rsidR="00B678B5" w:rsidRPr="00E359BF" w:rsidRDefault="00B678B5">
            <w:pPr>
              <w:pStyle w:val="TableTextCentered"/>
              <w:rPr>
                <w:rFonts w:eastAsia="Times New Roman"/>
              </w:rPr>
            </w:pPr>
            <w:r>
              <w:rPr>
                <w:rFonts w:eastAsia="Times New Roman"/>
              </w:rPr>
              <w:t>16</w:t>
            </w:r>
          </w:p>
        </w:tc>
        <w:tc>
          <w:tcPr>
            <w:tcW w:w="900" w:type="dxa"/>
          </w:tcPr>
          <w:p w14:paraId="26832002" w14:textId="77777777" w:rsidR="00B678B5" w:rsidRPr="00E359BF" w:rsidRDefault="00B678B5">
            <w:pPr>
              <w:pStyle w:val="TableTextCentered"/>
              <w:rPr>
                <w:rFonts w:eastAsia="Times New Roman"/>
              </w:rPr>
            </w:pPr>
            <w:r>
              <w:rPr>
                <w:rFonts w:eastAsia="Times New Roman"/>
              </w:rPr>
              <w:t>40</w:t>
            </w:r>
          </w:p>
        </w:tc>
        <w:tc>
          <w:tcPr>
            <w:tcW w:w="892" w:type="dxa"/>
          </w:tcPr>
          <w:p w14:paraId="0F6FA4DA" w14:textId="77777777" w:rsidR="00B678B5" w:rsidRPr="00E359BF" w:rsidRDefault="00B678B5">
            <w:pPr>
              <w:pStyle w:val="TableTextCentered"/>
              <w:rPr>
                <w:rFonts w:eastAsia="Times New Roman"/>
              </w:rPr>
            </w:pPr>
            <w:r>
              <w:rPr>
                <w:rFonts w:eastAsia="Times New Roman"/>
              </w:rPr>
              <w:t>6.1</w:t>
            </w:r>
          </w:p>
        </w:tc>
      </w:tr>
      <w:tr w:rsidR="00B678B5" w:rsidRPr="00E359BF" w14:paraId="20701B4B"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1D995EED" w14:textId="77777777" w:rsidR="00B678B5" w:rsidRPr="00E359BF" w:rsidRDefault="00B678B5">
            <w:pPr>
              <w:pStyle w:val="TableText"/>
            </w:pPr>
            <w:r>
              <w:t>Grades 9-12</w:t>
            </w:r>
          </w:p>
        </w:tc>
        <w:tc>
          <w:tcPr>
            <w:tcW w:w="874" w:type="dxa"/>
          </w:tcPr>
          <w:p w14:paraId="1FDB6931" w14:textId="77777777" w:rsidR="00B678B5" w:rsidRPr="00E359BF" w:rsidRDefault="00B678B5">
            <w:pPr>
              <w:pStyle w:val="TableTextCentered"/>
              <w:rPr>
                <w:rFonts w:eastAsia="Times New Roman"/>
              </w:rPr>
            </w:pPr>
            <w:r>
              <w:rPr>
                <w:rFonts w:eastAsia="Times New Roman"/>
              </w:rPr>
              <w:t>0</w:t>
            </w:r>
          </w:p>
        </w:tc>
        <w:tc>
          <w:tcPr>
            <w:tcW w:w="874" w:type="dxa"/>
          </w:tcPr>
          <w:p w14:paraId="3F5F2E07" w14:textId="77777777" w:rsidR="00B678B5" w:rsidRPr="00E359BF" w:rsidRDefault="00B678B5">
            <w:pPr>
              <w:pStyle w:val="TableTextCentered"/>
              <w:rPr>
                <w:rFonts w:eastAsia="Times New Roman"/>
              </w:rPr>
            </w:pPr>
            <w:r>
              <w:rPr>
                <w:rFonts w:eastAsia="Times New Roman"/>
              </w:rPr>
              <w:t>1</w:t>
            </w:r>
          </w:p>
        </w:tc>
        <w:tc>
          <w:tcPr>
            <w:tcW w:w="874" w:type="dxa"/>
          </w:tcPr>
          <w:p w14:paraId="4175A958" w14:textId="77777777" w:rsidR="00B678B5" w:rsidRPr="00E359BF" w:rsidRDefault="00B678B5">
            <w:pPr>
              <w:pStyle w:val="TableTextCentered"/>
              <w:rPr>
                <w:rFonts w:eastAsia="Times New Roman"/>
              </w:rPr>
            </w:pPr>
            <w:r>
              <w:rPr>
                <w:rFonts w:eastAsia="Times New Roman"/>
              </w:rPr>
              <w:t>2</w:t>
            </w:r>
          </w:p>
        </w:tc>
        <w:tc>
          <w:tcPr>
            <w:tcW w:w="875" w:type="dxa"/>
          </w:tcPr>
          <w:p w14:paraId="59EE76E6" w14:textId="77777777" w:rsidR="00B678B5" w:rsidRPr="00E359BF" w:rsidRDefault="00B678B5">
            <w:pPr>
              <w:pStyle w:val="TableTextCentered"/>
              <w:rPr>
                <w:rFonts w:eastAsia="Times New Roman"/>
              </w:rPr>
            </w:pPr>
            <w:r>
              <w:rPr>
                <w:rFonts w:eastAsia="Times New Roman"/>
              </w:rPr>
              <w:t>3</w:t>
            </w:r>
          </w:p>
        </w:tc>
        <w:tc>
          <w:tcPr>
            <w:tcW w:w="875" w:type="dxa"/>
          </w:tcPr>
          <w:p w14:paraId="2C543EE8" w14:textId="77777777" w:rsidR="00B678B5" w:rsidRPr="00E359BF" w:rsidRDefault="00B678B5">
            <w:pPr>
              <w:pStyle w:val="TableTextCentered"/>
              <w:rPr>
                <w:rFonts w:eastAsia="Times New Roman"/>
              </w:rPr>
            </w:pPr>
            <w:r>
              <w:rPr>
                <w:rFonts w:eastAsia="Times New Roman"/>
              </w:rPr>
              <w:t>8</w:t>
            </w:r>
          </w:p>
        </w:tc>
        <w:tc>
          <w:tcPr>
            <w:tcW w:w="874" w:type="dxa"/>
          </w:tcPr>
          <w:p w14:paraId="36FE0C98" w14:textId="77777777" w:rsidR="00B678B5" w:rsidRPr="00E359BF" w:rsidRDefault="00B678B5">
            <w:pPr>
              <w:pStyle w:val="TableTextCentered"/>
              <w:rPr>
                <w:rFonts w:eastAsia="Times New Roman"/>
              </w:rPr>
            </w:pPr>
            <w:r>
              <w:rPr>
                <w:rFonts w:eastAsia="Times New Roman"/>
              </w:rPr>
              <w:t>19</w:t>
            </w:r>
          </w:p>
        </w:tc>
        <w:tc>
          <w:tcPr>
            <w:tcW w:w="875" w:type="dxa"/>
          </w:tcPr>
          <w:p w14:paraId="4B35F38B" w14:textId="77777777" w:rsidR="00B678B5" w:rsidRPr="00E359BF" w:rsidRDefault="00B678B5">
            <w:pPr>
              <w:pStyle w:val="TableTextCentered"/>
              <w:rPr>
                <w:rFonts w:eastAsia="Times New Roman"/>
              </w:rPr>
            </w:pPr>
            <w:r>
              <w:rPr>
                <w:rFonts w:eastAsia="Times New Roman"/>
              </w:rPr>
              <w:t>20</w:t>
            </w:r>
          </w:p>
        </w:tc>
        <w:tc>
          <w:tcPr>
            <w:tcW w:w="900" w:type="dxa"/>
          </w:tcPr>
          <w:p w14:paraId="6FCCEA8B" w14:textId="77777777" w:rsidR="00B678B5" w:rsidRPr="00E359BF" w:rsidRDefault="00B678B5">
            <w:pPr>
              <w:pStyle w:val="TableTextCentered"/>
              <w:rPr>
                <w:rFonts w:eastAsia="Times New Roman"/>
              </w:rPr>
            </w:pPr>
            <w:r>
              <w:rPr>
                <w:rFonts w:eastAsia="Times New Roman"/>
              </w:rPr>
              <w:t>53</w:t>
            </w:r>
          </w:p>
        </w:tc>
        <w:tc>
          <w:tcPr>
            <w:tcW w:w="892" w:type="dxa"/>
          </w:tcPr>
          <w:p w14:paraId="234EC88A" w14:textId="77777777" w:rsidR="00B678B5" w:rsidRPr="00E359BF" w:rsidRDefault="00B678B5">
            <w:pPr>
              <w:pStyle w:val="TableTextCentered"/>
              <w:rPr>
                <w:rFonts w:eastAsia="Times New Roman"/>
              </w:rPr>
            </w:pPr>
            <w:r>
              <w:rPr>
                <w:rFonts w:eastAsia="Times New Roman"/>
              </w:rPr>
              <w:t>5.9</w:t>
            </w:r>
          </w:p>
        </w:tc>
      </w:tr>
      <w:tr w:rsidR="00B678B5" w:rsidRPr="00E359BF" w14:paraId="034F87AA" w14:textId="77777777" w:rsidTr="00400B6F">
        <w:tc>
          <w:tcPr>
            <w:tcW w:w="1431" w:type="dxa"/>
          </w:tcPr>
          <w:p w14:paraId="07D3D8D4"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6531E28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4" w:type="dxa"/>
          </w:tcPr>
          <w:p w14:paraId="45CD3B80"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w:t>
            </w:r>
          </w:p>
        </w:tc>
        <w:tc>
          <w:tcPr>
            <w:tcW w:w="874" w:type="dxa"/>
          </w:tcPr>
          <w:p w14:paraId="6D707623"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w:t>
            </w:r>
          </w:p>
        </w:tc>
        <w:tc>
          <w:tcPr>
            <w:tcW w:w="875" w:type="dxa"/>
          </w:tcPr>
          <w:p w14:paraId="0E71185A"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9</w:t>
            </w:r>
          </w:p>
        </w:tc>
        <w:tc>
          <w:tcPr>
            <w:tcW w:w="875" w:type="dxa"/>
          </w:tcPr>
          <w:p w14:paraId="23BFDD15"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22</w:t>
            </w:r>
          </w:p>
        </w:tc>
        <w:tc>
          <w:tcPr>
            <w:tcW w:w="874" w:type="dxa"/>
          </w:tcPr>
          <w:p w14:paraId="129144C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43</w:t>
            </w:r>
          </w:p>
        </w:tc>
        <w:tc>
          <w:tcPr>
            <w:tcW w:w="875" w:type="dxa"/>
          </w:tcPr>
          <w:p w14:paraId="6A091B9A"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94</w:t>
            </w:r>
          </w:p>
        </w:tc>
        <w:tc>
          <w:tcPr>
            <w:tcW w:w="900" w:type="dxa"/>
          </w:tcPr>
          <w:p w14:paraId="7A74C672"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173</w:t>
            </w:r>
          </w:p>
        </w:tc>
        <w:tc>
          <w:tcPr>
            <w:tcW w:w="892" w:type="dxa"/>
          </w:tcPr>
          <w:p w14:paraId="6CEE0C02"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6.2</w:t>
            </w:r>
          </w:p>
        </w:tc>
      </w:tr>
    </w:tbl>
    <w:bookmarkEnd w:id="132"/>
    <w:p w14:paraId="1D143DA1" w14:textId="4ECCF29F" w:rsidR="00B678B5" w:rsidRPr="00F2299E" w:rsidRDefault="00B678B5" w:rsidP="00400B6F">
      <w:pPr>
        <w:pStyle w:val="TableNote"/>
      </w:pPr>
      <w:r w:rsidRPr="00A96DD7">
        <w:t xml:space="preserve">*The district average is an average of the observation scores. In Table 8, the district average is computed as: </w:t>
      </w:r>
      <w:bookmarkStart w:id="133" w:name="Dist_PD_Calc"/>
      <w:r>
        <w:t>([2 x 2] + [3 x 3] + [4 x 9] + [5 x 22] + [6 x 43] + [7 x 94]) ÷ 173 observations = 6.2</w:t>
      </w:r>
      <w:bookmarkEnd w:id="133"/>
    </w:p>
    <w:p w14:paraId="2C8D1E29" w14:textId="77777777" w:rsidR="00B678B5" w:rsidRPr="00BC09E0" w:rsidRDefault="00B678B5" w:rsidP="00400B6F">
      <w:pPr>
        <w:pStyle w:val="BodyText"/>
      </w:pPr>
      <w:r w:rsidRPr="00524A30">
        <w:rPr>
          <w:rStyle w:val="BodyTextDemiChar"/>
        </w:rPr>
        <w:t xml:space="preserve">Ratings in the Low Range. </w:t>
      </w:r>
      <w:r w:rsidRPr="00BC09E0">
        <w:t>At the low level, the teacher provides few activities for students. Much time is spent on managerial tasks (such as distributing papers) and/or on behavior management. Frequently during the observation, students have little to do and spend time waiting. The routines of the classroom are not clear and, as a result, students waste time, are not engaged, and are confused. Transitions take a long time and/or are too frequent. The teacher does not have activities organized and ready and seems to be caught up in last-minute preparations.</w:t>
      </w:r>
    </w:p>
    <w:p w14:paraId="3CCADF1D" w14:textId="77777777" w:rsidR="00B678B5" w:rsidRPr="00BC09E0" w:rsidRDefault="00B678B5" w:rsidP="00400B6F">
      <w:pPr>
        <w:pStyle w:val="BodyTextposthead"/>
      </w:pPr>
      <w:r w:rsidRPr="00524A30">
        <w:rPr>
          <w:rStyle w:val="BodyTextDemiChar"/>
        </w:rPr>
        <w:t xml:space="preserve">Ratings in the Middle Range. </w:t>
      </w:r>
      <w:r w:rsidRPr="00BC09E0">
        <w:t>At the middle range, the teacher does provide activities for students but loses learning time to disruptions or management tasks. There are certain times when the teacher provides clear activities to students, but there are other times when students wait and lose focus. Some students (or all students, at some point) do not know what is expected of them. Some of the transitions may take too long, or classrooms may be productive during certain periods but then not productive during transitions. Although the teacher is mostly prepared for the class, last-minute preparations may still infringe on learning time.</w:t>
      </w:r>
    </w:p>
    <w:p w14:paraId="61A3EAAF" w14:textId="1F16F54B" w:rsidR="00B678B5" w:rsidRDefault="00B678B5" w:rsidP="00400B6F">
      <w:pPr>
        <w:pStyle w:val="BodyTextposthead"/>
      </w:pPr>
      <w:r w:rsidRPr="00524A30">
        <w:rPr>
          <w:rStyle w:val="BodyTextDemiChar"/>
        </w:rPr>
        <w:t xml:space="preserve">Ratings in the High Range. </w:t>
      </w:r>
      <w:r w:rsidRPr="00BC09E0">
        <w:t>The classroom runs very smoothly. The teacher provides a steady flow of activities for students, so students do not have downtime and are not confused about what to do next. The routines of the classroom are efficient, and all students know how to move from one activity to another and where materials are. Students understand the teacher’s instructions and directions. Transitions are quick, and there are not too many of them. The teacher is fully prepared for the lesson.</w:t>
      </w:r>
      <w:r>
        <w:br w:type="page"/>
      </w:r>
    </w:p>
    <w:p w14:paraId="686F1410" w14:textId="77777777" w:rsidR="00B678B5" w:rsidRPr="00BC09E0" w:rsidRDefault="00B678B5" w:rsidP="00E35A27">
      <w:pPr>
        <w:pStyle w:val="DIOR"/>
      </w:pPr>
      <w:bookmarkStart w:id="134" w:name="_Toc411329832"/>
      <w:bookmarkStart w:id="135" w:name="_Toc430114881"/>
      <w:bookmarkStart w:id="136" w:name="_Toc231296591"/>
      <w:r w:rsidRPr="00BC09E0">
        <w:t xml:space="preserve">Instructional Learning </w:t>
      </w:r>
      <w:r w:rsidRPr="00400B6F">
        <w:t>Formats</w:t>
      </w:r>
      <w:bookmarkEnd w:id="134"/>
      <w:bookmarkEnd w:id="135"/>
      <w:bookmarkEnd w:id="136"/>
    </w:p>
    <w:p w14:paraId="08619783" w14:textId="187CB350" w:rsidR="00B678B5" w:rsidRDefault="00B678B5">
      <w:pPr>
        <w:pStyle w:val="BodyTextDomain"/>
        <w:spacing w:after="0"/>
      </w:pPr>
      <w:r w:rsidRPr="00BC09E0">
        <w:t xml:space="preserve">Classroom Organization domain, </w:t>
      </w:r>
      <w:r>
        <w:t>G</w:t>
      </w:r>
      <w:r w:rsidRPr="00BC09E0">
        <w:t xml:space="preserve">rades </w:t>
      </w:r>
      <w:r>
        <w:t>PK</w:t>
      </w:r>
      <w:r w:rsidRPr="00BC09E0">
        <w:rPr>
          <w:rFonts w:ascii="Vijaya" w:hAnsi="Vijaya" w:cs="Vijaya"/>
        </w:rPr>
        <w:t>−</w:t>
      </w:r>
      <w:r w:rsidRPr="00BC09E0">
        <w:t>3</w:t>
      </w:r>
    </w:p>
    <w:p w14:paraId="22FE2D12" w14:textId="77777777" w:rsidR="00B678B5" w:rsidRPr="00BC09E0" w:rsidRDefault="00B678B5">
      <w:pPr>
        <w:pStyle w:val="BodyTextDomain"/>
        <w:spacing w:after="0"/>
      </w:pPr>
      <w:r w:rsidRPr="00BC09E0">
        <w:t xml:space="preserve">Instructional Support domain, </w:t>
      </w:r>
      <w:r>
        <w:t>G</w:t>
      </w:r>
      <w:r w:rsidRPr="00BC09E0">
        <w:t>rades 4</w:t>
      </w:r>
      <w:r w:rsidRPr="00BC09E0">
        <w:rPr>
          <w:rFonts w:ascii="Vijaya" w:hAnsi="Vijaya" w:cs="Vijaya"/>
        </w:rPr>
        <w:t>−</w:t>
      </w:r>
      <w:r>
        <w:t>12</w:t>
      </w:r>
    </w:p>
    <w:p w14:paraId="0C13D306" w14:textId="7F311196" w:rsidR="00B678B5" w:rsidRPr="00BC09E0" w:rsidRDefault="00B678B5" w:rsidP="00400B6F">
      <w:pPr>
        <w:pStyle w:val="BodyTextposthead"/>
      </w:pPr>
      <w:r w:rsidRPr="00BC09E0">
        <w:t>Instructional Learning Formats refer to the ways in which the teacher maximizes students’ interest, engagement, and abilities to learn from the lesson and activities (</w:t>
      </w:r>
      <w:r w:rsidRPr="00BC09E0">
        <w:rPr>
          <w:i/>
        </w:rPr>
        <w:t xml:space="preserve">CLASS </w:t>
      </w:r>
      <w:r>
        <w:rPr>
          <w:i/>
        </w:rPr>
        <w:t>PK–</w:t>
      </w:r>
      <w:r w:rsidRPr="00BC09E0">
        <w:rPr>
          <w:i/>
        </w:rPr>
        <w:t>3 Manual</w:t>
      </w:r>
      <w:r w:rsidRPr="00BC09E0">
        <w:t xml:space="preserve">, p. 57; </w:t>
      </w:r>
      <w:r w:rsidRPr="00BC09E0">
        <w:rPr>
          <w:i/>
        </w:rPr>
        <w:t>CLASS Upper Elementary Manual</w:t>
      </w:r>
      <w:r w:rsidRPr="00BC09E0">
        <w:t>, p. 63</w:t>
      </w:r>
      <w:r>
        <w:t xml:space="preserve">, </w:t>
      </w:r>
      <w:r w:rsidRPr="0085328B">
        <w:rPr>
          <w:i/>
        </w:rPr>
        <w:t>CLASS Secondary Manual,</w:t>
      </w:r>
      <w:r>
        <w:t xml:space="preserve"> p. 61</w:t>
      </w:r>
      <w:r w:rsidRPr="00BC09E0">
        <w:t>).</w:t>
      </w:r>
    </w:p>
    <w:p w14:paraId="6F934B98" w14:textId="77777777" w:rsidR="00B678B5" w:rsidRPr="00BC09E0" w:rsidRDefault="00B678B5" w:rsidP="00B22A35">
      <w:pPr>
        <w:pStyle w:val="TableTitle0"/>
        <w:spacing w:before="120" w:after="0"/>
      </w:pPr>
      <w:r w:rsidRPr="00BC09E0">
        <w:t xml:space="preserve">Table 9. Instructional Learning Formats: Number of Classrooms for Each Rating </w:t>
      </w:r>
      <w:r w:rsidRPr="00A96DD7">
        <w:t>and District Average</w:t>
      </w:r>
    </w:p>
    <w:p w14:paraId="00C7EBD3" w14:textId="77777777" w:rsidR="00B678B5" w:rsidRDefault="00B678B5" w:rsidP="00B22A35">
      <w:pPr>
        <w:pStyle w:val="BodyTextDemi"/>
        <w:spacing w:before="0" w:after="0"/>
      </w:pPr>
      <w:r w:rsidRPr="00A96DD7">
        <w:t xml:space="preserve">Instructional Learning Formats District Average*: </w:t>
      </w:r>
      <w:bookmarkStart w:id="137" w:name="Dist_ILF_Avg"/>
      <w:r>
        <w:t>5.1</w:t>
      </w:r>
      <w:bookmarkEnd w:id="137"/>
    </w:p>
    <w:tbl>
      <w:tblPr>
        <w:tblStyle w:val="MSVTable1"/>
        <w:tblW w:w="5000" w:type="pct"/>
        <w:tblLook w:val="04A0" w:firstRow="1" w:lastRow="0" w:firstColumn="1" w:lastColumn="0" w:noHBand="0" w:noVBand="1"/>
        <w:tblCaption w:val="Table 9. Instructional Learning Formats: Number of Classrooms for Each Rating and District Average"/>
        <w:tblDescription w:val="Instructional Learning Formats: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1118C297" w14:textId="77777777" w:rsidTr="000279E3">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10AEBCD2" w14:textId="77777777" w:rsidR="00B678B5" w:rsidRPr="00E359BF" w:rsidRDefault="00B678B5" w:rsidP="000279E3">
            <w:pPr>
              <w:pStyle w:val="TableColHeadingCenter"/>
              <w:rPr>
                <w:rFonts w:eastAsia="MS Mincho"/>
              </w:rPr>
            </w:pPr>
            <w:bookmarkStart w:id="138" w:name="Tbl_ILF"/>
            <w:r>
              <w:rPr>
                <w:rFonts w:eastAsia="MS Mincho"/>
              </w:rPr>
              <w:t>Grade Band</w:t>
            </w:r>
          </w:p>
        </w:tc>
        <w:tc>
          <w:tcPr>
            <w:tcW w:w="874" w:type="dxa"/>
            <w:vAlign w:val="center"/>
          </w:tcPr>
          <w:p w14:paraId="1A8E7C7D" w14:textId="77777777" w:rsidR="00B678B5" w:rsidRPr="00E359BF" w:rsidRDefault="00B678B5" w:rsidP="000279E3">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674A8F3A" w14:textId="77777777" w:rsidR="00B678B5" w:rsidRPr="00E359BF" w:rsidRDefault="00B678B5" w:rsidP="000279E3">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32659507"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7E12ED61"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37299926" w14:textId="77777777" w:rsidR="00B678B5" w:rsidRPr="00E359BF" w:rsidRDefault="00B678B5" w:rsidP="000279E3">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51E52AD5" w14:textId="77777777" w:rsidR="00B678B5" w:rsidRPr="00E359BF" w:rsidRDefault="00B678B5" w:rsidP="000279E3">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5FA91A06" w14:textId="77777777" w:rsidR="00B678B5" w:rsidRPr="00E359BF" w:rsidRDefault="00B678B5" w:rsidP="000279E3">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7558408D" w14:textId="77777777" w:rsidR="00B678B5" w:rsidRPr="00E359BF" w:rsidRDefault="00B678B5" w:rsidP="000279E3">
            <w:pPr>
              <w:pStyle w:val="TableColHeadingCenter"/>
              <w:rPr>
                <w:rFonts w:eastAsia="MS Mincho"/>
              </w:rPr>
            </w:pPr>
            <w:r>
              <w:rPr>
                <w:rFonts w:eastAsia="MS Mincho"/>
              </w:rPr>
              <w:t>n</w:t>
            </w:r>
          </w:p>
        </w:tc>
        <w:tc>
          <w:tcPr>
            <w:tcW w:w="892" w:type="dxa"/>
            <w:vAlign w:val="center"/>
          </w:tcPr>
          <w:p w14:paraId="55B16266" w14:textId="77777777" w:rsidR="00B678B5" w:rsidRPr="00E359BF" w:rsidRDefault="00B678B5" w:rsidP="000279E3">
            <w:pPr>
              <w:pStyle w:val="TableColHeadingCenter"/>
              <w:rPr>
                <w:rFonts w:eastAsia="MS Mincho"/>
              </w:rPr>
            </w:pPr>
            <w:r>
              <w:rPr>
                <w:rFonts w:eastAsia="MS Mincho"/>
              </w:rPr>
              <w:t>Average</w:t>
            </w:r>
          </w:p>
        </w:tc>
      </w:tr>
      <w:tr w:rsidR="00B678B5" w:rsidRPr="00E359BF" w14:paraId="01A5B93C"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7DEDE508" w14:textId="77777777" w:rsidR="00B678B5" w:rsidRPr="00E359BF" w:rsidRDefault="00B678B5">
            <w:pPr>
              <w:pStyle w:val="TableText"/>
            </w:pPr>
            <w:r>
              <w:t>Grades PK-5</w:t>
            </w:r>
          </w:p>
        </w:tc>
        <w:tc>
          <w:tcPr>
            <w:tcW w:w="874" w:type="dxa"/>
          </w:tcPr>
          <w:p w14:paraId="2A785D5E" w14:textId="77777777" w:rsidR="00B678B5" w:rsidRPr="00E359BF" w:rsidRDefault="00B678B5">
            <w:pPr>
              <w:pStyle w:val="TableTextCentered"/>
              <w:rPr>
                <w:rFonts w:eastAsia="Times New Roman"/>
              </w:rPr>
            </w:pPr>
            <w:r>
              <w:rPr>
                <w:rFonts w:eastAsia="Times New Roman"/>
              </w:rPr>
              <w:t>0</w:t>
            </w:r>
          </w:p>
        </w:tc>
        <w:tc>
          <w:tcPr>
            <w:tcW w:w="874" w:type="dxa"/>
          </w:tcPr>
          <w:p w14:paraId="66A2A38E" w14:textId="77777777" w:rsidR="00B678B5" w:rsidRPr="00E359BF" w:rsidRDefault="00B678B5">
            <w:pPr>
              <w:pStyle w:val="TableTextCentered"/>
              <w:rPr>
                <w:rFonts w:eastAsia="Times New Roman"/>
              </w:rPr>
            </w:pPr>
            <w:r>
              <w:rPr>
                <w:rFonts w:eastAsia="Times New Roman"/>
              </w:rPr>
              <w:t>2</w:t>
            </w:r>
          </w:p>
        </w:tc>
        <w:tc>
          <w:tcPr>
            <w:tcW w:w="874" w:type="dxa"/>
          </w:tcPr>
          <w:p w14:paraId="08697893" w14:textId="77777777" w:rsidR="00B678B5" w:rsidRPr="00E359BF" w:rsidRDefault="00B678B5">
            <w:pPr>
              <w:pStyle w:val="TableTextCentered"/>
              <w:rPr>
                <w:rFonts w:eastAsia="Times New Roman"/>
              </w:rPr>
            </w:pPr>
            <w:r>
              <w:rPr>
                <w:rFonts w:eastAsia="Times New Roman"/>
              </w:rPr>
              <w:t>0</w:t>
            </w:r>
          </w:p>
        </w:tc>
        <w:tc>
          <w:tcPr>
            <w:tcW w:w="875" w:type="dxa"/>
          </w:tcPr>
          <w:p w14:paraId="514347CA" w14:textId="77777777" w:rsidR="00B678B5" w:rsidRPr="00E359BF" w:rsidRDefault="00B678B5">
            <w:pPr>
              <w:pStyle w:val="TableTextCentered"/>
              <w:rPr>
                <w:rFonts w:eastAsia="Times New Roman"/>
              </w:rPr>
            </w:pPr>
            <w:r>
              <w:rPr>
                <w:rFonts w:eastAsia="Times New Roman"/>
              </w:rPr>
              <w:t>11</w:t>
            </w:r>
          </w:p>
        </w:tc>
        <w:tc>
          <w:tcPr>
            <w:tcW w:w="875" w:type="dxa"/>
          </w:tcPr>
          <w:p w14:paraId="1D25E68E" w14:textId="77777777" w:rsidR="00B678B5" w:rsidRPr="00E359BF" w:rsidRDefault="00B678B5">
            <w:pPr>
              <w:pStyle w:val="TableTextCentered"/>
              <w:rPr>
                <w:rFonts w:eastAsia="Times New Roman"/>
              </w:rPr>
            </w:pPr>
            <w:r>
              <w:rPr>
                <w:rFonts w:eastAsia="Times New Roman"/>
              </w:rPr>
              <w:t>33</w:t>
            </w:r>
          </w:p>
        </w:tc>
        <w:tc>
          <w:tcPr>
            <w:tcW w:w="874" w:type="dxa"/>
          </w:tcPr>
          <w:p w14:paraId="520A84B7" w14:textId="77777777" w:rsidR="00B678B5" w:rsidRPr="00E359BF" w:rsidRDefault="00B678B5">
            <w:pPr>
              <w:pStyle w:val="TableTextCentered"/>
              <w:rPr>
                <w:rFonts w:eastAsia="Times New Roman"/>
              </w:rPr>
            </w:pPr>
            <w:r>
              <w:rPr>
                <w:rFonts w:eastAsia="Times New Roman"/>
              </w:rPr>
              <w:t>22</w:t>
            </w:r>
          </w:p>
        </w:tc>
        <w:tc>
          <w:tcPr>
            <w:tcW w:w="875" w:type="dxa"/>
          </w:tcPr>
          <w:p w14:paraId="789243FB" w14:textId="77777777" w:rsidR="00B678B5" w:rsidRPr="00E359BF" w:rsidRDefault="00B678B5">
            <w:pPr>
              <w:pStyle w:val="TableTextCentered"/>
              <w:rPr>
                <w:rFonts w:eastAsia="Times New Roman"/>
              </w:rPr>
            </w:pPr>
            <w:r>
              <w:rPr>
                <w:rFonts w:eastAsia="Times New Roman"/>
              </w:rPr>
              <w:t>12</w:t>
            </w:r>
          </w:p>
        </w:tc>
        <w:tc>
          <w:tcPr>
            <w:tcW w:w="900" w:type="dxa"/>
          </w:tcPr>
          <w:p w14:paraId="1E46FCC8" w14:textId="77777777" w:rsidR="00B678B5" w:rsidRPr="00E359BF" w:rsidRDefault="00B678B5">
            <w:pPr>
              <w:pStyle w:val="TableTextCentered"/>
              <w:rPr>
                <w:rFonts w:eastAsia="Times New Roman"/>
              </w:rPr>
            </w:pPr>
            <w:r>
              <w:rPr>
                <w:rFonts w:eastAsia="Times New Roman"/>
              </w:rPr>
              <w:t>80</w:t>
            </w:r>
          </w:p>
        </w:tc>
        <w:tc>
          <w:tcPr>
            <w:tcW w:w="892" w:type="dxa"/>
          </w:tcPr>
          <w:p w14:paraId="245C3D3B" w14:textId="77777777" w:rsidR="00B678B5" w:rsidRPr="00E359BF" w:rsidRDefault="00B678B5">
            <w:pPr>
              <w:pStyle w:val="TableTextCentered"/>
              <w:rPr>
                <w:rFonts w:eastAsia="Times New Roman"/>
              </w:rPr>
            </w:pPr>
            <w:r>
              <w:rPr>
                <w:rFonts w:eastAsia="Times New Roman"/>
              </w:rPr>
              <w:t>5.4</w:t>
            </w:r>
          </w:p>
        </w:tc>
      </w:tr>
      <w:tr w:rsidR="00B678B5" w:rsidRPr="00E359BF" w14:paraId="5C1D2219" w14:textId="77777777" w:rsidTr="00400B6F">
        <w:tc>
          <w:tcPr>
            <w:tcW w:w="1431" w:type="dxa"/>
          </w:tcPr>
          <w:p w14:paraId="4DBFDA22" w14:textId="77777777" w:rsidR="00B678B5" w:rsidRPr="00E359BF" w:rsidRDefault="00B678B5">
            <w:pPr>
              <w:pStyle w:val="TableText"/>
            </w:pPr>
            <w:r>
              <w:t>Grades 6-8</w:t>
            </w:r>
          </w:p>
        </w:tc>
        <w:tc>
          <w:tcPr>
            <w:tcW w:w="874" w:type="dxa"/>
          </w:tcPr>
          <w:p w14:paraId="5420320D" w14:textId="77777777" w:rsidR="00B678B5" w:rsidRPr="00E359BF" w:rsidRDefault="00B678B5">
            <w:pPr>
              <w:pStyle w:val="TableTextCentered"/>
              <w:rPr>
                <w:rFonts w:eastAsia="Times New Roman"/>
              </w:rPr>
            </w:pPr>
            <w:r>
              <w:rPr>
                <w:rFonts w:eastAsia="Times New Roman"/>
              </w:rPr>
              <w:t>0</w:t>
            </w:r>
          </w:p>
        </w:tc>
        <w:tc>
          <w:tcPr>
            <w:tcW w:w="874" w:type="dxa"/>
          </w:tcPr>
          <w:p w14:paraId="722D1102" w14:textId="77777777" w:rsidR="00B678B5" w:rsidRPr="00E359BF" w:rsidRDefault="00B678B5">
            <w:pPr>
              <w:pStyle w:val="TableTextCentered"/>
              <w:rPr>
                <w:rFonts w:eastAsia="Times New Roman"/>
              </w:rPr>
            </w:pPr>
            <w:r>
              <w:rPr>
                <w:rFonts w:eastAsia="Times New Roman"/>
              </w:rPr>
              <w:t>0</w:t>
            </w:r>
          </w:p>
        </w:tc>
        <w:tc>
          <w:tcPr>
            <w:tcW w:w="874" w:type="dxa"/>
          </w:tcPr>
          <w:p w14:paraId="45F27655" w14:textId="77777777" w:rsidR="00B678B5" w:rsidRPr="00E359BF" w:rsidRDefault="00B678B5">
            <w:pPr>
              <w:pStyle w:val="TableTextCentered"/>
              <w:rPr>
                <w:rFonts w:eastAsia="Times New Roman"/>
              </w:rPr>
            </w:pPr>
            <w:r>
              <w:rPr>
                <w:rFonts w:eastAsia="Times New Roman"/>
              </w:rPr>
              <w:t>3</w:t>
            </w:r>
          </w:p>
        </w:tc>
        <w:tc>
          <w:tcPr>
            <w:tcW w:w="875" w:type="dxa"/>
          </w:tcPr>
          <w:p w14:paraId="01B2776B" w14:textId="77777777" w:rsidR="00B678B5" w:rsidRPr="00E359BF" w:rsidRDefault="00B678B5">
            <w:pPr>
              <w:pStyle w:val="TableTextCentered"/>
              <w:rPr>
                <w:rFonts w:eastAsia="Times New Roman"/>
              </w:rPr>
            </w:pPr>
            <w:r>
              <w:rPr>
                <w:rFonts w:eastAsia="Times New Roman"/>
              </w:rPr>
              <w:t>5</w:t>
            </w:r>
          </w:p>
        </w:tc>
        <w:tc>
          <w:tcPr>
            <w:tcW w:w="875" w:type="dxa"/>
          </w:tcPr>
          <w:p w14:paraId="369C03DC" w14:textId="77777777" w:rsidR="00B678B5" w:rsidRPr="00E359BF" w:rsidRDefault="00B678B5">
            <w:pPr>
              <w:pStyle w:val="TableTextCentered"/>
              <w:rPr>
                <w:rFonts w:eastAsia="Times New Roman"/>
              </w:rPr>
            </w:pPr>
            <w:r>
              <w:rPr>
                <w:rFonts w:eastAsia="Times New Roman"/>
              </w:rPr>
              <w:t>21</w:t>
            </w:r>
          </w:p>
        </w:tc>
        <w:tc>
          <w:tcPr>
            <w:tcW w:w="874" w:type="dxa"/>
          </w:tcPr>
          <w:p w14:paraId="1A4CED69" w14:textId="77777777" w:rsidR="00B678B5" w:rsidRPr="00E359BF" w:rsidRDefault="00B678B5">
            <w:pPr>
              <w:pStyle w:val="TableTextCentered"/>
              <w:rPr>
                <w:rFonts w:eastAsia="Times New Roman"/>
              </w:rPr>
            </w:pPr>
            <w:r>
              <w:rPr>
                <w:rFonts w:eastAsia="Times New Roman"/>
              </w:rPr>
              <w:t>11</w:t>
            </w:r>
          </w:p>
        </w:tc>
        <w:tc>
          <w:tcPr>
            <w:tcW w:w="875" w:type="dxa"/>
          </w:tcPr>
          <w:p w14:paraId="143CA180" w14:textId="77777777" w:rsidR="00B678B5" w:rsidRPr="00E359BF" w:rsidRDefault="00B678B5">
            <w:pPr>
              <w:pStyle w:val="TableTextCentered"/>
              <w:rPr>
                <w:rFonts w:eastAsia="Times New Roman"/>
              </w:rPr>
            </w:pPr>
            <w:r>
              <w:rPr>
                <w:rFonts w:eastAsia="Times New Roman"/>
              </w:rPr>
              <w:t>0</w:t>
            </w:r>
          </w:p>
        </w:tc>
        <w:tc>
          <w:tcPr>
            <w:tcW w:w="900" w:type="dxa"/>
          </w:tcPr>
          <w:p w14:paraId="750C627F" w14:textId="77777777" w:rsidR="00B678B5" w:rsidRPr="00E359BF" w:rsidRDefault="00B678B5">
            <w:pPr>
              <w:pStyle w:val="TableTextCentered"/>
              <w:rPr>
                <w:rFonts w:eastAsia="Times New Roman"/>
              </w:rPr>
            </w:pPr>
            <w:r>
              <w:rPr>
                <w:rFonts w:eastAsia="Times New Roman"/>
              </w:rPr>
              <w:t>40</w:t>
            </w:r>
          </w:p>
        </w:tc>
        <w:tc>
          <w:tcPr>
            <w:tcW w:w="892" w:type="dxa"/>
          </w:tcPr>
          <w:p w14:paraId="772B8869" w14:textId="77777777" w:rsidR="00B678B5" w:rsidRPr="00E359BF" w:rsidRDefault="00B678B5">
            <w:pPr>
              <w:pStyle w:val="TableTextCentered"/>
              <w:rPr>
                <w:rFonts w:eastAsia="Times New Roman"/>
              </w:rPr>
            </w:pPr>
            <w:r>
              <w:rPr>
                <w:rFonts w:eastAsia="Times New Roman"/>
              </w:rPr>
              <w:t>5.0</w:t>
            </w:r>
          </w:p>
        </w:tc>
      </w:tr>
      <w:tr w:rsidR="00B678B5" w:rsidRPr="00E359BF" w14:paraId="5FC87C9D"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64B1FFF5" w14:textId="77777777" w:rsidR="00B678B5" w:rsidRPr="00E359BF" w:rsidRDefault="00B678B5">
            <w:pPr>
              <w:pStyle w:val="TableText"/>
            </w:pPr>
            <w:r>
              <w:t>Grades 9-12</w:t>
            </w:r>
          </w:p>
        </w:tc>
        <w:tc>
          <w:tcPr>
            <w:tcW w:w="874" w:type="dxa"/>
          </w:tcPr>
          <w:p w14:paraId="1BB542E8" w14:textId="77777777" w:rsidR="00B678B5" w:rsidRPr="00E359BF" w:rsidRDefault="00B678B5">
            <w:pPr>
              <w:pStyle w:val="TableTextCentered"/>
              <w:rPr>
                <w:rFonts w:eastAsia="Times New Roman"/>
              </w:rPr>
            </w:pPr>
            <w:r>
              <w:rPr>
                <w:rFonts w:eastAsia="Times New Roman"/>
              </w:rPr>
              <w:t>0</w:t>
            </w:r>
          </w:p>
        </w:tc>
        <w:tc>
          <w:tcPr>
            <w:tcW w:w="874" w:type="dxa"/>
          </w:tcPr>
          <w:p w14:paraId="13D47D26" w14:textId="77777777" w:rsidR="00B678B5" w:rsidRPr="00E359BF" w:rsidRDefault="00B678B5">
            <w:pPr>
              <w:pStyle w:val="TableTextCentered"/>
              <w:rPr>
                <w:rFonts w:eastAsia="Times New Roman"/>
              </w:rPr>
            </w:pPr>
            <w:r>
              <w:rPr>
                <w:rFonts w:eastAsia="Times New Roman"/>
              </w:rPr>
              <w:t>1</w:t>
            </w:r>
          </w:p>
        </w:tc>
        <w:tc>
          <w:tcPr>
            <w:tcW w:w="874" w:type="dxa"/>
          </w:tcPr>
          <w:p w14:paraId="59D1DD7D" w14:textId="77777777" w:rsidR="00B678B5" w:rsidRPr="00E359BF" w:rsidRDefault="00B678B5">
            <w:pPr>
              <w:pStyle w:val="TableTextCentered"/>
              <w:rPr>
                <w:rFonts w:eastAsia="Times New Roman"/>
              </w:rPr>
            </w:pPr>
            <w:r>
              <w:rPr>
                <w:rFonts w:eastAsia="Times New Roman"/>
              </w:rPr>
              <w:t>6</w:t>
            </w:r>
          </w:p>
        </w:tc>
        <w:tc>
          <w:tcPr>
            <w:tcW w:w="875" w:type="dxa"/>
          </w:tcPr>
          <w:p w14:paraId="632AF793" w14:textId="77777777" w:rsidR="00B678B5" w:rsidRPr="00E359BF" w:rsidRDefault="00B678B5">
            <w:pPr>
              <w:pStyle w:val="TableTextCentered"/>
              <w:rPr>
                <w:rFonts w:eastAsia="Times New Roman"/>
              </w:rPr>
            </w:pPr>
            <w:r>
              <w:rPr>
                <w:rFonts w:eastAsia="Times New Roman"/>
              </w:rPr>
              <w:t>15</w:t>
            </w:r>
          </w:p>
        </w:tc>
        <w:tc>
          <w:tcPr>
            <w:tcW w:w="875" w:type="dxa"/>
          </w:tcPr>
          <w:p w14:paraId="0268A337" w14:textId="77777777" w:rsidR="00B678B5" w:rsidRPr="00E359BF" w:rsidRDefault="00B678B5">
            <w:pPr>
              <w:pStyle w:val="TableTextCentered"/>
              <w:rPr>
                <w:rFonts w:eastAsia="Times New Roman"/>
              </w:rPr>
            </w:pPr>
            <w:r>
              <w:rPr>
                <w:rFonts w:eastAsia="Times New Roman"/>
              </w:rPr>
              <w:t>18</w:t>
            </w:r>
          </w:p>
        </w:tc>
        <w:tc>
          <w:tcPr>
            <w:tcW w:w="874" w:type="dxa"/>
          </w:tcPr>
          <w:p w14:paraId="034A1C2C" w14:textId="77777777" w:rsidR="00B678B5" w:rsidRPr="00E359BF" w:rsidRDefault="00B678B5">
            <w:pPr>
              <w:pStyle w:val="TableTextCentered"/>
              <w:rPr>
                <w:rFonts w:eastAsia="Times New Roman"/>
              </w:rPr>
            </w:pPr>
            <w:r>
              <w:rPr>
                <w:rFonts w:eastAsia="Times New Roman"/>
              </w:rPr>
              <w:t>10</w:t>
            </w:r>
          </w:p>
        </w:tc>
        <w:tc>
          <w:tcPr>
            <w:tcW w:w="875" w:type="dxa"/>
          </w:tcPr>
          <w:p w14:paraId="4D277763" w14:textId="77777777" w:rsidR="00B678B5" w:rsidRPr="00E359BF" w:rsidRDefault="00B678B5">
            <w:pPr>
              <w:pStyle w:val="TableTextCentered"/>
              <w:rPr>
                <w:rFonts w:eastAsia="Times New Roman"/>
              </w:rPr>
            </w:pPr>
            <w:r>
              <w:rPr>
                <w:rFonts w:eastAsia="Times New Roman"/>
              </w:rPr>
              <w:t>3</w:t>
            </w:r>
          </w:p>
        </w:tc>
        <w:tc>
          <w:tcPr>
            <w:tcW w:w="900" w:type="dxa"/>
          </w:tcPr>
          <w:p w14:paraId="7E1BF2AA" w14:textId="77777777" w:rsidR="00B678B5" w:rsidRPr="00E359BF" w:rsidRDefault="00B678B5">
            <w:pPr>
              <w:pStyle w:val="TableTextCentered"/>
              <w:rPr>
                <w:rFonts w:eastAsia="Times New Roman"/>
              </w:rPr>
            </w:pPr>
            <w:r>
              <w:rPr>
                <w:rFonts w:eastAsia="Times New Roman"/>
              </w:rPr>
              <w:t>53</w:t>
            </w:r>
          </w:p>
        </w:tc>
        <w:tc>
          <w:tcPr>
            <w:tcW w:w="892" w:type="dxa"/>
          </w:tcPr>
          <w:p w14:paraId="113956ED" w14:textId="77777777" w:rsidR="00B678B5" w:rsidRPr="00E359BF" w:rsidRDefault="00B678B5">
            <w:pPr>
              <w:pStyle w:val="TableTextCentered"/>
              <w:rPr>
                <w:rFonts w:eastAsia="Times New Roman"/>
              </w:rPr>
            </w:pPr>
            <w:r>
              <w:rPr>
                <w:rFonts w:eastAsia="Times New Roman"/>
              </w:rPr>
              <w:t>4.7</w:t>
            </w:r>
          </w:p>
        </w:tc>
      </w:tr>
      <w:tr w:rsidR="00B678B5" w:rsidRPr="00E359BF" w14:paraId="0AAF302F" w14:textId="77777777" w:rsidTr="00400B6F">
        <w:tc>
          <w:tcPr>
            <w:tcW w:w="1431" w:type="dxa"/>
          </w:tcPr>
          <w:p w14:paraId="29618DEB"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1E8E4604"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4" w:type="dxa"/>
          </w:tcPr>
          <w:p w14:paraId="5320D28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w:t>
            </w:r>
          </w:p>
        </w:tc>
        <w:tc>
          <w:tcPr>
            <w:tcW w:w="874" w:type="dxa"/>
          </w:tcPr>
          <w:p w14:paraId="2D398566"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9</w:t>
            </w:r>
          </w:p>
        </w:tc>
        <w:tc>
          <w:tcPr>
            <w:tcW w:w="875" w:type="dxa"/>
          </w:tcPr>
          <w:p w14:paraId="12BF534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31</w:t>
            </w:r>
          </w:p>
        </w:tc>
        <w:tc>
          <w:tcPr>
            <w:tcW w:w="875" w:type="dxa"/>
          </w:tcPr>
          <w:p w14:paraId="50EB821F"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72</w:t>
            </w:r>
          </w:p>
        </w:tc>
        <w:tc>
          <w:tcPr>
            <w:tcW w:w="874" w:type="dxa"/>
          </w:tcPr>
          <w:p w14:paraId="75EBAE3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43</w:t>
            </w:r>
          </w:p>
        </w:tc>
        <w:tc>
          <w:tcPr>
            <w:tcW w:w="875" w:type="dxa"/>
          </w:tcPr>
          <w:p w14:paraId="6D881ED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15</w:t>
            </w:r>
          </w:p>
        </w:tc>
        <w:tc>
          <w:tcPr>
            <w:tcW w:w="900" w:type="dxa"/>
          </w:tcPr>
          <w:p w14:paraId="1A151A3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173</w:t>
            </w:r>
          </w:p>
        </w:tc>
        <w:tc>
          <w:tcPr>
            <w:tcW w:w="892" w:type="dxa"/>
          </w:tcPr>
          <w:p w14:paraId="369B9BA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5.1</w:t>
            </w:r>
          </w:p>
        </w:tc>
      </w:tr>
    </w:tbl>
    <w:bookmarkEnd w:id="138"/>
    <w:p w14:paraId="7DD83EBB" w14:textId="1DCA9133" w:rsidR="00B678B5" w:rsidRPr="00BC09E0" w:rsidRDefault="00B678B5" w:rsidP="00B22A35">
      <w:pPr>
        <w:pStyle w:val="TableNote"/>
        <w:spacing w:before="0"/>
      </w:pPr>
      <w:r w:rsidRPr="00A96DD7">
        <w:t xml:space="preserve">*The district average is an average of the observation scores. In Table 9, the district average is computed as: </w:t>
      </w:r>
      <w:bookmarkStart w:id="139" w:name="Dist_ILF_Calc"/>
      <w:r>
        <w:t xml:space="preserve">([2 x 3] + [3 x 9] + [4 x 31] + [5 x 72] + [6 x 43] + [7 x 15]) ÷ 173 </w:t>
      </w:r>
      <w:r w:rsidRPr="00400B6F">
        <w:t>observations</w:t>
      </w:r>
      <w:r>
        <w:t xml:space="preserve"> = 5.1</w:t>
      </w:r>
      <w:bookmarkEnd w:id="139"/>
    </w:p>
    <w:p w14:paraId="6BEB8CF5" w14:textId="77777777" w:rsidR="00B678B5" w:rsidRPr="00BC09E0" w:rsidRDefault="00B678B5" w:rsidP="00400B6F">
      <w:pPr>
        <w:pStyle w:val="BodyText"/>
      </w:pPr>
      <w:r w:rsidRPr="00524A30">
        <w:rPr>
          <w:rStyle w:val="BodyTextDemiChar"/>
        </w:rPr>
        <w:t>Ratings in the Low Range.</w:t>
      </w:r>
      <w:r w:rsidRPr="00BC09E0">
        <w:t xml:space="preserve"> The teacher exerts little effort in facilitating engagement in the lesson. Learning activities may be limited and seem to be at the rote level, with little teacher involvement. The teacher relies on one learning modality (e.g., listening) and does not use other modalities (e.g., movement, visual displays) to convey information and enhance learning. Or the teacher may be ineffective in using other modalities, not choosing the right props for the students or the classroom conditions. Students are uninterested and uninvolved in the lesson. The teacher does not attempt to guide students toward learning objectives and does not help them focus on the lesson by providing appropriate tools and asking effective questions.</w:t>
      </w:r>
    </w:p>
    <w:p w14:paraId="468B8B1D" w14:textId="77777777" w:rsidR="00B678B5" w:rsidRPr="00BC09E0" w:rsidRDefault="00B678B5" w:rsidP="00400B6F">
      <w:pPr>
        <w:pStyle w:val="BodyTextposthead"/>
      </w:pPr>
      <w:r w:rsidRPr="00524A30">
        <w:rPr>
          <w:rStyle w:val="BodyTextDemiChar"/>
        </w:rPr>
        <w:t>Ratings in the Middle Range.</w:t>
      </w:r>
      <w:r w:rsidRPr="00BC09E0">
        <w:rPr>
          <w:spacing w:val="-4"/>
        </w:rPr>
        <w:t xml:space="preserve"> At the middle range, the teacher sometimes facilitates engagement</w:t>
      </w:r>
      <w:r w:rsidRPr="00BC09E0">
        <w:t xml:space="preserve"> in the lesson but at other times does not, or the teacher facilitates engagement for some students and not for other students. The teacher may not allow students enough time to explore or answer questions. Sometimes, the teacher uses a variety of modalities to help students reach a learning objective, but at other times the teacher does not. Student engagement is inconsistent, or some students are engaged and other students are not. At times, students are aware of the learning objective and at other times they are not. The teacher may sometimes use strategies to help students organize information but at other times does not.</w:t>
      </w:r>
    </w:p>
    <w:p w14:paraId="7264B7F7" w14:textId="525CB2C9" w:rsidR="00FC3247" w:rsidRDefault="00B678B5" w:rsidP="00400B6F">
      <w:pPr>
        <w:pStyle w:val="BodyTextposthead"/>
      </w:pPr>
      <w:r w:rsidRPr="00524A30">
        <w:rPr>
          <w:rStyle w:val="BodyTextDemiChar"/>
        </w:rPr>
        <w:t>Ratings in the High Range.</w:t>
      </w:r>
      <w:r w:rsidRPr="00BC09E0">
        <w:rPr>
          <w:b/>
        </w:rPr>
        <w:t xml:space="preserve"> </w:t>
      </w:r>
      <w:r w:rsidRPr="00BC09E0">
        <w:t>The teacher has multiple strategies and tools to facilitate engagement and learning and encourage participation. The teacher may move around, talk and play with students, ask open-ended questions of students, and allow students to explore. A variety of tools and props are used, including movement and visual/auditory resources. Students are consistently interested and engaged in the activities and lessons. The teacher focuses students on the learning objectives, which students understand. The teacher uses advanced organizers to prepare students for an activity, as well as reorientation strategies that help students regain focus.</w:t>
      </w:r>
      <w:r w:rsidR="00FC3247">
        <w:br w:type="page"/>
      </w:r>
    </w:p>
    <w:p w14:paraId="1CF2762B" w14:textId="77777777" w:rsidR="00B678B5" w:rsidRPr="00BC09E0" w:rsidRDefault="00B678B5" w:rsidP="00E35A27">
      <w:pPr>
        <w:pStyle w:val="DIOR"/>
      </w:pPr>
      <w:bookmarkStart w:id="140" w:name="_Toc411329833"/>
      <w:bookmarkStart w:id="141" w:name="_Toc430114882"/>
      <w:bookmarkStart w:id="142" w:name="_Toc231296592"/>
      <w:r w:rsidRPr="00BC09E0">
        <w:t xml:space="preserve">Concept </w:t>
      </w:r>
      <w:r w:rsidRPr="00400B6F">
        <w:t>Development</w:t>
      </w:r>
      <w:bookmarkEnd w:id="140"/>
      <w:bookmarkEnd w:id="141"/>
      <w:bookmarkEnd w:id="142"/>
    </w:p>
    <w:p w14:paraId="1CAC17C8" w14:textId="0A3D4259" w:rsidR="00B678B5" w:rsidRPr="00BC09E0" w:rsidRDefault="00B678B5">
      <w:pPr>
        <w:pStyle w:val="BodyTextDomain"/>
      </w:pPr>
      <w:r w:rsidRPr="00BC09E0">
        <w:t xml:space="preserve">Instructional Support domain, </w:t>
      </w:r>
      <w:r>
        <w:t>G</w:t>
      </w:r>
      <w:r w:rsidRPr="00BC09E0">
        <w:t xml:space="preserve">rades </w:t>
      </w:r>
      <w:r>
        <w:t>PK</w:t>
      </w:r>
      <w:r w:rsidRPr="00BC09E0">
        <w:rPr>
          <w:rFonts w:ascii="Vijaya" w:hAnsi="Vijaya" w:cs="Vijaya"/>
        </w:rPr>
        <w:t>−</w:t>
      </w:r>
      <w:r w:rsidRPr="00BC09E0">
        <w:t>3</w:t>
      </w:r>
    </w:p>
    <w:p w14:paraId="11190410" w14:textId="77777777" w:rsidR="00B678B5" w:rsidRPr="00524A30" w:rsidRDefault="00B678B5" w:rsidP="00400B6F">
      <w:pPr>
        <w:pStyle w:val="BodyTextposthead"/>
      </w:pPr>
      <w:r w:rsidRPr="00524A30">
        <w:t>Concept Development refers to the teacher’s use of instructional discussions and activities to promote students’ higher order thinking skills and cognition and the teacher’s focus on understanding rather than on rote instruction (</w:t>
      </w:r>
      <w:r w:rsidRPr="00524A30">
        <w:rPr>
          <w:i/>
        </w:rPr>
        <w:t xml:space="preserve">CLASS </w:t>
      </w:r>
      <w:r>
        <w:rPr>
          <w:i/>
        </w:rPr>
        <w:t>PK–</w:t>
      </w:r>
      <w:r w:rsidRPr="00524A30">
        <w:rPr>
          <w:i/>
        </w:rPr>
        <w:t>3 Manual</w:t>
      </w:r>
      <w:r w:rsidRPr="00524A30">
        <w:t>, p. 64).</w:t>
      </w:r>
    </w:p>
    <w:p w14:paraId="07BD9A54" w14:textId="77777777" w:rsidR="00B678B5" w:rsidRPr="00BC09E0" w:rsidRDefault="00B678B5">
      <w:pPr>
        <w:pStyle w:val="TableTitle0"/>
      </w:pPr>
      <w:r w:rsidRPr="00BC09E0">
        <w:t xml:space="preserve">Table 10. Concept Development: Number of Classrooms for Each Rating </w:t>
      </w:r>
      <w:r w:rsidRPr="00A96DD7">
        <w:t>and District Average</w:t>
      </w:r>
    </w:p>
    <w:p w14:paraId="0FD64B0E" w14:textId="77777777" w:rsidR="00B678B5" w:rsidRDefault="00B678B5">
      <w:pPr>
        <w:pStyle w:val="BodyTextDemi"/>
      </w:pPr>
      <w:r w:rsidRPr="00A96DD7">
        <w:t xml:space="preserve">Concept Development District Average*: </w:t>
      </w:r>
      <w:bookmarkStart w:id="143" w:name="Dist_CD_Avg"/>
      <w:r>
        <w:t>2.5</w:t>
      </w:r>
      <w:bookmarkEnd w:id="143"/>
    </w:p>
    <w:tbl>
      <w:tblPr>
        <w:tblStyle w:val="MSVTable1"/>
        <w:tblW w:w="5000" w:type="pct"/>
        <w:tblLook w:val="04A0" w:firstRow="1" w:lastRow="0" w:firstColumn="1" w:lastColumn="0" w:noHBand="0" w:noVBand="1"/>
        <w:tblCaption w:val="Table 10. Concept Development: Number of Classrooms for Each Rating and District Average"/>
        <w:tblDescription w:val="Concept Development: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314690C6" w14:textId="77777777" w:rsidTr="00130F4F">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2B0A16F4" w14:textId="77777777" w:rsidR="00B678B5" w:rsidRPr="00E359BF" w:rsidRDefault="00B678B5" w:rsidP="00130F4F">
            <w:pPr>
              <w:pStyle w:val="TableColHeadingCenter"/>
              <w:rPr>
                <w:rFonts w:eastAsia="MS Mincho"/>
              </w:rPr>
            </w:pPr>
            <w:bookmarkStart w:id="144" w:name="Tbl_CD"/>
            <w:r>
              <w:rPr>
                <w:rFonts w:eastAsia="MS Mincho"/>
              </w:rPr>
              <w:t>Grade Band</w:t>
            </w:r>
          </w:p>
        </w:tc>
        <w:tc>
          <w:tcPr>
            <w:tcW w:w="874" w:type="dxa"/>
            <w:vAlign w:val="center"/>
          </w:tcPr>
          <w:p w14:paraId="3D1F5154"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757FD050"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4367943C"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77AE8F58"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7EBE2318"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5F5540EF"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64A8FC58"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41E5AEE9" w14:textId="77777777" w:rsidR="00B678B5" w:rsidRPr="00E359BF" w:rsidRDefault="00B678B5" w:rsidP="00130F4F">
            <w:pPr>
              <w:pStyle w:val="TableColHeadingCenter"/>
              <w:rPr>
                <w:rFonts w:eastAsia="MS Mincho"/>
              </w:rPr>
            </w:pPr>
            <w:r>
              <w:rPr>
                <w:rFonts w:eastAsia="MS Mincho"/>
              </w:rPr>
              <w:t>n</w:t>
            </w:r>
          </w:p>
        </w:tc>
        <w:tc>
          <w:tcPr>
            <w:tcW w:w="892" w:type="dxa"/>
            <w:vAlign w:val="center"/>
          </w:tcPr>
          <w:p w14:paraId="2373EC8D" w14:textId="77777777" w:rsidR="00B678B5" w:rsidRPr="00E359BF" w:rsidRDefault="00B678B5" w:rsidP="00130F4F">
            <w:pPr>
              <w:pStyle w:val="TableColHeadingCenter"/>
              <w:rPr>
                <w:rFonts w:eastAsia="MS Mincho"/>
              </w:rPr>
            </w:pPr>
            <w:r>
              <w:rPr>
                <w:rFonts w:eastAsia="MS Mincho"/>
              </w:rPr>
              <w:t>Average</w:t>
            </w:r>
          </w:p>
        </w:tc>
      </w:tr>
      <w:tr w:rsidR="00B678B5" w:rsidRPr="00E359BF" w14:paraId="084FA28F" w14:textId="77777777" w:rsidTr="00400B6F">
        <w:trPr>
          <w:cnfStyle w:val="000000100000" w:firstRow="0" w:lastRow="0" w:firstColumn="0" w:lastColumn="0" w:oddVBand="0" w:evenVBand="0" w:oddHBand="1" w:evenHBand="0" w:firstRowFirstColumn="0" w:firstRowLastColumn="0" w:lastRowFirstColumn="0" w:lastRowLastColumn="0"/>
        </w:trPr>
        <w:tc>
          <w:tcPr>
            <w:tcW w:w="1431" w:type="dxa"/>
          </w:tcPr>
          <w:p w14:paraId="7B2CD491" w14:textId="77777777" w:rsidR="00B678B5" w:rsidRPr="00E359BF" w:rsidRDefault="00B678B5">
            <w:pPr>
              <w:pStyle w:val="TableText"/>
            </w:pPr>
            <w:r>
              <w:t>Grades PK-3**</w:t>
            </w:r>
          </w:p>
        </w:tc>
        <w:tc>
          <w:tcPr>
            <w:tcW w:w="874" w:type="dxa"/>
          </w:tcPr>
          <w:p w14:paraId="01E3BA50" w14:textId="77777777" w:rsidR="00B678B5" w:rsidRPr="00E359BF" w:rsidRDefault="00B678B5">
            <w:pPr>
              <w:pStyle w:val="TableTextCentered"/>
              <w:rPr>
                <w:rFonts w:eastAsia="Times New Roman"/>
              </w:rPr>
            </w:pPr>
            <w:r>
              <w:rPr>
                <w:rFonts w:eastAsia="Times New Roman"/>
              </w:rPr>
              <w:t>11</w:t>
            </w:r>
          </w:p>
        </w:tc>
        <w:tc>
          <w:tcPr>
            <w:tcW w:w="874" w:type="dxa"/>
          </w:tcPr>
          <w:p w14:paraId="186F3774" w14:textId="77777777" w:rsidR="00B678B5" w:rsidRPr="00E359BF" w:rsidRDefault="00B678B5">
            <w:pPr>
              <w:pStyle w:val="TableTextCentered"/>
              <w:rPr>
                <w:rFonts w:eastAsia="Times New Roman"/>
              </w:rPr>
            </w:pPr>
            <w:r>
              <w:rPr>
                <w:rFonts w:eastAsia="Times New Roman"/>
              </w:rPr>
              <w:t>20</w:t>
            </w:r>
          </w:p>
        </w:tc>
        <w:tc>
          <w:tcPr>
            <w:tcW w:w="874" w:type="dxa"/>
          </w:tcPr>
          <w:p w14:paraId="7DAF0CF2" w14:textId="77777777" w:rsidR="00B678B5" w:rsidRPr="00E359BF" w:rsidRDefault="00B678B5">
            <w:pPr>
              <w:pStyle w:val="TableTextCentered"/>
              <w:rPr>
                <w:rFonts w:eastAsia="Times New Roman"/>
              </w:rPr>
            </w:pPr>
            <w:r>
              <w:rPr>
                <w:rFonts w:eastAsia="Times New Roman"/>
              </w:rPr>
              <w:t>10</w:t>
            </w:r>
          </w:p>
        </w:tc>
        <w:tc>
          <w:tcPr>
            <w:tcW w:w="875" w:type="dxa"/>
          </w:tcPr>
          <w:p w14:paraId="3F908C69" w14:textId="77777777" w:rsidR="00B678B5" w:rsidRPr="00E359BF" w:rsidRDefault="00B678B5">
            <w:pPr>
              <w:pStyle w:val="TableTextCentered"/>
              <w:rPr>
                <w:rFonts w:eastAsia="Times New Roman"/>
              </w:rPr>
            </w:pPr>
            <w:r>
              <w:rPr>
                <w:rFonts w:eastAsia="Times New Roman"/>
              </w:rPr>
              <w:t>7</w:t>
            </w:r>
          </w:p>
        </w:tc>
        <w:tc>
          <w:tcPr>
            <w:tcW w:w="875" w:type="dxa"/>
          </w:tcPr>
          <w:p w14:paraId="27677296" w14:textId="77777777" w:rsidR="00B678B5" w:rsidRPr="00E359BF" w:rsidRDefault="00B678B5">
            <w:pPr>
              <w:pStyle w:val="TableTextCentered"/>
              <w:rPr>
                <w:rFonts w:eastAsia="Times New Roman"/>
              </w:rPr>
            </w:pPr>
            <w:r>
              <w:rPr>
                <w:rFonts w:eastAsia="Times New Roman"/>
              </w:rPr>
              <w:t>4</w:t>
            </w:r>
          </w:p>
        </w:tc>
        <w:tc>
          <w:tcPr>
            <w:tcW w:w="874" w:type="dxa"/>
          </w:tcPr>
          <w:p w14:paraId="46A3A12F" w14:textId="77777777" w:rsidR="00B678B5" w:rsidRPr="00E359BF" w:rsidRDefault="00B678B5">
            <w:pPr>
              <w:pStyle w:val="TableTextCentered"/>
              <w:rPr>
                <w:rFonts w:eastAsia="Times New Roman"/>
              </w:rPr>
            </w:pPr>
            <w:r>
              <w:rPr>
                <w:rFonts w:eastAsia="Times New Roman"/>
              </w:rPr>
              <w:t>1</w:t>
            </w:r>
          </w:p>
        </w:tc>
        <w:tc>
          <w:tcPr>
            <w:tcW w:w="875" w:type="dxa"/>
          </w:tcPr>
          <w:p w14:paraId="0E6B66DD" w14:textId="77777777" w:rsidR="00B678B5" w:rsidRPr="00E359BF" w:rsidRDefault="00B678B5">
            <w:pPr>
              <w:pStyle w:val="TableTextCentered"/>
              <w:rPr>
                <w:rFonts w:eastAsia="Times New Roman"/>
              </w:rPr>
            </w:pPr>
            <w:r>
              <w:rPr>
                <w:rFonts w:eastAsia="Times New Roman"/>
              </w:rPr>
              <w:t>0</w:t>
            </w:r>
          </w:p>
        </w:tc>
        <w:tc>
          <w:tcPr>
            <w:tcW w:w="900" w:type="dxa"/>
          </w:tcPr>
          <w:p w14:paraId="4955D725" w14:textId="77777777" w:rsidR="00B678B5" w:rsidRPr="00E359BF" w:rsidRDefault="00B678B5">
            <w:pPr>
              <w:pStyle w:val="TableTextCentered"/>
              <w:rPr>
                <w:rFonts w:eastAsia="Times New Roman"/>
              </w:rPr>
            </w:pPr>
            <w:r>
              <w:rPr>
                <w:rFonts w:eastAsia="Times New Roman"/>
              </w:rPr>
              <w:t>53</w:t>
            </w:r>
          </w:p>
        </w:tc>
        <w:tc>
          <w:tcPr>
            <w:tcW w:w="892" w:type="dxa"/>
          </w:tcPr>
          <w:p w14:paraId="7D2B7C61" w14:textId="77777777" w:rsidR="00B678B5" w:rsidRPr="00E359BF" w:rsidRDefault="00B678B5">
            <w:pPr>
              <w:pStyle w:val="TableTextCentered"/>
              <w:rPr>
                <w:rFonts w:eastAsia="Times New Roman"/>
              </w:rPr>
            </w:pPr>
            <w:r>
              <w:rPr>
                <w:rFonts w:eastAsia="Times New Roman"/>
              </w:rPr>
              <w:t>2.5</w:t>
            </w:r>
          </w:p>
        </w:tc>
      </w:tr>
    </w:tbl>
    <w:bookmarkEnd w:id="144"/>
    <w:p w14:paraId="721BEB3D" w14:textId="7D6441CD" w:rsidR="00B678B5" w:rsidRDefault="00B678B5" w:rsidP="00400B6F">
      <w:pPr>
        <w:pStyle w:val="TableNote"/>
      </w:pPr>
      <w:r w:rsidRPr="00A96DD7">
        <w:t xml:space="preserve">*The district average is an average of the observation scores. In Table 10, the district average is computed as: </w:t>
      </w:r>
      <w:bookmarkStart w:id="145" w:name="Dist_CD_Calc"/>
      <w:r>
        <w:t>([1 x 11] + [2 x 20] + [3 x 10] + [4 x 7] + [5 x 4] + [6 x 1]) ÷ 53 observations = 2.5</w:t>
      </w:r>
      <w:bookmarkEnd w:id="145"/>
    </w:p>
    <w:p w14:paraId="341C7234" w14:textId="77777777" w:rsidR="00B678B5" w:rsidRPr="00400B6F" w:rsidRDefault="00B678B5" w:rsidP="00400B6F">
      <w:pPr>
        <w:pStyle w:val="TableNote"/>
      </w:pPr>
      <w:r w:rsidRPr="00400B6F">
        <w:t>**Concept Development does not appear in the CLASS Upper Elementary Manual, therefore scores for the Elementary School Level represent grades PK-3 only.</w:t>
      </w:r>
    </w:p>
    <w:p w14:paraId="42561639" w14:textId="77777777" w:rsidR="00B678B5" w:rsidRPr="00BC09E0" w:rsidRDefault="00B678B5" w:rsidP="00400B6F">
      <w:pPr>
        <w:pStyle w:val="BodyText"/>
      </w:pPr>
      <w:r w:rsidRPr="00F97764">
        <w:rPr>
          <w:rStyle w:val="BodyTextDemiChar"/>
        </w:rPr>
        <w:t>Ratings in the Low Range.</w:t>
      </w:r>
      <w:r w:rsidRPr="00BC09E0">
        <w:t xml:space="preserve"> At the low range, the teacher does not attempt to develop students’ understanding of ideas and concepts, focusing instead on basic facts and skills. Discussion and activities do not encourage students to analyze and reason. There are few, if any, opportunities for students to create or generate ideas and products. The teacher does not link concepts to one another and does not ask students to make connections with previous content or their actual lives. The activities and the discussion are removed from students’ lives and from their prior knowledge.</w:t>
      </w:r>
    </w:p>
    <w:p w14:paraId="7B9F60AB" w14:textId="77777777" w:rsidR="00B678B5" w:rsidRPr="00BC09E0" w:rsidRDefault="00B678B5" w:rsidP="00400B6F">
      <w:pPr>
        <w:pStyle w:val="BodyTextposthead"/>
      </w:pPr>
      <w:r w:rsidRPr="00F97764">
        <w:rPr>
          <w:rStyle w:val="BodyTextDemiChar"/>
        </w:rPr>
        <w:t xml:space="preserve">Ratings in the Middle Range. </w:t>
      </w:r>
      <w:r w:rsidRPr="00BC09E0">
        <w:t>To some extent, the teacher uses discussions and activities to encourage students to analyze and reason and focuses somewhat on understanding of ideas. The activities and discussions are not fully developed, however, and there is still instructional time that focuses on facts and basic skills. Students may be provided some opportunities for creating and generating ideas, but the opportunities are occasional and not planned out. Although some concepts may be linked and also related to students’ previous learning, such efforts are brief. The teacher makes some effort to relate concepts to students’ lives but does not elaborate enough to make the relationship meaningful to students.</w:t>
      </w:r>
    </w:p>
    <w:p w14:paraId="0F4DF19B" w14:textId="6CEA8E5C" w:rsidR="00B678B5" w:rsidRDefault="00B678B5" w:rsidP="00400B6F">
      <w:pPr>
        <w:pStyle w:val="BodyTextposthead"/>
      </w:pPr>
      <w:r w:rsidRPr="00F97764">
        <w:rPr>
          <w:rStyle w:val="BodyTextDemiChar"/>
        </w:rPr>
        <w:t>Ratings in the High Range.</w:t>
      </w:r>
      <w:r w:rsidRPr="00BC09E0">
        <w:t xml:space="preserve"> At the high range, the teacher frequently guides students to analyze and reason during discussions and activities. Most of the questions are open ended and encourage students to think about connections and implications. Teachers use problem solving, experimentation, and prediction; comparison and classification; and evaluation and summarizing to promote analysis and reasoning. The teacher provides students with opportunities to be creative and generate ideas. The teacher consistently links concepts to one another and to previous learning and relates concepts to students’ lives.</w:t>
      </w:r>
      <w:r>
        <w:br w:type="page"/>
      </w:r>
    </w:p>
    <w:p w14:paraId="3C3A9323" w14:textId="77777777" w:rsidR="00B678B5" w:rsidRPr="00BC09E0" w:rsidRDefault="00B678B5" w:rsidP="00E35A27">
      <w:pPr>
        <w:pStyle w:val="DIOR"/>
      </w:pPr>
      <w:bookmarkStart w:id="146" w:name="_Toc379881742"/>
      <w:bookmarkStart w:id="147" w:name="_Toc411329834"/>
      <w:bookmarkStart w:id="148" w:name="_Toc430114883"/>
      <w:bookmarkStart w:id="149" w:name="_Toc231296593"/>
      <w:r w:rsidRPr="00BC09E0">
        <w:t xml:space="preserve">Content </w:t>
      </w:r>
      <w:r w:rsidRPr="00FF5692">
        <w:t>Understanding</w:t>
      </w:r>
      <w:bookmarkEnd w:id="146"/>
      <w:bookmarkEnd w:id="147"/>
      <w:bookmarkEnd w:id="148"/>
      <w:bookmarkEnd w:id="149"/>
    </w:p>
    <w:p w14:paraId="2E2B78A9" w14:textId="77777777" w:rsidR="00B678B5" w:rsidRPr="00BC09E0" w:rsidRDefault="00B678B5">
      <w:pPr>
        <w:pStyle w:val="BodyTextDomain"/>
      </w:pPr>
      <w:r w:rsidRPr="00BC09E0">
        <w:t xml:space="preserve">Instructional Support domain, </w:t>
      </w:r>
      <w:r>
        <w:t>G</w:t>
      </w:r>
      <w:r w:rsidRPr="00BC09E0">
        <w:t>rades 4</w:t>
      </w:r>
      <w:r w:rsidRPr="00BC09E0">
        <w:rPr>
          <w:rFonts w:ascii="Vijaya" w:hAnsi="Vijaya" w:cs="Vijaya"/>
        </w:rPr>
        <w:t>−</w:t>
      </w:r>
      <w:r>
        <w:t>12</w:t>
      </w:r>
    </w:p>
    <w:p w14:paraId="54C0C828" w14:textId="77777777" w:rsidR="00B678B5" w:rsidRPr="00F97764" w:rsidRDefault="00B678B5" w:rsidP="00FF5692">
      <w:pPr>
        <w:pStyle w:val="BodyTextposthead"/>
      </w:pPr>
      <w:r w:rsidRPr="00F97764">
        <w:t>Content Understanding refers to the depth of lesson content and the approaches used to help students comprehend the framework, key ideas, and procedures in an academic discipline. At a high level, this dimension refers to interactions among the teacher and students that lead to an integrated understanding of facts, skills, concepts, and principles (</w:t>
      </w:r>
      <w:r w:rsidRPr="00F97764">
        <w:rPr>
          <w:i/>
        </w:rPr>
        <w:t>CLASS Upper Elementary Manual</w:t>
      </w:r>
      <w:r w:rsidRPr="00F97764">
        <w:t>, p. 70</w:t>
      </w:r>
      <w:r>
        <w:t xml:space="preserve">, </w:t>
      </w:r>
      <w:r w:rsidRPr="0085328B">
        <w:rPr>
          <w:i/>
        </w:rPr>
        <w:t>CLASS Secondary Manual,</w:t>
      </w:r>
      <w:r>
        <w:t xml:space="preserve"> p. 68</w:t>
      </w:r>
      <w:r w:rsidRPr="00F97764">
        <w:t>).</w:t>
      </w:r>
    </w:p>
    <w:p w14:paraId="02CB7B6E" w14:textId="77777777" w:rsidR="00B678B5" w:rsidRPr="00BC09E0" w:rsidRDefault="00B678B5">
      <w:pPr>
        <w:pStyle w:val="TableTitle0"/>
      </w:pPr>
      <w:r w:rsidRPr="00BC09E0">
        <w:t xml:space="preserve">Table 11. Content Understanding: Number of Classrooms for Each Rating </w:t>
      </w:r>
      <w:r w:rsidRPr="00D44000">
        <w:t>and District Average</w:t>
      </w:r>
    </w:p>
    <w:p w14:paraId="534AD6B8" w14:textId="77777777" w:rsidR="00B678B5" w:rsidRDefault="00B678B5">
      <w:pPr>
        <w:pStyle w:val="BodyTextDemi"/>
      </w:pPr>
      <w:r w:rsidRPr="00D44000">
        <w:t xml:space="preserve">Content Understanding District Average*: </w:t>
      </w:r>
      <w:bookmarkStart w:id="150" w:name="Dist_CU_Avg"/>
      <w:r>
        <w:t>4.2</w:t>
      </w:r>
      <w:bookmarkEnd w:id="150"/>
    </w:p>
    <w:tbl>
      <w:tblPr>
        <w:tblStyle w:val="MSVTable1"/>
        <w:tblW w:w="5000" w:type="pct"/>
        <w:tblLook w:val="04A0" w:firstRow="1" w:lastRow="0" w:firstColumn="1" w:lastColumn="0" w:noHBand="0" w:noVBand="1"/>
        <w:tblCaption w:val="Table 11. Content Understanding: Number of Classrooms for Each Rating and District Average"/>
        <w:tblDescription w:val="Content Understanding: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6F98CD7A" w14:textId="77777777" w:rsidTr="00130F4F">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791C2DAE" w14:textId="77777777" w:rsidR="00B678B5" w:rsidRPr="00E359BF" w:rsidRDefault="00B678B5" w:rsidP="00130F4F">
            <w:pPr>
              <w:pStyle w:val="TableColHeadingCenter"/>
              <w:rPr>
                <w:rFonts w:eastAsia="MS Mincho"/>
              </w:rPr>
            </w:pPr>
            <w:bookmarkStart w:id="151" w:name="Tbl_CU"/>
            <w:r>
              <w:rPr>
                <w:rFonts w:eastAsia="MS Mincho"/>
              </w:rPr>
              <w:t>Grade Band</w:t>
            </w:r>
          </w:p>
        </w:tc>
        <w:tc>
          <w:tcPr>
            <w:tcW w:w="874" w:type="dxa"/>
            <w:vAlign w:val="center"/>
          </w:tcPr>
          <w:p w14:paraId="49115F13"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3A794746"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59B02D6F"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56CBCF78"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63E307C2"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17AD7D2A"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75A76602"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32014BF2" w14:textId="77777777" w:rsidR="00B678B5" w:rsidRPr="00E359BF" w:rsidRDefault="00B678B5" w:rsidP="00130F4F">
            <w:pPr>
              <w:pStyle w:val="TableColHeadingCenter"/>
              <w:rPr>
                <w:rFonts w:eastAsia="MS Mincho"/>
              </w:rPr>
            </w:pPr>
            <w:r>
              <w:rPr>
                <w:rFonts w:eastAsia="MS Mincho"/>
              </w:rPr>
              <w:t>n</w:t>
            </w:r>
          </w:p>
        </w:tc>
        <w:tc>
          <w:tcPr>
            <w:tcW w:w="892" w:type="dxa"/>
            <w:vAlign w:val="center"/>
          </w:tcPr>
          <w:p w14:paraId="76CB4812" w14:textId="77777777" w:rsidR="00B678B5" w:rsidRPr="00E359BF" w:rsidRDefault="00B678B5" w:rsidP="00130F4F">
            <w:pPr>
              <w:pStyle w:val="TableColHeadingCenter"/>
              <w:rPr>
                <w:rFonts w:eastAsia="MS Mincho"/>
              </w:rPr>
            </w:pPr>
            <w:r>
              <w:rPr>
                <w:rFonts w:eastAsia="MS Mincho"/>
              </w:rPr>
              <w:t>Average</w:t>
            </w:r>
          </w:p>
        </w:tc>
      </w:tr>
      <w:tr w:rsidR="00B678B5" w:rsidRPr="00E359BF" w14:paraId="0A6F0A11"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540FB3BC" w14:textId="77777777" w:rsidR="00B678B5" w:rsidRPr="00E359BF" w:rsidRDefault="00B678B5">
            <w:pPr>
              <w:pStyle w:val="TableText"/>
            </w:pPr>
            <w:r>
              <w:t>Grades 4-5**</w:t>
            </w:r>
          </w:p>
        </w:tc>
        <w:tc>
          <w:tcPr>
            <w:tcW w:w="874" w:type="dxa"/>
          </w:tcPr>
          <w:p w14:paraId="796F1B38" w14:textId="77777777" w:rsidR="00B678B5" w:rsidRPr="00E359BF" w:rsidRDefault="00B678B5">
            <w:pPr>
              <w:pStyle w:val="TableTextCentered"/>
              <w:rPr>
                <w:rFonts w:eastAsia="Times New Roman"/>
              </w:rPr>
            </w:pPr>
            <w:r>
              <w:rPr>
                <w:rFonts w:eastAsia="Times New Roman"/>
              </w:rPr>
              <w:t>0</w:t>
            </w:r>
          </w:p>
        </w:tc>
        <w:tc>
          <w:tcPr>
            <w:tcW w:w="874" w:type="dxa"/>
          </w:tcPr>
          <w:p w14:paraId="36743113" w14:textId="77777777" w:rsidR="00B678B5" w:rsidRPr="00E359BF" w:rsidRDefault="00B678B5">
            <w:pPr>
              <w:pStyle w:val="TableTextCentered"/>
              <w:rPr>
                <w:rFonts w:eastAsia="Times New Roman"/>
              </w:rPr>
            </w:pPr>
            <w:r>
              <w:rPr>
                <w:rFonts w:eastAsia="Times New Roman"/>
              </w:rPr>
              <w:t>2</w:t>
            </w:r>
          </w:p>
        </w:tc>
        <w:tc>
          <w:tcPr>
            <w:tcW w:w="874" w:type="dxa"/>
          </w:tcPr>
          <w:p w14:paraId="228B77F3" w14:textId="77777777" w:rsidR="00B678B5" w:rsidRPr="00E359BF" w:rsidRDefault="00B678B5">
            <w:pPr>
              <w:pStyle w:val="TableTextCentered"/>
              <w:rPr>
                <w:rFonts w:eastAsia="Times New Roman"/>
              </w:rPr>
            </w:pPr>
            <w:r>
              <w:rPr>
                <w:rFonts w:eastAsia="Times New Roman"/>
              </w:rPr>
              <w:t>6</w:t>
            </w:r>
          </w:p>
        </w:tc>
        <w:tc>
          <w:tcPr>
            <w:tcW w:w="875" w:type="dxa"/>
          </w:tcPr>
          <w:p w14:paraId="5B857B25" w14:textId="77777777" w:rsidR="00B678B5" w:rsidRPr="00E359BF" w:rsidRDefault="00B678B5">
            <w:pPr>
              <w:pStyle w:val="TableTextCentered"/>
              <w:rPr>
                <w:rFonts w:eastAsia="Times New Roman"/>
              </w:rPr>
            </w:pPr>
            <w:r>
              <w:rPr>
                <w:rFonts w:eastAsia="Times New Roman"/>
              </w:rPr>
              <w:t>3</w:t>
            </w:r>
          </w:p>
        </w:tc>
        <w:tc>
          <w:tcPr>
            <w:tcW w:w="875" w:type="dxa"/>
          </w:tcPr>
          <w:p w14:paraId="2AD21A6D" w14:textId="77777777" w:rsidR="00B678B5" w:rsidRPr="00E359BF" w:rsidRDefault="00B678B5">
            <w:pPr>
              <w:pStyle w:val="TableTextCentered"/>
              <w:rPr>
                <w:rFonts w:eastAsia="Times New Roman"/>
              </w:rPr>
            </w:pPr>
            <w:r>
              <w:rPr>
                <w:rFonts w:eastAsia="Times New Roman"/>
              </w:rPr>
              <w:t>7</w:t>
            </w:r>
          </w:p>
        </w:tc>
        <w:tc>
          <w:tcPr>
            <w:tcW w:w="874" w:type="dxa"/>
          </w:tcPr>
          <w:p w14:paraId="594C9539" w14:textId="77777777" w:rsidR="00B678B5" w:rsidRPr="00E359BF" w:rsidRDefault="00B678B5">
            <w:pPr>
              <w:pStyle w:val="TableTextCentered"/>
              <w:rPr>
                <w:rFonts w:eastAsia="Times New Roman"/>
              </w:rPr>
            </w:pPr>
            <w:r>
              <w:rPr>
                <w:rFonts w:eastAsia="Times New Roman"/>
              </w:rPr>
              <w:t>5</w:t>
            </w:r>
          </w:p>
        </w:tc>
        <w:tc>
          <w:tcPr>
            <w:tcW w:w="875" w:type="dxa"/>
          </w:tcPr>
          <w:p w14:paraId="6A058C70" w14:textId="77777777" w:rsidR="00B678B5" w:rsidRPr="00E359BF" w:rsidRDefault="00B678B5">
            <w:pPr>
              <w:pStyle w:val="TableTextCentered"/>
              <w:rPr>
                <w:rFonts w:eastAsia="Times New Roman"/>
              </w:rPr>
            </w:pPr>
            <w:r>
              <w:rPr>
                <w:rFonts w:eastAsia="Times New Roman"/>
              </w:rPr>
              <w:t>4</w:t>
            </w:r>
          </w:p>
        </w:tc>
        <w:tc>
          <w:tcPr>
            <w:tcW w:w="900" w:type="dxa"/>
          </w:tcPr>
          <w:p w14:paraId="71E991A1" w14:textId="77777777" w:rsidR="00B678B5" w:rsidRPr="00E359BF" w:rsidRDefault="00B678B5">
            <w:pPr>
              <w:pStyle w:val="TableTextCentered"/>
              <w:rPr>
                <w:rFonts w:eastAsia="Times New Roman"/>
              </w:rPr>
            </w:pPr>
            <w:r>
              <w:rPr>
                <w:rFonts w:eastAsia="Times New Roman"/>
              </w:rPr>
              <w:t>27</w:t>
            </w:r>
          </w:p>
        </w:tc>
        <w:tc>
          <w:tcPr>
            <w:tcW w:w="892" w:type="dxa"/>
          </w:tcPr>
          <w:p w14:paraId="2884D1BD" w14:textId="77777777" w:rsidR="00B678B5" w:rsidRPr="00E359BF" w:rsidRDefault="00B678B5">
            <w:pPr>
              <w:pStyle w:val="TableTextCentered"/>
              <w:rPr>
                <w:rFonts w:eastAsia="Times New Roman"/>
              </w:rPr>
            </w:pPr>
            <w:r>
              <w:rPr>
                <w:rFonts w:eastAsia="Times New Roman"/>
              </w:rPr>
              <w:t>4.7</w:t>
            </w:r>
          </w:p>
        </w:tc>
      </w:tr>
      <w:tr w:rsidR="00B678B5" w:rsidRPr="00E359BF" w14:paraId="4F8B137E" w14:textId="77777777" w:rsidTr="00FF5692">
        <w:tc>
          <w:tcPr>
            <w:tcW w:w="1431" w:type="dxa"/>
          </w:tcPr>
          <w:p w14:paraId="60E1EFD0" w14:textId="77777777" w:rsidR="00B678B5" w:rsidRPr="00E359BF" w:rsidRDefault="00B678B5">
            <w:pPr>
              <w:pStyle w:val="TableText"/>
            </w:pPr>
            <w:r>
              <w:t>Grades 6-8</w:t>
            </w:r>
          </w:p>
        </w:tc>
        <w:tc>
          <w:tcPr>
            <w:tcW w:w="874" w:type="dxa"/>
          </w:tcPr>
          <w:p w14:paraId="56B9DCE5" w14:textId="77777777" w:rsidR="00B678B5" w:rsidRPr="00E359BF" w:rsidRDefault="00B678B5">
            <w:pPr>
              <w:pStyle w:val="TableTextCentered"/>
              <w:rPr>
                <w:rFonts w:eastAsia="Times New Roman"/>
              </w:rPr>
            </w:pPr>
            <w:r>
              <w:rPr>
                <w:rFonts w:eastAsia="Times New Roman"/>
              </w:rPr>
              <w:t>1</w:t>
            </w:r>
          </w:p>
        </w:tc>
        <w:tc>
          <w:tcPr>
            <w:tcW w:w="874" w:type="dxa"/>
          </w:tcPr>
          <w:p w14:paraId="335C3155" w14:textId="77777777" w:rsidR="00B678B5" w:rsidRPr="00E359BF" w:rsidRDefault="00B678B5">
            <w:pPr>
              <w:pStyle w:val="TableTextCentered"/>
              <w:rPr>
                <w:rFonts w:eastAsia="Times New Roman"/>
              </w:rPr>
            </w:pPr>
            <w:r>
              <w:rPr>
                <w:rFonts w:eastAsia="Times New Roman"/>
              </w:rPr>
              <w:t>4</w:t>
            </w:r>
          </w:p>
        </w:tc>
        <w:tc>
          <w:tcPr>
            <w:tcW w:w="874" w:type="dxa"/>
          </w:tcPr>
          <w:p w14:paraId="72DD522F" w14:textId="77777777" w:rsidR="00B678B5" w:rsidRPr="00E359BF" w:rsidRDefault="00B678B5">
            <w:pPr>
              <w:pStyle w:val="TableTextCentered"/>
              <w:rPr>
                <w:rFonts w:eastAsia="Times New Roman"/>
              </w:rPr>
            </w:pPr>
            <w:r>
              <w:rPr>
                <w:rFonts w:eastAsia="Times New Roman"/>
              </w:rPr>
              <w:t>11</w:t>
            </w:r>
          </w:p>
        </w:tc>
        <w:tc>
          <w:tcPr>
            <w:tcW w:w="875" w:type="dxa"/>
          </w:tcPr>
          <w:p w14:paraId="2FA6B9C7" w14:textId="77777777" w:rsidR="00B678B5" w:rsidRPr="00E359BF" w:rsidRDefault="00B678B5">
            <w:pPr>
              <w:pStyle w:val="TableTextCentered"/>
              <w:rPr>
                <w:rFonts w:eastAsia="Times New Roman"/>
              </w:rPr>
            </w:pPr>
            <w:r>
              <w:rPr>
                <w:rFonts w:eastAsia="Times New Roman"/>
              </w:rPr>
              <w:t>9</w:t>
            </w:r>
          </w:p>
        </w:tc>
        <w:tc>
          <w:tcPr>
            <w:tcW w:w="875" w:type="dxa"/>
          </w:tcPr>
          <w:p w14:paraId="2A31E5EE" w14:textId="77777777" w:rsidR="00B678B5" w:rsidRPr="00E359BF" w:rsidRDefault="00B678B5">
            <w:pPr>
              <w:pStyle w:val="TableTextCentered"/>
              <w:rPr>
                <w:rFonts w:eastAsia="Times New Roman"/>
              </w:rPr>
            </w:pPr>
            <w:r>
              <w:rPr>
                <w:rFonts w:eastAsia="Times New Roman"/>
              </w:rPr>
              <w:t>6</w:t>
            </w:r>
          </w:p>
        </w:tc>
        <w:tc>
          <w:tcPr>
            <w:tcW w:w="874" w:type="dxa"/>
          </w:tcPr>
          <w:p w14:paraId="574E9EBF" w14:textId="77777777" w:rsidR="00B678B5" w:rsidRPr="00E359BF" w:rsidRDefault="00B678B5">
            <w:pPr>
              <w:pStyle w:val="TableTextCentered"/>
              <w:rPr>
                <w:rFonts w:eastAsia="Times New Roman"/>
              </w:rPr>
            </w:pPr>
            <w:r>
              <w:rPr>
                <w:rFonts w:eastAsia="Times New Roman"/>
              </w:rPr>
              <w:t>9</w:t>
            </w:r>
          </w:p>
        </w:tc>
        <w:tc>
          <w:tcPr>
            <w:tcW w:w="875" w:type="dxa"/>
          </w:tcPr>
          <w:p w14:paraId="7E2CE391" w14:textId="77777777" w:rsidR="00B678B5" w:rsidRPr="00E359BF" w:rsidRDefault="00B678B5">
            <w:pPr>
              <w:pStyle w:val="TableTextCentered"/>
              <w:rPr>
                <w:rFonts w:eastAsia="Times New Roman"/>
              </w:rPr>
            </w:pPr>
            <w:r>
              <w:rPr>
                <w:rFonts w:eastAsia="Times New Roman"/>
              </w:rPr>
              <w:t>0</w:t>
            </w:r>
          </w:p>
        </w:tc>
        <w:tc>
          <w:tcPr>
            <w:tcW w:w="900" w:type="dxa"/>
          </w:tcPr>
          <w:p w14:paraId="1B233E3E" w14:textId="77777777" w:rsidR="00B678B5" w:rsidRPr="00E359BF" w:rsidRDefault="00B678B5">
            <w:pPr>
              <w:pStyle w:val="TableTextCentered"/>
              <w:rPr>
                <w:rFonts w:eastAsia="Times New Roman"/>
              </w:rPr>
            </w:pPr>
            <w:r>
              <w:rPr>
                <w:rFonts w:eastAsia="Times New Roman"/>
              </w:rPr>
              <w:t>40</w:t>
            </w:r>
          </w:p>
        </w:tc>
        <w:tc>
          <w:tcPr>
            <w:tcW w:w="892" w:type="dxa"/>
          </w:tcPr>
          <w:p w14:paraId="3217A113" w14:textId="77777777" w:rsidR="00B678B5" w:rsidRPr="00E359BF" w:rsidRDefault="00B678B5">
            <w:pPr>
              <w:pStyle w:val="TableTextCentered"/>
              <w:rPr>
                <w:rFonts w:eastAsia="Times New Roman"/>
              </w:rPr>
            </w:pPr>
            <w:r>
              <w:rPr>
                <w:rFonts w:eastAsia="Times New Roman"/>
              </w:rPr>
              <w:t>4.1</w:t>
            </w:r>
          </w:p>
        </w:tc>
      </w:tr>
      <w:tr w:rsidR="00B678B5" w:rsidRPr="00E359BF" w14:paraId="1FD53CF1"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2577AE74" w14:textId="77777777" w:rsidR="00B678B5" w:rsidRPr="00E359BF" w:rsidRDefault="00B678B5">
            <w:pPr>
              <w:pStyle w:val="TableText"/>
            </w:pPr>
            <w:r>
              <w:t>Grades 9-12</w:t>
            </w:r>
          </w:p>
        </w:tc>
        <w:tc>
          <w:tcPr>
            <w:tcW w:w="874" w:type="dxa"/>
          </w:tcPr>
          <w:p w14:paraId="7B6C5E45" w14:textId="77777777" w:rsidR="00B678B5" w:rsidRPr="00E359BF" w:rsidRDefault="00B678B5">
            <w:pPr>
              <w:pStyle w:val="TableTextCentered"/>
              <w:rPr>
                <w:rFonts w:eastAsia="Times New Roman"/>
              </w:rPr>
            </w:pPr>
            <w:r>
              <w:rPr>
                <w:rFonts w:eastAsia="Times New Roman"/>
              </w:rPr>
              <w:t>2</w:t>
            </w:r>
          </w:p>
        </w:tc>
        <w:tc>
          <w:tcPr>
            <w:tcW w:w="874" w:type="dxa"/>
          </w:tcPr>
          <w:p w14:paraId="07697DDF" w14:textId="77777777" w:rsidR="00B678B5" w:rsidRPr="00E359BF" w:rsidRDefault="00B678B5">
            <w:pPr>
              <w:pStyle w:val="TableTextCentered"/>
              <w:rPr>
                <w:rFonts w:eastAsia="Times New Roman"/>
              </w:rPr>
            </w:pPr>
            <w:r>
              <w:rPr>
                <w:rFonts w:eastAsia="Times New Roman"/>
              </w:rPr>
              <w:t>6</w:t>
            </w:r>
          </w:p>
        </w:tc>
        <w:tc>
          <w:tcPr>
            <w:tcW w:w="874" w:type="dxa"/>
          </w:tcPr>
          <w:p w14:paraId="750E90C7" w14:textId="77777777" w:rsidR="00B678B5" w:rsidRPr="00E359BF" w:rsidRDefault="00B678B5">
            <w:pPr>
              <w:pStyle w:val="TableTextCentered"/>
              <w:rPr>
                <w:rFonts w:eastAsia="Times New Roman"/>
              </w:rPr>
            </w:pPr>
            <w:r>
              <w:rPr>
                <w:rFonts w:eastAsia="Times New Roman"/>
              </w:rPr>
              <w:t>14</w:t>
            </w:r>
          </w:p>
        </w:tc>
        <w:tc>
          <w:tcPr>
            <w:tcW w:w="875" w:type="dxa"/>
          </w:tcPr>
          <w:p w14:paraId="4AD5080C" w14:textId="77777777" w:rsidR="00B678B5" w:rsidRPr="00E359BF" w:rsidRDefault="00B678B5">
            <w:pPr>
              <w:pStyle w:val="TableTextCentered"/>
              <w:rPr>
                <w:rFonts w:eastAsia="Times New Roman"/>
              </w:rPr>
            </w:pPr>
            <w:r>
              <w:rPr>
                <w:rFonts w:eastAsia="Times New Roman"/>
              </w:rPr>
              <w:t>11</w:t>
            </w:r>
          </w:p>
        </w:tc>
        <w:tc>
          <w:tcPr>
            <w:tcW w:w="875" w:type="dxa"/>
          </w:tcPr>
          <w:p w14:paraId="69A2819C" w14:textId="77777777" w:rsidR="00B678B5" w:rsidRPr="00E359BF" w:rsidRDefault="00B678B5">
            <w:pPr>
              <w:pStyle w:val="TableTextCentered"/>
              <w:rPr>
                <w:rFonts w:eastAsia="Times New Roman"/>
              </w:rPr>
            </w:pPr>
            <w:r>
              <w:rPr>
                <w:rFonts w:eastAsia="Times New Roman"/>
              </w:rPr>
              <w:t>12</w:t>
            </w:r>
          </w:p>
        </w:tc>
        <w:tc>
          <w:tcPr>
            <w:tcW w:w="874" w:type="dxa"/>
          </w:tcPr>
          <w:p w14:paraId="1A5321EE" w14:textId="77777777" w:rsidR="00B678B5" w:rsidRPr="00E359BF" w:rsidRDefault="00B678B5">
            <w:pPr>
              <w:pStyle w:val="TableTextCentered"/>
              <w:rPr>
                <w:rFonts w:eastAsia="Times New Roman"/>
              </w:rPr>
            </w:pPr>
            <w:r>
              <w:rPr>
                <w:rFonts w:eastAsia="Times New Roman"/>
              </w:rPr>
              <w:t>5</w:t>
            </w:r>
          </w:p>
        </w:tc>
        <w:tc>
          <w:tcPr>
            <w:tcW w:w="875" w:type="dxa"/>
          </w:tcPr>
          <w:p w14:paraId="02495C4A" w14:textId="77777777" w:rsidR="00B678B5" w:rsidRPr="00E359BF" w:rsidRDefault="00B678B5">
            <w:pPr>
              <w:pStyle w:val="TableTextCentered"/>
              <w:rPr>
                <w:rFonts w:eastAsia="Times New Roman"/>
              </w:rPr>
            </w:pPr>
            <w:r>
              <w:rPr>
                <w:rFonts w:eastAsia="Times New Roman"/>
              </w:rPr>
              <w:t>3</w:t>
            </w:r>
          </w:p>
        </w:tc>
        <w:tc>
          <w:tcPr>
            <w:tcW w:w="900" w:type="dxa"/>
          </w:tcPr>
          <w:p w14:paraId="53663888" w14:textId="77777777" w:rsidR="00B678B5" w:rsidRPr="00E359BF" w:rsidRDefault="00B678B5">
            <w:pPr>
              <w:pStyle w:val="TableTextCentered"/>
              <w:rPr>
                <w:rFonts w:eastAsia="Times New Roman"/>
              </w:rPr>
            </w:pPr>
            <w:r>
              <w:rPr>
                <w:rFonts w:eastAsia="Times New Roman"/>
              </w:rPr>
              <w:t>53</w:t>
            </w:r>
          </w:p>
        </w:tc>
        <w:tc>
          <w:tcPr>
            <w:tcW w:w="892" w:type="dxa"/>
          </w:tcPr>
          <w:p w14:paraId="13939559" w14:textId="77777777" w:rsidR="00B678B5" w:rsidRPr="00E359BF" w:rsidRDefault="00B678B5">
            <w:pPr>
              <w:pStyle w:val="TableTextCentered"/>
              <w:rPr>
                <w:rFonts w:eastAsia="Times New Roman"/>
              </w:rPr>
            </w:pPr>
            <w:r>
              <w:rPr>
                <w:rFonts w:eastAsia="Times New Roman"/>
              </w:rPr>
              <w:t>4.0</w:t>
            </w:r>
          </w:p>
        </w:tc>
      </w:tr>
      <w:tr w:rsidR="00B678B5" w:rsidRPr="00E359BF" w14:paraId="3CEC0043" w14:textId="77777777" w:rsidTr="00FF5692">
        <w:tc>
          <w:tcPr>
            <w:tcW w:w="1431" w:type="dxa"/>
          </w:tcPr>
          <w:p w14:paraId="528FB993"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6ECF15F0"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w:t>
            </w:r>
          </w:p>
        </w:tc>
        <w:tc>
          <w:tcPr>
            <w:tcW w:w="874" w:type="dxa"/>
          </w:tcPr>
          <w:p w14:paraId="19899AB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12</w:t>
            </w:r>
          </w:p>
        </w:tc>
        <w:tc>
          <w:tcPr>
            <w:tcW w:w="874" w:type="dxa"/>
          </w:tcPr>
          <w:p w14:paraId="4F012224"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31</w:t>
            </w:r>
          </w:p>
        </w:tc>
        <w:tc>
          <w:tcPr>
            <w:tcW w:w="875" w:type="dxa"/>
          </w:tcPr>
          <w:p w14:paraId="798799B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23</w:t>
            </w:r>
          </w:p>
        </w:tc>
        <w:tc>
          <w:tcPr>
            <w:tcW w:w="875" w:type="dxa"/>
          </w:tcPr>
          <w:p w14:paraId="6221DF9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25</w:t>
            </w:r>
          </w:p>
        </w:tc>
        <w:tc>
          <w:tcPr>
            <w:tcW w:w="874" w:type="dxa"/>
          </w:tcPr>
          <w:p w14:paraId="488CA942"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19</w:t>
            </w:r>
          </w:p>
        </w:tc>
        <w:tc>
          <w:tcPr>
            <w:tcW w:w="875" w:type="dxa"/>
          </w:tcPr>
          <w:p w14:paraId="5746224A"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7</w:t>
            </w:r>
          </w:p>
        </w:tc>
        <w:tc>
          <w:tcPr>
            <w:tcW w:w="900" w:type="dxa"/>
          </w:tcPr>
          <w:p w14:paraId="389E5E81"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120</w:t>
            </w:r>
          </w:p>
        </w:tc>
        <w:tc>
          <w:tcPr>
            <w:tcW w:w="892" w:type="dxa"/>
          </w:tcPr>
          <w:p w14:paraId="2E9C4AB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4.2</w:t>
            </w:r>
          </w:p>
        </w:tc>
      </w:tr>
    </w:tbl>
    <w:bookmarkEnd w:id="151"/>
    <w:p w14:paraId="44D2EEBE" w14:textId="7324986E" w:rsidR="00B678B5" w:rsidRDefault="00B678B5" w:rsidP="00FF5692">
      <w:pPr>
        <w:pStyle w:val="TableNote"/>
      </w:pPr>
      <w:r w:rsidRPr="00D44000">
        <w:t xml:space="preserve">*The district average is an average of the observation scores. In Table 11, the district average is computed as: </w:t>
      </w:r>
      <w:bookmarkStart w:id="152" w:name="Dist_CU_Calc"/>
      <w:r>
        <w:t xml:space="preserve">([1 x 3] + [2 x 12] + [3 x 31] + [4 x 23] + [5 x 25] + [6 x 19] + [7 x 7]) ÷ 120 </w:t>
      </w:r>
      <w:r w:rsidRPr="00FF5692">
        <w:t>observations</w:t>
      </w:r>
      <w:r>
        <w:t xml:space="preserve"> = 4.2</w:t>
      </w:r>
      <w:bookmarkEnd w:id="152"/>
    </w:p>
    <w:p w14:paraId="6B1DD825" w14:textId="77777777" w:rsidR="00B678B5" w:rsidRPr="00FF5692" w:rsidRDefault="00B678B5" w:rsidP="00FF5692">
      <w:pPr>
        <w:pStyle w:val="TableNote"/>
      </w:pPr>
      <w:r>
        <w:t>**Content Understanding does not appear in the CLASS PK-3 Manual, therefore scores for the Elementary School Level represent grades 4-5 only.</w:t>
      </w:r>
    </w:p>
    <w:p w14:paraId="72F9FD92" w14:textId="77777777" w:rsidR="00B678B5" w:rsidRPr="00BC09E0" w:rsidRDefault="00B678B5" w:rsidP="00FF5692">
      <w:pPr>
        <w:pStyle w:val="BodyText"/>
      </w:pPr>
      <w:r w:rsidRPr="00F97764">
        <w:rPr>
          <w:rStyle w:val="BodyTextDemiChar"/>
        </w:rPr>
        <w:t>Ratings in the Low Range.</w:t>
      </w:r>
      <w:r w:rsidRPr="00BC09E0">
        <w:t xml:space="preserve"> At the low range, the focus of the class is primarily on presenting discrete pieces of topically related information, absent broad, organizing ideas. The discussion and materials fail to effectively communicate the essential attributes of the concepts and procedures to students. The teacher makes little effort to elicit or acknowledge students’ background knowledge or misconceptions or to integrate previously learned material when presenting new information.</w:t>
      </w:r>
    </w:p>
    <w:p w14:paraId="7B81CD3C" w14:textId="77777777" w:rsidR="00B678B5" w:rsidRPr="00BC09E0" w:rsidRDefault="00B678B5" w:rsidP="00FF5692">
      <w:pPr>
        <w:pStyle w:val="BodyTextposthead"/>
      </w:pPr>
      <w:r w:rsidRPr="00F97764">
        <w:rPr>
          <w:rStyle w:val="BodyTextDemiChar"/>
        </w:rPr>
        <w:t>Ratings in the Middle Range.</w:t>
      </w:r>
      <w:r w:rsidRPr="00BC09E0">
        <w:t xml:space="preserve"> At the middle range, the focus of the class is sometimes on meaningful discussion and explanation of broad, organizing ideas. At other times, the focus is on discrete pieces of information. Class discussion and materials communicate some of the essential attributes of concepts and procedures, but examples are limited in scope or not consistently provided. The teacher makes some attempt to elicit and/or acknowledge students’ background knowledge or misconceptions and/or to integrate information with previously learned materials; however, these moments are limited in depth or inconsistent.</w:t>
      </w:r>
    </w:p>
    <w:p w14:paraId="3DAB7919" w14:textId="2635EB31" w:rsidR="00FF5692" w:rsidRDefault="00B678B5" w:rsidP="00FF5692">
      <w:pPr>
        <w:pStyle w:val="BodyTextposthead"/>
      </w:pPr>
      <w:r w:rsidRPr="00F97764">
        <w:rPr>
          <w:rStyle w:val="BodyTextDemiChar"/>
        </w:rPr>
        <w:t>Ratings in the High Range.</w:t>
      </w:r>
      <w:r w:rsidRPr="00BC09E0">
        <w:t xml:space="preserve"> At the high range, the focus of the class is on encouraging deep understanding of content through the provision of meaningful, interactive discu</w:t>
      </w:r>
      <w:r w:rsidRPr="00F97764">
        <w:t>ssion and explanation of broad, organizing ideas. Class discussion and materials consiste</w:t>
      </w:r>
      <w:r w:rsidRPr="00BC09E0">
        <w:t>ntly communicate the essential attributes of concepts and procedures to students. New concepts and procedures and broad ideas are consistently linked to students’ prior knowledge in ways that advance their understanding and clarify misconceptions.</w:t>
      </w:r>
      <w:r w:rsidR="00FF5692">
        <w:br w:type="page"/>
      </w:r>
    </w:p>
    <w:p w14:paraId="7651891F" w14:textId="77777777" w:rsidR="00B678B5" w:rsidRPr="00BC09E0" w:rsidRDefault="00B678B5" w:rsidP="00E35A27">
      <w:pPr>
        <w:pStyle w:val="DIOR"/>
      </w:pPr>
      <w:bookmarkStart w:id="153" w:name="_Toc379881743"/>
      <w:bookmarkStart w:id="154" w:name="_Toc411329835"/>
      <w:bookmarkStart w:id="155" w:name="_Toc430114884"/>
      <w:bookmarkStart w:id="156" w:name="_Toc231296594"/>
      <w:r w:rsidRPr="00BC09E0">
        <w:t>Analysis and Inquiry</w:t>
      </w:r>
      <w:bookmarkEnd w:id="153"/>
      <w:bookmarkEnd w:id="154"/>
      <w:bookmarkEnd w:id="155"/>
      <w:bookmarkEnd w:id="156"/>
    </w:p>
    <w:p w14:paraId="310670AF" w14:textId="77777777" w:rsidR="00B678B5" w:rsidRPr="00BC09E0" w:rsidRDefault="00B678B5">
      <w:pPr>
        <w:pStyle w:val="BodyTextDomain"/>
      </w:pPr>
      <w:r w:rsidRPr="00BC09E0">
        <w:t xml:space="preserve">Instructional Support domain, </w:t>
      </w:r>
      <w:r>
        <w:t>G</w:t>
      </w:r>
      <w:r w:rsidRPr="00BC09E0">
        <w:t>rades 4</w:t>
      </w:r>
      <w:r w:rsidRPr="00BC09E0">
        <w:rPr>
          <w:rFonts w:ascii="Vijaya" w:hAnsi="Vijaya" w:cs="Vijaya"/>
        </w:rPr>
        <w:t>−</w:t>
      </w:r>
      <w:r>
        <w:t>12</w:t>
      </w:r>
    </w:p>
    <w:p w14:paraId="5F1DBE51" w14:textId="77777777" w:rsidR="00B678B5" w:rsidRPr="00BC09E0" w:rsidRDefault="00B678B5" w:rsidP="00FF5692">
      <w:pPr>
        <w:pStyle w:val="BodyTextposthead"/>
      </w:pPr>
      <w:r w:rsidRPr="00BC09E0">
        <w:t>Analysis and Inquiry assesses the degree to which students are engaged in higher level thinking skills through their application of knowledge and skills to novel and/or open-ended problems, tasks, and questions. Opportunities for engaging in metacognition (thinking about thinking) also are included (</w:t>
      </w:r>
      <w:r w:rsidRPr="00BC09E0">
        <w:rPr>
          <w:i/>
        </w:rPr>
        <w:t>CLASS Upper Elementary Manual</w:t>
      </w:r>
      <w:r w:rsidRPr="00BC09E0">
        <w:t>, p. 81</w:t>
      </w:r>
      <w:r>
        <w:t>,</w:t>
      </w:r>
      <w:r w:rsidRPr="003A3533">
        <w:rPr>
          <w:i/>
        </w:rPr>
        <w:t xml:space="preserve"> </w:t>
      </w:r>
      <w:r w:rsidRPr="0085328B">
        <w:rPr>
          <w:i/>
        </w:rPr>
        <w:t>CLASS Secondary Manual</w:t>
      </w:r>
      <w:r>
        <w:t>, p. 76</w:t>
      </w:r>
      <w:r w:rsidRPr="00BC09E0">
        <w:t>).</w:t>
      </w:r>
    </w:p>
    <w:p w14:paraId="131B13FA" w14:textId="77777777" w:rsidR="00B678B5" w:rsidRPr="00BC09E0" w:rsidRDefault="00B678B5">
      <w:pPr>
        <w:pStyle w:val="TableTitle0"/>
      </w:pPr>
      <w:r w:rsidRPr="00BC09E0">
        <w:t xml:space="preserve">Table 12. Analysis and Inquiry: Number of Classrooms for Each Rating </w:t>
      </w:r>
      <w:r w:rsidRPr="00D44000">
        <w:t>and District Average</w:t>
      </w:r>
    </w:p>
    <w:p w14:paraId="10DA1C8A" w14:textId="77777777" w:rsidR="00B678B5" w:rsidRDefault="00B678B5">
      <w:pPr>
        <w:pStyle w:val="BodyTextDemi"/>
      </w:pPr>
      <w:r w:rsidRPr="00D44000">
        <w:t xml:space="preserve">Analysis and Inquiry District Average*: </w:t>
      </w:r>
      <w:bookmarkStart w:id="157" w:name="Dist_AI_Avg"/>
      <w:r>
        <w:t>2.5</w:t>
      </w:r>
      <w:bookmarkEnd w:id="157"/>
    </w:p>
    <w:tbl>
      <w:tblPr>
        <w:tblStyle w:val="MSVTable1"/>
        <w:tblW w:w="5000" w:type="pct"/>
        <w:tblLook w:val="04A0" w:firstRow="1" w:lastRow="0" w:firstColumn="1" w:lastColumn="0" w:noHBand="0" w:noVBand="1"/>
        <w:tblCaption w:val="Table 12. Analysis and Inquiry: Number of Classrooms for Each Rating and District Average"/>
        <w:tblDescription w:val="Analysis and Inquiry: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35DE5CED" w14:textId="77777777" w:rsidTr="00130F4F">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1A858EE3" w14:textId="77777777" w:rsidR="00B678B5" w:rsidRPr="00E359BF" w:rsidRDefault="00B678B5" w:rsidP="00130F4F">
            <w:pPr>
              <w:pStyle w:val="TableColHeadingCenter"/>
              <w:rPr>
                <w:rFonts w:eastAsia="MS Mincho"/>
              </w:rPr>
            </w:pPr>
            <w:bookmarkStart w:id="158" w:name="Tbl_AI"/>
            <w:r>
              <w:rPr>
                <w:rFonts w:eastAsia="MS Mincho"/>
              </w:rPr>
              <w:t>Grade Band</w:t>
            </w:r>
          </w:p>
        </w:tc>
        <w:tc>
          <w:tcPr>
            <w:tcW w:w="874" w:type="dxa"/>
            <w:vAlign w:val="center"/>
          </w:tcPr>
          <w:p w14:paraId="10C74926"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484DF080"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71103317"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1584FC55"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29D10FD6"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54595F1B"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03A26AE6"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08EBB61A" w14:textId="77777777" w:rsidR="00B678B5" w:rsidRPr="00E359BF" w:rsidRDefault="00B678B5" w:rsidP="00130F4F">
            <w:pPr>
              <w:pStyle w:val="TableColHeadingCenter"/>
              <w:rPr>
                <w:rFonts w:eastAsia="MS Mincho"/>
              </w:rPr>
            </w:pPr>
            <w:r>
              <w:rPr>
                <w:rFonts w:eastAsia="MS Mincho"/>
              </w:rPr>
              <w:t>n</w:t>
            </w:r>
          </w:p>
        </w:tc>
        <w:tc>
          <w:tcPr>
            <w:tcW w:w="892" w:type="dxa"/>
            <w:vAlign w:val="center"/>
          </w:tcPr>
          <w:p w14:paraId="55B5ADEE" w14:textId="77777777" w:rsidR="00B678B5" w:rsidRPr="00E359BF" w:rsidRDefault="00B678B5" w:rsidP="00130F4F">
            <w:pPr>
              <w:pStyle w:val="TableColHeadingCenter"/>
              <w:rPr>
                <w:rFonts w:eastAsia="MS Mincho"/>
              </w:rPr>
            </w:pPr>
            <w:r>
              <w:rPr>
                <w:rFonts w:eastAsia="MS Mincho"/>
              </w:rPr>
              <w:t>Average</w:t>
            </w:r>
          </w:p>
        </w:tc>
      </w:tr>
      <w:tr w:rsidR="00B678B5" w:rsidRPr="00E359BF" w14:paraId="6952A2DF"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2E9FC54B" w14:textId="77777777" w:rsidR="00B678B5" w:rsidRPr="00E359BF" w:rsidRDefault="00B678B5">
            <w:pPr>
              <w:pStyle w:val="TableText"/>
            </w:pPr>
            <w:r>
              <w:t>Grades 4-5**</w:t>
            </w:r>
          </w:p>
        </w:tc>
        <w:tc>
          <w:tcPr>
            <w:tcW w:w="874" w:type="dxa"/>
          </w:tcPr>
          <w:p w14:paraId="426095E1" w14:textId="77777777" w:rsidR="00B678B5" w:rsidRPr="00E359BF" w:rsidRDefault="00B678B5">
            <w:pPr>
              <w:pStyle w:val="TableTextCentered"/>
              <w:rPr>
                <w:rFonts w:eastAsia="Times New Roman"/>
              </w:rPr>
            </w:pPr>
            <w:r>
              <w:rPr>
                <w:rFonts w:eastAsia="Times New Roman"/>
              </w:rPr>
              <w:t>4</w:t>
            </w:r>
          </w:p>
        </w:tc>
        <w:tc>
          <w:tcPr>
            <w:tcW w:w="874" w:type="dxa"/>
          </w:tcPr>
          <w:p w14:paraId="0E62A518" w14:textId="77777777" w:rsidR="00B678B5" w:rsidRPr="00E359BF" w:rsidRDefault="00B678B5">
            <w:pPr>
              <w:pStyle w:val="TableTextCentered"/>
              <w:rPr>
                <w:rFonts w:eastAsia="Times New Roman"/>
              </w:rPr>
            </w:pPr>
            <w:r>
              <w:rPr>
                <w:rFonts w:eastAsia="Times New Roman"/>
              </w:rPr>
              <w:t>8</w:t>
            </w:r>
          </w:p>
        </w:tc>
        <w:tc>
          <w:tcPr>
            <w:tcW w:w="874" w:type="dxa"/>
          </w:tcPr>
          <w:p w14:paraId="796440B7" w14:textId="77777777" w:rsidR="00B678B5" w:rsidRPr="00E359BF" w:rsidRDefault="00B678B5">
            <w:pPr>
              <w:pStyle w:val="TableTextCentered"/>
              <w:rPr>
                <w:rFonts w:eastAsia="Times New Roman"/>
              </w:rPr>
            </w:pPr>
            <w:r>
              <w:rPr>
                <w:rFonts w:eastAsia="Times New Roman"/>
              </w:rPr>
              <w:t>7</w:t>
            </w:r>
          </w:p>
        </w:tc>
        <w:tc>
          <w:tcPr>
            <w:tcW w:w="875" w:type="dxa"/>
          </w:tcPr>
          <w:p w14:paraId="161392C3" w14:textId="77777777" w:rsidR="00B678B5" w:rsidRPr="00E359BF" w:rsidRDefault="00B678B5">
            <w:pPr>
              <w:pStyle w:val="TableTextCentered"/>
              <w:rPr>
                <w:rFonts w:eastAsia="Times New Roman"/>
              </w:rPr>
            </w:pPr>
            <w:r>
              <w:rPr>
                <w:rFonts w:eastAsia="Times New Roman"/>
              </w:rPr>
              <w:t>6</w:t>
            </w:r>
          </w:p>
        </w:tc>
        <w:tc>
          <w:tcPr>
            <w:tcW w:w="875" w:type="dxa"/>
          </w:tcPr>
          <w:p w14:paraId="07F1F412" w14:textId="77777777" w:rsidR="00B678B5" w:rsidRPr="00E359BF" w:rsidRDefault="00B678B5">
            <w:pPr>
              <w:pStyle w:val="TableTextCentered"/>
              <w:rPr>
                <w:rFonts w:eastAsia="Times New Roman"/>
              </w:rPr>
            </w:pPr>
            <w:r>
              <w:rPr>
                <w:rFonts w:eastAsia="Times New Roman"/>
              </w:rPr>
              <w:t>2</w:t>
            </w:r>
          </w:p>
        </w:tc>
        <w:tc>
          <w:tcPr>
            <w:tcW w:w="874" w:type="dxa"/>
          </w:tcPr>
          <w:p w14:paraId="682D16FA" w14:textId="77777777" w:rsidR="00B678B5" w:rsidRPr="00E359BF" w:rsidRDefault="00B678B5">
            <w:pPr>
              <w:pStyle w:val="TableTextCentered"/>
              <w:rPr>
                <w:rFonts w:eastAsia="Times New Roman"/>
              </w:rPr>
            </w:pPr>
            <w:r>
              <w:rPr>
                <w:rFonts w:eastAsia="Times New Roman"/>
              </w:rPr>
              <w:t>0</w:t>
            </w:r>
          </w:p>
        </w:tc>
        <w:tc>
          <w:tcPr>
            <w:tcW w:w="875" w:type="dxa"/>
          </w:tcPr>
          <w:p w14:paraId="24D756C1" w14:textId="77777777" w:rsidR="00B678B5" w:rsidRPr="00E359BF" w:rsidRDefault="00B678B5">
            <w:pPr>
              <w:pStyle w:val="TableTextCentered"/>
              <w:rPr>
                <w:rFonts w:eastAsia="Times New Roman"/>
              </w:rPr>
            </w:pPr>
            <w:r>
              <w:rPr>
                <w:rFonts w:eastAsia="Times New Roman"/>
              </w:rPr>
              <w:t>0</w:t>
            </w:r>
          </w:p>
        </w:tc>
        <w:tc>
          <w:tcPr>
            <w:tcW w:w="900" w:type="dxa"/>
          </w:tcPr>
          <w:p w14:paraId="7427ED19" w14:textId="77777777" w:rsidR="00B678B5" w:rsidRPr="00E359BF" w:rsidRDefault="00B678B5">
            <w:pPr>
              <w:pStyle w:val="TableTextCentered"/>
              <w:rPr>
                <w:rFonts w:eastAsia="Times New Roman"/>
              </w:rPr>
            </w:pPr>
            <w:r>
              <w:rPr>
                <w:rFonts w:eastAsia="Times New Roman"/>
              </w:rPr>
              <w:t>27</w:t>
            </w:r>
          </w:p>
        </w:tc>
        <w:tc>
          <w:tcPr>
            <w:tcW w:w="892" w:type="dxa"/>
          </w:tcPr>
          <w:p w14:paraId="3ABFC0C2" w14:textId="77777777" w:rsidR="00B678B5" w:rsidRPr="00E359BF" w:rsidRDefault="00B678B5">
            <w:pPr>
              <w:pStyle w:val="TableTextCentered"/>
              <w:rPr>
                <w:rFonts w:eastAsia="Times New Roman"/>
              </w:rPr>
            </w:pPr>
            <w:r>
              <w:rPr>
                <w:rFonts w:eastAsia="Times New Roman"/>
              </w:rPr>
              <w:t>2.8</w:t>
            </w:r>
          </w:p>
        </w:tc>
      </w:tr>
      <w:tr w:rsidR="00B678B5" w:rsidRPr="00E359BF" w14:paraId="27D681EE" w14:textId="77777777" w:rsidTr="00FF5692">
        <w:tc>
          <w:tcPr>
            <w:tcW w:w="1431" w:type="dxa"/>
          </w:tcPr>
          <w:p w14:paraId="223F4165" w14:textId="77777777" w:rsidR="00B678B5" w:rsidRPr="00E359BF" w:rsidRDefault="00B678B5">
            <w:pPr>
              <w:pStyle w:val="TableText"/>
            </w:pPr>
            <w:r>
              <w:t>Grades 6-8</w:t>
            </w:r>
          </w:p>
        </w:tc>
        <w:tc>
          <w:tcPr>
            <w:tcW w:w="874" w:type="dxa"/>
          </w:tcPr>
          <w:p w14:paraId="6FBC873F" w14:textId="77777777" w:rsidR="00B678B5" w:rsidRPr="00E359BF" w:rsidRDefault="00B678B5">
            <w:pPr>
              <w:pStyle w:val="TableTextCentered"/>
              <w:rPr>
                <w:rFonts w:eastAsia="Times New Roman"/>
              </w:rPr>
            </w:pPr>
            <w:r>
              <w:rPr>
                <w:rFonts w:eastAsia="Times New Roman"/>
              </w:rPr>
              <w:t>12</w:t>
            </w:r>
          </w:p>
        </w:tc>
        <w:tc>
          <w:tcPr>
            <w:tcW w:w="874" w:type="dxa"/>
          </w:tcPr>
          <w:p w14:paraId="2E9D67A3" w14:textId="77777777" w:rsidR="00B678B5" w:rsidRPr="00E359BF" w:rsidRDefault="00B678B5">
            <w:pPr>
              <w:pStyle w:val="TableTextCentered"/>
              <w:rPr>
                <w:rFonts w:eastAsia="Times New Roman"/>
              </w:rPr>
            </w:pPr>
            <w:r>
              <w:rPr>
                <w:rFonts w:eastAsia="Times New Roman"/>
              </w:rPr>
              <w:t>11</w:t>
            </w:r>
          </w:p>
        </w:tc>
        <w:tc>
          <w:tcPr>
            <w:tcW w:w="874" w:type="dxa"/>
          </w:tcPr>
          <w:p w14:paraId="679D937B" w14:textId="77777777" w:rsidR="00B678B5" w:rsidRPr="00E359BF" w:rsidRDefault="00B678B5">
            <w:pPr>
              <w:pStyle w:val="TableTextCentered"/>
              <w:rPr>
                <w:rFonts w:eastAsia="Times New Roman"/>
              </w:rPr>
            </w:pPr>
            <w:r>
              <w:rPr>
                <w:rFonts w:eastAsia="Times New Roman"/>
              </w:rPr>
              <w:t>12</w:t>
            </w:r>
          </w:p>
        </w:tc>
        <w:tc>
          <w:tcPr>
            <w:tcW w:w="875" w:type="dxa"/>
          </w:tcPr>
          <w:p w14:paraId="232FC986" w14:textId="77777777" w:rsidR="00B678B5" w:rsidRPr="00E359BF" w:rsidRDefault="00B678B5">
            <w:pPr>
              <w:pStyle w:val="TableTextCentered"/>
              <w:rPr>
                <w:rFonts w:eastAsia="Times New Roman"/>
              </w:rPr>
            </w:pPr>
            <w:r>
              <w:rPr>
                <w:rFonts w:eastAsia="Times New Roman"/>
              </w:rPr>
              <w:t>4</w:t>
            </w:r>
          </w:p>
        </w:tc>
        <w:tc>
          <w:tcPr>
            <w:tcW w:w="875" w:type="dxa"/>
          </w:tcPr>
          <w:p w14:paraId="7B52EC79" w14:textId="77777777" w:rsidR="00B678B5" w:rsidRPr="00E359BF" w:rsidRDefault="00B678B5">
            <w:pPr>
              <w:pStyle w:val="TableTextCentered"/>
              <w:rPr>
                <w:rFonts w:eastAsia="Times New Roman"/>
              </w:rPr>
            </w:pPr>
            <w:r>
              <w:rPr>
                <w:rFonts w:eastAsia="Times New Roman"/>
              </w:rPr>
              <w:t>1</w:t>
            </w:r>
          </w:p>
        </w:tc>
        <w:tc>
          <w:tcPr>
            <w:tcW w:w="874" w:type="dxa"/>
          </w:tcPr>
          <w:p w14:paraId="3746D325" w14:textId="77777777" w:rsidR="00B678B5" w:rsidRPr="00E359BF" w:rsidRDefault="00B678B5">
            <w:pPr>
              <w:pStyle w:val="TableTextCentered"/>
              <w:rPr>
                <w:rFonts w:eastAsia="Times New Roman"/>
              </w:rPr>
            </w:pPr>
            <w:r>
              <w:rPr>
                <w:rFonts w:eastAsia="Times New Roman"/>
              </w:rPr>
              <w:t>0</w:t>
            </w:r>
          </w:p>
        </w:tc>
        <w:tc>
          <w:tcPr>
            <w:tcW w:w="875" w:type="dxa"/>
          </w:tcPr>
          <w:p w14:paraId="331F0F94" w14:textId="77777777" w:rsidR="00B678B5" w:rsidRPr="00E359BF" w:rsidRDefault="00B678B5">
            <w:pPr>
              <w:pStyle w:val="TableTextCentered"/>
              <w:rPr>
                <w:rFonts w:eastAsia="Times New Roman"/>
              </w:rPr>
            </w:pPr>
            <w:r>
              <w:rPr>
                <w:rFonts w:eastAsia="Times New Roman"/>
              </w:rPr>
              <w:t>0</w:t>
            </w:r>
          </w:p>
        </w:tc>
        <w:tc>
          <w:tcPr>
            <w:tcW w:w="900" w:type="dxa"/>
          </w:tcPr>
          <w:p w14:paraId="49A57223" w14:textId="77777777" w:rsidR="00B678B5" w:rsidRPr="00E359BF" w:rsidRDefault="00B678B5">
            <w:pPr>
              <w:pStyle w:val="TableTextCentered"/>
              <w:rPr>
                <w:rFonts w:eastAsia="Times New Roman"/>
              </w:rPr>
            </w:pPr>
            <w:r>
              <w:rPr>
                <w:rFonts w:eastAsia="Times New Roman"/>
              </w:rPr>
              <w:t>40</w:t>
            </w:r>
          </w:p>
        </w:tc>
        <w:tc>
          <w:tcPr>
            <w:tcW w:w="892" w:type="dxa"/>
          </w:tcPr>
          <w:p w14:paraId="6B188C98" w14:textId="77777777" w:rsidR="00B678B5" w:rsidRPr="00E359BF" w:rsidRDefault="00B678B5">
            <w:pPr>
              <w:pStyle w:val="TableTextCentered"/>
              <w:rPr>
                <w:rFonts w:eastAsia="Times New Roman"/>
              </w:rPr>
            </w:pPr>
            <w:r>
              <w:rPr>
                <w:rFonts w:eastAsia="Times New Roman"/>
              </w:rPr>
              <w:t>2.3</w:t>
            </w:r>
          </w:p>
        </w:tc>
      </w:tr>
      <w:tr w:rsidR="00B678B5" w:rsidRPr="00E359BF" w14:paraId="785BD03C"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6B4351B6" w14:textId="77777777" w:rsidR="00B678B5" w:rsidRPr="00E359BF" w:rsidRDefault="00B678B5">
            <w:pPr>
              <w:pStyle w:val="TableText"/>
            </w:pPr>
            <w:r>
              <w:t>Grades 9-12</w:t>
            </w:r>
          </w:p>
        </w:tc>
        <w:tc>
          <w:tcPr>
            <w:tcW w:w="874" w:type="dxa"/>
          </w:tcPr>
          <w:p w14:paraId="10A2B38C" w14:textId="77777777" w:rsidR="00B678B5" w:rsidRPr="00E359BF" w:rsidRDefault="00B678B5">
            <w:pPr>
              <w:pStyle w:val="TableTextCentered"/>
              <w:rPr>
                <w:rFonts w:eastAsia="Times New Roman"/>
              </w:rPr>
            </w:pPr>
            <w:r>
              <w:rPr>
                <w:rFonts w:eastAsia="Times New Roman"/>
              </w:rPr>
              <w:t>17</w:t>
            </w:r>
          </w:p>
        </w:tc>
        <w:tc>
          <w:tcPr>
            <w:tcW w:w="874" w:type="dxa"/>
          </w:tcPr>
          <w:p w14:paraId="4CCEC239" w14:textId="77777777" w:rsidR="00B678B5" w:rsidRPr="00E359BF" w:rsidRDefault="00B678B5">
            <w:pPr>
              <w:pStyle w:val="TableTextCentered"/>
              <w:rPr>
                <w:rFonts w:eastAsia="Times New Roman"/>
              </w:rPr>
            </w:pPr>
            <w:r>
              <w:rPr>
                <w:rFonts w:eastAsia="Times New Roman"/>
              </w:rPr>
              <w:t>12</w:t>
            </w:r>
          </w:p>
        </w:tc>
        <w:tc>
          <w:tcPr>
            <w:tcW w:w="874" w:type="dxa"/>
          </w:tcPr>
          <w:p w14:paraId="32FDDFAC" w14:textId="77777777" w:rsidR="00B678B5" w:rsidRPr="00E359BF" w:rsidRDefault="00B678B5">
            <w:pPr>
              <w:pStyle w:val="TableTextCentered"/>
              <w:rPr>
                <w:rFonts w:eastAsia="Times New Roman"/>
              </w:rPr>
            </w:pPr>
            <w:r>
              <w:rPr>
                <w:rFonts w:eastAsia="Times New Roman"/>
              </w:rPr>
              <w:t>14</w:t>
            </w:r>
          </w:p>
        </w:tc>
        <w:tc>
          <w:tcPr>
            <w:tcW w:w="875" w:type="dxa"/>
          </w:tcPr>
          <w:p w14:paraId="507A9097" w14:textId="77777777" w:rsidR="00B678B5" w:rsidRPr="00E359BF" w:rsidRDefault="00B678B5">
            <w:pPr>
              <w:pStyle w:val="TableTextCentered"/>
              <w:rPr>
                <w:rFonts w:eastAsia="Times New Roman"/>
              </w:rPr>
            </w:pPr>
            <w:r>
              <w:rPr>
                <w:rFonts w:eastAsia="Times New Roman"/>
              </w:rPr>
              <w:t>6</w:t>
            </w:r>
          </w:p>
        </w:tc>
        <w:tc>
          <w:tcPr>
            <w:tcW w:w="875" w:type="dxa"/>
          </w:tcPr>
          <w:p w14:paraId="0909D929" w14:textId="77777777" w:rsidR="00B678B5" w:rsidRPr="00E359BF" w:rsidRDefault="00B678B5">
            <w:pPr>
              <w:pStyle w:val="TableTextCentered"/>
              <w:rPr>
                <w:rFonts w:eastAsia="Times New Roman"/>
              </w:rPr>
            </w:pPr>
            <w:r>
              <w:rPr>
                <w:rFonts w:eastAsia="Times New Roman"/>
              </w:rPr>
              <w:t>3</w:t>
            </w:r>
          </w:p>
        </w:tc>
        <w:tc>
          <w:tcPr>
            <w:tcW w:w="874" w:type="dxa"/>
          </w:tcPr>
          <w:p w14:paraId="59DCA760" w14:textId="77777777" w:rsidR="00B678B5" w:rsidRPr="00E359BF" w:rsidRDefault="00B678B5">
            <w:pPr>
              <w:pStyle w:val="TableTextCentered"/>
              <w:rPr>
                <w:rFonts w:eastAsia="Times New Roman"/>
              </w:rPr>
            </w:pPr>
            <w:r>
              <w:rPr>
                <w:rFonts w:eastAsia="Times New Roman"/>
              </w:rPr>
              <w:t>0</w:t>
            </w:r>
          </w:p>
        </w:tc>
        <w:tc>
          <w:tcPr>
            <w:tcW w:w="875" w:type="dxa"/>
          </w:tcPr>
          <w:p w14:paraId="010DF189" w14:textId="77777777" w:rsidR="00B678B5" w:rsidRPr="00E359BF" w:rsidRDefault="00B678B5">
            <w:pPr>
              <w:pStyle w:val="TableTextCentered"/>
              <w:rPr>
                <w:rFonts w:eastAsia="Times New Roman"/>
              </w:rPr>
            </w:pPr>
            <w:r>
              <w:rPr>
                <w:rFonts w:eastAsia="Times New Roman"/>
              </w:rPr>
              <w:t>1</w:t>
            </w:r>
          </w:p>
        </w:tc>
        <w:tc>
          <w:tcPr>
            <w:tcW w:w="900" w:type="dxa"/>
          </w:tcPr>
          <w:p w14:paraId="0EF7B837" w14:textId="77777777" w:rsidR="00B678B5" w:rsidRPr="00E359BF" w:rsidRDefault="00B678B5">
            <w:pPr>
              <w:pStyle w:val="TableTextCentered"/>
              <w:rPr>
                <w:rFonts w:eastAsia="Times New Roman"/>
              </w:rPr>
            </w:pPr>
            <w:r>
              <w:rPr>
                <w:rFonts w:eastAsia="Times New Roman"/>
              </w:rPr>
              <w:t>53</w:t>
            </w:r>
          </w:p>
        </w:tc>
        <w:tc>
          <w:tcPr>
            <w:tcW w:w="892" w:type="dxa"/>
          </w:tcPr>
          <w:p w14:paraId="5062C63C" w14:textId="77777777" w:rsidR="00B678B5" w:rsidRPr="00E359BF" w:rsidRDefault="00B678B5">
            <w:pPr>
              <w:pStyle w:val="TableTextCentered"/>
              <w:rPr>
                <w:rFonts w:eastAsia="Times New Roman"/>
              </w:rPr>
            </w:pPr>
            <w:r>
              <w:rPr>
                <w:rFonts w:eastAsia="Times New Roman"/>
              </w:rPr>
              <w:t>2.4</w:t>
            </w:r>
          </w:p>
        </w:tc>
      </w:tr>
      <w:tr w:rsidR="00B678B5" w:rsidRPr="00E359BF" w14:paraId="5D8B4A8E" w14:textId="77777777" w:rsidTr="00FF5692">
        <w:tc>
          <w:tcPr>
            <w:tcW w:w="1431" w:type="dxa"/>
          </w:tcPr>
          <w:p w14:paraId="75508D9F"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2E56087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33</w:t>
            </w:r>
          </w:p>
        </w:tc>
        <w:tc>
          <w:tcPr>
            <w:tcW w:w="874" w:type="dxa"/>
          </w:tcPr>
          <w:p w14:paraId="358FB93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31</w:t>
            </w:r>
          </w:p>
        </w:tc>
        <w:tc>
          <w:tcPr>
            <w:tcW w:w="874" w:type="dxa"/>
          </w:tcPr>
          <w:p w14:paraId="65C2243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33</w:t>
            </w:r>
          </w:p>
        </w:tc>
        <w:tc>
          <w:tcPr>
            <w:tcW w:w="875" w:type="dxa"/>
          </w:tcPr>
          <w:p w14:paraId="63F51226"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16</w:t>
            </w:r>
          </w:p>
        </w:tc>
        <w:tc>
          <w:tcPr>
            <w:tcW w:w="875" w:type="dxa"/>
          </w:tcPr>
          <w:p w14:paraId="4BC61B6A"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6</w:t>
            </w:r>
          </w:p>
        </w:tc>
        <w:tc>
          <w:tcPr>
            <w:tcW w:w="874" w:type="dxa"/>
          </w:tcPr>
          <w:p w14:paraId="0A1682A9"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5" w:type="dxa"/>
          </w:tcPr>
          <w:p w14:paraId="1C9F3602"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w:t>
            </w:r>
          </w:p>
        </w:tc>
        <w:tc>
          <w:tcPr>
            <w:tcW w:w="900" w:type="dxa"/>
          </w:tcPr>
          <w:p w14:paraId="22E7AF70"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120</w:t>
            </w:r>
          </w:p>
        </w:tc>
        <w:tc>
          <w:tcPr>
            <w:tcW w:w="892" w:type="dxa"/>
          </w:tcPr>
          <w:p w14:paraId="2D4224D2"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2.5</w:t>
            </w:r>
          </w:p>
        </w:tc>
      </w:tr>
    </w:tbl>
    <w:bookmarkEnd w:id="158"/>
    <w:p w14:paraId="43B80141" w14:textId="54F91843" w:rsidR="00B678B5" w:rsidRDefault="00B678B5" w:rsidP="00FF5692">
      <w:pPr>
        <w:pStyle w:val="TableNote"/>
      </w:pPr>
      <w:r w:rsidRPr="00D44000">
        <w:t xml:space="preserve">*The district average is an average of the observation scores. In Table 12, the district </w:t>
      </w:r>
      <w:r w:rsidRPr="00FF5692">
        <w:t>average</w:t>
      </w:r>
      <w:r w:rsidRPr="00D44000">
        <w:t xml:space="preserve"> is computed as: </w:t>
      </w:r>
      <w:bookmarkStart w:id="159" w:name="Dist_AI_Calc"/>
      <w:r>
        <w:t>([1 x 33] + [2 x 31] + [3 x 33] + [4 x 16] + [5 x 6] + [7 x 1]) ÷ 120 observations = 2.5</w:t>
      </w:r>
      <w:bookmarkEnd w:id="159"/>
    </w:p>
    <w:p w14:paraId="0514E206" w14:textId="77777777" w:rsidR="00B678B5" w:rsidRPr="00BC09E0" w:rsidRDefault="00B678B5" w:rsidP="00FF5692">
      <w:pPr>
        <w:pStyle w:val="TableNote"/>
      </w:pPr>
      <w:r>
        <w:t>**Analysis and Inquiry does not appear in the CLASS PK-3 Manual, therefore scores for the Elementary School Level represent grades 4-5 only.</w:t>
      </w:r>
    </w:p>
    <w:p w14:paraId="0D2FB7A1" w14:textId="77777777" w:rsidR="00B678B5" w:rsidRPr="00BC09E0" w:rsidRDefault="00B678B5" w:rsidP="00FF5692">
      <w:pPr>
        <w:pStyle w:val="BodyText"/>
      </w:pPr>
      <w:r w:rsidRPr="00F97764">
        <w:rPr>
          <w:rStyle w:val="BodyTextDemiChar"/>
        </w:rPr>
        <w:t>Ratings in the Low Range.</w:t>
      </w:r>
      <w:r w:rsidRPr="00BC09E0">
        <w:t xml:space="preserve"> At the low range, students do not engage in higher order thinking skills. Instruction is presented in a rote manner, and there are no opportunities for students to engage in novel or open-ended tasks. Students are not challenged to apply previous knowledge and skills to a new problem, nor are they encouraged to think about, evaluate, or reflect on their own learning. Students do not have opportunities to plan their own learning experiences.</w:t>
      </w:r>
    </w:p>
    <w:p w14:paraId="7AA45ED8" w14:textId="77777777" w:rsidR="00B678B5" w:rsidRPr="00BC09E0" w:rsidRDefault="00B678B5" w:rsidP="00FF5692">
      <w:pPr>
        <w:pStyle w:val="BodyTextposthead"/>
      </w:pPr>
      <w:r w:rsidRPr="00F97764">
        <w:rPr>
          <w:rStyle w:val="BodyTextDemiChar"/>
        </w:rPr>
        <w:t>Ratings in the Middle Range.</w:t>
      </w:r>
      <w:r w:rsidRPr="00BC09E0">
        <w:t xml:space="preserve"> Students occasionally engage in higher order thinking through analysis and inquiry, but the episodes are brief or limited in depth. The teacher provides opportunities for students to apply knowledge and skills within familiar contexts and offers guidance to students but does not provide opportunities for analysis and problem solving within novel contexts and/or without teacher support. Students have occasional opportunities to think about their own thinking through explanations, self-evaluations, reflection, and planning; these opportunities, however, are brief and limited in depth.</w:t>
      </w:r>
    </w:p>
    <w:p w14:paraId="7EBB98C6" w14:textId="5C91806F" w:rsidR="00B678B5" w:rsidRDefault="00B678B5" w:rsidP="00FF5692">
      <w:pPr>
        <w:pStyle w:val="BodyTextposthead"/>
      </w:pPr>
      <w:r w:rsidRPr="00F97764">
        <w:rPr>
          <w:rStyle w:val="BodyTextDemiChar"/>
        </w:rPr>
        <w:t>Ratings in the High Range.</w:t>
      </w:r>
      <w:r w:rsidRPr="00BC09E0">
        <w:t xml:space="preserve"> </w:t>
      </w:r>
      <w:r w:rsidRPr="002541BB">
        <w:t>At the high range, students consistently engage in extended opportunities to use higher order thinking through analysis and inquiry. The teacher provides opportunities for students to independently solve or reason through novel and open-ended tasks that require students to select, utilize, and apply existing knowledge and skills. Students have multiple opportunities to think about their own thinking through explanations, self-evaluations, reflection, and planning.</w:t>
      </w:r>
      <w:r>
        <w:br w:type="page"/>
      </w:r>
    </w:p>
    <w:p w14:paraId="7DE0E926" w14:textId="77777777" w:rsidR="00B678B5" w:rsidRPr="00BC09E0" w:rsidRDefault="00B678B5" w:rsidP="00E35A27">
      <w:pPr>
        <w:pStyle w:val="DIOR"/>
      </w:pPr>
      <w:bookmarkStart w:id="160" w:name="_Toc411329836"/>
      <w:bookmarkStart w:id="161" w:name="_Toc430114885"/>
      <w:bookmarkStart w:id="162" w:name="_Toc231296595"/>
      <w:r w:rsidRPr="00BC09E0">
        <w:t xml:space="preserve">Quality of </w:t>
      </w:r>
      <w:r w:rsidRPr="00FF5692">
        <w:t>Feedback</w:t>
      </w:r>
      <w:bookmarkEnd w:id="160"/>
      <w:bookmarkEnd w:id="161"/>
      <w:bookmarkEnd w:id="162"/>
    </w:p>
    <w:p w14:paraId="385D5582" w14:textId="77777777" w:rsidR="00B678B5" w:rsidRPr="00BC09E0" w:rsidRDefault="00B678B5">
      <w:pPr>
        <w:pStyle w:val="BodyTextDomain"/>
      </w:pPr>
      <w:r w:rsidRPr="00BC09E0">
        <w:t xml:space="preserve">Instructional Support domain, </w:t>
      </w:r>
      <w:r>
        <w:t>G</w:t>
      </w:r>
      <w:r w:rsidRPr="00BC09E0">
        <w:t xml:space="preserve">rades </w:t>
      </w:r>
      <w:r>
        <w:t>PK</w:t>
      </w:r>
      <w:r w:rsidRPr="00BC09E0">
        <w:rPr>
          <w:rFonts w:ascii="Vijaya" w:hAnsi="Vijaya" w:cs="Vijaya"/>
        </w:rPr>
        <w:t>−</w:t>
      </w:r>
      <w:r>
        <w:t>12</w:t>
      </w:r>
    </w:p>
    <w:p w14:paraId="6FA63C0F" w14:textId="4968C65A" w:rsidR="00B678B5" w:rsidRPr="00BC09E0" w:rsidRDefault="00B678B5" w:rsidP="00FF5692">
      <w:pPr>
        <w:pStyle w:val="BodyTextposthead"/>
      </w:pPr>
      <w:r w:rsidRPr="00BC09E0">
        <w:t>Quality of Feedback refers to the degree to which the teacher provides feedback that expands learning and understanding and encourages continued participation in the learning activity (</w:t>
      </w:r>
      <w:r w:rsidRPr="00BC09E0">
        <w:rPr>
          <w:i/>
        </w:rPr>
        <w:t xml:space="preserve">CLASS </w:t>
      </w:r>
      <w:r>
        <w:rPr>
          <w:i/>
        </w:rPr>
        <w:t>PK–</w:t>
      </w:r>
      <w:r w:rsidRPr="00BC09E0">
        <w:rPr>
          <w:i/>
        </w:rPr>
        <w:t>3 Manual</w:t>
      </w:r>
      <w:r w:rsidRPr="00BC09E0">
        <w:t xml:space="preserve">, p. 72). In the upper elementary </w:t>
      </w:r>
      <w:r>
        <w:t xml:space="preserve">and secondary </w:t>
      </w:r>
      <w:r w:rsidRPr="00BC09E0">
        <w:t>classrooms, significant feedback also may be provided by peers (</w:t>
      </w:r>
      <w:r w:rsidRPr="00BC09E0">
        <w:rPr>
          <w:i/>
        </w:rPr>
        <w:t>CLASS Upper Elementary Manual</w:t>
      </w:r>
      <w:r w:rsidRPr="00BC09E0">
        <w:t>, p. 89</w:t>
      </w:r>
      <w:r>
        <w:t xml:space="preserve">, </w:t>
      </w:r>
      <w:r w:rsidRPr="005400DB">
        <w:rPr>
          <w:i/>
          <w:spacing w:val="-2"/>
        </w:rPr>
        <w:t>CLASS Secondary Manual</w:t>
      </w:r>
      <w:r w:rsidRPr="005400DB">
        <w:rPr>
          <w:spacing w:val="-2"/>
        </w:rPr>
        <w:t>, p. 93</w:t>
      </w:r>
      <w:r w:rsidRPr="00BC09E0">
        <w:t>). Regardless of the source, the focus of the feedback motivates learning.</w:t>
      </w:r>
    </w:p>
    <w:p w14:paraId="575AF180" w14:textId="77777777" w:rsidR="00B678B5" w:rsidRPr="00BC09E0" w:rsidRDefault="00B678B5">
      <w:pPr>
        <w:pStyle w:val="TableTitle0"/>
      </w:pPr>
      <w:r w:rsidRPr="00BC09E0">
        <w:t xml:space="preserve">Table 13. Quality of Feedback: Number of Classrooms for Each Rating </w:t>
      </w:r>
      <w:r w:rsidRPr="00D44000">
        <w:t>and District Average</w:t>
      </w:r>
    </w:p>
    <w:p w14:paraId="56EFA4A0" w14:textId="77777777" w:rsidR="00B678B5" w:rsidRDefault="00B678B5">
      <w:pPr>
        <w:pStyle w:val="BodyTextDemi"/>
      </w:pPr>
      <w:r w:rsidRPr="00D44000">
        <w:t xml:space="preserve">Quality of Feedback District Average*: </w:t>
      </w:r>
      <w:bookmarkStart w:id="163" w:name="Dist_QF_Avg"/>
      <w:r>
        <w:t>3.1</w:t>
      </w:r>
      <w:bookmarkEnd w:id="163"/>
    </w:p>
    <w:tbl>
      <w:tblPr>
        <w:tblStyle w:val="MSVTable1"/>
        <w:tblW w:w="5000" w:type="pct"/>
        <w:tblLook w:val="04A0" w:firstRow="1" w:lastRow="0" w:firstColumn="1" w:lastColumn="0" w:noHBand="0" w:noVBand="1"/>
        <w:tblCaption w:val="Table 13. Quality of Feedback: Number of Classrooms for Each Rating and District Average"/>
        <w:tblDescription w:val="Quality of Feedback: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25073756" w14:textId="77777777" w:rsidTr="00130F4F">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428B61E5" w14:textId="77777777" w:rsidR="00B678B5" w:rsidRPr="00E359BF" w:rsidRDefault="00B678B5" w:rsidP="00130F4F">
            <w:pPr>
              <w:pStyle w:val="TableColHeadingCenter"/>
              <w:rPr>
                <w:rFonts w:eastAsia="MS Mincho"/>
              </w:rPr>
            </w:pPr>
            <w:bookmarkStart w:id="164" w:name="Tbl_QF"/>
            <w:r>
              <w:rPr>
                <w:rFonts w:eastAsia="MS Mincho"/>
              </w:rPr>
              <w:t>Grade Band</w:t>
            </w:r>
          </w:p>
        </w:tc>
        <w:tc>
          <w:tcPr>
            <w:tcW w:w="874" w:type="dxa"/>
            <w:vAlign w:val="center"/>
          </w:tcPr>
          <w:p w14:paraId="78376AE0"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010C07AB"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458EDB00"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14746B77"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514B78B7"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5762DF11"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0714802C"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3885C82A" w14:textId="77777777" w:rsidR="00B678B5" w:rsidRPr="00E359BF" w:rsidRDefault="00B678B5" w:rsidP="00130F4F">
            <w:pPr>
              <w:pStyle w:val="TableColHeadingCenter"/>
              <w:rPr>
                <w:rFonts w:eastAsia="MS Mincho"/>
              </w:rPr>
            </w:pPr>
            <w:r>
              <w:rPr>
                <w:rFonts w:eastAsia="MS Mincho"/>
              </w:rPr>
              <w:t>n</w:t>
            </w:r>
          </w:p>
        </w:tc>
        <w:tc>
          <w:tcPr>
            <w:tcW w:w="892" w:type="dxa"/>
            <w:vAlign w:val="center"/>
          </w:tcPr>
          <w:p w14:paraId="7F5CC53A" w14:textId="77777777" w:rsidR="00B678B5" w:rsidRPr="00E359BF" w:rsidRDefault="00B678B5" w:rsidP="00130F4F">
            <w:pPr>
              <w:pStyle w:val="TableColHeadingCenter"/>
              <w:rPr>
                <w:rFonts w:eastAsia="MS Mincho"/>
              </w:rPr>
            </w:pPr>
            <w:r>
              <w:rPr>
                <w:rFonts w:eastAsia="MS Mincho"/>
              </w:rPr>
              <w:t>Average</w:t>
            </w:r>
          </w:p>
        </w:tc>
      </w:tr>
      <w:tr w:rsidR="00B678B5" w:rsidRPr="00E359BF" w14:paraId="6136F50F"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20E29C0F" w14:textId="77777777" w:rsidR="00B678B5" w:rsidRPr="00E359BF" w:rsidRDefault="00B678B5">
            <w:pPr>
              <w:pStyle w:val="TableText"/>
            </w:pPr>
            <w:r>
              <w:t>Grades PK-5</w:t>
            </w:r>
          </w:p>
        </w:tc>
        <w:tc>
          <w:tcPr>
            <w:tcW w:w="874" w:type="dxa"/>
          </w:tcPr>
          <w:p w14:paraId="3089BFAB" w14:textId="77777777" w:rsidR="00B678B5" w:rsidRPr="00E359BF" w:rsidRDefault="00B678B5">
            <w:pPr>
              <w:pStyle w:val="TableTextCentered"/>
              <w:rPr>
                <w:rFonts w:eastAsia="Times New Roman"/>
              </w:rPr>
            </w:pPr>
            <w:r>
              <w:rPr>
                <w:rFonts w:eastAsia="Times New Roman"/>
              </w:rPr>
              <w:t>11</w:t>
            </w:r>
          </w:p>
        </w:tc>
        <w:tc>
          <w:tcPr>
            <w:tcW w:w="874" w:type="dxa"/>
          </w:tcPr>
          <w:p w14:paraId="2F8AE341" w14:textId="77777777" w:rsidR="00B678B5" w:rsidRPr="00E359BF" w:rsidRDefault="00B678B5">
            <w:pPr>
              <w:pStyle w:val="TableTextCentered"/>
              <w:rPr>
                <w:rFonts w:eastAsia="Times New Roman"/>
              </w:rPr>
            </w:pPr>
            <w:r>
              <w:rPr>
                <w:rFonts w:eastAsia="Times New Roman"/>
              </w:rPr>
              <w:t>32</w:t>
            </w:r>
          </w:p>
        </w:tc>
        <w:tc>
          <w:tcPr>
            <w:tcW w:w="874" w:type="dxa"/>
          </w:tcPr>
          <w:p w14:paraId="7E3D102C" w14:textId="77777777" w:rsidR="00B678B5" w:rsidRPr="00E359BF" w:rsidRDefault="00B678B5">
            <w:pPr>
              <w:pStyle w:val="TableTextCentered"/>
              <w:rPr>
                <w:rFonts w:eastAsia="Times New Roman"/>
              </w:rPr>
            </w:pPr>
            <w:r>
              <w:rPr>
                <w:rFonts w:eastAsia="Times New Roman"/>
              </w:rPr>
              <w:t>15</w:t>
            </w:r>
          </w:p>
        </w:tc>
        <w:tc>
          <w:tcPr>
            <w:tcW w:w="875" w:type="dxa"/>
          </w:tcPr>
          <w:p w14:paraId="07A266D7" w14:textId="77777777" w:rsidR="00B678B5" w:rsidRPr="00E359BF" w:rsidRDefault="00B678B5">
            <w:pPr>
              <w:pStyle w:val="TableTextCentered"/>
              <w:rPr>
                <w:rFonts w:eastAsia="Times New Roman"/>
              </w:rPr>
            </w:pPr>
            <w:r>
              <w:rPr>
                <w:rFonts w:eastAsia="Times New Roman"/>
              </w:rPr>
              <w:t>9</w:t>
            </w:r>
          </w:p>
        </w:tc>
        <w:tc>
          <w:tcPr>
            <w:tcW w:w="875" w:type="dxa"/>
          </w:tcPr>
          <w:p w14:paraId="7C500D82" w14:textId="77777777" w:rsidR="00B678B5" w:rsidRPr="00E359BF" w:rsidRDefault="00B678B5">
            <w:pPr>
              <w:pStyle w:val="TableTextCentered"/>
              <w:rPr>
                <w:rFonts w:eastAsia="Times New Roman"/>
              </w:rPr>
            </w:pPr>
            <w:r>
              <w:rPr>
                <w:rFonts w:eastAsia="Times New Roman"/>
              </w:rPr>
              <w:t>7</w:t>
            </w:r>
          </w:p>
        </w:tc>
        <w:tc>
          <w:tcPr>
            <w:tcW w:w="874" w:type="dxa"/>
          </w:tcPr>
          <w:p w14:paraId="26233867" w14:textId="77777777" w:rsidR="00B678B5" w:rsidRPr="00E359BF" w:rsidRDefault="00B678B5">
            <w:pPr>
              <w:pStyle w:val="TableTextCentered"/>
              <w:rPr>
                <w:rFonts w:eastAsia="Times New Roman"/>
              </w:rPr>
            </w:pPr>
            <w:r>
              <w:rPr>
                <w:rFonts w:eastAsia="Times New Roman"/>
              </w:rPr>
              <w:t>1</w:t>
            </w:r>
          </w:p>
        </w:tc>
        <w:tc>
          <w:tcPr>
            <w:tcW w:w="875" w:type="dxa"/>
          </w:tcPr>
          <w:p w14:paraId="30378AC8" w14:textId="77777777" w:rsidR="00B678B5" w:rsidRPr="00E359BF" w:rsidRDefault="00B678B5">
            <w:pPr>
              <w:pStyle w:val="TableTextCentered"/>
              <w:rPr>
                <w:rFonts w:eastAsia="Times New Roman"/>
              </w:rPr>
            </w:pPr>
            <w:r>
              <w:rPr>
                <w:rFonts w:eastAsia="Times New Roman"/>
              </w:rPr>
              <w:t>5</w:t>
            </w:r>
          </w:p>
        </w:tc>
        <w:tc>
          <w:tcPr>
            <w:tcW w:w="900" w:type="dxa"/>
          </w:tcPr>
          <w:p w14:paraId="5DD3D972" w14:textId="77777777" w:rsidR="00B678B5" w:rsidRPr="00E359BF" w:rsidRDefault="00B678B5">
            <w:pPr>
              <w:pStyle w:val="TableTextCentered"/>
              <w:rPr>
                <w:rFonts w:eastAsia="Times New Roman"/>
              </w:rPr>
            </w:pPr>
            <w:r>
              <w:rPr>
                <w:rFonts w:eastAsia="Times New Roman"/>
              </w:rPr>
              <w:t>80</w:t>
            </w:r>
          </w:p>
        </w:tc>
        <w:tc>
          <w:tcPr>
            <w:tcW w:w="892" w:type="dxa"/>
          </w:tcPr>
          <w:p w14:paraId="2349CC7F" w14:textId="77777777" w:rsidR="00B678B5" w:rsidRPr="00E359BF" w:rsidRDefault="00B678B5">
            <w:pPr>
              <w:pStyle w:val="TableTextCentered"/>
              <w:rPr>
                <w:rFonts w:eastAsia="Times New Roman"/>
              </w:rPr>
            </w:pPr>
            <w:r>
              <w:rPr>
                <w:rFonts w:eastAsia="Times New Roman"/>
              </w:rPr>
              <w:t>2.9</w:t>
            </w:r>
          </w:p>
        </w:tc>
      </w:tr>
      <w:tr w:rsidR="00B678B5" w:rsidRPr="00E359BF" w14:paraId="3A3CE9BB" w14:textId="77777777" w:rsidTr="00FF5692">
        <w:tc>
          <w:tcPr>
            <w:tcW w:w="1431" w:type="dxa"/>
          </w:tcPr>
          <w:p w14:paraId="146420E3" w14:textId="77777777" w:rsidR="00B678B5" w:rsidRPr="00E359BF" w:rsidRDefault="00B678B5">
            <w:pPr>
              <w:pStyle w:val="TableText"/>
            </w:pPr>
            <w:r>
              <w:t>Grades 6-8</w:t>
            </w:r>
          </w:p>
        </w:tc>
        <w:tc>
          <w:tcPr>
            <w:tcW w:w="874" w:type="dxa"/>
          </w:tcPr>
          <w:p w14:paraId="604E4F2C" w14:textId="77777777" w:rsidR="00B678B5" w:rsidRPr="00E359BF" w:rsidRDefault="00B678B5">
            <w:pPr>
              <w:pStyle w:val="TableTextCentered"/>
              <w:rPr>
                <w:rFonts w:eastAsia="Times New Roman"/>
              </w:rPr>
            </w:pPr>
            <w:r>
              <w:rPr>
                <w:rFonts w:eastAsia="Times New Roman"/>
              </w:rPr>
              <w:t>4</w:t>
            </w:r>
          </w:p>
        </w:tc>
        <w:tc>
          <w:tcPr>
            <w:tcW w:w="874" w:type="dxa"/>
          </w:tcPr>
          <w:p w14:paraId="3740395B" w14:textId="77777777" w:rsidR="00B678B5" w:rsidRPr="00E359BF" w:rsidRDefault="00B678B5">
            <w:pPr>
              <w:pStyle w:val="TableTextCentered"/>
              <w:rPr>
                <w:rFonts w:eastAsia="Times New Roman"/>
              </w:rPr>
            </w:pPr>
            <w:r>
              <w:rPr>
                <w:rFonts w:eastAsia="Times New Roman"/>
              </w:rPr>
              <w:t>18</w:t>
            </w:r>
          </w:p>
        </w:tc>
        <w:tc>
          <w:tcPr>
            <w:tcW w:w="874" w:type="dxa"/>
          </w:tcPr>
          <w:p w14:paraId="35E520E4" w14:textId="77777777" w:rsidR="00B678B5" w:rsidRPr="00E359BF" w:rsidRDefault="00B678B5">
            <w:pPr>
              <w:pStyle w:val="TableTextCentered"/>
              <w:rPr>
                <w:rFonts w:eastAsia="Times New Roman"/>
              </w:rPr>
            </w:pPr>
            <w:r>
              <w:rPr>
                <w:rFonts w:eastAsia="Times New Roman"/>
              </w:rPr>
              <w:t>5</w:t>
            </w:r>
          </w:p>
        </w:tc>
        <w:tc>
          <w:tcPr>
            <w:tcW w:w="875" w:type="dxa"/>
          </w:tcPr>
          <w:p w14:paraId="322B9396" w14:textId="77777777" w:rsidR="00B678B5" w:rsidRPr="00E359BF" w:rsidRDefault="00B678B5">
            <w:pPr>
              <w:pStyle w:val="TableTextCentered"/>
              <w:rPr>
                <w:rFonts w:eastAsia="Times New Roman"/>
              </w:rPr>
            </w:pPr>
            <w:r>
              <w:rPr>
                <w:rFonts w:eastAsia="Times New Roman"/>
              </w:rPr>
              <w:t>5</w:t>
            </w:r>
          </w:p>
        </w:tc>
        <w:tc>
          <w:tcPr>
            <w:tcW w:w="875" w:type="dxa"/>
          </w:tcPr>
          <w:p w14:paraId="4CC9A347" w14:textId="77777777" w:rsidR="00B678B5" w:rsidRPr="00E359BF" w:rsidRDefault="00B678B5">
            <w:pPr>
              <w:pStyle w:val="TableTextCentered"/>
              <w:rPr>
                <w:rFonts w:eastAsia="Times New Roman"/>
              </w:rPr>
            </w:pPr>
            <w:r>
              <w:rPr>
                <w:rFonts w:eastAsia="Times New Roman"/>
              </w:rPr>
              <w:t>5</w:t>
            </w:r>
          </w:p>
        </w:tc>
        <w:tc>
          <w:tcPr>
            <w:tcW w:w="874" w:type="dxa"/>
          </w:tcPr>
          <w:p w14:paraId="6E89C710" w14:textId="77777777" w:rsidR="00B678B5" w:rsidRPr="00E359BF" w:rsidRDefault="00B678B5">
            <w:pPr>
              <w:pStyle w:val="TableTextCentered"/>
              <w:rPr>
                <w:rFonts w:eastAsia="Times New Roman"/>
              </w:rPr>
            </w:pPr>
            <w:r>
              <w:rPr>
                <w:rFonts w:eastAsia="Times New Roman"/>
              </w:rPr>
              <w:t>0</w:t>
            </w:r>
          </w:p>
        </w:tc>
        <w:tc>
          <w:tcPr>
            <w:tcW w:w="875" w:type="dxa"/>
          </w:tcPr>
          <w:p w14:paraId="36A69CB6" w14:textId="77777777" w:rsidR="00B678B5" w:rsidRPr="00E359BF" w:rsidRDefault="00B678B5">
            <w:pPr>
              <w:pStyle w:val="TableTextCentered"/>
              <w:rPr>
                <w:rFonts w:eastAsia="Times New Roman"/>
              </w:rPr>
            </w:pPr>
            <w:r>
              <w:rPr>
                <w:rFonts w:eastAsia="Times New Roman"/>
              </w:rPr>
              <w:t>3</w:t>
            </w:r>
          </w:p>
        </w:tc>
        <w:tc>
          <w:tcPr>
            <w:tcW w:w="900" w:type="dxa"/>
          </w:tcPr>
          <w:p w14:paraId="30D6BB2C" w14:textId="77777777" w:rsidR="00B678B5" w:rsidRPr="00E359BF" w:rsidRDefault="00B678B5">
            <w:pPr>
              <w:pStyle w:val="TableTextCentered"/>
              <w:rPr>
                <w:rFonts w:eastAsia="Times New Roman"/>
              </w:rPr>
            </w:pPr>
            <w:r>
              <w:rPr>
                <w:rFonts w:eastAsia="Times New Roman"/>
              </w:rPr>
              <w:t>40</w:t>
            </w:r>
          </w:p>
        </w:tc>
        <w:tc>
          <w:tcPr>
            <w:tcW w:w="892" w:type="dxa"/>
          </w:tcPr>
          <w:p w14:paraId="38D764A5" w14:textId="77777777" w:rsidR="00B678B5" w:rsidRPr="00E359BF" w:rsidRDefault="00B678B5">
            <w:pPr>
              <w:pStyle w:val="TableTextCentered"/>
              <w:rPr>
                <w:rFonts w:eastAsia="Times New Roman"/>
              </w:rPr>
            </w:pPr>
            <w:r>
              <w:rPr>
                <w:rFonts w:eastAsia="Times New Roman"/>
              </w:rPr>
              <w:t>3.0</w:t>
            </w:r>
          </w:p>
        </w:tc>
      </w:tr>
      <w:tr w:rsidR="00B678B5" w:rsidRPr="00E359BF" w14:paraId="56D6D765"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4DDF71F7" w14:textId="77777777" w:rsidR="00B678B5" w:rsidRPr="00E359BF" w:rsidRDefault="00B678B5">
            <w:pPr>
              <w:pStyle w:val="TableText"/>
            </w:pPr>
            <w:r>
              <w:t>Grades 9-12</w:t>
            </w:r>
          </w:p>
        </w:tc>
        <w:tc>
          <w:tcPr>
            <w:tcW w:w="874" w:type="dxa"/>
          </w:tcPr>
          <w:p w14:paraId="1023F211" w14:textId="77777777" w:rsidR="00B678B5" w:rsidRPr="00E359BF" w:rsidRDefault="00B678B5">
            <w:pPr>
              <w:pStyle w:val="TableTextCentered"/>
              <w:rPr>
                <w:rFonts w:eastAsia="Times New Roman"/>
              </w:rPr>
            </w:pPr>
            <w:r>
              <w:rPr>
                <w:rFonts w:eastAsia="Times New Roman"/>
              </w:rPr>
              <w:t>5</w:t>
            </w:r>
          </w:p>
        </w:tc>
        <w:tc>
          <w:tcPr>
            <w:tcW w:w="874" w:type="dxa"/>
          </w:tcPr>
          <w:p w14:paraId="4E0A27C7" w14:textId="77777777" w:rsidR="00B678B5" w:rsidRPr="00E359BF" w:rsidRDefault="00B678B5">
            <w:pPr>
              <w:pStyle w:val="TableTextCentered"/>
              <w:rPr>
                <w:rFonts w:eastAsia="Times New Roman"/>
              </w:rPr>
            </w:pPr>
            <w:r>
              <w:rPr>
                <w:rFonts w:eastAsia="Times New Roman"/>
              </w:rPr>
              <w:t>13</w:t>
            </w:r>
          </w:p>
        </w:tc>
        <w:tc>
          <w:tcPr>
            <w:tcW w:w="874" w:type="dxa"/>
          </w:tcPr>
          <w:p w14:paraId="76A4E092" w14:textId="77777777" w:rsidR="00B678B5" w:rsidRPr="00E359BF" w:rsidRDefault="00B678B5">
            <w:pPr>
              <w:pStyle w:val="TableTextCentered"/>
              <w:rPr>
                <w:rFonts w:eastAsia="Times New Roman"/>
              </w:rPr>
            </w:pPr>
            <w:r>
              <w:rPr>
                <w:rFonts w:eastAsia="Times New Roman"/>
              </w:rPr>
              <w:t>13</w:t>
            </w:r>
          </w:p>
        </w:tc>
        <w:tc>
          <w:tcPr>
            <w:tcW w:w="875" w:type="dxa"/>
          </w:tcPr>
          <w:p w14:paraId="2E4834BB" w14:textId="77777777" w:rsidR="00B678B5" w:rsidRPr="00E359BF" w:rsidRDefault="00B678B5">
            <w:pPr>
              <w:pStyle w:val="TableTextCentered"/>
              <w:rPr>
                <w:rFonts w:eastAsia="Times New Roman"/>
              </w:rPr>
            </w:pPr>
            <w:r>
              <w:rPr>
                <w:rFonts w:eastAsia="Times New Roman"/>
              </w:rPr>
              <w:t>9</w:t>
            </w:r>
          </w:p>
        </w:tc>
        <w:tc>
          <w:tcPr>
            <w:tcW w:w="875" w:type="dxa"/>
          </w:tcPr>
          <w:p w14:paraId="231BAECB" w14:textId="77777777" w:rsidR="00B678B5" w:rsidRPr="00E359BF" w:rsidRDefault="00B678B5">
            <w:pPr>
              <w:pStyle w:val="TableTextCentered"/>
              <w:rPr>
                <w:rFonts w:eastAsia="Times New Roman"/>
              </w:rPr>
            </w:pPr>
            <w:r>
              <w:rPr>
                <w:rFonts w:eastAsia="Times New Roman"/>
              </w:rPr>
              <w:t>7</w:t>
            </w:r>
          </w:p>
        </w:tc>
        <w:tc>
          <w:tcPr>
            <w:tcW w:w="874" w:type="dxa"/>
          </w:tcPr>
          <w:p w14:paraId="780D78CF" w14:textId="77777777" w:rsidR="00B678B5" w:rsidRPr="00E359BF" w:rsidRDefault="00B678B5">
            <w:pPr>
              <w:pStyle w:val="TableTextCentered"/>
              <w:rPr>
                <w:rFonts w:eastAsia="Times New Roman"/>
              </w:rPr>
            </w:pPr>
            <w:r>
              <w:rPr>
                <w:rFonts w:eastAsia="Times New Roman"/>
              </w:rPr>
              <w:t>4</w:t>
            </w:r>
          </w:p>
        </w:tc>
        <w:tc>
          <w:tcPr>
            <w:tcW w:w="875" w:type="dxa"/>
          </w:tcPr>
          <w:p w14:paraId="37E09FF3" w14:textId="77777777" w:rsidR="00B678B5" w:rsidRPr="00E359BF" w:rsidRDefault="00B678B5">
            <w:pPr>
              <w:pStyle w:val="TableTextCentered"/>
              <w:rPr>
                <w:rFonts w:eastAsia="Times New Roman"/>
              </w:rPr>
            </w:pPr>
            <w:r>
              <w:rPr>
                <w:rFonts w:eastAsia="Times New Roman"/>
              </w:rPr>
              <w:t>2</w:t>
            </w:r>
          </w:p>
        </w:tc>
        <w:tc>
          <w:tcPr>
            <w:tcW w:w="900" w:type="dxa"/>
          </w:tcPr>
          <w:p w14:paraId="3F6505C5" w14:textId="77777777" w:rsidR="00B678B5" w:rsidRPr="00E359BF" w:rsidRDefault="00B678B5">
            <w:pPr>
              <w:pStyle w:val="TableTextCentered"/>
              <w:rPr>
                <w:rFonts w:eastAsia="Times New Roman"/>
              </w:rPr>
            </w:pPr>
            <w:r>
              <w:rPr>
                <w:rFonts w:eastAsia="Times New Roman"/>
              </w:rPr>
              <w:t>53</w:t>
            </w:r>
          </w:p>
        </w:tc>
        <w:tc>
          <w:tcPr>
            <w:tcW w:w="892" w:type="dxa"/>
          </w:tcPr>
          <w:p w14:paraId="219B1DE6" w14:textId="77777777" w:rsidR="00B678B5" w:rsidRPr="00E359BF" w:rsidRDefault="00B678B5">
            <w:pPr>
              <w:pStyle w:val="TableTextCentered"/>
              <w:rPr>
                <w:rFonts w:eastAsia="Times New Roman"/>
              </w:rPr>
            </w:pPr>
            <w:r>
              <w:rPr>
                <w:rFonts w:eastAsia="Times New Roman"/>
              </w:rPr>
              <w:t>3.4</w:t>
            </w:r>
          </w:p>
        </w:tc>
      </w:tr>
      <w:tr w:rsidR="00B678B5" w:rsidRPr="00E359BF" w14:paraId="14F94827" w14:textId="77777777" w:rsidTr="00FF5692">
        <w:tc>
          <w:tcPr>
            <w:tcW w:w="1431" w:type="dxa"/>
          </w:tcPr>
          <w:p w14:paraId="0B122B8A"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531D0B8C"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20</w:t>
            </w:r>
          </w:p>
        </w:tc>
        <w:tc>
          <w:tcPr>
            <w:tcW w:w="874" w:type="dxa"/>
          </w:tcPr>
          <w:p w14:paraId="1C50DF7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63</w:t>
            </w:r>
          </w:p>
        </w:tc>
        <w:tc>
          <w:tcPr>
            <w:tcW w:w="874" w:type="dxa"/>
          </w:tcPr>
          <w:p w14:paraId="65999765"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33</w:t>
            </w:r>
          </w:p>
        </w:tc>
        <w:tc>
          <w:tcPr>
            <w:tcW w:w="875" w:type="dxa"/>
          </w:tcPr>
          <w:p w14:paraId="5051DC40"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23</w:t>
            </w:r>
          </w:p>
        </w:tc>
        <w:tc>
          <w:tcPr>
            <w:tcW w:w="875" w:type="dxa"/>
          </w:tcPr>
          <w:p w14:paraId="6F7B65E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19</w:t>
            </w:r>
          </w:p>
        </w:tc>
        <w:tc>
          <w:tcPr>
            <w:tcW w:w="874" w:type="dxa"/>
          </w:tcPr>
          <w:p w14:paraId="6C023DC4"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w:t>
            </w:r>
          </w:p>
        </w:tc>
        <w:tc>
          <w:tcPr>
            <w:tcW w:w="875" w:type="dxa"/>
          </w:tcPr>
          <w:p w14:paraId="2D086E0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10</w:t>
            </w:r>
          </w:p>
        </w:tc>
        <w:tc>
          <w:tcPr>
            <w:tcW w:w="900" w:type="dxa"/>
          </w:tcPr>
          <w:p w14:paraId="3771FD0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173</w:t>
            </w:r>
          </w:p>
        </w:tc>
        <w:tc>
          <w:tcPr>
            <w:tcW w:w="892" w:type="dxa"/>
          </w:tcPr>
          <w:p w14:paraId="2B05B4E4"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3.1</w:t>
            </w:r>
          </w:p>
        </w:tc>
      </w:tr>
    </w:tbl>
    <w:bookmarkEnd w:id="164"/>
    <w:p w14:paraId="3A51B1EC" w14:textId="4C26996D" w:rsidR="00B678B5" w:rsidRPr="00F2299E" w:rsidRDefault="00B678B5" w:rsidP="00FF5692">
      <w:pPr>
        <w:pStyle w:val="TableNote"/>
      </w:pPr>
      <w:r w:rsidRPr="00D44000">
        <w:t xml:space="preserve">*The district average is an average of the observation scores. In Table 13, the district average is computed as: </w:t>
      </w:r>
      <w:bookmarkStart w:id="165" w:name="Dist_QF_Calc"/>
      <w:r>
        <w:t>([1 x 20] + [2 x 63] + [3 x 33] + [4 x 23] + [5 x 19] + [6 x 5] + [7 x 10]) ÷ 173 observations = 3.1</w:t>
      </w:r>
      <w:bookmarkEnd w:id="165"/>
    </w:p>
    <w:p w14:paraId="6B237596" w14:textId="77777777" w:rsidR="00B678B5" w:rsidRPr="00BC09E0" w:rsidRDefault="00B678B5" w:rsidP="00FF5692">
      <w:pPr>
        <w:pStyle w:val="BodyText"/>
      </w:pPr>
      <w:r w:rsidRPr="00F97764">
        <w:rPr>
          <w:rStyle w:val="BodyTextDemiChar"/>
        </w:rPr>
        <w:t>Ratings in the Low Range.</w:t>
      </w:r>
      <w:r w:rsidRPr="00BC09E0">
        <w:t xml:space="preserve"> At the low range, the teacher dismisses incorrect responses or misperceptions and rarely scaffolds student learning. The teacher is more interested in students providing the correct answer than understanding. Feedback is perfunctory. The teacher may not provide opportunities to learn whether students understand or are interested. The teacher rarely questions students or asks them to explain their thinking and reasons for their responses. The teacher does not or rarely provides information that might expand student understanding and rarely offers encouragement that increases student effort and persistence.</w:t>
      </w:r>
    </w:p>
    <w:p w14:paraId="4A62E6F0" w14:textId="77777777" w:rsidR="00B678B5" w:rsidRPr="00BC09E0" w:rsidRDefault="00B678B5" w:rsidP="00FF5692">
      <w:pPr>
        <w:pStyle w:val="BodyTextposthead"/>
      </w:pPr>
      <w:r w:rsidRPr="00F97764">
        <w:rPr>
          <w:rStyle w:val="BodyTextDemiChar"/>
        </w:rPr>
        <w:t>Ratings in the Middle Range.</w:t>
      </w:r>
      <w:r w:rsidRPr="00BC09E0">
        <w:t xml:space="preserve"> In the middle range, the teacher sometimes scaffolds students, but this is not consistent. On occasion, the teacher facilitates feedback loops so that students may elaborate and expand on their thinking, but these moments are not sustained long enough to accomplish a learning objective. Sometimes, the teacher asks students about or prompts them to explain their thinking and provides information to help students understand, but sometimes the feedback is perfunctory. At times, the teacher encourages student efforts and persistence.</w:t>
      </w:r>
    </w:p>
    <w:p w14:paraId="4301C1A9" w14:textId="2A85053C" w:rsidR="00B678B5" w:rsidRDefault="00B678B5" w:rsidP="00FF5692">
      <w:pPr>
        <w:pStyle w:val="BodyTextposthead"/>
      </w:pPr>
      <w:r w:rsidRPr="00F97764">
        <w:rPr>
          <w:rStyle w:val="BodyTextDemiChar"/>
        </w:rPr>
        <w:t>Ratings in the High Range.</w:t>
      </w:r>
      <w:r w:rsidRPr="00BC09E0">
        <w:t xml:space="preserve"> In this range, the teacher frequently scaffolds students who are having difficulty, providing hints or assistance as needed. The teacher engages students in feedback loops to help them understand ideas or reach the right response. The teacher often questions students, encourages them to explain their thinking, and provides additional information that may help students understand. The teacher regularly encourages students’ efforts and persistence.</w:t>
      </w:r>
      <w:r>
        <w:br w:type="page"/>
      </w:r>
    </w:p>
    <w:p w14:paraId="356F41B1" w14:textId="77777777" w:rsidR="00B678B5" w:rsidRPr="00BC09E0" w:rsidRDefault="00B678B5" w:rsidP="00E35A27">
      <w:pPr>
        <w:pStyle w:val="DIOR"/>
      </w:pPr>
      <w:bookmarkStart w:id="166" w:name="_Toc411329837"/>
      <w:bookmarkStart w:id="167" w:name="_Toc430114886"/>
      <w:bookmarkStart w:id="168" w:name="_Toc231296596"/>
      <w:r w:rsidRPr="00BC09E0">
        <w:t xml:space="preserve">Language </w:t>
      </w:r>
      <w:r w:rsidRPr="00FF5692">
        <w:t>Modeling</w:t>
      </w:r>
      <w:bookmarkEnd w:id="166"/>
      <w:bookmarkEnd w:id="167"/>
      <w:bookmarkEnd w:id="168"/>
    </w:p>
    <w:p w14:paraId="08380037" w14:textId="49DA9176" w:rsidR="00B678B5" w:rsidRPr="00BC09E0" w:rsidRDefault="00B678B5">
      <w:pPr>
        <w:pStyle w:val="BodyTextDomain"/>
      </w:pPr>
      <w:r w:rsidRPr="00BC09E0">
        <w:t xml:space="preserve">Instructional Support domain, </w:t>
      </w:r>
      <w:r>
        <w:t>G</w:t>
      </w:r>
      <w:r w:rsidRPr="00BC09E0">
        <w:t xml:space="preserve">rades </w:t>
      </w:r>
      <w:r>
        <w:t>PK</w:t>
      </w:r>
      <w:r w:rsidRPr="00BC09E0">
        <w:rPr>
          <w:rFonts w:ascii="Vijaya" w:hAnsi="Vijaya" w:cs="Vijaya"/>
        </w:rPr>
        <w:t>−</w:t>
      </w:r>
      <w:r w:rsidRPr="00BC09E0">
        <w:t>3</w:t>
      </w:r>
    </w:p>
    <w:p w14:paraId="676CFA72" w14:textId="77777777" w:rsidR="00B678B5" w:rsidRPr="00BC09E0" w:rsidRDefault="00B678B5" w:rsidP="00FF5692">
      <w:pPr>
        <w:pStyle w:val="BodyTextposthead"/>
      </w:pPr>
      <w:r w:rsidRPr="00BC09E0">
        <w:t>Language Modeling refers to the quality and amount of the teacher’s use of language stimulation and language facilitation techniques (</w:t>
      </w:r>
      <w:r w:rsidRPr="00BC09E0">
        <w:rPr>
          <w:i/>
        </w:rPr>
        <w:t xml:space="preserve">CLASS </w:t>
      </w:r>
      <w:r>
        <w:rPr>
          <w:i/>
        </w:rPr>
        <w:t>PK–</w:t>
      </w:r>
      <w:r w:rsidRPr="00BC09E0">
        <w:rPr>
          <w:i/>
        </w:rPr>
        <w:t>3 Manual</w:t>
      </w:r>
      <w:r w:rsidRPr="00BC09E0">
        <w:t>, p. 79).</w:t>
      </w:r>
    </w:p>
    <w:p w14:paraId="5AD0D7A8" w14:textId="77777777" w:rsidR="00B678B5" w:rsidRPr="00BC09E0" w:rsidRDefault="00B678B5">
      <w:pPr>
        <w:pStyle w:val="TableTitle0"/>
      </w:pPr>
      <w:r w:rsidRPr="00BC09E0">
        <w:t xml:space="preserve">Table 14. Language Modeling: Number of Classrooms for Each Rating </w:t>
      </w:r>
      <w:r w:rsidRPr="00D44000">
        <w:t>and District Average</w:t>
      </w:r>
    </w:p>
    <w:p w14:paraId="18EE259F" w14:textId="77777777" w:rsidR="00B678B5" w:rsidRDefault="00B678B5">
      <w:pPr>
        <w:pStyle w:val="BodyTextDemi"/>
      </w:pPr>
      <w:r w:rsidRPr="00D44000">
        <w:t xml:space="preserve">Language Modeling District Average*: </w:t>
      </w:r>
      <w:bookmarkStart w:id="169" w:name="Dist_LM_Avg"/>
      <w:r>
        <w:t>3.1</w:t>
      </w:r>
      <w:bookmarkEnd w:id="169"/>
    </w:p>
    <w:tbl>
      <w:tblPr>
        <w:tblStyle w:val="MSVTable1"/>
        <w:tblW w:w="5000" w:type="pct"/>
        <w:tblLook w:val="04A0" w:firstRow="1" w:lastRow="0" w:firstColumn="1" w:lastColumn="0" w:noHBand="0" w:noVBand="1"/>
        <w:tblCaption w:val="Table 14. Language Modeling: Number of Classrooms for Each Rating and District Average"/>
        <w:tblDescription w:val="Language Modeling: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726C16D6" w14:textId="77777777" w:rsidTr="00130F4F">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0325F339" w14:textId="77777777" w:rsidR="00B678B5" w:rsidRPr="00E359BF" w:rsidRDefault="00B678B5" w:rsidP="00130F4F">
            <w:pPr>
              <w:pStyle w:val="TableColHeadingCenter"/>
              <w:rPr>
                <w:rFonts w:eastAsia="MS Mincho"/>
              </w:rPr>
            </w:pPr>
            <w:bookmarkStart w:id="170" w:name="Tbl_LM"/>
            <w:r>
              <w:rPr>
                <w:rFonts w:eastAsia="MS Mincho"/>
              </w:rPr>
              <w:t>Grade Band</w:t>
            </w:r>
          </w:p>
        </w:tc>
        <w:tc>
          <w:tcPr>
            <w:tcW w:w="874" w:type="dxa"/>
            <w:vAlign w:val="center"/>
          </w:tcPr>
          <w:p w14:paraId="61F0767F"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60FEC718" w14:textId="77777777" w:rsidR="00B678B5" w:rsidRPr="00E359BF" w:rsidRDefault="00B678B5" w:rsidP="00130F4F">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2928D636"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1EAE9E13"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2BF30B2E" w14:textId="77777777" w:rsidR="00B678B5" w:rsidRPr="00E359BF" w:rsidRDefault="00B678B5" w:rsidP="00130F4F">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2600BA1B"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04F061D9" w14:textId="77777777" w:rsidR="00B678B5" w:rsidRPr="00E359BF" w:rsidRDefault="00B678B5" w:rsidP="00130F4F">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14E6729D" w14:textId="77777777" w:rsidR="00B678B5" w:rsidRPr="00E359BF" w:rsidRDefault="00B678B5" w:rsidP="00130F4F">
            <w:pPr>
              <w:pStyle w:val="TableColHeadingCenter"/>
              <w:rPr>
                <w:rFonts w:eastAsia="MS Mincho"/>
              </w:rPr>
            </w:pPr>
            <w:r>
              <w:rPr>
                <w:rFonts w:eastAsia="MS Mincho"/>
              </w:rPr>
              <w:t>n</w:t>
            </w:r>
          </w:p>
        </w:tc>
        <w:tc>
          <w:tcPr>
            <w:tcW w:w="892" w:type="dxa"/>
            <w:vAlign w:val="center"/>
          </w:tcPr>
          <w:p w14:paraId="67C7AE06" w14:textId="77777777" w:rsidR="00B678B5" w:rsidRPr="00E359BF" w:rsidRDefault="00B678B5" w:rsidP="00130F4F">
            <w:pPr>
              <w:pStyle w:val="TableColHeadingCenter"/>
              <w:rPr>
                <w:rFonts w:eastAsia="MS Mincho"/>
              </w:rPr>
            </w:pPr>
            <w:r>
              <w:rPr>
                <w:rFonts w:eastAsia="MS Mincho"/>
              </w:rPr>
              <w:t>Average</w:t>
            </w:r>
          </w:p>
        </w:tc>
      </w:tr>
      <w:tr w:rsidR="00B678B5" w:rsidRPr="00E359BF" w14:paraId="4775399C"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37B4F6D8" w14:textId="77777777" w:rsidR="00B678B5" w:rsidRPr="00E359BF" w:rsidRDefault="00B678B5">
            <w:pPr>
              <w:pStyle w:val="TableText"/>
            </w:pPr>
            <w:r>
              <w:t>Grades PK-3**</w:t>
            </w:r>
          </w:p>
        </w:tc>
        <w:tc>
          <w:tcPr>
            <w:tcW w:w="874" w:type="dxa"/>
          </w:tcPr>
          <w:p w14:paraId="346E93E9" w14:textId="77777777" w:rsidR="00B678B5" w:rsidRPr="00E359BF" w:rsidRDefault="00B678B5">
            <w:pPr>
              <w:pStyle w:val="TableTextCentered"/>
              <w:rPr>
                <w:rFonts w:eastAsia="Times New Roman"/>
              </w:rPr>
            </w:pPr>
            <w:r>
              <w:rPr>
                <w:rFonts w:eastAsia="Times New Roman"/>
              </w:rPr>
              <w:t>7</w:t>
            </w:r>
          </w:p>
        </w:tc>
        <w:tc>
          <w:tcPr>
            <w:tcW w:w="874" w:type="dxa"/>
          </w:tcPr>
          <w:p w14:paraId="112D2A83" w14:textId="77777777" w:rsidR="00B678B5" w:rsidRPr="00E359BF" w:rsidRDefault="00B678B5">
            <w:pPr>
              <w:pStyle w:val="TableTextCentered"/>
              <w:rPr>
                <w:rFonts w:eastAsia="Times New Roman"/>
              </w:rPr>
            </w:pPr>
            <w:r>
              <w:rPr>
                <w:rFonts w:eastAsia="Times New Roman"/>
              </w:rPr>
              <w:t>14</w:t>
            </w:r>
          </w:p>
        </w:tc>
        <w:tc>
          <w:tcPr>
            <w:tcW w:w="874" w:type="dxa"/>
          </w:tcPr>
          <w:p w14:paraId="0CC4A767" w14:textId="77777777" w:rsidR="00B678B5" w:rsidRPr="00E359BF" w:rsidRDefault="00B678B5">
            <w:pPr>
              <w:pStyle w:val="TableTextCentered"/>
              <w:rPr>
                <w:rFonts w:eastAsia="Times New Roman"/>
              </w:rPr>
            </w:pPr>
            <w:r>
              <w:rPr>
                <w:rFonts w:eastAsia="Times New Roman"/>
              </w:rPr>
              <w:t>14</w:t>
            </w:r>
          </w:p>
        </w:tc>
        <w:tc>
          <w:tcPr>
            <w:tcW w:w="875" w:type="dxa"/>
          </w:tcPr>
          <w:p w14:paraId="6F56DCA7" w14:textId="77777777" w:rsidR="00B678B5" w:rsidRPr="00E359BF" w:rsidRDefault="00B678B5">
            <w:pPr>
              <w:pStyle w:val="TableTextCentered"/>
              <w:rPr>
                <w:rFonts w:eastAsia="Times New Roman"/>
              </w:rPr>
            </w:pPr>
            <w:r>
              <w:rPr>
                <w:rFonts w:eastAsia="Times New Roman"/>
              </w:rPr>
              <w:t>4</w:t>
            </w:r>
          </w:p>
        </w:tc>
        <w:tc>
          <w:tcPr>
            <w:tcW w:w="875" w:type="dxa"/>
          </w:tcPr>
          <w:p w14:paraId="725BE262" w14:textId="77777777" w:rsidR="00B678B5" w:rsidRPr="00E359BF" w:rsidRDefault="00B678B5">
            <w:pPr>
              <w:pStyle w:val="TableTextCentered"/>
              <w:rPr>
                <w:rFonts w:eastAsia="Times New Roman"/>
              </w:rPr>
            </w:pPr>
            <w:r>
              <w:rPr>
                <w:rFonts w:eastAsia="Times New Roman"/>
              </w:rPr>
              <w:t>12</w:t>
            </w:r>
          </w:p>
        </w:tc>
        <w:tc>
          <w:tcPr>
            <w:tcW w:w="874" w:type="dxa"/>
          </w:tcPr>
          <w:p w14:paraId="4A08C336" w14:textId="77777777" w:rsidR="00B678B5" w:rsidRPr="00E359BF" w:rsidRDefault="00B678B5">
            <w:pPr>
              <w:pStyle w:val="TableTextCentered"/>
              <w:rPr>
                <w:rFonts w:eastAsia="Times New Roman"/>
              </w:rPr>
            </w:pPr>
            <w:r>
              <w:rPr>
                <w:rFonts w:eastAsia="Times New Roman"/>
              </w:rPr>
              <w:t>2</w:t>
            </w:r>
          </w:p>
        </w:tc>
        <w:tc>
          <w:tcPr>
            <w:tcW w:w="875" w:type="dxa"/>
          </w:tcPr>
          <w:p w14:paraId="4D35C0F7" w14:textId="77777777" w:rsidR="00B678B5" w:rsidRPr="00E359BF" w:rsidRDefault="00B678B5">
            <w:pPr>
              <w:pStyle w:val="TableTextCentered"/>
              <w:rPr>
                <w:rFonts w:eastAsia="Times New Roman"/>
              </w:rPr>
            </w:pPr>
            <w:r>
              <w:rPr>
                <w:rFonts w:eastAsia="Times New Roman"/>
              </w:rPr>
              <w:t>0</w:t>
            </w:r>
          </w:p>
        </w:tc>
        <w:tc>
          <w:tcPr>
            <w:tcW w:w="900" w:type="dxa"/>
          </w:tcPr>
          <w:p w14:paraId="22388F1C" w14:textId="77777777" w:rsidR="00B678B5" w:rsidRPr="00E359BF" w:rsidRDefault="00B678B5">
            <w:pPr>
              <w:pStyle w:val="TableTextCentered"/>
              <w:rPr>
                <w:rFonts w:eastAsia="Times New Roman"/>
              </w:rPr>
            </w:pPr>
            <w:r>
              <w:rPr>
                <w:rFonts w:eastAsia="Times New Roman"/>
              </w:rPr>
              <w:t>53</w:t>
            </w:r>
          </w:p>
        </w:tc>
        <w:tc>
          <w:tcPr>
            <w:tcW w:w="892" w:type="dxa"/>
          </w:tcPr>
          <w:p w14:paraId="6ED6F4AB" w14:textId="77777777" w:rsidR="00B678B5" w:rsidRPr="00E359BF" w:rsidRDefault="00B678B5">
            <w:pPr>
              <w:pStyle w:val="TableTextCentered"/>
              <w:rPr>
                <w:rFonts w:eastAsia="Times New Roman"/>
              </w:rPr>
            </w:pPr>
            <w:r>
              <w:rPr>
                <w:rFonts w:eastAsia="Times New Roman"/>
              </w:rPr>
              <w:t>3.1</w:t>
            </w:r>
          </w:p>
        </w:tc>
      </w:tr>
    </w:tbl>
    <w:bookmarkEnd w:id="170"/>
    <w:p w14:paraId="772FE851" w14:textId="5227ECF4" w:rsidR="00B678B5" w:rsidRDefault="00B678B5" w:rsidP="00FF5692">
      <w:pPr>
        <w:pStyle w:val="TableNote"/>
      </w:pPr>
      <w:r w:rsidRPr="00D44000">
        <w:t xml:space="preserve">*The district average is an average of the observation scores. In Table 14, the district average is computed as: </w:t>
      </w:r>
      <w:bookmarkStart w:id="171" w:name="Dist_LM_Calc"/>
      <w:r>
        <w:t xml:space="preserve">([1 x 7] + [2 x 14] + [3 x 14] + [4 x 4] + [5 x 12] + [6 x 2]) ÷ 53 </w:t>
      </w:r>
      <w:r w:rsidRPr="00FF5692">
        <w:t>observations</w:t>
      </w:r>
      <w:r>
        <w:t xml:space="preserve"> = 3.1</w:t>
      </w:r>
      <w:bookmarkEnd w:id="171"/>
    </w:p>
    <w:p w14:paraId="03F052AE" w14:textId="77777777" w:rsidR="00B678B5" w:rsidRPr="00BC09E0" w:rsidRDefault="00B678B5" w:rsidP="00FF5692">
      <w:pPr>
        <w:pStyle w:val="TableNote"/>
      </w:pPr>
      <w:r>
        <w:t xml:space="preserve">**Language Modeling does not appear in the CLASS Upper </w:t>
      </w:r>
      <w:r w:rsidRPr="00FF5692">
        <w:t>Elementary</w:t>
      </w:r>
      <w:r>
        <w:t xml:space="preserve"> Manual, therefore scores for the Elementary School Level represent grades PK-3 only.</w:t>
      </w:r>
    </w:p>
    <w:p w14:paraId="35A09C60" w14:textId="07C2AB07" w:rsidR="00B678B5" w:rsidRPr="00BC09E0" w:rsidRDefault="00B678B5" w:rsidP="00FF5692">
      <w:pPr>
        <w:pStyle w:val="BodyText"/>
      </w:pPr>
      <w:r w:rsidRPr="00D05302">
        <w:rPr>
          <w:rStyle w:val="BodyTextDemiChar"/>
        </w:rPr>
        <w:t>Ratings in the Low Range.</w:t>
      </w:r>
      <w:r w:rsidRPr="00BC09E0">
        <w:t xml:space="preserve"> In the low range, there are few conversations in the classroom, particularly between the students and the teacher. The teacher responds to students’ initiating talk with only a few words, limits students’ use of language (in responding to questions) and asks questions that mainly elicit closed-ended responses. The teacher does not or rarely extends students’ responses or repeats them for clarification. The teacher does not engage in self-talk or parallel talk—explaining what he or she or the students are doing. The teacher does not use new words or advanced language with students. The language used has little variety.</w:t>
      </w:r>
    </w:p>
    <w:p w14:paraId="6D9BED6F" w14:textId="1C3A685E" w:rsidR="00B678B5" w:rsidRPr="00BC09E0" w:rsidRDefault="00B678B5" w:rsidP="00FF5692">
      <w:pPr>
        <w:pStyle w:val="BodyTextposthead"/>
      </w:pPr>
      <w:r w:rsidRPr="00D05302">
        <w:rPr>
          <w:rStyle w:val="BodyTextDemiChar"/>
        </w:rPr>
        <w:t>Ratings in the Middle Range.</w:t>
      </w:r>
      <w:r w:rsidRPr="00BC09E0">
        <w:t xml:space="preserve"> In this range, the teacher talks with students and shows some interest in students, but the conversations are limited and not prolonged. Usually, the teacher directs the conversations, although the conversations may focus on topics of interest to students. More often, there is a basic exchange of information but limited conversation. The teacher asks a mix of closed- and open-ended questions, although the closed-ended questions may require only short responses. Sometimes, the teacher extends students’ responses or repeats what students say. Sometimes, the teacher maps his or her own actions and the students’ actions through language and description. The teacher sometimes uses advanced language with students.</w:t>
      </w:r>
    </w:p>
    <w:p w14:paraId="11F09E02" w14:textId="75BC8FC8" w:rsidR="00FF5692" w:rsidRDefault="00B678B5" w:rsidP="00FF5692">
      <w:pPr>
        <w:pStyle w:val="BodyTextposthead"/>
      </w:pPr>
      <w:r w:rsidRPr="00D05302">
        <w:rPr>
          <w:rStyle w:val="BodyTextDemiChar"/>
        </w:rPr>
        <w:t>Ratings in the High Range.</w:t>
      </w:r>
      <w:r w:rsidRPr="00BC09E0">
        <w:rPr>
          <w:b/>
        </w:rPr>
        <w:t xml:space="preserve"> </w:t>
      </w:r>
      <w:r w:rsidRPr="00BC09E0">
        <w:t>There are frequent conversations in the classroom, particularly between students and the teacher, and these conversations promote language use. Students are encouraged to converse and feel they are valued conversational partners. The teacher asks many open-ended questions that require students to communicate more complex ideas. The teacher often extends or repeats student responses. Frequently, the teacher maps his or her actions and student actions descriptively and uses advanced language with students.</w:t>
      </w:r>
      <w:r w:rsidR="00FF5692">
        <w:br w:type="page"/>
      </w:r>
    </w:p>
    <w:p w14:paraId="56EA6EBE" w14:textId="3248F43E" w:rsidR="00B678B5" w:rsidRPr="00304BB4" w:rsidRDefault="00B678B5" w:rsidP="00E35A27">
      <w:pPr>
        <w:pStyle w:val="DIOR"/>
        <w:rPr>
          <w:lang w:val="fr-FR"/>
        </w:rPr>
      </w:pPr>
      <w:bookmarkStart w:id="172" w:name="_Toc379881745"/>
      <w:bookmarkStart w:id="173" w:name="_Toc411329838"/>
      <w:bookmarkStart w:id="174" w:name="_Toc430114887"/>
      <w:bookmarkStart w:id="175" w:name="_Toc231296597"/>
      <w:r w:rsidRPr="00304BB4">
        <w:rPr>
          <w:lang w:val="fr-FR"/>
        </w:rPr>
        <w:t>Instructional Dialogue</w:t>
      </w:r>
      <w:bookmarkEnd w:id="172"/>
      <w:bookmarkEnd w:id="173"/>
      <w:bookmarkEnd w:id="174"/>
      <w:bookmarkEnd w:id="175"/>
    </w:p>
    <w:p w14:paraId="7AA75BD1" w14:textId="77777777" w:rsidR="00B678B5" w:rsidRPr="00304BB4" w:rsidRDefault="00B678B5">
      <w:pPr>
        <w:pStyle w:val="BodyTextDomain"/>
        <w:rPr>
          <w:lang w:val="fr-FR"/>
        </w:rPr>
      </w:pPr>
      <w:r w:rsidRPr="00304BB4">
        <w:rPr>
          <w:lang w:val="fr-FR"/>
        </w:rPr>
        <w:t>Instructional Support domain, Grades 4</w:t>
      </w:r>
      <w:r w:rsidRPr="00304BB4">
        <w:rPr>
          <w:rFonts w:ascii="Vijaya" w:hAnsi="Vijaya" w:cs="Vijaya"/>
          <w:lang w:val="fr-FR"/>
        </w:rPr>
        <w:t>−</w:t>
      </w:r>
      <w:r w:rsidRPr="00304BB4">
        <w:rPr>
          <w:lang w:val="fr-FR"/>
        </w:rPr>
        <w:t>12</w:t>
      </w:r>
    </w:p>
    <w:p w14:paraId="017A573E" w14:textId="77777777" w:rsidR="00B678B5" w:rsidRPr="00BC09E0" w:rsidRDefault="00B678B5" w:rsidP="00FF5692">
      <w:pPr>
        <w:pStyle w:val="BodyTextposthead"/>
      </w:pPr>
      <w:r w:rsidRPr="00BC09E0">
        <w:t>Instructional Dialogue captures the purposeful use of content-focused discussion among teachers and students that is cumulative, with the teacher supporting students to chain ideas together in ways that lead to deeper understanding of content. Students take an active role in these dialogues, and both the teacher and students use strategies that facilitate extended dialogue (</w:t>
      </w:r>
      <w:r w:rsidRPr="00BC09E0">
        <w:rPr>
          <w:i/>
        </w:rPr>
        <w:t>CLASS Upper Elementary Manual</w:t>
      </w:r>
      <w:r w:rsidRPr="00BC09E0">
        <w:t>, p. 97</w:t>
      </w:r>
      <w:r>
        <w:t xml:space="preserve">, </w:t>
      </w:r>
      <w:r w:rsidRPr="0085328B">
        <w:rPr>
          <w:i/>
        </w:rPr>
        <w:t>CLASS Secondary Manual</w:t>
      </w:r>
      <w:r>
        <w:t>, p. 101</w:t>
      </w:r>
      <w:r w:rsidRPr="00BC09E0">
        <w:t>).</w:t>
      </w:r>
    </w:p>
    <w:p w14:paraId="4D7191CE" w14:textId="77777777" w:rsidR="00B678B5" w:rsidRPr="00BC09E0" w:rsidRDefault="00B678B5" w:rsidP="00B22A35">
      <w:pPr>
        <w:pStyle w:val="TableTitle0"/>
        <w:spacing w:before="120"/>
        <w:rPr>
          <w:spacing w:val="-4"/>
        </w:rPr>
      </w:pPr>
      <w:r w:rsidRPr="00BC09E0">
        <w:rPr>
          <w:spacing w:val="-4"/>
        </w:rPr>
        <w:t xml:space="preserve">Table 15. Instructional Dialogue: Number of Classrooms for Each Rating </w:t>
      </w:r>
      <w:r w:rsidRPr="002A58D3">
        <w:rPr>
          <w:spacing w:val="-4"/>
        </w:rPr>
        <w:t>and District Average</w:t>
      </w:r>
    </w:p>
    <w:p w14:paraId="18F37317" w14:textId="77777777" w:rsidR="00B678B5" w:rsidRDefault="00B678B5" w:rsidP="00B22A35">
      <w:pPr>
        <w:pStyle w:val="BodyTextDemi"/>
        <w:spacing w:before="120" w:after="0"/>
      </w:pPr>
      <w:r w:rsidRPr="002A58D3">
        <w:t xml:space="preserve">Instructional Dialogue District Average*: </w:t>
      </w:r>
      <w:bookmarkStart w:id="176" w:name="Dist_ID_Avg"/>
      <w:r>
        <w:t>3.1</w:t>
      </w:r>
      <w:bookmarkEnd w:id="176"/>
    </w:p>
    <w:tbl>
      <w:tblPr>
        <w:tblStyle w:val="MSVTable1"/>
        <w:tblW w:w="5000" w:type="pct"/>
        <w:tblLook w:val="04A0" w:firstRow="1" w:lastRow="0" w:firstColumn="1" w:lastColumn="0" w:noHBand="0" w:noVBand="1"/>
        <w:tblCaption w:val="Table 15. Instructional Dialogue: Number of Classrooms for Each Rating and District Average"/>
        <w:tblDescription w:val="Instructional Dialogue: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71C05A15" w14:textId="77777777" w:rsidTr="00D60938">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4E9303D5" w14:textId="77777777" w:rsidR="00B678B5" w:rsidRPr="00E359BF" w:rsidRDefault="00B678B5" w:rsidP="00D60938">
            <w:pPr>
              <w:pStyle w:val="TableColHeadingCenter"/>
              <w:rPr>
                <w:rFonts w:eastAsia="MS Mincho"/>
              </w:rPr>
            </w:pPr>
            <w:bookmarkStart w:id="177" w:name="Tbl_ID"/>
            <w:r>
              <w:rPr>
                <w:rFonts w:eastAsia="MS Mincho"/>
              </w:rPr>
              <w:t>Grade Band</w:t>
            </w:r>
          </w:p>
        </w:tc>
        <w:tc>
          <w:tcPr>
            <w:tcW w:w="874" w:type="dxa"/>
            <w:vAlign w:val="center"/>
          </w:tcPr>
          <w:p w14:paraId="7906F158" w14:textId="77777777" w:rsidR="00B678B5" w:rsidRPr="00E359BF" w:rsidRDefault="00B678B5" w:rsidP="00D60938">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1A65BD8C" w14:textId="77777777" w:rsidR="00B678B5" w:rsidRPr="00E359BF" w:rsidRDefault="00B678B5" w:rsidP="00D60938">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4C257202" w14:textId="77777777" w:rsidR="00B678B5" w:rsidRPr="00E359BF" w:rsidRDefault="00B678B5" w:rsidP="00D60938">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5393A1E0" w14:textId="77777777" w:rsidR="00B678B5" w:rsidRPr="00E359BF" w:rsidRDefault="00B678B5" w:rsidP="00D60938">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61B5DE79" w14:textId="77777777" w:rsidR="00B678B5" w:rsidRPr="00E359BF" w:rsidRDefault="00B678B5" w:rsidP="00D60938">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1924A878" w14:textId="77777777" w:rsidR="00B678B5" w:rsidRPr="00E359BF" w:rsidRDefault="00B678B5" w:rsidP="00D60938">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2E5FB546" w14:textId="77777777" w:rsidR="00B678B5" w:rsidRPr="00E359BF" w:rsidRDefault="00B678B5" w:rsidP="00D60938">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28BA0251" w14:textId="77777777" w:rsidR="00B678B5" w:rsidRPr="00E359BF" w:rsidRDefault="00B678B5" w:rsidP="00D60938">
            <w:pPr>
              <w:pStyle w:val="TableColHeadingCenter"/>
              <w:rPr>
                <w:rFonts w:eastAsia="MS Mincho"/>
              </w:rPr>
            </w:pPr>
            <w:r>
              <w:rPr>
                <w:rFonts w:eastAsia="MS Mincho"/>
              </w:rPr>
              <w:t>n</w:t>
            </w:r>
          </w:p>
        </w:tc>
        <w:tc>
          <w:tcPr>
            <w:tcW w:w="892" w:type="dxa"/>
            <w:vAlign w:val="center"/>
          </w:tcPr>
          <w:p w14:paraId="02F7A6A3" w14:textId="77777777" w:rsidR="00B678B5" w:rsidRPr="00E359BF" w:rsidRDefault="00B678B5" w:rsidP="00D60938">
            <w:pPr>
              <w:pStyle w:val="TableColHeadingCenter"/>
              <w:rPr>
                <w:rFonts w:eastAsia="MS Mincho"/>
              </w:rPr>
            </w:pPr>
            <w:r>
              <w:rPr>
                <w:rFonts w:eastAsia="MS Mincho"/>
              </w:rPr>
              <w:t>Average</w:t>
            </w:r>
          </w:p>
        </w:tc>
      </w:tr>
      <w:tr w:rsidR="00B678B5" w:rsidRPr="00E359BF" w14:paraId="772E8165"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7B4CD189" w14:textId="77777777" w:rsidR="00B678B5" w:rsidRPr="00E359BF" w:rsidRDefault="00B678B5">
            <w:pPr>
              <w:pStyle w:val="TableText"/>
            </w:pPr>
            <w:r>
              <w:t>Grades 4-5**</w:t>
            </w:r>
          </w:p>
        </w:tc>
        <w:tc>
          <w:tcPr>
            <w:tcW w:w="874" w:type="dxa"/>
          </w:tcPr>
          <w:p w14:paraId="4D0F79EB" w14:textId="77777777" w:rsidR="00B678B5" w:rsidRPr="00E359BF" w:rsidRDefault="00B678B5">
            <w:pPr>
              <w:pStyle w:val="TableTextCentered"/>
              <w:rPr>
                <w:rFonts w:eastAsia="Times New Roman"/>
              </w:rPr>
            </w:pPr>
            <w:r>
              <w:rPr>
                <w:rFonts w:eastAsia="Times New Roman"/>
              </w:rPr>
              <w:t>4</w:t>
            </w:r>
          </w:p>
        </w:tc>
        <w:tc>
          <w:tcPr>
            <w:tcW w:w="874" w:type="dxa"/>
          </w:tcPr>
          <w:p w14:paraId="65C4FDAB" w14:textId="77777777" w:rsidR="00B678B5" w:rsidRPr="00E359BF" w:rsidRDefault="00B678B5">
            <w:pPr>
              <w:pStyle w:val="TableTextCentered"/>
              <w:rPr>
                <w:rFonts w:eastAsia="Times New Roman"/>
              </w:rPr>
            </w:pPr>
            <w:r>
              <w:rPr>
                <w:rFonts w:eastAsia="Times New Roman"/>
              </w:rPr>
              <w:t>4</w:t>
            </w:r>
          </w:p>
        </w:tc>
        <w:tc>
          <w:tcPr>
            <w:tcW w:w="874" w:type="dxa"/>
          </w:tcPr>
          <w:p w14:paraId="51446608" w14:textId="77777777" w:rsidR="00B678B5" w:rsidRPr="00E359BF" w:rsidRDefault="00B678B5">
            <w:pPr>
              <w:pStyle w:val="TableTextCentered"/>
              <w:rPr>
                <w:rFonts w:eastAsia="Times New Roman"/>
              </w:rPr>
            </w:pPr>
            <w:r>
              <w:rPr>
                <w:rFonts w:eastAsia="Times New Roman"/>
              </w:rPr>
              <w:t>6</w:t>
            </w:r>
          </w:p>
        </w:tc>
        <w:tc>
          <w:tcPr>
            <w:tcW w:w="875" w:type="dxa"/>
          </w:tcPr>
          <w:p w14:paraId="480B23BD" w14:textId="77777777" w:rsidR="00B678B5" w:rsidRPr="00E359BF" w:rsidRDefault="00B678B5">
            <w:pPr>
              <w:pStyle w:val="TableTextCentered"/>
              <w:rPr>
                <w:rFonts w:eastAsia="Times New Roman"/>
              </w:rPr>
            </w:pPr>
            <w:r>
              <w:rPr>
                <w:rFonts w:eastAsia="Times New Roman"/>
              </w:rPr>
              <w:t>5</w:t>
            </w:r>
          </w:p>
        </w:tc>
        <w:tc>
          <w:tcPr>
            <w:tcW w:w="875" w:type="dxa"/>
          </w:tcPr>
          <w:p w14:paraId="6E66D389" w14:textId="77777777" w:rsidR="00B678B5" w:rsidRPr="00E359BF" w:rsidRDefault="00B678B5">
            <w:pPr>
              <w:pStyle w:val="TableTextCentered"/>
              <w:rPr>
                <w:rFonts w:eastAsia="Times New Roman"/>
              </w:rPr>
            </w:pPr>
            <w:r>
              <w:rPr>
                <w:rFonts w:eastAsia="Times New Roman"/>
              </w:rPr>
              <w:t>4</w:t>
            </w:r>
          </w:p>
        </w:tc>
        <w:tc>
          <w:tcPr>
            <w:tcW w:w="874" w:type="dxa"/>
          </w:tcPr>
          <w:p w14:paraId="79CE32B7" w14:textId="77777777" w:rsidR="00B678B5" w:rsidRPr="00E359BF" w:rsidRDefault="00B678B5">
            <w:pPr>
              <w:pStyle w:val="TableTextCentered"/>
              <w:rPr>
                <w:rFonts w:eastAsia="Times New Roman"/>
              </w:rPr>
            </w:pPr>
            <w:r>
              <w:rPr>
                <w:rFonts w:eastAsia="Times New Roman"/>
              </w:rPr>
              <w:t>4</w:t>
            </w:r>
          </w:p>
        </w:tc>
        <w:tc>
          <w:tcPr>
            <w:tcW w:w="875" w:type="dxa"/>
          </w:tcPr>
          <w:p w14:paraId="767C91BC" w14:textId="77777777" w:rsidR="00B678B5" w:rsidRPr="00E359BF" w:rsidRDefault="00B678B5">
            <w:pPr>
              <w:pStyle w:val="TableTextCentered"/>
              <w:rPr>
                <w:rFonts w:eastAsia="Times New Roman"/>
              </w:rPr>
            </w:pPr>
            <w:r>
              <w:rPr>
                <w:rFonts w:eastAsia="Times New Roman"/>
              </w:rPr>
              <w:t>0</w:t>
            </w:r>
          </w:p>
        </w:tc>
        <w:tc>
          <w:tcPr>
            <w:tcW w:w="900" w:type="dxa"/>
          </w:tcPr>
          <w:p w14:paraId="23EFD1DC" w14:textId="77777777" w:rsidR="00B678B5" w:rsidRPr="00E359BF" w:rsidRDefault="00B678B5">
            <w:pPr>
              <w:pStyle w:val="TableTextCentered"/>
              <w:rPr>
                <w:rFonts w:eastAsia="Times New Roman"/>
              </w:rPr>
            </w:pPr>
            <w:r>
              <w:rPr>
                <w:rFonts w:eastAsia="Times New Roman"/>
              </w:rPr>
              <w:t>27</w:t>
            </w:r>
          </w:p>
        </w:tc>
        <w:tc>
          <w:tcPr>
            <w:tcW w:w="892" w:type="dxa"/>
          </w:tcPr>
          <w:p w14:paraId="4252A270" w14:textId="77777777" w:rsidR="00B678B5" w:rsidRPr="00E359BF" w:rsidRDefault="00B678B5">
            <w:pPr>
              <w:pStyle w:val="TableTextCentered"/>
              <w:rPr>
                <w:rFonts w:eastAsia="Times New Roman"/>
              </w:rPr>
            </w:pPr>
            <w:r>
              <w:rPr>
                <w:rFonts w:eastAsia="Times New Roman"/>
              </w:rPr>
              <w:t>3.5</w:t>
            </w:r>
          </w:p>
        </w:tc>
      </w:tr>
      <w:tr w:rsidR="00B678B5" w:rsidRPr="00E359BF" w14:paraId="5CA419F5" w14:textId="77777777" w:rsidTr="00FF5692">
        <w:tc>
          <w:tcPr>
            <w:tcW w:w="1431" w:type="dxa"/>
          </w:tcPr>
          <w:p w14:paraId="4E26F04F" w14:textId="77777777" w:rsidR="00B678B5" w:rsidRPr="00E359BF" w:rsidRDefault="00B678B5">
            <w:pPr>
              <w:pStyle w:val="TableText"/>
            </w:pPr>
            <w:r>
              <w:t>Grades 6-8</w:t>
            </w:r>
          </w:p>
        </w:tc>
        <w:tc>
          <w:tcPr>
            <w:tcW w:w="874" w:type="dxa"/>
          </w:tcPr>
          <w:p w14:paraId="46DDE0D6" w14:textId="77777777" w:rsidR="00B678B5" w:rsidRPr="00E359BF" w:rsidRDefault="00B678B5">
            <w:pPr>
              <w:pStyle w:val="TableTextCentered"/>
              <w:rPr>
                <w:rFonts w:eastAsia="Times New Roman"/>
              </w:rPr>
            </w:pPr>
            <w:r>
              <w:rPr>
                <w:rFonts w:eastAsia="Times New Roman"/>
              </w:rPr>
              <w:t>11</w:t>
            </w:r>
          </w:p>
        </w:tc>
        <w:tc>
          <w:tcPr>
            <w:tcW w:w="874" w:type="dxa"/>
          </w:tcPr>
          <w:p w14:paraId="49075F4A" w14:textId="77777777" w:rsidR="00B678B5" w:rsidRPr="00E359BF" w:rsidRDefault="00B678B5">
            <w:pPr>
              <w:pStyle w:val="TableTextCentered"/>
              <w:rPr>
                <w:rFonts w:eastAsia="Times New Roman"/>
              </w:rPr>
            </w:pPr>
            <w:r>
              <w:rPr>
                <w:rFonts w:eastAsia="Times New Roman"/>
              </w:rPr>
              <w:t>10</w:t>
            </w:r>
          </w:p>
        </w:tc>
        <w:tc>
          <w:tcPr>
            <w:tcW w:w="874" w:type="dxa"/>
          </w:tcPr>
          <w:p w14:paraId="3ADF62CA" w14:textId="77777777" w:rsidR="00B678B5" w:rsidRPr="00E359BF" w:rsidRDefault="00B678B5">
            <w:pPr>
              <w:pStyle w:val="TableTextCentered"/>
              <w:rPr>
                <w:rFonts w:eastAsia="Times New Roman"/>
              </w:rPr>
            </w:pPr>
            <w:r>
              <w:rPr>
                <w:rFonts w:eastAsia="Times New Roman"/>
              </w:rPr>
              <w:t>9</w:t>
            </w:r>
          </w:p>
        </w:tc>
        <w:tc>
          <w:tcPr>
            <w:tcW w:w="875" w:type="dxa"/>
          </w:tcPr>
          <w:p w14:paraId="26DDAF1C" w14:textId="77777777" w:rsidR="00B678B5" w:rsidRPr="00E359BF" w:rsidRDefault="00B678B5">
            <w:pPr>
              <w:pStyle w:val="TableTextCentered"/>
              <w:rPr>
                <w:rFonts w:eastAsia="Times New Roman"/>
              </w:rPr>
            </w:pPr>
            <w:r>
              <w:rPr>
                <w:rFonts w:eastAsia="Times New Roman"/>
              </w:rPr>
              <w:t>7</w:t>
            </w:r>
          </w:p>
        </w:tc>
        <w:tc>
          <w:tcPr>
            <w:tcW w:w="875" w:type="dxa"/>
          </w:tcPr>
          <w:p w14:paraId="219382D7" w14:textId="77777777" w:rsidR="00B678B5" w:rsidRPr="00E359BF" w:rsidRDefault="00B678B5">
            <w:pPr>
              <w:pStyle w:val="TableTextCentered"/>
              <w:rPr>
                <w:rFonts w:eastAsia="Times New Roman"/>
              </w:rPr>
            </w:pPr>
            <w:r>
              <w:rPr>
                <w:rFonts w:eastAsia="Times New Roman"/>
              </w:rPr>
              <w:t>2</w:t>
            </w:r>
          </w:p>
        </w:tc>
        <w:tc>
          <w:tcPr>
            <w:tcW w:w="874" w:type="dxa"/>
          </w:tcPr>
          <w:p w14:paraId="330F3864" w14:textId="77777777" w:rsidR="00B678B5" w:rsidRPr="00E359BF" w:rsidRDefault="00B678B5">
            <w:pPr>
              <w:pStyle w:val="TableTextCentered"/>
              <w:rPr>
                <w:rFonts w:eastAsia="Times New Roman"/>
              </w:rPr>
            </w:pPr>
            <w:r>
              <w:rPr>
                <w:rFonts w:eastAsia="Times New Roman"/>
              </w:rPr>
              <w:t>1</w:t>
            </w:r>
          </w:p>
        </w:tc>
        <w:tc>
          <w:tcPr>
            <w:tcW w:w="875" w:type="dxa"/>
          </w:tcPr>
          <w:p w14:paraId="69F31656" w14:textId="77777777" w:rsidR="00B678B5" w:rsidRPr="00E359BF" w:rsidRDefault="00B678B5">
            <w:pPr>
              <w:pStyle w:val="TableTextCentered"/>
              <w:rPr>
                <w:rFonts w:eastAsia="Times New Roman"/>
              </w:rPr>
            </w:pPr>
            <w:r>
              <w:rPr>
                <w:rFonts w:eastAsia="Times New Roman"/>
              </w:rPr>
              <w:t>0</w:t>
            </w:r>
          </w:p>
        </w:tc>
        <w:tc>
          <w:tcPr>
            <w:tcW w:w="900" w:type="dxa"/>
          </w:tcPr>
          <w:p w14:paraId="2DACE26C" w14:textId="77777777" w:rsidR="00B678B5" w:rsidRPr="00E359BF" w:rsidRDefault="00B678B5">
            <w:pPr>
              <w:pStyle w:val="TableTextCentered"/>
              <w:rPr>
                <w:rFonts w:eastAsia="Times New Roman"/>
              </w:rPr>
            </w:pPr>
            <w:r>
              <w:rPr>
                <w:rFonts w:eastAsia="Times New Roman"/>
              </w:rPr>
              <w:t>40</w:t>
            </w:r>
          </w:p>
        </w:tc>
        <w:tc>
          <w:tcPr>
            <w:tcW w:w="892" w:type="dxa"/>
          </w:tcPr>
          <w:p w14:paraId="5C770267" w14:textId="77777777" w:rsidR="00B678B5" w:rsidRPr="00E359BF" w:rsidRDefault="00B678B5">
            <w:pPr>
              <w:pStyle w:val="TableTextCentered"/>
              <w:rPr>
                <w:rFonts w:eastAsia="Times New Roman"/>
              </w:rPr>
            </w:pPr>
            <w:r>
              <w:rPr>
                <w:rFonts w:eastAsia="Times New Roman"/>
              </w:rPr>
              <w:t>2.6</w:t>
            </w:r>
          </w:p>
        </w:tc>
      </w:tr>
      <w:tr w:rsidR="00B678B5" w:rsidRPr="00E359BF" w14:paraId="31184B6D"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1E84C577" w14:textId="77777777" w:rsidR="00B678B5" w:rsidRPr="00E359BF" w:rsidRDefault="00B678B5">
            <w:pPr>
              <w:pStyle w:val="TableText"/>
            </w:pPr>
            <w:r>
              <w:t>Grades 9-12</w:t>
            </w:r>
          </w:p>
        </w:tc>
        <w:tc>
          <w:tcPr>
            <w:tcW w:w="874" w:type="dxa"/>
          </w:tcPr>
          <w:p w14:paraId="66982A90" w14:textId="77777777" w:rsidR="00B678B5" w:rsidRPr="00E359BF" w:rsidRDefault="00B678B5">
            <w:pPr>
              <w:pStyle w:val="TableTextCentered"/>
              <w:rPr>
                <w:rFonts w:eastAsia="Times New Roman"/>
              </w:rPr>
            </w:pPr>
            <w:r>
              <w:rPr>
                <w:rFonts w:eastAsia="Times New Roman"/>
              </w:rPr>
              <w:t>7</w:t>
            </w:r>
          </w:p>
        </w:tc>
        <w:tc>
          <w:tcPr>
            <w:tcW w:w="874" w:type="dxa"/>
          </w:tcPr>
          <w:p w14:paraId="76A5C953" w14:textId="77777777" w:rsidR="00B678B5" w:rsidRPr="00E359BF" w:rsidRDefault="00B678B5">
            <w:pPr>
              <w:pStyle w:val="TableTextCentered"/>
              <w:rPr>
                <w:rFonts w:eastAsia="Times New Roman"/>
              </w:rPr>
            </w:pPr>
            <w:r>
              <w:rPr>
                <w:rFonts w:eastAsia="Times New Roman"/>
              </w:rPr>
              <w:t>10</w:t>
            </w:r>
          </w:p>
        </w:tc>
        <w:tc>
          <w:tcPr>
            <w:tcW w:w="874" w:type="dxa"/>
          </w:tcPr>
          <w:p w14:paraId="51296E63" w14:textId="77777777" w:rsidR="00B678B5" w:rsidRPr="00E359BF" w:rsidRDefault="00B678B5">
            <w:pPr>
              <w:pStyle w:val="TableTextCentered"/>
              <w:rPr>
                <w:rFonts w:eastAsia="Times New Roman"/>
              </w:rPr>
            </w:pPr>
            <w:r>
              <w:rPr>
                <w:rFonts w:eastAsia="Times New Roman"/>
              </w:rPr>
              <w:t>12</w:t>
            </w:r>
          </w:p>
        </w:tc>
        <w:tc>
          <w:tcPr>
            <w:tcW w:w="875" w:type="dxa"/>
          </w:tcPr>
          <w:p w14:paraId="3D7CA1E8" w14:textId="77777777" w:rsidR="00B678B5" w:rsidRPr="00E359BF" w:rsidRDefault="00B678B5">
            <w:pPr>
              <w:pStyle w:val="TableTextCentered"/>
              <w:rPr>
                <w:rFonts w:eastAsia="Times New Roman"/>
              </w:rPr>
            </w:pPr>
            <w:r>
              <w:rPr>
                <w:rFonts w:eastAsia="Times New Roman"/>
              </w:rPr>
              <w:t>13</w:t>
            </w:r>
          </w:p>
        </w:tc>
        <w:tc>
          <w:tcPr>
            <w:tcW w:w="875" w:type="dxa"/>
          </w:tcPr>
          <w:p w14:paraId="715C283B" w14:textId="77777777" w:rsidR="00B678B5" w:rsidRPr="00E359BF" w:rsidRDefault="00B678B5">
            <w:pPr>
              <w:pStyle w:val="TableTextCentered"/>
              <w:rPr>
                <w:rFonts w:eastAsia="Times New Roman"/>
              </w:rPr>
            </w:pPr>
            <w:r>
              <w:rPr>
                <w:rFonts w:eastAsia="Times New Roman"/>
              </w:rPr>
              <w:t>8</w:t>
            </w:r>
          </w:p>
        </w:tc>
        <w:tc>
          <w:tcPr>
            <w:tcW w:w="874" w:type="dxa"/>
          </w:tcPr>
          <w:p w14:paraId="77804F4C" w14:textId="77777777" w:rsidR="00B678B5" w:rsidRPr="00E359BF" w:rsidRDefault="00B678B5">
            <w:pPr>
              <w:pStyle w:val="TableTextCentered"/>
              <w:rPr>
                <w:rFonts w:eastAsia="Times New Roman"/>
              </w:rPr>
            </w:pPr>
            <w:r>
              <w:rPr>
                <w:rFonts w:eastAsia="Times New Roman"/>
              </w:rPr>
              <w:t>2</w:t>
            </w:r>
          </w:p>
        </w:tc>
        <w:tc>
          <w:tcPr>
            <w:tcW w:w="875" w:type="dxa"/>
          </w:tcPr>
          <w:p w14:paraId="106F1E28" w14:textId="77777777" w:rsidR="00B678B5" w:rsidRPr="00E359BF" w:rsidRDefault="00B678B5">
            <w:pPr>
              <w:pStyle w:val="TableTextCentered"/>
              <w:rPr>
                <w:rFonts w:eastAsia="Times New Roman"/>
              </w:rPr>
            </w:pPr>
            <w:r>
              <w:rPr>
                <w:rFonts w:eastAsia="Times New Roman"/>
              </w:rPr>
              <w:t>1</w:t>
            </w:r>
          </w:p>
        </w:tc>
        <w:tc>
          <w:tcPr>
            <w:tcW w:w="900" w:type="dxa"/>
          </w:tcPr>
          <w:p w14:paraId="11E4AEA3" w14:textId="77777777" w:rsidR="00B678B5" w:rsidRPr="00E359BF" w:rsidRDefault="00B678B5">
            <w:pPr>
              <w:pStyle w:val="TableTextCentered"/>
              <w:rPr>
                <w:rFonts w:eastAsia="Times New Roman"/>
              </w:rPr>
            </w:pPr>
            <w:r>
              <w:rPr>
                <w:rFonts w:eastAsia="Times New Roman"/>
              </w:rPr>
              <w:t>53</w:t>
            </w:r>
          </w:p>
        </w:tc>
        <w:tc>
          <w:tcPr>
            <w:tcW w:w="892" w:type="dxa"/>
          </w:tcPr>
          <w:p w14:paraId="0D0C6F58" w14:textId="77777777" w:rsidR="00B678B5" w:rsidRPr="00E359BF" w:rsidRDefault="00B678B5">
            <w:pPr>
              <w:pStyle w:val="TableTextCentered"/>
              <w:rPr>
                <w:rFonts w:eastAsia="Times New Roman"/>
              </w:rPr>
            </w:pPr>
            <w:r>
              <w:rPr>
                <w:rFonts w:eastAsia="Times New Roman"/>
              </w:rPr>
              <w:t>3.3</w:t>
            </w:r>
          </w:p>
        </w:tc>
      </w:tr>
      <w:tr w:rsidR="00B678B5" w:rsidRPr="00E359BF" w14:paraId="287F628E" w14:textId="77777777" w:rsidTr="00FF5692">
        <w:tc>
          <w:tcPr>
            <w:tcW w:w="1431" w:type="dxa"/>
          </w:tcPr>
          <w:p w14:paraId="0C1260E1"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381B47C5"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22</w:t>
            </w:r>
          </w:p>
        </w:tc>
        <w:tc>
          <w:tcPr>
            <w:tcW w:w="874" w:type="dxa"/>
          </w:tcPr>
          <w:p w14:paraId="099D149B"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24</w:t>
            </w:r>
          </w:p>
        </w:tc>
        <w:tc>
          <w:tcPr>
            <w:tcW w:w="874" w:type="dxa"/>
          </w:tcPr>
          <w:p w14:paraId="6A2C2F16"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27</w:t>
            </w:r>
          </w:p>
        </w:tc>
        <w:tc>
          <w:tcPr>
            <w:tcW w:w="875" w:type="dxa"/>
          </w:tcPr>
          <w:p w14:paraId="3C174259"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25</w:t>
            </w:r>
          </w:p>
        </w:tc>
        <w:tc>
          <w:tcPr>
            <w:tcW w:w="875" w:type="dxa"/>
          </w:tcPr>
          <w:p w14:paraId="635924A0"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14</w:t>
            </w:r>
          </w:p>
        </w:tc>
        <w:tc>
          <w:tcPr>
            <w:tcW w:w="874" w:type="dxa"/>
          </w:tcPr>
          <w:p w14:paraId="6DDEF539"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7</w:t>
            </w:r>
          </w:p>
        </w:tc>
        <w:tc>
          <w:tcPr>
            <w:tcW w:w="875" w:type="dxa"/>
          </w:tcPr>
          <w:p w14:paraId="1D728984"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w:t>
            </w:r>
          </w:p>
        </w:tc>
        <w:tc>
          <w:tcPr>
            <w:tcW w:w="900" w:type="dxa"/>
          </w:tcPr>
          <w:p w14:paraId="4E123F8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120</w:t>
            </w:r>
          </w:p>
        </w:tc>
        <w:tc>
          <w:tcPr>
            <w:tcW w:w="892" w:type="dxa"/>
          </w:tcPr>
          <w:p w14:paraId="2D1C0F30"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3.1</w:t>
            </w:r>
          </w:p>
        </w:tc>
      </w:tr>
    </w:tbl>
    <w:bookmarkEnd w:id="177"/>
    <w:p w14:paraId="39F4AB51" w14:textId="5D8AD637" w:rsidR="00B678B5" w:rsidRDefault="00B678B5" w:rsidP="00FF5692">
      <w:pPr>
        <w:pStyle w:val="TableNote"/>
      </w:pPr>
      <w:r w:rsidRPr="002A58D3">
        <w:t xml:space="preserve">*The district average is an average of the observation scores. In Table 15, the district average is computed as: </w:t>
      </w:r>
      <w:bookmarkStart w:id="178" w:name="Dist_ID_Calc"/>
      <w:r>
        <w:t xml:space="preserve">([1 x 22] + [2 x 24] + [3 x 27] + [4 x 25] + [5 x 14] + [6 x 7] + [7 x 1]) ÷ 120 </w:t>
      </w:r>
      <w:r w:rsidRPr="00FF5692">
        <w:t>observations</w:t>
      </w:r>
      <w:r>
        <w:t xml:space="preserve"> = 3.1</w:t>
      </w:r>
      <w:bookmarkEnd w:id="178"/>
    </w:p>
    <w:p w14:paraId="7A5D1212" w14:textId="77777777" w:rsidR="00B678B5" w:rsidRPr="00FF5692" w:rsidRDefault="00B678B5" w:rsidP="00B22A35">
      <w:pPr>
        <w:pStyle w:val="TableNote"/>
        <w:spacing w:before="0"/>
      </w:pPr>
      <w:r>
        <w:t>**Instructional Dialogue does not appear in the CLASS PK-3 Manual, therefore scores for the Elementary School Level represent grades 4-5 only.</w:t>
      </w:r>
    </w:p>
    <w:p w14:paraId="5F8B3FF6" w14:textId="77777777" w:rsidR="00B678B5" w:rsidRPr="00BC09E0" w:rsidRDefault="00B678B5" w:rsidP="00FF5692">
      <w:pPr>
        <w:pStyle w:val="BodyText"/>
      </w:pPr>
      <w:r w:rsidRPr="00D05302">
        <w:rPr>
          <w:rStyle w:val="BodyTextDemiChar"/>
        </w:rPr>
        <w:t>Ratings in the Low Range.</w:t>
      </w:r>
      <w:r w:rsidRPr="00BC09E0">
        <w:t xml:space="preserve"> At the low range, there are no or few discussions in the class, the discussions are not related to content or skill development, or the discussions contain only simple question-response exchanges between the teacher and students. The class is dominated by teacher talk, and discussion is limited. The teacher and students ask closed-ended questions; rarely acknowledge, report, or extend other students’ comments; and/or appear disinterested in other students’ comments, resulting in many students not being engaged in instructional dialogues.</w:t>
      </w:r>
    </w:p>
    <w:p w14:paraId="7C21B148" w14:textId="77777777" w:rsidR="00B678B5" w:rsidRPr="00BC09E0" w:rsidRDefault="00B678B5" w:rsidP="00FF5692">
      <w:pPr>
        <w:pStyle w:val="BodyTextposthead"/>
      </w:pPr>
      <w:r w:rsidRPr="00D05302">
        <w:rPr>
          <w:rStyle w:val="BodyTextDemiChar"/>
        </w:rPr>
        <w:t>Ratings in the Middle Range.</w:t>
      </w:r>
      <w:r w:rsidRPr="00BC09E0">
        <w:t xml:space="preserve"> At this range, there are occasional content-based discussions in class among teachers and students; however, these exchanges are brief or quickly move from one topic to another without follow-up questions or comments from the teacher and other students. The class is mostly dominated by teacher talk, although there are times when students take a more active role, or there are distributed dialogues that involve only a few students in the class. The teacher and students sometimes facilitate and encourage more elaborate dialogue, but such efforts are brief, inconsistent, or ineffective at consistently engaging students in extended dialogues.</w:t>
      </w:r>
    </w:p>
    <w:p w14:paraId="339B0D18" w14:textId="2AC152A5" w:rsidR="00FF5692" w:rsidRDefault="00B678B5" w:rsidP="00FF5692">
      <w:pPr>
        <w:pStyle w:val="BodyTextposthead"/>
      </w:pPr>
      <w:r w:rsidRPr="00D05302">
        <w:rPr>
          <w:rStyle w:val="BodyTextDemiChar"/>
        </w:rPr>
        <w:t>Ratings in the High Range.</w:t>
      </w:r>
      <w:r w:rsidRPr="00BC09E0">
        <w:rPr>
          <w:b/>
        </w:rPr>
        <w:t xml:space="preserve"> </w:t>
      </w:r>
      <w:r w:rsidRPr="00BC09E0">
        <w:t>At the high range, there are frequent, content-driven discussions in the class between teachers and students or among students. The discussions build depth of knowledge through cumulative, contingent exchanges. The class dialogues are distributed in a way that the teacher and the majority of students take an active role or students are actively engaged in instructional dialogues with each other. The teacher and students frequently use strategies that encourage more elaborate dialogue, such as open-ended questions, repetition or extension, and active listening. Students respond to these techniques by fully participating in extended dialogues.</w:t>
      </w:r>
      <w:r w:rsidR="00FF5692">
        <w:br w:type="page"/>
      </w:r>
    </w:p>
    <w:p w14:paraId="5E5227F6" w14:textId="77777777" w:rsidR="00B678B5" w:rsidRPr="0040127C" w:rsidRDefault="00B678B5" w:rsidP="00E35A27">
      <w:pPr>
        <w:pStyle w:val="DIOR"/>
        <w:rPr>
          <w:lang w:val="fr-FR"/>
        </w:rPr>
      </w:pPr>
      <w:bookmarkStart w:id="179" w:name="_Toc379881746"/>
      <w:bookmarkStart w:id="180" w:name="_Toc411329839"/>
      <w:bookmarkStart w:id="181" w:name="_Toc430114888"/>
      <w:bookmarkStart w:id="182" w:name="_Toc231296598"/>
      <w:r w:rsidRPr="0040127C">
        <w:rPr>
          <w:lang w:val="fr-FR"/>
        </w:rPr>
        <w:t xml:space="preserve">Student </w:t>
      </w:r>
      <w:r w:rsidRPr="00304BB4">
        <w:rPr>
          <w:lang w:val="fr-FR"/>
        </w:rPr>
        <w:t>Engagement</w:t>
      </w:r>
      <w:bookmarkEnd w:id="179"/>
      <w:bookmarkEnd w:id="180"/>
      <w:bookmarkEnd w:id="181"/>
      <w:bookmarkEnd w:id="182"/>
    </w:p>
    <w:p w14:paraId="10D3E4D5" w14:textId="520C5F74" w:rsidR="00B678B5" w:rsidRPr="0040127C" w:rsidRDefault="00B678B5">
      <w:pPr>
        <w:pStyle w:val="BodyTextDomain"/>
        <w:rPr>
          <w:lang w:val="fr-FR"/>
        </w:rPr>
      </w:pPr>
      <w:r w:rsidRPr="0040127C">
        <w:rPr>
          <w:lang w:val="fr-FR"/>
        </w:rPr>
        <w:t xml:space="preserve">Student Engagement </w:t>
      </w:r>
      <w:r w:rsidR="00B22A35" w:rsidRPr="0040127C">
        <w:rPr>
          <w:lang w:val="fr-FR"/>
        </w:rPr>
        <w:t>Domain</w:t>
      </w:r>
      <w:r w:rsidRPr="0040127C">
        <w:rPr>
          <w:lang w:val="fr-FR"/>
        </w:rPr>
        <w:t>, Grades 4</w:t>
      </w:r>
      <w:r w:rsidRPr="0040127C">
        <w:rPr>
          <w:rFonts w:ascii="Vijaya" w:hAnsi="Vijaya" w:cs="Vijaya"/>
          <w:lang w:val="fr-FR"/>
        </w:rPr>
        <w:t>−</w:t>
      </w:r>
      <w:r w:rsidRPr="0040127C">
        <w:rPr>
          <w:lang w:val="fr-FR"/>
        </w:rPr>
        <w:t>12</w:t>
      </w:r>
    </w:p>
    <w:p w14:paraId="2BFE7867" w14:textId="75774C4F" w:rsidR="00B678B5" w:rsidRPr="00BC09E0" w:rsidRDefault="00B678B5" w:rsidP="00FF5692">
      <w:pPr>
        <w:pStyle w:val="BodyTextposthead"/>
      </w:pPr>
      <w:r w:rsidRPr="00BC09E0">
        <w:t>Student Engagement refers to the extent to which all students in the class are focused and participating in the learning activity that is presented or facilitated by the teacher. The difference between passive engagement and active engagement is reflected in this rating (</w:t>
      </w:r>
      <w:r w:rsidRPr="00BC09E0">
        <w:rPr>
          <w:i/>
        </w:rPr>
        <w:t>CLASS Upper Elementary Manual</w:t>
      </w:r>
      <w:r w:rsidRPr="00BC09E0">
        <w:t>, p. 105).</w:t>
      </w:r>
    </w:p>
    <w:p w14:paraId="5C5DC3A9" w14:textId="77777777" w:rsidR="00B678B5" w:rsidRPr="00BC09E0" w:rsidRDefault="00B678B5">
      <w:pPr>
        <w:pStyle w:val="TableTitle0"/>
        <w:rPr>
          <w:spacing w:val="-4"/>
        </w:rPr>
      </w:pPr>
      <w:r w:rsidRPr="00BC09E0">
        <w:rPr>
          <w:spacing w:val="-4"/>
        </w:rPr>
        <w:t xml:space="preserve">Table 16. Student Engagement: Number of Classrooms for Each Rating </w:t>
      </w:r>
      <w:r w:rsidRPr="002A58D3">
        <w:rPr>
          <w:spacing w:val="-4"/>
        </w:rPr>
        <w:t>and District Average</w:t>
      </w:r>
    </w:p>
    <w:p w14:paraId="142805BC" w14:textId="77777777" w:rsidR="00B678B5" w:rsidRDefault="00B678B5">
      <w:pPr>
        <w:pStyle w:val="BodyTextDemi"/>
      </w:pPr>
      <w:r w:rsidRPr="002A58D3">
        <w:t xml:space="preserve">Student Engagement District Average*: </w:t>
      </w:r>
      <w:bookmarkStart w:id="183" w:name="Dist_SE_Avg"/>
      <w:r>
        <w:t>5.0</w:t>
      </w:r>
      <w:bookmarkEnd w:id="183"/>
    </w:p>
    <w:tbl>
      <w:tblPr>
        <w:tblStyle w:val="MSVTable1"/>
        <w:tblW w:w="5000" w:type="pct"/>
        <w:tblLook w:val="04A0" w:firstRow="1" w:lastRow="0" w:firstColumn="1" w:lastColumn="0" w:noHBand="0" w:noVBand="1"/>
        <w:tblCaption w:val="Table 16. Student Engagement: Number of Classrooms for Each Rating and District Average"/>
        <w:tblDescription w:val="Student Engagement: Number of Classrooms for Each Rating and District Average"/>
      </w:tblPr>
      <w:tblGrid>
        <w:gridCol w:w="1431"/>
        <w:gridCol w:w="874"/>
        <w:gridCol w:w="874"/>
        <w:gridCol w:w="874"/>
        <w:gridCol w:w="875"/>
        <w:gridCol w:w="875"/>
        <w:gridCol w:w="874"/>
        <w:gridCol w:w="875"/>
        <w:gridCol w:w="900"/>
        <w:gridCol w:w="892"/>
      </w:tblGrid>
      <w:tr w:rsidR="00B678B5" w:rsidRPr="00E359BF" w14:paraId="7B6A6E11" w14:textId="77777777" w:rsidTr="00D60938">
        <w:trPr>
          <w:cnfStyle w:val="100000000000" w:firstRow="1" w:lastRow="0" w:firstColumn="0" w:lastColumn="0" w:oddVBand="0" w:evenVBand="0" w:oddHBand="0" w:evenHBand="0" w:firstRowFirstColumn="0" w:firstRowLastColumn="0" w:lastRowFirstColumn="0" w:lastRowLastColumn="0"/>
          <w:tblHeader/>
        </w:trPr>
        <w:tc>
          <w:tcPr>
            <w:tcW w:w="1431" w:type="dxa"/>
            <w:vAlign w:val="center"/>
          </w:tcPr>
          <w:p w14:paraId="5E70C0E1" w14:textId="77777777" w:rsidR="00B678B5" w:rsidRPr="00E359BF" w:rsidRDefault="00B678B5" w:rsidP="00D60938">
            <w:pPr>
              <w:pStyle w:val="TableColHeadingCenter"/>
              <w:rPr>
                <w:rFonts w:eastAsia="MS Mincho"/>
              </w:rPr>
            </w:pPr>
            <w:bookmarkStart w:id="184" w:name="Tbl_SE"/>
            <w:r>
              <w:rPr>
                <w:rFonts w:eastAsia="MS Mincho"/>
              </w:rPr>
              <w:t>Grade Band</w:t>
            </w:r>
          </w:p>
        </w:tc>
        <w:tc>
          <w:tcPr>
            <w:tcW w:w="874" w:type="dxa"/>
            <w:vAlign w:val="center"/>
          </w:tcPr>
          <w:p w14:paraId="26A471CC" w14:textId="77777777" w:rsidR="00B678B5" w:rsidRPr="00E359BF" w:rsidRDefault="00B678B5" w:rsidP="00D60938">
            <w:pPr>
              <w:pStyle w:val="TableColHeadingCenter"/>
              <w:rPr>
                <w:rFonts w:eastAsia="MS Mincho"/>
              </w:rPr>
            </w:pPr>
            <w:r w:rsidRPr="00E359BF">
              <w:rPr>
                <w:rFonts w:eastAsia="MS Mincho"/>
              </w:rPr>
              <w:t>Low Range</w:t>
            </w:r>
            <w:r>
              <w:rPr>
                <w:rFonts w:eastAsia="MS Mincho"/>
              </w:rPr>
              <w:t xml:space="preserve"> (1)</w:t>
            </w:r>
          </w:p>
        </w:tc>
        <w:tc>
          <w:tcPr>
            <w:tcW w:w="874" w:type="dxa"/>
            <w:vAlign w:val="center"/>
          </w:tcPr>
          <w:p w14:paraId="0DAE74D5" w14:textId="77777777" w:rsidR="00B678B5" w:rsidRPr="00E359BF" w:rsidRDefault="00B678B5" w:rsidP="00D60938">
            <w:pPr>
              <w:pStyle w:val="TableColHeadingCenter"/>
              <w:rPr>
                <w:rFonts w:eastAsia="MS Mincho"/>
              </w:rPr>
            </w:pPr>
            <w:r w:rsidRPr="00E359BF">
              <w:rPr>
                <w:rFonts w:eastAsia="MS Mincho"/>
              </w:rPr>
              <w:t>Low Range</w:t>
            </w:r>
            <w:r>
              <w:rPr>
                <w:rFonts w:eastAsia="MS Mincho"/>
              </w:rPr>
              <w:t xml:space="preserve"> (2)</w:t>
            </w:r>
          </w:p>
        </w:tc>
        <w:tc>
          <w:tcPr>
            <w:tcW w:w="874" w:type="dxa"/>
            <w:vAlign w:val="center"/>
          </w:tcPr>
          <w:p w14:paraId="78C4BB0F" w14:textId="77777777" w:rsidR="00B678B5" w:rsidRPr="00E359BF" w:rsidRDefault="00B678B5" w:rsidP="00D60938">
            <w:pPr>
              <w:pStyle w:val="TableColHeadingCenter"/>
              <w:rPr>
                <w:rFonts w:eastAsia="MS Mincho"/>
              </w:rPr>
            </w:pPr>
            <w:r w:rsidRPr="00E359BF">
              <w:rPr>
                <w:rFonts w:eastAsia="MS Mincho"/>
              </w:rPr>
              <w:t>Middle Range</w:t>
            </w:r>
            <w:r>
              <w:rPr>
                <w:rFonts w:eastAsia="MS Mincho"/>
              </w:rPr>
              <w:t xml:space="preserve"> (3)</w:t>
            </w:r>
          </w:p>
        </w:tc>
        <w:tc>
          <w:tcPr>
            <w:tcW w:w="875" w:type="dxa"/>
            <w:vAlign w:val="center"/>
          </w:tcPr>
          <w:p w14:paraId="2E492AAF" w14:textId="77777777" w:rsidR="00B678B5" w:rsidRPr="00E359BF" w:rsidRDefault="00B678B5" w:rsidP="00D60938">
            <w:pPr>
              <w:pStyle w:val="TableColHeadingCenter"/>
              <w:rPr>
                <w:rFonts w:eastAsia="MS Mincho"/>
              </w:rPr>
            </w:pPr>
            <w:r w:rsidRPr="00E359BF">
              <w:rPr>
                <w:rFonts w:eastAsia="MS Mincho"/>
              </w:rPr>
              <w:t>Middle Range</w:t>
            </w:r>
            <w:r>
              <w:rPr>
                <w:rFonts w:eastAsia="MS Mincho"/>
              </w:rPr>
              <w:t xml:space="preserve"> (4)</w:t>
            </w:r>
          </w:p>
        </w:tc>
        <w:tc>
          <w:tcPr>
            <w:tcW w:w="875" w:type="dxa"/>
            <w:vAlign w:val="center"/>
          </w:tcPr>
          <w:p w14:paraId="47F73558" w14:textId="77777777" w:rsidR="00B678B5" w:rsidRPr="00E359BF" w:rsidRDefault="00B678B5" w:rsidP="00D60938">
            <w:pPr>
              <w:pStyle w:val="TableColHeadingCenter"/>
              <w:rPr>
                <w:rFonts w:eastAsia="MS Mincho"/>
              </w:rPr>
            </w:pPr>
            <w:r w:rsidRPr="00E359BF">
              <w:rPr>
                <w:rFonts w:eastAsia="MS Mincho"/>
              </w:rPr>
              <w:t>Middle Range</w:t>
            </w:r>
            <w:r>
              <w:rPr>
                <w:rFonts w:eastAsia="MS Mincho"/>
              </w:rPr>
              <w:t xml:space="preserve"> (5)</w:t>
            </w:r>
          </w:p>
        </w:tc>
        <w:tc>
          <w:tcPr>
            <w:tcW w:w="874" w:type="dxa"/>
            <w:vAlign w:val="center"/>
          </w:tcPr>
          <w:p w14:paraId="71C64C87" w14:textId="77777777" w:rsidR="00B678B5" w:rsidRPr="00E359BF" w:rsidRDefault="00B678B5" w:rsidP="00D60938">
            <w:pPr>
              <w:pStyle w:val="TableColHeadingCenter"/>
              <w:rPr>
                <w:rFonts w:eastAsia="MS Mincho"/>
              </w:rPr>
            </w:pPr>
            <w:r w:rsidRPr="00E359BF">
              <w:rPr>
                <w:rFonts w:eastAsia="MS Mincho"/>
              </w:rPr>
              <w:t>High Range</w:t>
            </w:r>
            <w:r>
              <w:rPr>
                <w:rFonts w:eastAsia="MS Mincho"/>
              </w:rPr>
              <w:t xml:space="preserve"> (6)</w:t>
            </w:r>
          </w:p>
        </w:tc>
        <w:tc>
          <w:tcPr>
            <w:tcW w:w="875" w:type="dxa"/>
            <w:vAlign w:val="center"/>
          </w:tcPr>
          <w:p w14:paraId="5F72D5E5" w14:textId="77777777" w:rsidR="00B678B5" w:rsidRPr="00E359BF" w:rsidRDefault="00B678B5" w:rsidP="00D60938">
            <w:pPr>
              <w:pStyle w:val="TableColHeadingCenter"/>
              <w:rPr>
                <w:rFonts w:eastAsia="MS Mincho"/>
              </w:rPr>
            </w:pPr>
            <w:r w:rsidRPr="00E359BF">
              <w:rPr>
                <w:rFonts w:eastAsia="MS Mincho"/>
              </w:rPr>
              <w:t>High Range</w:t>
            </w:r>
            <w:r>
              <w:rPr>
                <w:rFonts w:eastAsia="MS Mincho"/>
              </w:rPr>
              <w:t xml:space="preserve"> (7)</w:t>
            </w:r>
          </w:p>
        </w:tc>
        <w:tc>
          <w:tcPr>
            <w:tcW w:w="900" w:type="dxa"/>
            <w:vAlign w:val="center"/>
          </w:tcPr>
          <w:p w14:paraId="53849FF6" w14:textId="77777777" w:rsidR="00B678B5" w:rsidRPr="00E359BF" w:rsidRDefault="00B678B5" w:rsidP="00D60938">
            <w:pPr>
              <w:pStyle w:val="TableColHeadingCenter"/>
              <w:rPr>
                <w:rFonts w:eastAsia="MS Mincho"/>
              </w:rPr>
            </w:pPr>
            <w:r>
              <w:rPr>
                <w:rFonts w:eastAsia="MS Mincho"/>
              </w:rPr>
              <w:t>n</w:t>
            </w:r>
          </w:p>
        </w:tc>
        <w:tc>
          <w:tcPr>
            <w:tcW w:w="892" w:type="dxa"/>
            <w:vAlign w:val="center"/>
          </w:tcPr>
          <w:p w14:paraId="21F97E2E" w14:textId="77777777" w:rsidR="00B678B5" w:rsidRPr="00E359BF" w:rsidRDefault="00B678B5" w:rsidP="00D60938">
            <w:pPr>
              <w:pStyle w:val="TableColHeadingCenter"/>
              <w:rPr>
                <w:rFonts w:eastAsia="MS Mincho"/>
              </w:rPr>
            </w:pPr>
            <w:r>
              <w:rPr>
                <w:rFonts w:eastAsia="MS Mincho"/>
              </w:rPr>
              <w:t>Average</w:t>
            </w:r>
          </w:p>
        </w:tc>
      </w:tr>
      <w:tr w:rsidR="00B678B5" w:rsidRPr="00E359BF" w14:paraId="5C9DBC1E"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3D0D8DB1" w14:textId="77777777" w:rsidR="00B678B5" w:rsidRPr="00E359BF" w:rsidRDefault="00B678B5">
            <w:pPr>
              <w:pStyle w:val="TableText"/>
            </w:pPr>
            <w:r>
              <w:t>Grades 4-5**</w:t>
            </w:r>
          </w:p>
        </w:tc>
        <w:tc>
          <w:tcPr>
            <w:tcW w:w="874" w:type="dxa"/>
          </w:tcPr>
          <w:p w14:paraId="4C01A188" w14:textId="77777777" w:rsidR="00B678B5" w:rsidRPr="00E359BF" w:rsidRDefault="00B678B5">
            <w:pPr>
              <w:pStyle w:val="TableTextCentered"/>
              <w:rPr>
                <w:rFonts w:eastAsia="Times New Roman"/>
              </w:rPr>
            </w:pPr>
            <w:r>
              <w:rPr>
                <w:rFonts w:eastAsia="Times New Roman"/>
              </w:rPr>
              <w:t>0</w:t>
            </w:r>
          </w:p>
        </w:tc>
        <w:tc>
          <w:tcPr>
            <w:tcW w:w="874" w:type="dxa"/>
          </w:tcPr>
          <w:p w14:paraId="759EBD43" w14:textId="77777777" w:rsidR="00B678B5" w:rsidRPr="00E359BF" w:rsidRDefault="00B678B5">
            <w:pPr>
              <w:pStyle w:val="TableTextCentered"/>
              <w:rPr>
                <w:rFonts w:eastAsia="Times New Roman"/>
              </w:rPr>
            </w:pPr>
            <w:r>
              <w:rPr>
                <w:rFonts w:eastAsia="Times New Roman"/>
              </w:rPr>
              <w:t>0</w:t>
            </w:r>
          </w:p>
        </w:tc>
        <w:tc>
          <w:tcPr>
            <w:tcW w:w="874" w:type="dxa"/>
          </w:tcPr>
          <w:p w14:paraId="65CFB1E4" w14:textId="77777777" w:rsidR="00B678B5" w:rsidRPr="00E359BF" w:rsidRDefault="00B678B5">
            <w:pPr>
              <w:pStyle w:val="TableTextCentered"/>
              <w:rPr>
                <w:rFonts w:eastAsia="Times New Roman"/>
              </w:rPr>
            </w:pPr>
            <w:r>
              <w:rPr>
                <w:rFonts w:eastAsia="Times New Roman"/>
              </w:rPr>
              <w:t>0</w:t>
            </w:r>
          </w:p>
        </w:tc>
        <w:tc>
          <w:tcPr>
            <w:tcW w:w="875" w:type="dxa"/>
          </w:tcPr>
          <w:p w14:paraId="6BE87016" w14:textId="77777777" w:rsidR="00B678B5" w:rsidRPr="00E359BF" w:rsidRDefault="00B678B5">
            <w:pPr>
              <w:pStyle w:val="TableTextCentered"/>
              <w:rPr>
                <w:rFonts w:eastAsia="Times New Roman"/>
              </w:rPr>
            </w:pPr>
            <w:r>
              <w:rPr>
                <w:rFonts w:eastAsia="Times New Roman"/>
              </w:rPr>
              <w:t>1</w:t>
            </w:r>
          </w:p>
        </w:tc>
        <w:tc>
          <w:tcPr>
            <w:tcW w:w="875" w:type="dxa"/>
          </w:tcPr>
          <w:p w14:paraId="4F20EA49" w14:textId="77777777" w:rsidR="00B678B5" w:rsidRPr="00E359BF" w:rsidRDefault="00B678B5">
            <w:pPr>
              <w:pStyle w:val="TableTextCentered"/>
              <w:rPr>
                <w:rFonts w:eastAsia="Times New Roman"/>
              </w:rPr>
            </w:pPr>
            <w:r>
              <w:rPr>
                <w:rFonts w:eastAsia="Times New Roman"/>
              </w:rPr>
              <w:t>14</w:t>
            </w:r>
          </w:p>
        </w:tc>
        <w:tc>
          <w:tcPr>
            <w:tcW w:w="874" w:type="dxa"/>
          </w:tcPr>
          <w:p w14:paraId="3CC8DABF" w14:textId="77777777" w:rsidR="00B678B5" w:rsidRPr="00E359BF" w:rsidRDefault="00B678B5">
            <w:pPr>
              <w:pStyle w:val="TableTextCentered"/>
              <w:rPr>
                <w:rFonts w:eastAsia="Times New Roman"/>
              </w:rPr>
            </w:pPr>
            <w:r>
              <w:rPr>
                <w:rFonts w:eastAsia="Times New Roman"/>
              </w:rPr>
              <w:t>9</w:t>
            </w:r>
          </w:p>
        </w:tc>
        <w:tc>
          <w:tcPr>
            <w:tcW w:w="875" w:type="dxa"/>
          </w:tcPr>
          <w:p w14:paraId="007C9E44" w14:textId="77777777" w:rsidR="00B678B5" w:rsidRPr="00E359BF" w:rsidRDefault="00B678B5">
            <w:pPr>
              <w:pStyle w:val="TableTextCentered"/>
              <w:rPr>
                <w:rFonts w:eastAsia="Times New Roman"/>
              </w:rPr>
            </w:pPr>
            <w:r>
              <w:rPr>
                <w:rFonts w:eastAsia="Times New Roman"/>
              </w:rPr>
              <w:t>3</w:t>
            </w:r>
          </w:p>
        </w:tc>
        <w:tc>
          <w:tcPr>
            <w:tcW w:w="900" w:type="dxa"/>
          </w:tcPr>
          <w:p w14:paraId="47D0581E" w14:textId="77777777" w:rsidR="00B678B5" w:rsidRPr="00E359BF" w:rsidRDefault="00B678B5">
            <w:pPr>
              <w:pStyle w:val="TableTextCentered"/>
              <w:rPr>
                <w:rFonts w:eastAsia="Times New Roman"/>
              </w:rPr>
            </w:pPr>
            <w:r>
              <w:rPr>
                <w:rFonts w:eastAsia="Times New Roman"/>
              </w:rPr>
              <w:t>27</w:t>
            </w:r>
          </w:p>
        </w:tc>
        <w:tc>
          <w:tcPr>
            <w:tcW w:w="892" w:type="dxa"/>
          </w:tcPr>
          <w:p w14:paraId="1ED14055" w14:textId="77777777" w:rsidR="00B678B5" w:rsidRPr="00E359BF" w:rsidRDefault="00B678B5">
            <w:pPr>
              <w:pStyle w:val="TableTextCentered"/>
              <w:rPr>
                <w:rFonts w:eastAsia="Times New Roman"/>
              </w:rPr>
            </w:pPr>
            <w:r>
              <w:rPr>
                <w:rFonts w:eastAsia="Times New Roman"/>
              </w:rPr>
              <w:t>5.5</w:t>
            </w:r>
          </w:p>
        </w:tc>
      </w:tr>
      <w:tr w:rsidR="00B678B5" w:rsidRPr="00E359BF" w14:paraId="4CC3A4D9" w14:textId="77777777" w:rsidTr="00FF5692">
        <w:tc>
          <w:tcPr>
            <w:tcW w:w="1431" w:type="dxa"/>
          </w:tcPr>
          <w:p w14:paraId="2A46B06E" w14:textId="77777777" w:rsidR="00B678B5" w:rsidRPr="00E359BF" w:rsidRDefault="00B678B5">
            <w:pPr>
              <w:pStyle w:val="TableText"/>
            </w:pPr>
            <w:r>
              <w:t>Grades 6-8</w:t>
            </w:r>
          </w:p>
        </w:tc>
        <w:tc>
          <w:tcPr>
            <w:tcW w:w="874" w:type="dxa"/>
          </w:tcPr>
          <w:p w14:paraId="74EB2427" w14:textId="77777777" w:rsidR="00B678B5" w:rsidRPr="00E359BF" w:rsidRDefault="00B678B5">
            <w:pPr>
              <w:pStyle w:val="TableTextCentered"/>
              <w:rPr>
                <w:rFonts w:eastAsia="Times New Roman"/>
              </w:rPr>
            </w:pPr>
            <w:r>
              <w:rPr>
                <w:rFonts w:eastAsia="Times New Roman"/>
              </w:rPr>
              <w:t>0</w:t>
            </w:r>
          </w:p>
        </w:tc>
        <w:tc>
          <w:tcPr>
            <w:tcW w:w="874" w:type="dxa"/>
          </w:tcPr>
          <w:p w14:paraId="7BD6F535" w14:textId="77777777" w:rsidR="00B678B5" w:rsidRPr="00E359BF" w:rsidRDefault="00B678B5">
            <w:pPr>
              <w:pStyle w:val="TableTextCentered"/>
              <w:rPr>
                <w:rFonts w:eastAsia="Times New Roman"/>
              </w:rPr>
            </w:pPr>
            <w:r>
              <w:rPr>
                <w:rFonts w:eastAsia="Times New Roman"/>
              </w:rPr>
              <w:t>0</w:t>
            </w:r>
          </w:p>
        </w:tc>
        <w:tc>
          <w:tcPr>
            <w:tcW w:w="874" w:type="dxa"/>
          </w:tcPr>
          <w:p w14:paraId="0089FB01" w14:textId="77777777" w:rsidR="00B678B5" w:rsidRPr="00E359BF" w:rsidRDefault="00B678B5">
            <w:pPr>
              <w:pStyle w:val="TableTextCentered"/>
              <w:rPr>
                <w:rFonts w:eastAsia="Times New Roman"/>
              </w:rPr>
            </w:pPr>
            <w:r>
              <w:rPr>
                <w:rFonts w:eastAsia="Times New Roman"/>
              </w:rPr>
              <w:t>0</w:t>
            </w:r>
          </w:p>
        </w:tc>
        <w:tc>
          <w:tcPr>
            <w:tcW w:w="875" w:type="dxa"/>
          </w:tcPr>
          <w:p w14:paraId="486EF582" w14:textId="77777777" w:rsidR="00B678B5" w:rsidRPr="00E359BF" w:rsidRDefault="00B678B5">
            <w:pPr>
              <w:pStyle w:val="TableTextCentered"/>
              <w:rPr>
                <w:rFonts w:eastAsia="Times New Roman"/>
              </w:rPr>
            </w:pPr>
            <w:r>
              <w:rPr>
                <w:rFonts w:eastAsia="Times New Roman"/>
              </w:rPr>
              <w:t>10</w:t>
            </w:r>
          </w:p>
        </w:tc>
        <w:tc>
          <w:tcPr>
            <w:tcW w:w="875" w:type="dxa"/>
          </w:tcPr>
          <w:p w14:paraId="63CD5325" w14:textId="77777777" w:rsidR="00B678B5" w:rsidRPr="00E359BF" w:rsidRDefault="00B678B5">
            <w:pPr>
              <w:pStyle w:val="TableTextCentered"/>
              <w:rPr>
                <w:rFonts w:eastAsia="Times New Roman"/>
              </w:rPr>
            </w:pPr>
            <w:r>
              <w:rPr>
                <w:rFonts w:eastAsia="Times New Roman"/>
              </w:rPr>
              <w:t>17</w:t>
            </w:r>
          </w:p>
        </w:tc>
        <w:tc>
          <w:tcPr>
            <w:tcW w:w="874" w:type="dxa"/>
          </w:tcPr>
          <w:p w14:paraId="56FB8C5B" w14:textId="77777777" w:rsidR="00B678B5" w:rsidRPr="00E359BF" w:rsidRDefault="00B678B5">
            <w:pPr>
              <w:pStyle w:val="TableTextCentered"/>
              <w:rPr>
                <w:rFonts w:eastAsia="Times New Roman"/>
              </w:rPr>
            </w:pPr>
            <w:r>
              <w:rPr>
                <w:rFonts w:eastAsia="Times New Roman"/>
              </w:rPr>
              <w:t>12</w:t>
            </w:r>
          </w:p>
        </w:tc>
        <w:tc>
          <w:tcPr>
            <w:tcW w:w="875" w:type="dxa"/>
          </w:tcPr>
          <w:p w14:paraId="0B4457B4" w14:textId="77777777" w:rsidR="00B678B5" w:rsidRPr="00E359BF" w:rsidRDefault="00B678B5">
            <w:pPr>
              <w:pStyle w:val="TableTextCentered"/>
              <w:rPr>
                <w:rFonts w:eastAsia="Times New Roman"/>
              </w:rPr>
            </w:pPr>
            <w:r>
              <w:rPr>
                <w:rFonts w:eastAsia="Times New Roman"/>
              </w:rPr>
              <w:t>1</w:t>
            </w:r>
          </w:p>
        </w:tc>
        <w:tc>
          <w:tcPr>
            <w:tcW w:w="900" w:type="dxa"/>
          </w:tcPr>
          <w:p w14:paraId="57E5434B" w14:textId="77777777" w:rsidR="00B678B5" w:rsidRPr="00E359BF" w:rsidRDefault="00B678B5">
            <w:pPr>
              <w:pStyle w:val="TableTextCentered"/>
              <w:rPr>
                <w:rFonts w:eastAsia="Times New Roman"/>
              </w:rPr>
            </w:pPr>
            <w:r>
              <w:rPr>
                <w:rFonts w:eastAsia="Times New Roman"/>
              </w:rPr>
              <w:t>40</w:t>
            </w:r>
          </w:p>
        </w:tc>
        <w:tc>
          <w:tcPr>
            <w:tcW w:w="892" w:type="dxa"/>
          </w:tcPr>
          <w:p w14:paraId="11538936" w14:textId="77777777" w:rsidR="00B678B5" w:rsidRPr="00E359BF" w:rsidRDefault="00B678B5">
            <w:pPr>
              <w:pStyle w:val="TableTextCentered"/>
              <w:rPr>
                <w:rFonts w:eastAsia="Times New Roman"/>
              </w:rPr>
            </w:pPr>
            <w:r>
              <w:rPr>
                <w:rFonts w:eastAsia="Times New Roman"/>
              </w:rPr>
              <w:t>5.1</w:t>
            </w:r>
          </w:p>
        </w:tc>
      </w:tr>
      <w:tr w:rsidR="00B678B5" w:rsidRPr="00E359BF" w14:paraId="6DE45CFB" w14:textId="77777777" w:rsidTr="00FF5692">
        <w:trPr>
          <w:cnfStyle w:val="000000100000" w:firstRow="0" w:lastRow="0" w:firstColumn="0" w:lastColumn="0" w:oddVBand="0" w:evenVBand="0" w:oddHBand="1" w:evenHBand="0" w:firstRowFirstColumn="0" w:firstRowLastColumn="0" w:lastRowFirstColumn="0" w:lastRowLastColumn="0"/>
        </w:trPr>
        <w:tc>
          <w:tcPr>
            <w:tcW w:w="1431" w:type="dxa"/>
          </w:tcPr>
          <w:p w14:paraId="0897F692" w14:textId="77777777" w:rsidR="00B678B5" w:rsidRPr="00E359BF" w:rsidRDefault="00B678B5">
            <w:pPr>
              <w:pStyle w:val="TableText"/>
            </w:pPr>
            <w:r>
              <w:t>Grades 9-12</w:t>
            </w:r>
          </w:p>
        </w:tc>
        <w:tc>
          <w:tcPr>
            <w:tcW w:w="874" w:type="dxa"/>
          </w:tcPr>
          <w:p w14:paraId="48DAFB6E" w14:textId="77777777" w:rsidR="00B678B5" w:rsidRPr="00E359BF" w:rsidRDefault="00B678B5">
            <w:pPr>
              <w:pStyle w:val="TableTextCentered"/>
              <w:rPr>
                <w:rFonts w:eastAsia="Times New Roman"/>
              </w:rPr>
            </w:pPr>
            <w:r>
              <w:rPr>
                <w:rFonts w:eastAsia="Times New Roman"/>
              </w:rPr>
              <w:t>0</w:t>
            </w:r>
          </w:p>
        </w:tc>
        <w:tc>
          <w:tcPr>
            <w:tcW w:w="874" w:type="dxa"/>
          </w:tcPr>
          <w:p w14:paraId="13EC943D" w14:textId="77777777" w:rsidR="00B678B5" w:rsidRPr="00E359BF" w:rsidRDefault="00B678B5">
            <w:pPr>
              <w:pStyle w:val="TableTextCentered"/>
              <w:rPr>
                <w:rFonts w:eastAsia="Times New Roman"/>
              </w:rPr>
            </w:pPr>
            <w:r>
              <w:rPr>
                <w:rFonts w:eastAsia="Times New Roman"/>
              </w:rPr>
              <w:t>2</w:t>
            </w:r>
          </w:p>
        </w:tc>
        <w:tc>
          <w:tcPr>
            <w:tcW w:w="874" w:type="dxa"/>
          </w:tcPr>
          <w:p w14:paraId="75FFA380" w14:textId="77777777" w:rsidR="00B678B5" w:rsidRPr="00E359BF" w:rsidRDefault="00B678B5">
            <w:pPr>
              <w:pStyle w:val="TableTextCentered"/>
              <w:rPr>
                <w:rFonts w:eastAsia="Times New Roman"/>
              </w:rPr>
            </w:pPr>
            <w:r>
              <w:rPr>
                <w:rFonts w:eastAsia="Times New Roman"/>
              </w:rPr>
              <w:t>5</w:t>
            </w:r>
          </w:p>
        </w:tc>
        <w:tc>
          <w:tcPr>
            <w:tcW w:w="875" w:type="dxa"/>
          </w:tcPr>
          <w:p w14:paraId="6B30604E" w14:textId="77777777" w:rsidR="00B678B5" w:rsidRPr="00E359BF" w:rsidRDefault="00B678B5">
            <w:pPr>
              <w:pStyle w:val="TableTextCentered"/>
              <w:rPr>
                <w:rFonts w:eastAsia="Times New Roman"/>
              </w:rPr>
            </w:pPr>
            <w:r>
              <w:rPr>
                <w:rFonts w:eastAsia="Times New Roman"/>
              </w:rPr>
              <w:t>12</w:t>
            </w:r>
          </w:p>
        </w:tc>
        <w:tc>
          <w:tcPr>
            <w:tcW w:w="875" w:type="dxa"/>
          </w:tcPr>
          <w:p w14:paraId="39EB8573" w14:textId="77777777" w:rsidR="00B678B5" w:rsidRPr="00E359BF" w:rsidRDefault="00B678B5">
            <w:pPr>
              <w:pStyle w:val="TableTextCentered"/>
              <w:rPr>
                <w:rFonts w:eastAsia="Times New Roman"/>
              </w:rPr>
            </w:pPr>
            <w:r>
              <w:rPr>
                <w:rFonts w:eastAsia="Times New Roman"/>
              </w:rPr>
              <w:t>21</w:t>
            </w:r>
          </w:p>
        </w:tc>
        <w:tc>
          <w:tcPr>
            <w:tcW w:w="874" w:type="dxa"/>
          </w:tcPr>
          <w:p w14:paraId="1B6B6306" w14:textId="77777777" w:rsidR="00B678B5" w:rsidRPr="00E359BF" w:rsidRDefault="00B678B5">
            <w:pPr>
              <w:pStyle w:val="TableTextCentered"/>
              <w:rPr>
                <w:rFonts w:eastAsia="Times New Roman"/>
              </w:rPr>
            </w:pPr>
            <w:r>
              <w:rPr>
                <w:rFonts w:eastAsia="Times New Roman"/>
              </w:rPr>
              <w:t>11</w:t>
            </w:r>
          </w:p>
        </w:tc>
        <w:tc>
          <w:tcPr>
            <w:tcW w:w="875" w:type="dxa"/>
          </w:tcPr>
          <w:p w14:paraId="01C29348" w14:textId="77777777" w:rsidR="00B678B5" w:rsidRPr="00E359BF" w:rsidRDefault="00B678B5">
            <w:pPr>
              <w:pStyle w:val="TableTextCentered"/>
              <w:rPr>
                <w:rFonts w:eastAsia="Times New Roman"/>
              </w:rPr>
            </w:pPr>
            <w:r>
              <w:rPr>
                <w:rFonts w:eastAsia="Times New Roman"/>
              </w:rPr>
              <w:t>2</w:t>
            </w:r>
          </w:p>
        </w:tc>
        <w:tc>
          <w:tcPr>
            <w:tcW w:w="900" w:type="dxa"/>
          </w:tcPr>
          <w:p w14:paraId="2098EA2E" w14:textId="77777777" w:rsidR="00B678B5" w:rsidRPr="00E359BF" w:rsidRDefault="00B678B5">
            <w:pPr>
              <w:pStyle w:val="TableTextCentered"/>
              <w:rPr>
                <w:rFonts w:eastAsia="Times New Roman"/>
              </w:rPr>
            </w:pPr>
            <w:r>
              <w:rPr>
                <w:rFonts w:eastAsia="Times New Roman"/>
              </w:rPr>
              <w:t>53</w:t>
            </w:r>
          </w:p>
        </w:tc>
        <w:tc>
          <w:tcPr>
            <w:tcW w:w="892" w:type="dxa"/>
          </w:tcPr>
          <w:p w14:paraId="255CA2F5" w14:textId="77777777" w:rsidR="00B678B5" w:rsidRPr="00E359BF" w:rsidRDefault="00B678B5">
            <w:pPr>
              <w:pStyle w:val="TableTextCentered"/>
              <w:rPr>
                <w:rFonts w:eastAsia="Times New Roman"/>
              </w:rPr>
            </w:pPr>
            <w:r>
              <w:rPr>
                <w:rFonts w:eastAsia="Times New Roman"/>
              </w:rPr>
              <w:t>4.8</w:t>
            </w:r>
          </w:p>
        </w:tc>
      </w:tr>
      <w:tr w:rsidR="00B678B5" w:rsidRPr="00E359BF" w14:paraId="3746D339" w14:textId="77777777" w:rsidTr="00FF5692">
        <w:tc>
          <w:tcPr>
            <w:tcW w:w="1431" w:type="dxa"/>
          </w:tcPr>
          <w:p w14:paraId="6CCFEA10" w14:textId="77777777" w:rsidR="00B678B5" w:rsidRPr="00C131AE" w:rsidRDefault="00B678B5">
            <w:pPr>
              <w:pStyle w:val="TableText"/>
              <w:rPr>
                <w:rFonts w:ascii="Franklin Gothic Demi" w:hAnsi="Franklin Gothic Demi"/>
                <w:bCs/>
              </w:rPr>
            </w:pPr>
            <w:r w:rsidRPr="00C131AE">
              <w:rPr>
                <w:rFonts w:ascii="Franklin Gothic Demi" w:hAnsi="Franklin Gothic Demi"/>
                <w:bCs/>
              </w:rPr>
              <w:t>Totals</w:t>
            </w:r>
          </w:p>
        </w:tc>
        <w:tc>
          <w:tcPr>
            <w:tcW w:w="874" w:type="dxa"/>
          </w:tcPr>
          <w:p w14:paraId="7F5362C4"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0</w:t>
            </w:r>
          </w:p>
        </w:tc>
        <w:tc>
          <w:tcPr>
            <w:tcW w:w="874" w:type="dxa"/>
          </w:tcPr>
          <w:p w14:paraId="3D00FC41"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w:t>
            </w:r>
          </w:p>
        </w:tc>
        <w:tc>
          <w:tcPr>
            <w:tcW w:w="874" w:type="dxa"/>
          </w:tcPr>
          <w:p w14:paraId="69DA179D"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w:t>
            </w:r>
          </w:p>
        </w:tc>
        <w:tc>
          <w:tcPr>
            <w:tcW w:w="875" w:type="dxa"/>
          </w:tcPr>
          <w:p w14:paraId="6EC8BF3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23</w:t>
            </w:r>
          </w:p>
        </w:tc>
        <w:tc>
          <w:tcPr>
            <w:tcW w:w="875" w:type="dxa"/>
          </w:tcPr>
          <w:p w14:paraId="265DAC3B"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52</w:t>
            </w:r>
          </w:p>
        </w:tc>
        <w:tc>
          <w:tcPr>
            <w:tcW w:w="874" w:type="dxa"/>
          </w:tcPr>
          <w:p w14:paraId="72A50CE7"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32</w:t>
            </w:r>
          </w:p>
        </w:tc>
        <w:tc>
          <w:tcPr>
            <w:tcW w:w="875" w:type="dxa"/>
          </w:tcPr>
          <w:p w14:paraId="40ECDFF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6</w:t>
            </w:r>
          </w:p>
        </w:tc>
        <w:tc>
          <w:tcPr>
            <w:tcW w:w="900" w:type="dxa"/>
          </w:tcPr>
          <w:p w14:paraId="5A591638"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120</w:t>
            </w:r>
          </w:p>
        </w:tc>
        <w:tc>
          <w:tcPr>
            <w:tcW w:w="892" w:type="dxa"/>
          </w:tcPr>
          <w:p w14:paraId="26B6361E" w14:textId="77777777" w:rsidR="00B678B5" w:rsidRPr="00C131AE" w:rsidRDefault="00B678B5">
            <w:pPr>
              <w:pStyle w:val="TableTextCentered"/>
              <w:rPr>
                <w:rFonts w:ascii="Franklin Gothic Demi" w:eastAsia="Times New Roman" w:hAnsi="Franklin Gothic Demi"/>
                <w:bCs/>
              </w:rPr>
            </w:pPr>
            <w:r w:rsidRPr="00C131AE">
              <w:rPr>
                <w:rFonts w:ascii="Franklin Gothic Demi" w:eastAsia="Times New Roman" w:hAnsi="Franklin Gothic Demi"/>
                <w:bCs/>
              </w:rPr>
              <w:t>5.0</w:t>
            </w:r>
          </w:p>
        </w:tc>
      </w:tr>
    </w:tbl>
    <w:bookmarkEnd w:id="184"/>
    <w:p w14:paraId="3321FFA2" w14:textId="36C3DE3A" w:rsidR="00B678B5" w:rsidRDefault="00B678B5" w:rsidP="00FF5692">
      <w:pPr>
        <w:pStyle w:val="TableNote"/>
      </w:pPr>
      <w:r w:rsidRPr="002A58D3">
        <w:t xml:space="preserve">*The district average is an average of the observation scores. In Table 16, the </w:t>
      </w:r>
      <w:r w:rsidRPr="00FF5692">
        <w:t>district</w:t>
      </w:r>
      <w:r w:rsidRPr="002A58D3">
        <w:t xml:space="preserve"> average is computed as: </w:t>
      </w:r>
      <w:bookmarkStart w:id="185" w:name="Dist_SE_Calc"/>
      <w:r>
        <w:t>([2 x 2] + [3 x 5] + [4 x 23] + [5 x 52] + [6 x 32] + [7 x 6]) ÷ 120 observations = 5.0</w:t>
      </w:r>
      <w:bookmarkEnd w:id="185"/>
    </w:p>
    <w:p w14:paraId="3A58C018" w14:textId="77777777" w:rsidR="00B678B5" w:rsidRPr="00BC09E0" w:rsidRDefault="00B678B5" w:rsidP="00FF5692">
      <w:pPr>
        <w:pStyle w:val="TableNote"/>
      </w:pPr>
      <w:r>
        <w:t xml:space="preserve">**Student Engagement does not appear in the CLASS PK-3 Manual, therefore </w:t>
      </w:r>
      <w:r w:rsidRPr="00FF5692">
        <w:t>scores</w:t>
      </w:r>
      <w:r>
        <w:t xml:space="preserve"> for the Elementary School Level represent grades 4-5 only.</w:t>
      </w:r>
    </w:p>
    <w:p w14:paraId="79CE352D" w14:textId="77777777" w:rsidR="00B678B5" w:rsidRPr="00BC09E0" w:rsidRDefault="00B678B5" w:rsidP="00FF5692">
      <w:pPr>
        <w:pStyle w:val="BodyText"/>
      </w:pPr>
      <w:r w:rsidRPr="00D05302">
        <w:rPr>
          <w:rStyle w:val="BodyTextDemiChar"/>
        </w:rPr>
        <w:t>Ratings in the Low Range.</w:t>
      </w:r>
      <w:r w:rsidRPr="00BC09E0">
        <w:t xml:space="preserve"> In the low range, the majority of students appear distracted or disengaged.</w:t>
      </w:r>
    </w:p>
    <w:p w14:paraId="76DB0517" w14:textId="77777777" w:rsidR="00B678B5" w:rsidRPr="00BC09E0" w:rsidRDefault="00B678B5" w:rsidP="00FF5692">
      <w:pPr>
        <w:pStyle w:val="BodyTextposthead"/>
      </w:pPr>
      <w:r w:rsidRPr="00D05302">
        <w:rPr>
          <w:rStyle w:val="BodyTextDemiChar"/>
        </w:rPr>
        <w:t>Ratings in the Middle Range.</w:t>
      </w:r>
      <w:r w:rsidRPr="00BC09E0">
        <w:t xml:space="preserve"> In the middle range, students are passively engaged, listening to or watching the teacher; student engagement is mixed, with the majo</w:t>
      </w:r>
      <w:r w:rsidRPr="00D05302">
        <w:t>r</w:t>
      </w:r>
      <w:r w:rsidRPr="00BC09E0">
        <w:t>ity of students actively engaged for part of the time and disengaged for the rest of the time; or there is a mix of student engagement, with some students actively engaged and some students disengaged.</w:t>
      </w:r>
    </w:p>
    <w:p w14:paraId="4B5F4C66" w14:textId="77777777" w:rsidR="00B678B5" w:rsidRDefault="00B678B5" w:rsidP="00FF5692">
      <w:pPr>
        <w:pStyle w:val="BodyTextposthead"/>
      </w:pPr>
      <w:r w:rsidRPr="00D05302">
        <w:rPr>
          <w:rStyle w:val="BodyTextDemiChar"/>
        </w:rPr>
        <w:t>Ratings in the High Range.</w:t>
      </w:r>
      <w:r w:rsidRPr="00BC09E0">
        <w:t xml:space="preserve"> In the high range, most students are actively engaged in the classroom discussions and activities.</w:t>
      </w:r>
    </w:p>
    <w:p w14:paraId="431D9ED0" w14:textId="62627178" w:rsidR="00626238" w:rsidRDefault="00626238">
      <w:pPr>
        <w:spacing w:line="240" w:lineRule="auto"/>
      </w:pPr>
      <w:r>
        <w:br w:type="page"/>
      </w:r>
    </w:p>
    <w:p w14:paraId="2202C770" w14:textId="77777777" w:rsidR="00B678B5" w:rsidRPr="00E359BF" w:rsidRDefault="00B678B5" w:rsidP="00E35A27">
      <w:pPr>
        <w:pStyle w:val="DIOR"/>
      </w:pPr>
      <w:bookmarkStart w:id="186" w:name="_Toc430114889"/>
      <w:bookmarkStart w:id="187" w:name="_Toc496109991"/>
      <w:bookmarkStart w:id="188" w:name="_Toc231296599"/>
      <w:r w:rsidRPr="00E359BF">
        <w:t>Summary of Average Ratings</w:t>
      </w:r>
      <w:bookmarkEnd w:id="186"/>
      <w:bookmarkEnd w:id="187"/>
      <w:r>
        <w:t xml:space="preserve">: </w:t>
      </w:r>
      <w:r w:rsidRPr="00FF5692">
        <w:t>Grades</w:t>
      </w:r>
      <w:r>
        <w:t xml:space="preserve"> PK–5</w:t>
      </w:r>
      <w:bookmarkEnd w:id="188"/>
    </w:p>
    <w:p w14:paraId="5FA9DA1E" w14:textId="77777777" w:rsidR="00B678B5" w:rsidRPr="00E359BF" w:rsidRDefault="00B678B5" w:rsidP="00FF5692">
      <w:pPr>
        <w:pStyle w:val="TableTitle0"/>
      </w:pPr>
      <w:r w:rsidRPr="00E359BF">
        <w:t xml:space="preserve">Table </w:t>
      </w:r>
      <w:r>
        <w:t>17</w:t>
      </w:r>
      <w:r w:rsidRPr="00E359BF">
        <w:t>. Summa</w:t>
      </w:r>
      <w:r>
        <w:t xml:space="preserve">ry Table of Average Ratings for </w:t>
      </w:r>
      <w:r w:rsidRPr="00E359BF">
        <w:t xml:space="preserve">Each </w:t>
      </w:r>
      <w:r w:rsidRPr="00FF5692">
        <w:t>Dimension</w:t>
      </w:r>
      <w:r w:rsidRPr="00E359BF">
        <w:t xml:space="preserve"> in Grades </w:t>
      </w:r>
      <w:r>
        <w:t>PK–5</w:t>
      </w:r>
    </w:p>
    <w:tbl>
      <w:tblPr>
        <w:tblStyle w:val="MSVTable1"/>
        <w:tblW w:w="5000" w:type="pct"/>
        <w:tblLayout w:type="fixed"/>
        <w:tblLook w:val="04A0" w:firstRow="1" w:lastRow="0" w:firstColumn="1" w:lastColumn="0" w:noHBand="0" w:noVBand="1"/>
        <w:tblCaption w:val="Table 17. Summary Table of Average Ratings for Each Dimension in Grades PK–5"/>
        <w:tblDescription w:val="Summary Table of Average Ratings for Each Dimension in Grades PK–5"/>
      </w:tblPr>
      <w:tblGrid>
        <w:gridCol w:w="3099"/>
        <w:gridCol w:w="694"/>
        <w:gridCol w:w="694"/>
        <w:gridCol w:w="694"/>
        <w:gridCol w:w="694"/>
        <w:gridCol w:w="694"/>
        <w:gridCol w:w="694"/>
        <w:gridCol w:w="694"/>
        <w:gridCol w:w="515"/>
        <w:gridCol w:w="872"/>
      </w:tblGrid>
      <w:tr w:rsidR="00B678B5" w:rsidRPr="00E359BF" w14:paraId="47283E89" w14:textId="77777777" w:rsidTr="00626238">
        <w:trPr>
          <w:cnfStyle w:val="100000000000" w:firstRow="1" w:lastRow="0" w:firstColumn="0" w:lastColumn="0" w:oddVBand="0" w:evenVBand="0" w:oddHBand="0" w:evenHBand="0" w:firstRowFirstColumn="0" w:firstRowLastColumn="0" w:lastRowFirstColumn="0" w:lastRowLastColumn="0"/>
          <w:tblHeader/>
        </w:trPr>
        <w:tc>
          <w:tcPr>
            <w:tcW w:w="3238" w:type="dxa"/>
            <w:tcMar>
              <w:left w:w="29" w:type="dxa"/>
              <w:right w:w="29" w:type="dxa"/>
            </w:tcMar>
            <w:vAlign w:val="center"/>
          </w:tcPr>
          <w:p w14:paraId="1221A737" w14:textId="77777777" w:rsidR="00B678B5" w:rsidRPr="00E359BF" w:rsidRDefault="00B678B5" w:rsidP="00626238">
            <w:pPr>
              <w:pStyle w:val="TableColHeadingCenter"/>
              <w:rPr>
                <w:rFonts w:eastAsia="MS Mincho"/>
              </w:rPr>
            </w:pPr>
            <w:bookmarkStart w:id="189" w:name="SummaryTbl_Elem"/>
            <w:r>
              <w:rPr>
                <w:rFonts w:eastAsia="MS Mincho"/>
              </w:rPr>
              <w:t>Domain/Dimension</w:t>
            </w:r>
          </w:p>
        </w:tc>
        <w:tc>
          <w:tcPr>
            <w:tcW w:w="720" w:type="dxa"/>
            <w:tcMar>
              <w:left w:w="29" w:type="dxa"/>
              <w:right w:w="29" w:type="dxa"/>
            </w:tcMar>
            <w:vAlign w:val="center"/>
          </w:tcPr>
          <w:p w14:paraId="30189531" w14:textId="77777777" w:rsidR="00B678B5" w:rsidRPr="00E359BF" w:rsidRDefault="00B678B5" w:rsidP="00626238">
            <w:pPr>
              <w:pStyle w:val="TableColHeadingCenter"/>
              <w:rPr>
                <w:rFonts w:eastAsia="MS Mincho"/>
              </w:rPr>
            </w:pPr>
            <w:r w:rsidRPr="00E359BF">
              <w:rPr>
                <w:rFonts w:eastAsia="MS Mincho"/>
              </w:rPr>
              <w:t>Low Range</w:t>
            </w:r>
            <w:r>
              <w:rPr>
                <w:rFonts w:eastAsia="MS Mincho"/>
              </w:rPr>
              <w:t xml:space="preserve"> (1)</w:t>
            </w:r>
          </w:p>
        </w:tc>
        <w:tc>
          <w:tcPr>
            <w:tcW w:w="720" w:type="dxa"/>
            <w:tcMar>
              <w:left w:w="29" w:type="dxa"/>
              <w:right w:w="29" w:type="dxa"/>
            </w:tcMar>
            <w:vAlign w:val="center"/>
          </w:tcPr>
          <w:p w14:paraId="3A2032B9" w14:textId="77777777" w:rsidR="00B678B5" w:rsidRPr="00E359BF" w:rsidRDefault="00B678B5" w:rsidP="00626238">
            <w:pPr>
              <w:pStyle w:val="TableColHeadingCenter"/>
              <w:rPr>
                <w:rFonts w:eastAsia="MS Mincho"/>
              </w:rPr>
            </w:pPr>
            <w:r w:rsidRPr="00E359BF">
              <w:rPr>
                <w:rFonts w:eastAsia="MS Mincho"/>
              </w:rPr>
              <w:t>Low Range</w:t>
            </w:r>
            <w:r>
              <w:rPr>
                <w:rFonts w:eastAsia="MS Mincho"/>
              </w:rPr>
              <w:t xml:space="preserve"> (2)</w:t>
            </w:r>
          </w:p>
        </w:tc>
        <w:tc>
          <w:tcPr>
            <w:tcW w:w="720" w:type="dxa"/>
            <w:tcMar>
              <w:left w:w="29" w:type="dxa"/>
              <w:right w:w="29" w:type="dxa"/>
            </w:tcMar>
            <w:vAlign w:val="center"/>
          </w:tcPr>
          <w:p w14:paraId="0046A659"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(3)</w:t>
            </w:r>
          </w:p>
        </w:tc>
        <w:tc>
          <w:tcPr>
            <w:tcW w:w="720" w:type="dxa"/>
            <w:tcMar>
              <w:left w:w="29" w:type="dxa"/>
              <w:right w:w="29" w:type="dxa"/>
            </w:tcMar>
            <w:vAlign w:val="center"/>
          </w:tcPr>
          <w:p w14:paraId="31684E38"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(4)</w:t>
            </w:r>
          </w:p>
        </w:tc>
        <w:tc>
          <w:tcPr>
            <w:tcW w:w="720" w:type="dxa"/>
            <w:tcMar>
              <w:left w:w="29" w:type="dxa"/>
              <w:right w:w="29" w:type="dxa"/>
            </w:tcMar>
            <w:vAlign w:val="center"/>
          </w:tcPr>
          <w:p w14:paraId="098D826E"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(5)</w:t>
            </w:r>
          </w:p>
        </w:tc>
        <w:tc>
          <w:tcPr>
            <w:tcW w:w="720" w:type="dxa"/>
            <w:tcMar>
              <w:left w:w="29" w:type="dxa"/>
              <w:right w:w="29" w:type="dxa"/>
            </w:tcMar>
            <w:vAlign w:val="center"/>
          </w:tcPr>
          <w:p w14:paraId="14D16DC9" w14:textId="77777777" w:rsidR="00B678B5" w:rsidRPr="00E359BF" w:rsidRDefault="00B678B5" w:rsidP="00626238">
            <w:pPr>
              <w:pStyle w:val="TableColHeadingCenter"/>
              <w:rPr>
                <w:rFonts w:eastAsia="MS Mincho"/>
              </w:rPr>
            </w:pPr>
            <w:r w:rsidRPr="00E359BF">
              <w:rPr>
                <w:rFonts w:eastAsia="MS Mincho"/>
              </w:rPr>
              <w:t>High Range</w:t>
            </w:r>
            <w:r>
              <w:rPr>
                <w:rFonts w:eastAsia="MS Mincho"/>
              </w:rPr>
              <w:t xml:space="preserve"> (6)</w:t>
            </w:r>
          </w:p>
        </w:tc>
        <w:tc>
          <w:tcPr>
            <w:tcW w:w="720" w:type="dxa"/>
            <w:tcMar>
              <w:left w:w="29" w:type="dxa"/>
              <w:right w:w="29" w:type="dxa"/>
            </w:tcMar>
            <w:vAlign w:val="center"/>
          </w:tcPr>
          <w:p w14:paraId="416D77DC" w14:textId="77777777" w:rsidR="00B678B5" w:rsidRPr="00E359BF" w:rsidRDefault="00B678B5" w:rsidP="00626238">
            <w:pPr>
              <w:pStyle w:val="TableColHeadingCenter"/>
              <w:rPr>
                <w:rFonts w:eastAsia="MS Mincho"/>
              </w:rPr>
            </w:pPr>
            <w:r w:rsidRPr="00E359BF">
              <w:rPr>
                <w:rFonts w:eastAsia="MS Mincho"/>
              </w:rPr>
              <w:t>High Range</w:t>
            </w:r>
            <w:r>
              <w:rPr>
                <w:rFonts w:eastAsia="MS Mincho"/>
              </w:rPr>
              <w:t xml:space="preserve"> (7)</w:t>
            </w:r>
          </w:p>
        </w:tc>
        <w:tc>
          <w:tcPr>
            <w:tcW w:w="533" w:type="dxa"/>
            <w:tcMar>
              <w:left w:w="29" w:type="dxa"/>
              <w:right w:w="29" w:type="dxa"/>
            </w:tcMar>
            <w:vAlign w:val="center"/>
          </w:tcPr>
          <w:p w14:paraId="1F9C0379" w14:textId="77777777" w:rsidR="00B678B5" w:rsidRPr="00E359BF" w:rsidRDefault="00B678B5" w:rsidP="00626238">
            <w:pPr>
              <w:pStyle w:val="TableColHeadingCenter"/>
              <w:rPr>
                <w:rFonts w:eastAsia="MS Mincho"/>
              </w:rPr>
            </w:pPr>
            <w:r>
              <w:rPr>
                <w:rFonts w:eastAsia="MS Mincho"/>
              </w:rPr>
              <w:t>n</w:t>
            </w:r>
          </w:p>
        </w:tc>
        <w:tc>
          <w:tcPr>
            <w:tcW w:w="907" w:type="dxa"/>
            <w:tcMar>
              <w:left w:w="29" w:type="dxa"/>
              <w:right w:w="29" w:type="dxa"/>
            </w:tcMar>
            <w:vAlign w:val="center"/>
          </w:tcPr>
          <w:p w14:paraId="3F3DF68C" w14:textId="77777777" w:rsidR="00B678B5" w:rsidRPr="00E359BF" w:rsidRDefault="00B678B5" w:rsidP="00626238">
            <w:pPr>
              <w:pStyle w:val="TableColHeadingCenter"/>
              <w:rPr>
                <w:rFonts w:eastAsia="MS Mincho"/>
              </w:rPr>
            </w:pPr>
            <w:r w:rsidRPr="00E359BF">
              <w:rPr>
                <w:rFonts w:eastAsia="MS Mincho"/>
              </w:rPr>
              <w:t>Average Scores*</w:t>
            </w:r>
          </w:p>
        </w:tc>
      </w:tr>
      <w:tr w:rsidR="00B678B5" w:rsidRPr="00E359BF" w14:paraId="73218318" w14:textId="77777777" w:rsidTr="00D679F6">
        <w:trPr>
          <w:cnfStyle w:val="000000100000" w:firstRow="0" w:lastRow="0" w:firstColumn="0" w:lastColumn="0" w:oddVBand="0" w:evenVBand="0" w:oddHBand="1" w:evenHBand="0" w:firstRowFirstColumn="0" w:firstRowLastColumn="0" w:lastRowFirstColumn="0" w:lastRowLastColumn="0"/>
        </w:trPr>
        <w:tc>
          <w:tcPr>
            <w:tcW w:w="3238" w:type="dxa"/>
          </w:tcPr>
          <w:p w14:paraId="6DF3FA43" w14:textId="77777777" w:rsidR="00B678B5" w:rsidRPr="00C131AE" w:rsidRDefault="00B678B5">
            <w:pPr>
              <w:pStyle w:val="TableSubheading"/>
            </w:pPr>
            <w:r w:rsidRPr="00C131AE">
              <w:t>Emotional Support Domain</w:t>
            </w:r>
          </w:p>
        </w:tc>
        <w:tc>
          <w:tcPr>
            <w:tcW w:w="720" w:type="dxa"/>
          </w:tcPr>
          <w:p w14:paraId="43D4DD24" w14:textId="77777777" w:rsidR="00B678B5" w:rsidRPr="00C131AE" w:rsidRDefault="00B678B5">
            <w:pPr>
              <w:pStyle w:val="TableTextCenteredDemi"/>
              <w:rPr>
                <w:rFonts w:eastAsia="Times New Roman"/>
              </w:rPr>
            </w:pPr>
            <w:r w:rsidRPr="00C131AE">
              <w:rPr>
                <w:rFonts w:eastAsia="Times New Roman"/>
              </w:rPr>
              <w:t>15</w:t>
            </w:r>
          </w:p>
        </w:tc>
        <w:tc>
          <w:tcPr>
            <w:tcW w:w="720" w:type="dxa"/>
          </w:tcPr>
          <w:p w14:paraId="58349135" w14:textId="77777777" w:rsidR="00B678B5" w:rsidRPr="00C131AE" w:rsidRDefault="00B678B5">
            <w:pPr>
              <w:pStyle w:val="TableTextCenteredDemi"/>
              <w:rPr>
                <w:rFonts w:eastAsia="Times New Roman"/>
              </w:rPr>
            </w:pPr>
            <w:r w:rsidRPr="00C131AE">
              <w:rPr>
                <w:rFonts w:eastAsia="Times New Roman"/>
              </w:rPr>
              <w:t>26</w:t>
            </w:r>
          </w:p>
        </w:tc>
        <w:tc>
          <w:tcPr>
            <w:tcW w:w="720" w:type="dxa"/>
          </w:tcPr>
          <w:p w14:paraId="73B38401" w14:textId="77777777" w:rsidR="00B678B5" w:rsidRPr="00C131AE" w:rsidRDefault="00B678B5">
            <w:pPr>
              <w:pStyle w:val="TableTextCenteredDemi"/>
              <w:rPr>
                <w:rFonts w:eastAsia="Times New Roman"/>
              </w:rPr>
            </w:pPr>
            <w:r w:rsidRPr="00C131AE">
              <w:rPr>
                <w:rFonts w:eastAsia="Times New Roman"/>
              </w:rPr>
              <w:t>24</w:t>
            </w:r>
          </w:p>
        </w:tc>
        <w:tc>
          <w:tcPr>
            <w:tcW w:w="720" w:type="dxa"/>
          </w:tcPr>
          <w:p w14:paraId="48DC0DD4" w14:textId="77777777" w:rsidR="00B678B5" w:rsidRPr="00C131AE" w:rsidRDefault="00B678B5">
            <w:pPr>
              <w:pStyle w:val="TableTextCenteredDemi"/>
              <w:rPr>
                <w:rFonts w:eastAsia="Times New Roman"/>
              </w:rPr>
            </w:pPr>
            <w:r w:rsidRPr="00C131AE">
              <w:rPr>
                <w:rFonts w:eastAsia="Times New Roman"/>
              </w:rPr>
              <w:t>40</w:t>
            </w:r>
          </w:p>
        </w:tc>
        <w:tc>
          <w:tcPr>
            <w:tcW w:w="720" w:type="dxa"/>
          </w:tcPr>
          <w:p w14:paraId="3D0B5469" w14:textId="77777777" w:rsidR="00B678B5" w:rsidRPr="00C131AE" w:rsidRDefault="00B678B5">
            <w:pPr>
              <w:pStyle w:val="TableTextCenteredDemi"/>
              <w:rPr>
                <w:rFonts w:eastAsia="Times New Roman"/>
              </w:rPr>
            </w:pPr>
            <w:r w:rsidRPr="00C131AE">
              <w:rPr>
                <w:rFonts w:eastAsia="Times New Roman"/>
              </w:rPr>
              <w:t>48</w:t>
            </w:r>
          </w:p>
        </w:tc>
        <w:tc>
          <w:tcPr>
            <w:tcW w:w="720" w:type="dxa"/>
          </w:tcPr>
          <w:p w14:paraId="76B2042D" w14:textId="77777777" w:rsidR="00B678B5" w:rsidRPr="00C131AE" w:rsidRDefault="00B678B5">
            <w:pPr>
              <w:pStyle w:val="TableTextCenteredDemi"/>
              <w:rPr>
                <w:rFonts w:eastAsia="Times New Roman"/>
              </w:rPr>
            </w:pPr>
            <w:r w:rsidRPr="00C131AE">
              <w:rPr>
                <w:rFonts w:eastAsia="Times New Roman"/>
              </w:rPr>
              <w:t>44</w:t>
            </w:r>
          </w:p>
        </w:tc>
        <w:tc>
          <w:tcPr>
            <w:tcW w:w="720" w:type="dxa"/>
          </w:tcPr>
          <w:p w14:paraId="26572FDB" w14:textId="77777777" w:rsidR="00B678B5" w:rsidRPr="00C131AE" w:rsidRDefault="00B678B5">
            <w:pPr>
              <w:pStyle w:val="TableTextCenteredDemi"/>
              <w:rPr>
                <w:rFonts w:eastAsia="Times New Roman"/>
              </w:rPr>
            </w:pPr>
            <w:r w:rsidRPr="00C131AE">
              <w:rPr>
                <w:rFonts w:eastAsia="Times New Roman"/>
              </w:rPr>
              <w:t>123</w:t>
            </w:r>
          </w:p>
        </w:tc>
        <w:tc>
          <w:tcPr>
            <w:tcW w:w="533" w:type="dxa"/>
          </w:tcPr>
          <w:p w14:paraId="79D3A19F" w14:textId="77777777" w:rsidR="00B678B5" w:rsidRPr="00C131AE" w:rsidRDefault="00B678B5">
            <w:pPr>
              <w:pStyle w:val="TableTextCenteredDemi"/>
              <w:rPr>
                <w:rFonts w:eastAsia="Times New Roman"/>
              </w:rPr>
            </w:pPr>
            <w:r w:rsidRPr="00C131AE">
              <w:rPr>
                <w:rFonts w:eastAsia="Times New Roman"/>
              </w:rPr>
              <w:t>320</w:t>
            </w:r>
          </w:p>
        </w:tc>
        <w:tc>
          <w:tcPr>
            <w:tcW w:w="907" w:type="dxa"/>
          </w:tcPr>
          <w:p w14:paraId="46EC5263" w14:textId="77777777" w:rsidR="00B678B5" w:rsidRPr="00C131AE" w:rsidRDefault="00B678B5">
            <w:pPr>
              <w:pStyle w:val="TableTextCenteredDemi"/>
              <w:rPr>
                <w:rFonts w:eastAsia="Times New Roman"/>
              </w:rPr>
            </w:pPr>
            <w:r w:rsidRPr="00C131AE">
              <w:rPr>
                <w:rFonts w:eastAsia="Times New Roman"/>
              </w:rPr>
              <w:t>5.2</w:t>
            </w:r>
          </w:p>
        </w:tc>
      </w:tr>
      <w:tr w:rsidR="00B678B5" w:rsidRPr="00E359BF" w14:paraId="7E4B3E4E" w14:textId="77777777" w:rsidTr="00D679F6">
        <w:tc>
          <w:tcPr>
            <w:tcW w:w="3238" w:type="dxa"/>
          </w:tcPr>
          <w:p w14:paraId="67AF1578"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Positive Climate</w:t>
            </w:r>
          </w:p>
        </w:tc>
        <w:tc>
          <w:tcPr>
            <w:tcW w:w="720" w:type="dxa"/>
          </w:tcPr>
          <w:p w14:paraId="42D79035" w14:textId="77777777" w:rsidR="00B678B5" w:rsidRPr="00E359BF" w:rsidRDefault="00B678B5">
            <w:pPr>
              <w:pStyle w:val="TableTextCentered"/>
              <w:rPr>
                <w:rFonts w:eastAsia="Times New Roman"/>
              </w:rPr>
            </w:pPr>
            <w:r>
              <w:rPr>
                <w:rFonts w:eastAsia="Times New Roman"/>
              </w:rPr>
              <w:t>0</w:t>
            </w:r>
          </w:p>
        </w:tc>
        <w:tc>
          <w:tcPr>
            <w:tcW w:w="720" w:type="dxa"/>
          </w:tcPr>
          <w:p w14:paraId="62C42582" w14:textId="77777777" w:rsidR="00B678B5" w:rsidRPr="00E359BF" w:rsidRDefault="00B678B5">
            <w:pPr>
              <w:pStyle w:val="TableTextCentered"/>
              <w:rPr>
                <w:rFonts w:eastAsia="Times New Roman"/>
              </w:rPr>
            </w:pPr>
            <w:r>
              <w:rPr>
                <w:rFonts w:eastAsia="Times New Roman"/>
              </w:rPr>
              <w:t>2</w:t>
            </w:r>
          </w:p>
        </w:tc>
        <w:tc>
          <w:tcPr>
            <w:tcW w:w="720" w:type="dxa"/>
          </w:tcPr>
          <w:p w14:paraId="19DFC76B" w14:textId="77777777" w:rsidR="00B678B5" w:rsidRPr="00E359BF" w:rsidRDefault="00B678B5">
            <w:pPr>
              <w:pStyle w:val="TableTextCentered"/>
              <w:rPr>
                <w:rFonts w:eastAsia="Times New Roman"/>
              </w:rPr>
            </w:pPr>
            <w:r>
              <w:rPr>
                <w:rFonts w:eastAsia="Times New Roman"/>
              </w:rPr>
              <w:t>3</w:t>
            </w:r>
          </w:p>
        </w:tc>
        <w:tc>
          <w:tcPr>
            <w:tcW w:w="720" w:type="dxa"/>
          </w:tcPr>
          <w:p w14:paraId="38F20985" w14:textId="77777777" w:rsidR="00B678B5" w:rsidRPr="00E359BF" w:rsidRDefault="00B678B5">
            <w:pPr>
              <w:pStyle w:val="TableTextCentered"/>
              <w:rPr>
                <w:rFonts w:eastAsia="Times New Roman"/>
              </w:rPr>
            </w:pPr>
            <w:r>
              <w:rPr>
                <w:rFonts w:eastAsia="Times New Roman"/>
              </w:rPr>
              <w:t>19</w:t>
            </w:r>
          </w:p>
        </w:tc>
        <w:tc>
          <w:tcPr>
            <w:tcW w:w="720" w:type="dxa"/>
          </w:tcPr>
          <w:p w14:paraId="38640F41" w14:textId="77777777" w:rsidR="00B678B5" w:rsidRPr="00E359BF" w:rsidRDefault="00B678B5">
            <w:pPr>
              <w:pStyle w:val="TableTextCentered"/>
              <w:rPr>
                <w:rFonts w:eastAsia="Times New Roman"/>
              </w:rPr>
            </w:pPr>
            <w:r>
              <w:rPr>
                <w:rFonts w:eastAsia="Times New Roman"/>
              </w:rPr>
              <w:t>28</w:t>
            </w:r>
          </w:p>
        </w:tc>
        <w:tc>
          <w:tcPr>
            <w:tcW w:w="720" w:type="dxa"/>
          </w:tcPr>
          <w:p w14:paraId="71AA0594" w14:textId="77777777" w:rsidR="00B678B5" w:rsidRPr="00E359BF" w:rsidRDefault="00B678B5">
            <w:pPr>
              <w:pStyle w:val="TableTextCentered"/>
              <w:rPr>
                <w:rFonts w:eastAsia="Times New Roman"/>
              </w:rPr>
            </w:pPr>
            <w:r>
              <w:rPr>
                <w:rFonts w:eastAsia="Times New Roman"/>
              </w:rPr>
              <w:t>16</w:t>
            </w:r>
          </w:p>
        </w:tc>
        <w:tc>
          <w:tcPr>
            <w:tcW w:w="720" w:type="dxa"/>
          </w:tcPr>
          <w:p w14:paraId="22A4FE39" w14:textId="77777777" w:rsidR="00B678B5" w:rsidRPr="00E359BF" w:rsidRDefault="00B678B5">
            <w:pPr>
              <w:pStyle w:val="TableTextCentered"/>
              <w:rPr>
                <w:rFonts w:eastAsia="Times New Roman"/>
              </w:rPr>
            </w:pPr>
            <w:r>
              <w:rPr>
                <w:rFonts w:eastAsia="Times New Roman"/>
              </w:rPr>
              <w:t>12</w:t>
            </w:r>
          </w:p>
        </w:tc>
        <w:tc>
          <w:tcPr>
            <w:tcW w:w="533" w:type="dxa"/>
          </w:tcPr>
          <w:p w14:paraId="2EB98323" w14:textId="77777777" w:rsidR="00B678B5" w:rsidRPr="00E359BF" w:rsidRDefault="00B678B5">
            <w:pPr>
              <w:pStyle w:val="TableTextCentered"/>
              <w:rPr>
                <w:rFonts w:eastAsia="Times New Roman"/>
              </w:rPr>
            </w:pPr>
            <w:r>
              <w:rPr>
                <w:rFonts w:eastAsia="Times New Roman"/>
              </w:rPr>
              <w:t>80</w:t>
            </w:r>
          </w:p>
        </w:tc>
        <w:tc>
          <w:tcPr>
            <w:tcW w:w="907" w:type="dxa"/>
          </w:tcPr>
          <w:p w14:paraId="1DE8928F" w14:textId="77777777" w:rsidR="00B678B5" w:rsidRPr="00E359BF" w:rsidRDefault="00B678B5">
            <w:pPr>
              <w:pStyle w:val="TableTextCentered"/>
              <w:rPr>
                <w:rFonts w:eastAsia="Times New Roman"/>
              </w:rPr>
            </w:pPr>
            <w:r>
              <w:rPr>
                <w:rFonts w:eastAsia="Times New Roman"/>
              </w:rPr>
              <w:t>5.1</w:t>
            </w:r>
          </w:p>
        </w:tc>
      </w:tr>
      <w:tr w:rsidR="00B678B5" w:rsidRPr="00E359BF" w14:paraId="7A17DD5F" w14:textId="77777777" w:rsidTr="00D679F6">
        <w:trPr>
          <w:cnfStyle w:val="000000100000" w:firstRow="0" w:lastRow="0" w:firstColumn="0" w:lastColumn="0" w:oddVBand="0" w:evenVBand="0" w:oddHBand="1" w:evenHBand="0" w:firstRowFirstColumn="0" w:firstRowLastColumn="0" w:lastRowFirstColumn="0" w:lastRowLastColumn="0"/>
        </w:trPr>
        <w:tc>
          <w:tcPr>
            <w:tcW w:w="3238" w:type="dxa"/>
          </w:tcPr>
          <w:p w14:paraId="27A225AE"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Negative Climate**</w:t>
            </w:r>
          </w:p>
        </w:tc>
        <w:tc>
          <w:tcPr>
            <w:tcW w:w="720" w:type="dxa"/>
          </w:tcPr>
          <w:p w14:paraId="128C5B0E" w14:textId="77777777" w:rsidR="00B678B5" w:rsidRPr="00E359BF" w:rsidRDefault="00B678B5">
            <w:pPr>
              <w:pStyle w:val="TableTextCentered"/>
              <w:rPr>
                <w:rFonts w:eastAsia="Times New Roman"/>
              </w:rPr>
            </w:pPr>
            <w:r>
              <w:rPr>
                <w:rFonts w:eastAsia="Times New Roman"/>
              </w:rPr>
              <w:t>0</w:t>
            </w:r>
          </w:p>
        </w:tc>
        <w:tc>
          <w:tcPr>
            <w:tcW w:w="720" w:type="dxa"/>
          </w:tcPr>
          <w:p w14:paraId="2D8DEF92" w14:textId="77777777" w:rsidR="00B678B5" w:rsidRPr="00E359BF" w:rsidRDefault="00B678B5">
            <w:pPr>
              <w:pStyle w:val="TableTextCentered"/>
              <w:rPr>
                <w:rFonts w:eastAsia="Times New Roman"/>
              </w:rPr>
            </w:pPr>
            <w:r>
              <w:rPr>
                <w:rFonts w:eastAsia="Times New Roman"/>
              </w:rPr>
              <w:t>0</w:t>
            </w:r>
          </w:p>
        </w:tc>
        <w:tc>
          <w:tcPr>
            <w:tcW w:w="720" w:type="dxa"/>
          </w:tcPr>
          <w:p w14:paraId="392C7274" w14:textId="77777777" w:rsidR="00B678B5" w:rsidRPr="00E359BF" w:rsidRDefault="00B678B5">
            <w:pPr>
              <w:pStyle w:val="TableTextCentered"/>
              <w:rPr>
                <w:rFonts w:eastAsia="Times New Roman"/>
              </w:rPr>
            </w:pPr>
            <w:r>
              <w:rPr>
                <w:rFonts w:eastAsia="Times New Roman"/>
              </w:rPr>
              <w:t>0</w:t>
            </w:r>
          </w:p>
        </w:tc>
        <w:tc>
          <w:tcPr>
            <w:tcW w:w="720" w:type="dxa"/>
          </w:tcPr>
          <w:p w14:paraId="792FB1BD" w14:textId="77777777" w:rsidR="00B678B5" w:rsidRPr="00E359BF" w:rsidRDefault="00B678B5">
            <w:pPr>
              <w:pStyle w:val="TableTextCentered"/>
              <w:rPr>
                <w:rFonts w:eastAsia="Times New Roman"/>
              </w:rPr>
            </w:pPr>
            <w:r>
              <w:rPr>
                <w:rFonts w:eastAsia="Times New Roman"/>
              </w:rPr>
              <w:t>0</w:t>
            </w:r>
          </w:p>
        </w:tc>
        <w:tc>
          <w:tcPr>
            <w:tcW w:w="720" w:type="dxa"/>
          </w:tcPr>
          <w:p w14:paraId="35C2AB8D" w14:textId="77777777" w:rsidR="00B678B5" w:rsidRPr="00E359BF" w:rsidRDefault="00B678B5">
            <w:pPr>
              <w:pStyle w:val="TableTextCentered"/>
              <w:rPr>
                <w:rFonts w:eastAsia="Times New Roman"/>
              </w:rPr>
            </w:pPr>
            <w:r>
              <w:rPr>
                <w:rFonts w:eastAsia="Times New Roman"/>
              </w:rPr>
              <w:t>1</w:t>
            </w:r>
          </w:p>
        </w:tc>
        <w:tc>
          <w:tcPr>
            <w:tcW w:w="720" w:type="dxa"/>
          </w:tcPr>
          <w:p w14:paraId="083C1EDC" w14:textId="77777777" w:rsidR="00B678B5" w:rsidRPr="00E359BF" w:rsidRDefault="00B678B5">
            <w:pPr>
              <w:pStyle w:val="TableTextCentered"/>
              <w:rPr>
                <w:rFonts w:eastAsia="Times New Roman"/>
              </w:rPr>
            </w:pPr>
            <w:r>
              <w:rPr>
                <w:rFonts w:eastAsia="Times New Roman"/>
              </w:rPr>
              <w:t>6</w:t>
            </w:r>
          </w:p>
        </w:tc>
        <w:tc>
          <w:tcPr>
            <w:tcW w:w="720" w:type="dxa"/>
          </w:tcPr>
          <w:p w14:paraId="0578A136" w14:textId="77777777" w:rsidR="00B678B5" w:rsidRPr="00E359BF" w:rsidRDefault="00B678B5">
            <w:pPr>
              <w:pStyle w:val="TableTextCentered"/>
              <w:rPr>
                <w:rFonts w:eastAsia="Times New Roman"/>
              </w:rPr>
            </w:pPr>
            <w:r>
              <w:rPr>
                <w:rFonts w:eastAsia="Times New Roman"/>
              </w:rPr>
              <w:t>73</w:t>
            </w:r>
          </w:p>
        </w:tc>
        <w:tc>
          <w:tcPr>
            <w:tcW w:w="533" w:type="dxa"/>
          </w:tcPr>
          <w:p w14:paraId="7FCD4C6F" w14:textId="77777777" w:rsidR="00B678B5" w:rsidRPr="00E359BF" w:rsidRDefault="00B678B5">
            <w:pPr>
              <w:pStyle w:val="TableTextCentered"/>
              <w:rPr>
                <w:rFonts w:eastAsia="Times New Roman"/>
              </w:rPr>
            </w:pPr>
            <w:r>
              <w:rPr>
                <w:rFonts w:eastAsia="Times New Roman"/>
              </w:rPr>
              <w:t>80</w:t>
            </w:r>
          </w:p>
        </w:tc>
        <w:tc>
          <w:tcPr>
            <w:tcW w:w="907" w:type="dxa"/>
          </w:tcPr>
          <w:p w14:paraId="01FA4AE5" w14:textId="77777777" w:rsidR="00B678B5" w:rsidRPr="00E359BF" w:rsidRDefault="00B678B5">
            <w:pPr>
              <w:pStyle w:val="TableTextCentered"/>
              <w:rPr>
                <w:rFonts w:eastAsia="Times New Roman"/>
              </w:rPr>
            </w:pPr>
            <w:r>
              <w:rPr>
                <w:rFonts w:eastAsia="Times New Roman"/>
              </w:rPr>
              <w:t>6.9</w:t>
            </w:r>
          </w:p>
        </w:tc>
      </w:tr>
      <w:tr w:rsidR="00B678B5" w:rsidRPr="00E359BF" w14:paraId="77072362" w14:textId="77777777" w:rsidTr="00D679F6">
        <w:tc>
          <w:tcPr>
            <w:tcW w:w="3238" w:type="dxa"/>
          </w:tcPr>
          <w:p w14:paraId="00948FD6"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Teacher Sensitivity</w:t>
            </w:r>
          </w:p>
        </w:tc>
        <w:tc>
          <w:tcPr>
            <w:tcW w:w="720" w:type="dxa"/>
          </w:tcPr>
          <w:p w14:paraId="5E5EB4C5" w14:textId="77777777" w:rsidR="00B678B5" w:rsidRPr="00E359BF" w:rsidRDefault="00B678B5">
            <w:pPr>
              <w:pStyle w:val="TableTextCentered"/>
              <w:rPr>
                <w:rFonts w:eastAsia="Times New Roman"/>
              </w:rPr>
            </w:pPr>
            <w:r>
              <w:rPr>
                <w:rFonts w:eastAsia="Times New Roman"/>
              </w:rPr>
              <w:t>0</w:t>
            </w:r>
          </w:p>
        </w:tc>
        <w:tc>
          <w:tcPr>
            <w:tcW w:w="720" w:type="dxa"/>
          </w:tcPr>
          <w:p w14:paraId="7249D3F7" w14:textId="77777777" w:rsidR="00B678B5" w:rsidRPr="00E359BF" w:rsidRDefault="00B678B5">
            <w:pPr>
              <w:pStyle w:val="TableTextCentered"/>
              <w:rPr>
                <w:rFonts w:eastAsia="Times New Roman"/>
              </w:rPr>
            </w:pPr>
            <w:r>
              <w:rPr>
                <w:rFonts w:eastAsia="Times New Roman"/>
              </w:rPr>
              <w:t>1</w:t>
            </w:r>
          </w:p>
        </w:tc>
        <w:tc>
          <w:tcPr>
            <w:tcW w:w="720" w:type="dxa"/>
          </w:tcPr>
          <w:p w14:paraId="15558D57" w14:textId="77777777" w:rsidR="00B678B5" w:rsidRPr="00E359BF" w:rsidRDefault="00B678B5">
            <w:pPr>
              <w:pStyle w:val="TableTextCentered"/>
              <w:rPr>
                <w:rFonts w:eastAsia="Times New Roman"/>
              </w:rPr>
            </w:pPr>
            <w:r>
              <w:rPr>
                <w:rFonts w:eastAsia="Times New Roman"/>
              </w:rPr>
              <w:t>4</w:t>
            </w:r>
          </w:p>
        </w:tc>
        <w:tc>
          <w:tcPr>
            <w:tcW w:w="720" w:type="dxa"/>
          </w:tcPr>
          <w:p w14:paraId="0E1BF795" w14:textId="77777777" w:rsidR="00B678B5" w:rsidRPr="00E359BF" w:rsidRDefault="00B678B5">
            <w:pPr>
              <w:pStyle w:val="TableTextCentered"/>
              <w:rPr>
                <w:rFonts w:eastAsia="Times New Roman"/>
              </w:rPr>
            </w:pPr>
            <w:r>
              <w:rPr>
                <w:rFonts w:eastAsia="Times New Roman"/>
              </w:rPr>
              <w:t>5</w:t>
            </w:r>
          </w:p>
        </w:tc>
        <w:tc>
          <w:tcPr>
            <w:tcW w:w="720" w:type="dxa"/>
          </w:tcPr>
          <w:p w14:paraId="61F5D2B6" w14:textId="77777777" w:rsidR="00B678B5" w:rsidRPr="00E359BF" w:rsidRDefault="00B678B5">
            <w:pPr>
              <w:pStyle w:val="TableTextCentered"/>
              <w:rPr>
                <w:rFonts w:eastAsia="Times New Roman"/>
              </w:rPr>
            </w:pPr>
            <w:r>
              <w:rPr>
                <w:rFonts w:eastAsia="Times New Roman"/>
              </w:rPr>
              <w:t>12</w:t>
            </w:r>
          </w:p>
        </w:tc>
        <w:tc>
          <w:tcPr>
            <w:tcW w:w="720" w:type="dxa"/>
          </w:tcPr>
          <w:p w14:paraId="2EA18A2D" w14:textId="77777777" w:rsidR="00B678B5" w:rsidRPr="00E359BF" w:rsidRDefault="00B678B5">
            <w:pPr>
              <w:pStyle w:val="TableTextCentered"/>
              <w:rPr>
                <w:rFonts w:eastAsia="Times New Roman"/>
              </w:rPr>
            </w:pPr>
            <w:r>
              <w:rPr>
                <w:rFonts w:eastAsia="Times New Roman"/>
              </w:rPr>
              <w:t>20</w:t>
            </w:r>
          </w:p>
        </w:tc>
        <w:tc>
          <w:tcPr>
            <w:tcW w:w="720" w:type="dxa"/>
          </w:tcPr>
          <w:p w14:paraId="063EB612" w14:textId="77777777" w:rsidR="00B678B5" w:rsidRPr="00E359BF" w:rsidRDefault="00B678B5">
            <w:pPr>
              <w:pStyle w:val="TableTextCentered"/>
              <w:rPr>
                <w:rFonts w:eastAsia="Times New Roman"/>
              </w:rPr>
            </w:pPr>
            <w:r>
              <w:rPr>
                <w:rFonts w:eastAsia="Times New Roman"/>
              </w:rPr>
              <w:t>38</w:t>
            </w:r>
          </w:p>
        </w:tc>
        <w:tc>
          <w:tcPr>
            <w:tcW w:w="533" w:type="dxa"/>
          </w:tcPr>
          <w:p w14:paraId="2EDB7C39" w14:textId="77777777" w:rsidR="00B678B5" w:rsidRPr="00E359BF" w:rsidRDefault="00B678B5">
            <w:pPr>
              <w:pStyle w:val="TableTextCentered"/>
              <w:rPr>
                <w:rFonts w:eastAsia="Times New Roman"/>
              </w:rPr>
            </w:pPr>
            <w:r>
              <w:rPr>
                <w:rFonts w:eastAsia="Times New Roman"/>
              </w:rPr>
              <w:t>80</w:t>
            </w:r>
          </w:p>
        </w:tc>
        <w:tc>
          <w:tcPr>
            <w:tcW w:w="907" w:type="dxa"/>
          </w:tcPr>
          <w:p w14:paraId="35396C93" w14:textId="77777777" w:rsidR="00B678B5" w:rsidRPr="00E359BF" w:rsidRDefault="00B678B5">
            <w:pPr>
              <w:pStyle w:val="TableTextCentered"/>
              <w:rPr>
                <w:rFonts w:eastAsia="Times New Roman"/>
              </w:rPr>
            </w:pPr>
            <w:r>
              <w:rPr>
                <w:rFonts w:eastAsia="Times New Roman"/>
              </w:rPr>
              <w:t>6.0</w:t>
            </w:r>
          </w:p>
        </w:tc>
      </w:tr>
      <w:tr w:rsidR="00B678B5" w:rsidRPr="00E359BF" w14:paraId="10EE5355" w14:textId="77777777" w:rsidTr="00D679F6">
        <w:trPr>
          <w:cnfStyle w:val="000000100000" w:firstRow="0" w:lastRow="0" w:firstColumn="0" w:lastColumn="0" w:oddVBand="0" w:evenVBand="0" w:oddHBand="1" w:evenHBand="0" w:firstRowFirstColumn="0" w:firstRowLastColumn="0" w:lastRowFirstColumn="0" w:lastRowLastColumn="0"/>
        </w:trPr>
        <w:tc>
          <w:tcPr>
            <w:tcW w:w="3238" w:type="dxa"/>
          </w:tcPr>
          <w:p w14:paraId="67E55A97"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Regard for Student Perspectives</w:t>
            </w:r>
          </w:p>
        </w:tc>
        <w:tc>
          <w:tcPr>
            <w:tcW w:w="720" w:type="dxa"/>
          </w:tcPr>
          <w:p w14:paraId="64D13396" w14:textId="77777777" w:rsidR="00B678B5" w:rsidRPr="00E359BF" w:rsidRDefault="00B678B5">
            <w:pPr>
              <w:pStyle w:val="TableTextCentered"/>
              <w:rPr>
                <w:rFonts w:eastAsia="Times New Roman"/>
              </w:rPr>
            </w:pPr>
            <w:r>
              <w:rPr>
                <w:rFonts w:eastAsia="Times New Roman"/>
              </w:rPr>
              <w:t>15</w:t>
            </w:r>
          </w:p>
        </w:tc>
        <w:tc>
          <w:tcPr>
            <w:tcW w:w="720" w:type="dxa"/>
          </w:tcPr>
          <w:p w14:paraId="48B4EE70" w14:textId="77777777" w:rsidR="00B678B5" w:rsidRPr="00E359BF" w:rsidRDefault="00B678B5">
            <w:pPr>
              <w:pStyle w:val="TableTextCentered"/>
              <w:rPr>
                <w:rFonts w:eastAsia="Times New Roman"/>
              </w:rPr>
            </w:pPr>
            <w:r>
              <w:rPr>
                <w:rFonts w:eastAsia="Times New Roman"/>
              </w:rPr>
              <w:t>23</w:t>
            </w:r>
          </w:p>
        </w:tc>
        <w:tc>
          <w:tcPr>
            <w:tcW w:w="720" w:type="dxa"/>
          </w:tcPr>
          <w:p w14:paraId="602C1C92" w14:textId="77777777" w:rsidR="00B678B5" w:rsidRPr="00E359BF" w:rsidRDefault="00B678B5">
            <w:pPr>
              <w:pStyle w:val="TableTextCentered"/>
              <w:rPr>
                <w:rFonts w:eastAsia="Times New Roman"/>
              </w:rPr>
            </w:pPr>
            <w:r>
              <w:rPr>
                <w:rFonts w:eastAsia="Times New Roman"/>
              </w:rPr>
              <w:t>17</w:t>
            </w:r>
          </w:p>
        </w:tc>
        <w:tc>
          <w:tcPr>
            <w:tcW w:w="720" w:type="dxa"/>
          </w:tcPr>
          <w:p w14:paraId="1750FDBC" w14:textId="77777777" w:rsidR="00B678B5" w:rsidRPr="00E359BF" w:rsidRDefault="00B678B5">
            <w:pPr>
              <w:pStyle w:val="TableTextCentered"/>
              <w:rPr>
                <w:rFonts w:eastAsia="Times New Roman"/>
              </w:rPr>
            </w:pPr>
            <w:r>
              <w:rPr>
                <w:rFonts w:eastAsia="Times New Roman"/>
              </w:rPr>
              <w:t>16</w:t>
            </w:r>
          </w:p>
        </w:tc>
        <w:tc>
          <w:tcPr>
            <w:tcW w:w="720" w:type="dxa"/>
          </w:tcPr>
          <w:p w14:paraId="1922CFF8" w14:textId="77777777" w:rsidR="00B678B5" w:rsidRPr="00E359BF" w:rsidRDefault="00B678B5">
            <w:pPr>
              <w:pStyle w:val="TableTextCentered"/>
              <w:rPr>
                <w:rFonts w:eastAsia="Times New Roman"/>
              </w:rPr>
            </w:pPr>
            <w:r>
              <w:rPr>
                <w:rFonts w:eastAsia="Times New Roman"/>
              </w:rPr>
              <w:t>7</w:t>
            </w:r>
          </w:p>
        </w:tc>
        <w:tc>
          <w:tcPr>
            <w:tcW w:w="720" w:type="dxa"/>
          </w:tcPr>
          <w:p w14:paraId="6791192F" w14:textId="77777777" w:rsidR="00B678B5" w:rsidRPr="00E359BF" w:rsidRDefault="00B678B5">
            <w:pPr>
              <w:pStyle w:val="TableTextCentered"/>
              <w:rPr>
                <w:rFonts w:eastAsia="Times New Roman"/>
              </w:rPr>
            </w:pPr>
            <w:r>
              <w:rPr>
                <w:rFonts w:eastAsia="Times New Roman"/>
              </w:rPr>
              <w:t>2</w:t>
            </w:r>
          </w:p>
        </w:tc>
        <w:tc>
          <w:tcPr>
            <w:tcW w:w="720" w:type="dxa"/>
          </w:tcPr>
          <w:p w14:paraId="448013D7" w14:textId="77777777" w:rsidR="00B678B5" w:rsidRPr="00E359BF" w:rsidRDefault="00B678B5">
            <w:pPr>
              <w:pStyle w:val="TableTextCentered"/>
              <w:rPr>
                <w:rFonts w:eastAsia="Times New Roman"/>
              </w:rPr>
            </w:pPr>
            <w:r>
              <w:rPr>
                <w:rFonts w:eastAsia="Times New Roman"/>
              </w:rPr>
              <w:t>0</w:t>
            </w:r>
          </w:p>
        </w:tc>
        <w:tc>
          <w:tcPr>
            <w:tcW w:w="533" w:type="dxa"/>
          </w:tcPr>
          <w:p w14:paraId="0085EAF0" w14:textId="77777777" w:rsidR="00B678B5" w:rsidRPr="00E359BF" w:rsidRDefault="00B678B5">
            <w:pPr>
              <w:pStyle w:val="TableTextCentered"/>
              <w:rPr>
                <w:rFonts w:eastAsia="Times New Roman"/>
              </w:rPr>
            </w:pPr>
            <w:r>
              <w:rPr>
                <w:rFonts w:eastAsia="Times New Roman"/>
              </w:rPr>
              <w:t>80</w:t>
            </w:r>
          </w:p>
        </w:tc>
        <w:tc>
          <w:tcPr>
            <w:tcW w:w="907" w:type="dxa"/>
          </w:tcPr>
          <w:p w14:paraId="2C92A5C5" w14:textId="77777777" w:rsidR="00B678B5" w:rsidRPr="00E359BF" w:rsidRDefault="00B678B5">
            <w:pPr>
              <w:pStyle w:val="TableTextCentered"/>
              <w:rPr>
                <w:rFonts w:eastAsia="Times New Roman"/>
              </w:rPr>
            </w:pPr>
            <w:r>
              <w:rPr>
                <w:rFonts w:eastAsia="Times New Roman"/>
              </w:rPr>
              <w:t>2.8</w:t>
            </w:r>
          </w:p>
        </w:tc>
      </w:tr>
      <w:tr w:rsidR="00B678B5" w:rsidRPr="00E359BF" w14:paraId="250CD2DD" w14:textId="77777777" w:rsidTr="00D679F6">
        <w:tc>
          <w:tcPr>
            <w:tcW w:w="3238" w:type="dxa"/>
          </w:tcPr>
          <w:p w14:paraId="21FF9DEA" w14:textId="77777777" w:rsidR="00B678B5" w:rsidRPr="00C131AE" w:rsidRDefault="00B678B5">
            <w:pPr>
              <w:pStyle w:val="TableSubheading"/>
              <w:rPr>
                <w:szCs w:val="20"/>
              </w:rPr>
            </w:pPr>
            <w:r w:rsidRPr="00C131AE">
              <w:t>Classroom Organization Domain</w:t>
            </w:r>
          </w:p>
        </w:tc>
        <w:tc>
          <w:tcPr>
            <w:tcW w:w="720" w:type="dxa"/>
          </w:tcPr>
          <w:p w14:paraId="6659D46A" w14:textId="77777777" w:rsidR="00B678B5" w:rsidRPr="00C131AE" w:rsidRDefault="00B678B5">
            <w:pPr>
              <w:pStyle w:val="TableTextCenteredDemi"/>
              <w:rPr>
                <w:rFonts w:eastAsia="Times New Roman"/>
              </w:rPr>
            </w:pPr>
            <w:r w:rsidRPr="00C131AE">
              <w:rPr>
                <w:rFonts w:eastAsia="Times New Roman"/>
              </w:rPr>
              <w:t>0</w:t>
            </w:r>
          </w:p>
        </w:tc>
        <w:tc>
          <w:tcPr>
            <w:tcW w:w="720" w:type="dxa"/>
          </w:tcPr>
          <w:p w14:paraId="1F36C3C2" w14:textId="77777777" w:rsidR="00B678B5" w:rsidRPr="00C131AE" w:rsidRDefault="00B678B5">
            <w:pPr>
              <w:pStyle w:val="TableTextCenteredDemi"/>
              <w:rPr>
                <w:rFonts w:eastAsia="Times New Roman"/>
              </w:rPr>
            </w:pPr>
            <w:r w:rsidRPr="00C131AE">
              <w:rPr>
                <w:rFonts w:eastAsia="Times New Roman"/>
              </w:rPr>
              <w:t>4</w:t>
            </w:r>
          </w:p>
        </w:tc>
        <w:tc>
          <w:tcPr>
            <w:tcW w:w="720" w:type="dxa"/>
          </w:tcPr>
          <w:p w14:paraId="1300B229" w14:textId="77777777" w:rsidR="00B678B5" w:rsidRPr="00C131AE" w:rsidRDefault="00B678B5">
            <w:pPr>
              <w:pStyle w:val="TableTextCenteredDemi"/>
              <w:rPr>
                <w:rFonts w:eastAsia="Times New Roman"/>
              </w:rPr>
            </w:pPr>
            <w:r w:rsidRPr="00C131AE">
              <w:rPr>
                <w:rFonts w:eastAsia="Times New Roman"/>
              </w:rPr>
              <w:t>3</w:t>
            </w:r>
          </w:p>
        </w:tc>
        <w:tc>
          <w:tcPr>
            <w:tcW w:w="720" w:type="dxa"/>
          </w:tcPr>
          <w:p w14:paraId="1CBF89B7" w14:textId="77777777" w:rsidR="00B678B5" w:rsidRPr="00C131AE" w:rsidRDefault="00B678B5">
            <w:pPr>
              <w:pStyle w:val="TableTextCenteredDemi"/>
              <w:rPr>
                <w:rFonts w:eastAsia="Times New Roman"/>
              </w:rPr>
            </w:pPr>
            <w:r w:rsidRPr="00C131AE">
              <w:rPr>
                <w:rFonts w:eastAsia="Times New Roman"/>
              </w:rPr>
              <w:t>19</w:t>
            </w:r>
          </w:p>
        </w:tc>
        <w:tc>
          <w:tcPr>
            <w:tcW w:w="720" w:type="dxa"/>
          </w:tcPr>
          <w:p w14:paraId="7B12FB82" w14:textId="77777777" w:rsidR="00B678B5" w:rsidRPr="00C131AE" w:rsidRDefault="00B678B5">
            <w:pPr>
              <w:pStyle w:val="TableTextCenteredDemi"/>
              <w:rPr>
                <w:rFonts w:eastAsia="Times New Roman"/>
              </w:rPr>
            </w:pPr>
            <w:r w:rsidRPr="00C131AE">
              <w:rPr>
                <w:rFonts w:eastAsia="Times New Roman"/>
              </w:rPr>
              <w:t>49</w:t>
            </w:r>
          </w:p>
        </w:tc>
        <w:tc>
          <w:tcPr>
            <w:tcW w:w="720" w:type="dxa"/>
          </w:tcPr>
          <w:p w14:paraId="224795C0" w14:textId="77777777" w:rsidR="00B678B5" w:rsidRPr="00C131AE" w:rsidRDefault="00B678B5">
            <w:pPr>
              <w:pStyle w:val="TableTextCenteredDemi"/>
              <w:rPr>
                <w:rFonts w:eastAsia="Times New Roman"/>
              </w:rPr>
            </w:pPr>
            <w:r w:rsidRPr="00C131AE">
              <w:rPr>
                <w:rFonts w:eastAsia="Times New Roman"/>
              </w:rPr>
              <w:t>51</w:t>
            </w:r>
          </w:p>
        </w:tc>
        <w:tc>
          <w:tcPr>
            <w:tcW w:w="720" w:type="dxa"/>
          </w:tcPr>
          <w:p w14:paraId="2F48B367" w14:textId="77777777" w:rsidR="00B678B5" w:rsidRPr="00C131AE" w:rsidRDefault="00B678B5">
            <w:pPr>
              <w:pStyle w:val="TableTextCenteredDemi"/>
              <w:rPr>
                <w:rFonts w:eastAsia="Times New Roman"/>
              </w:rPr>
            </w:pPr>
            <w:r w:rsidRPr="00C131AE">
              <w:rPr>
                <w:rFonts w:eastAsia="Times New Roman"/>
              </w:rPr>
              <w:t>114</w:t>
            </w:r>
          </w:p>
        </w:tc>
        <w:tc>
          <w:tcPr>
            <w:tcW w:w="533" w:type="dxa"/>
          </w:tcPr>
          <w:p w14:paraId="1317494B" w14:textId="77777777" w:rsidR="00B678B5" w:rsidRPr="00C131AE" w:rsidRDefault="00B678B5">
            <w:pPr>
              <w:pStyle w:val="TableTextCenteredDemi"/>
              <w:rPr>
                <w:rFonts w:eastAsia="Times New Roman"/>
              </w:rPr>
            </w:pPr>
            <w:r w:rsidRPr="00C131AE">
              <w:rPr>
                <w:rFonts w:eastAsia="Times New Roman"/>
              </w:rPr>
              <w:t>240</w:t>
            </w:r>
          </w:p>
        </w:tc>
        <w:tc>
          <w:tcPr>
            <w:tcW w:w="907" w:type="dxa"/>
          </w:tcPr>
          <w:p w14:paraId="7F6371AC" w14:textId="77777777" w:rsidR="00B678B5" w:rsidRPr="00C131AE" w:rsidRDefault="00B678B5">
            <w:pPr>
              <w:pStyle w:val="TableTextCenteredDemi"/>
              <w:rPr>
                <w:rFonts w:eastAsia="Times New Roman"/>
              </w:rPr>
            </w:pPr>
            <w:r w:rsidRPr="00C131AE">
              <w:rPr>
                <w:rFonts w:eastAsia="Times New Roman"/>
              </w:rPr>
              <w:t>6.0</w:t>
            </w:r>
          </w:p>
        </w:tc>
      </w:tr>
      <w:tr w:rsidR="00B678B5" w:rsidRPr="00E359BF" w14:paraId="0467E8C5" w14:textId="77777777" w:rsidTr="00D679F6">
        <w:trPr>
          <w:cnfStyle w:val="000000100000" w:firstRow="0" w:lastRow="0" w:firstColumn="0" w:lastColumn="0" w:oddVBand="0" w:evenVBand="0" w:oddHBand="1" w:evenHBand="0" w:firstRowFirstColumn="0" w:firstRowLastColumn="0" w:lastRowFirstColumn="0" w:lastRowLastColumn="0"/>
        </w:trPr>
        <w:tc>
          <w:tcPr>
            <w:tcW w:w="3238" w:type="dxa"/>
          </w:tcPr>
          <w:p w14:paraId="78023A07"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Behavior Management</w:t>
            </w:r>
          </w:p>
        </w:tc>
        <w:tc>
          <w:tcPr>
            <w:tcW w:w="720" w:type="dxa"/>
          </w:tcPr>
          <w:p w14:paraId="08792545" w14:textId="77777777" w:rsidR="00B678B5" w:rsidRPr="00E359BF" w:rsidRDefault="00B678B5">
            <w:pPr>
              <w:pStyle w:val="TableTextCentered"/>
              <w:rPr>
                <w:rFonts w:eastAsia="Times New Roman"/>
              </w:rPr>
            </w:pPr>
            <w:r>
              <w:rPr>
                <w:rFonts w:eastAsia="Times New Roman"/>
              </w:rPr>
              <w:t>0</w:t>
            </w:r>
          </w:p>
        </w:tc>
        <w:tc>
          <w:tcPr>
            <w:tcW w:w="720" w:type="dxa"/>
          </w:tcPr>
          <w:p w14:paraId="2A976BF5" w14:textId="77777777" w:rsidR="00B678B5" w:rsidRPr="00E359BF" w:rsidRDefault="00B678B5">
            <w:pPr>
              <w:pStyle w:val="TableTextCentered"/>
              <w:rPr>
                <w:rFonts w:eastAsia="Times New Roman"/>
              </w:rPr>
            </w:pPr>
            <w:r>
              <w:rPr>
                <w:rFonts w:eastAsia="Times New Roman"/>
              </w:rPr>
              <w:t>1</w:t>
            </w:r>
          </w:p>
        </w:tc>
        <w:tc>
          <w:tcPr>
            <w:tcW w:w="720" w:type="dxa"/>
          </w:tcPr>
          <w:p w14:paraId="0E157012" w14:textId="77777777" w:rsidR="00B678B5" w:rsidRPr="00E359BF" w:rsidRDefault="00B678B5">
            <w:pPr>
              <w:pStyle w:val="TableTextCentered"/>
              <w:rPr>
                <w:rFonts w:eastAsia="Times New Roman"/>
              </w:rPr>
            </w:pPr>
            <w:r>
              <w:rPr>
                <w:rFonts w:eastAsia="Times New Roman"/>
              </w:rPr>
              <w:t>2</w:t>
            </w:r>
          </w:p>
        </w:tc>
        <w:tc>
          <w:tcPr>
            <w:tcW w:w="720" w:type="dxa"/>
          </w:tcPr>
          <w:p w14:paraId="677922C0" w14:textId="77777777" w:rsidR="00B678B5" w:rsidRPr="00E359BF" w:rsidRDefault="00B678B5">
            <w:pPr>
              <w:pStyle w:val="TableTextCentered"/>
              <w:rPr>
                <w:rFonts w:eastAsia="Times New Roman"/>
              </w:rPr>
            </w:pPr>
            <w:r>
              <w:rPr>
                <w:rFonts w:eastAsia="Times New Roman"/>
              </w:rPr>
              <w:t>4</w:t>
            </w:r>
          </w:p>
        </w:tc>
        <w:tc>
          <w:tcPr>
            <w:tcW w:w="720" w:type="dxa"/>
          </w:tcPr>
          <w:p w14:paraId="2D371324" w14:textId="77777777" w:rsidR="00B678B5" w:rsidRPr="00E359BF" w:rsidRDefault="00B678B5">
            <w:pPr>
              <w:pStyle w:val="TableTextCentered"/>
              <w:rPr>
                <w:rFonts w:eastAsia="Times New Roman"/>
              </w:rPr>
            </w:pPr>
            <w:r>
              <w:rPr>
                <w:rFonts w:eastAsia="Times New Roman"/>
              </w:rPr>
              <w:t>9</w:t>
            </w:r>
          </w:p>
        </w:tc>
        <w:tc>
          <w:tcPr>
            <w:tcW w:w="720" w:type="dxa"/>
          </w:tcPr>
          <w:p w14:paraId="34E61B6E" w14:textId="77777777" w:rsidR="00B678B5" w:rsidRPr="00E359BF" w:rsidRDefault="00B678B5">
            <w:pPr>
              <w:pStyle w:val="TableTextCentered"/>
              <w:rPr>
                <w:rFonts w:eastAsia="Times New Roman"/>
              </w:rPr>
            </w:pPr>
            <w:r>
              <w:rPr>
                <w:rFonts w:eastAsia="Times New Roman"/>
              </w:rPr>
              <w:t>20</w:t>
            </w:r>
          </w:p>
        </w:tc>
        <w:tc>
          <w:tcPr>
            <w:tcW w:w="720" w:type="dxa"/>
          </w:tcPr>
          <w:p w14:paraId="7AB70C25" w14:textId="77777777" w:rsidR="00B678B5" w:rsidRPr="00E359BF" w:rsidRDefault="00B678B5">
            <w:pPr>
              <w:pStyle w:val="TableTextCentered"/>
              <w:rPr>
                <w:rFonts w:eastAsia="Times New Roman"/>
              </w:rPr>
            </w:pPr>
            <w:r>
              <w:rPr>
                <w:rFonts w:eastAsia="Times New Roman"/>
              </w:rPr>
              <w:t>44</w:t>
            </w:r>
          </w:p>
        </w:tc>
        <w:tc>
          <w:tcPr>
            <w:tcW w:w="533" w:type="dxa"/>
          </w:tcPr>
          <w:p w14:paraId="5B59E8B1" w14:textId="77777777" w:rsidR="00B678B5" w:rsidRPr="00E359BF" w:rsidRDefault="00B678B5">
            <w:pPr>
              <w:pStyle w:val="TableTextCentered"/>
              <w:rPr>
                <w:rFonts w:eastAsia="Times New Roman"/>
              </w:rPr>
            </w:pPr>
            <w:r>
              <w:rPr>
                <w:rFonts w:eastAsia="Times New Roman"/>
              </w:rPr>
              <w:t>80</w:t>
            </w:r>
          </w:p>
        </w:tc>
        <w:tc>
          <w:tcPr>
            <w:tcW w:w="907" w:type="dxa"/>
          </w:tcPr>
          <w:p w14:paraId="2340B4E1" w14:textId="77777777" w:rsidR="00B678B5" w:rsidRPr="00E359BF" w:rsidRDefault="00B678B5">
            <w:pPr>
              <w:pStyle w:val="TableTextCentered"/>
              <w:rPr>
                <w:rFonts w:eastAsia="Times New Roman"/>
              </w:rPr>
            </w:pPr>
            <w:r>
              <w:rPr>
                <w:rFonts w:eastAsia="Times New Roman"/>
              </w:rPr>
              <w:t>6.2</w:t>
            </w:r>
          </w:p>
        </w:tc>
      </w:tr>
      <w:tr w:rsidR="00B678B5" w:rsidRPr="00E359BF" w14:paraId="29E1346C" w14:textId="77777777" w:rsidTr="00D679F6">
        <w:tc>
          <w:tcPr>
            <w:tcW w:w="3238" w:type="dxa"/>
          </w:tcPr>
          <w:p w14:paraId="2159768E"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Productivity</w:t>
            </w:r>
          </w:p>
        </w:tc>
        <w:tc>
          <w:tcPr>
            <w:tcW w:w="720" w:type="dxa"/>
          </w:tcPr>
          <w:p w14:paraId="0025E6C7" w14:textId="77777777" w:rsidR="00B678B5" w:rsidRPr="00E359BF" w:rsidRDefault="00B678B5">
            <w:pPr>
              <w:pStyle w:val="TableTextCentered"/>
              <w:rPr>
                <w:rFonts w:eastAsia="Times New Roman"/>
              </w:rPr>
            </w:pPr>
            <w:r>
              <w:rPr>
                <w:rFonts w:eastAsia="Times New Roman"/>
              </w:rPr>
              <w:t>0</w:t>
            </w:r>
          </w:p>
        </w:tc>
        <w:tc>
          <w:tcPr>
            <w:tcW w:w="720" w:type="dxa"/>
          </w:tcPr>
          <w:p w14:paraId="491314D1" w14:textId="77777777" w:rsidR="00B678B5" w:rsidRPr="00E359BF" w:rsidRDefault="00B678B5">
            <w:pPr>
              <w:pStyle w:val="TableTextCentered"/>
              <w:rPr>
                <w:rFonts w:eastAsia="Times New Roman"/>
              </w:rPr>
            </w:pPr>
            <w:r>
              <w:rPr>
                <w:rFonts w:eastAsia="Times New Roman"/>
              </w:rPr>
              <w:t>1</w:t>
            </w:r>
          </w:p>
        </w:tc>
        <w:tc>
          <w:tcPr>
            <w:tcW w:w="720" w:type="dxa"/>
          </w:tcPr>
          <w:p w14:paraId="7C127C6D" w14:textId="77777777" w:rsidR="00B678B5" w:rsidRPr="00E359BF" w:rsidRDefault="00B678B5">
            <w:pPr>
              <w:pStyle w:val="TableTextCentered"/>
              <w:rPr>
                <w:rFonts w:eastAsia="Times New Roman"/>
              </w:rPr>
            </w:pPr>
            <w:r>
              <w:rPr>
                <w:rFonts w:eastAsia="Times New Roman"/>
              </w:rPr>
              <w:t>1</w:t>
            </w:r>
          </w:p>
        </w:tc>
        <w:tc>
          <w:tcPr>
            <w:tcW w:w="720" w:type="dxa"/>
          </w:tcPr>
          <w:p w14:paraId="6C3C5C67" w14:textId="77777777" w:rsidR="00B678B5" w:rsidRPr="00E359BF" w:rsidRDefault="00B678B5">
            <w:pPr>
              <w:pStyle w:val="TableTextCentered"/>
              <w:rPr>
                <w:rFonts w:eastAsia="Times New Roman"/>
              </w:rPr>
            </w:pPr>
            <w:r>
              <w:rPr>
                <w:rFonts w:eastAsia="Times New Roman"/>
              </w:rPr>
              <w:t>4</w:t>
            </w:r>
          </w:p>
        </w:tc>
        <w:tc>
          <w:tcPr>
            <w:tcW w:w="720" w:type="dxa"/>
          </w:tcPr>
          <w:p w14:paraId="62B1D087" w14:textId="77777777" w:rsidR="00B678B5" w:rsidRPr="00E359BF" w:rsidRDefault="00B678B5">
            <w:pPr>
              <w:pStyle w:val="TableTextCentered"/>
              <w:rPr>
                <w:rFonts w:eastAsia="Times New Roman"/>
              </w:rPr>
            </w:pPr>
            <w:r>
              <w:rPr>
                <w:rFonts w:eastAsia="Times New Roman"/>
              </w:rPr>
              <w:t>7</w:t>
            </w:r>
          </w:p>
        </w:tc>
        <w:tc>
          <w:tcPr>
            <w:tcW w:w="720" w:type="dxa"/>
          </w:tcPr>
          <w:p w14:paraId="5A99C7A6" w14:textId="77777777" w:rsidR="00B678B5" w:rsidRPr="00E359BF" w:rsidRDefault="00B678B5">
            <w:pPr>
              <w:pStyle w:val="TableTextCentered"/>
              <w:rPr>
                <w:rFonts w:eastAsia="Times New Roman"/>
              </w:rPr>
            </w:pPr>
            <w:r>
              <w:rPr>
                <w:rFonts w:eastAsia="Times New Roman"/>
              </w:rPr>
              <w:t>9</w:t>
            </w:r>
          </w:p>
        </w:tc>
        <w:tc>
          <w:tcPr>
            <w:tcW w:w="720" w:type="dxa"/>
          </w:tcPr>
          <w:p w14:paraId="588D07C4" w14:textId="77777777" w:rsidR="00B678B5" w:rsidRPr="00E359BF" w:rsidRDefault="00B678B5">
            <w:pPr>
              <w:pStyle w:val="TableTextCentered"/>
              <w:rPr>
                <w:rFonts w:eastAsia="Times New Roman"/>
              </w:rPr>
            </w:pPr>
            <w:r>
              <w:rPr>
                <w:rFonts w:eastAsia="Times New Roman"/>
              </w:rPr>
              <w:t>58</w:t>
            </w:r>
          </w:p>
        </w:tc>
        <w:tc>
          <w:tcPr>
            <w:tcW w:w="533" w:type="dxa"/>
          </w:tcPr>
          <w:p w14:paraId="356FC996" w14:textId="77777777" w:rsidR="00B678B5" w:rsidRPr="00E359BF" w:rsidRDefault="00B678B5">
            <w:pPr>
              <w:pStyle w:val="TableTextCentered"/>
              <w:rPr>
                <w:rFonts w:eastAsia="Times New Roman"/>
              </w:rPr>
            </w:pPr>
            <w:r>
              <w:rPr>
                <w:rFonts w:eastAsia="Times New Roman"/>
              </w:rPr>
              <w:t>80</w:t>
            </w:r>
          </w:p>
        </w:tc>
        <w:tc>
          <w:tcPr>
            <w:tcW w:w="907" w:type="dxa"/>
          </w:tcPr>
          <w:p w14:paraId="1C95621A" w14:textId="77777777" w:rsidR="00B678B5" w:rsidRPr="00E359BF" w:rsidRDefault="00B678B5">
            <w:pPr>
              <w:pStyle w:val="TableTextCentered"/>
              <w:rPr>
                <w:rFonts w:eastAsia="Times New Roman"/>
              </w:rPr>
            </w:pPr>
            <w:r>
              <w:rPr>
                <w:rFonts w:eastAsia="Times New Roman"/>
              </w:rPr>
              <w:t>6.5</w:t>
            </w:r>
          </w:p>
        </w:tc>
      </w:tr>
      <w:tr w:rsidR="00B678B5" w:rsidRPr="00E359BF" w14:paraId="620D0D8C" w14:textId="77777777" w:rsidTr="00D679F6">
        <w:trPr>
          <w:cnfStyle w:val="000000100000" w:firstRow="0" w:lastRow="0" w:firstColumn="0" w:lastColumn="0" w:oddVBand="0" w:evenVBand="0" w:oddHBand="1" w:evenHBand="0" w:firstRowFirstColumn="0" w:firstRowLastColumn="0" w:lastRowFirstColumn="0" w:lastRowLastColumn="0"/>
        </w:trPr>
        <w:tc>
          <w:tcPr>
            <w:tcW w:w="3238" w:type="dxa"/>
          </w:tcPr>
          <w:p w14:paraId="3FA4D6D2"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Instructional Learning Formats</w:t>
            </w:r>
            <w:r>
              <w:rPr>
                <w:rFonts w:ascii="Franklin Gothic Book" w:hAnsi="Franklin Gothic Book"/>
              </w:rPr>
              <w:t>***</w:t>
            </w:r>
          </w:p>
        </w:tc>
        <w:tc>
          <w:tcPr>
            <w:tcW w:w="720" w:type="dxa"/>
          </w:tcPr>
          <w:p w14:paraId="31D209FC" w14:textId="77777777" w:rsidR="00B678B5" w:rsidRPr="00E359BF" w:rsidRDefault="00B678B5">
            <w:pPr>
              <w:pStyle w:val="TableTextCentered"/>
              <w:rPr>
                <w:rFonts w:eastAsia="Times New Roman"/>
              </w:rPr>
            </w:pPr>
            <w:r>
              <w:rPr>
                <w:rFonts w:eastAsia="Times New Roman"/>
              </w:rPr>
              <w:t>0</w:t>
            </w:r>
          </w:p>
        </w:tc>
        <w:tc>
          <w:tcPr>
            <w:tcW w:w="720" w:type="dxa"/>
          </w:tcPr>
          <w:p w14:paraId="61D5DE43" w14:textId="77777777" w:rsidR="00B678B5" w:rsidRPr="00E359BF" w:rsidRDefault="00B678B5">
            <w:pPr>
              <w:pStyle w:val="TableTextCentered"/>
              <w:rPr>
                <w:rFonts w:eastAsia="Times New Roman"/>
              </w:rPr>
            </w:pPr>
            <w:r>
              <w:rPr>
                <w:rFonts w:eastAsia="Times New Roman"/>
              </w:rPr>
              <w:t>2</w:t>
            </w:r>
          </w:p>
        </w:tc>
        <w:tc>
          <w:tcPr>
            <w:tcW w:w="720" w:type="dxa"/>
          </w:tcPr>
          <w:p w14:paraId="64BCA8BF" w14:textId="77777777" w:rsidR="00B678B5" w:rsidRPr="00E359BF" w:rsidRDefault="00B678B5">
            <w:pPr>
              <w:pStyle w:val="TableTextCentered"/>
              <w:rPr>
                <w:rFonts w:eastAsia="Times New Roman"/>
              </w:rPr>
            </w:pPr>
            <w:r>
              <w:rPr>
                <w:rFonts w:eastAsia="Times New Roman"/>
              </w:rPr>
              <w:t>0</w:t>
            </w:r>
          </w:p>
        </w:tc>
        <w:tc>
          <w:tcPr>
            <w:tcW w:w="720" w:type="dxa"/>
          </w:tcPr>
          <w:p w14:paraId="34A2A39E" w14:textId="77777777" w:rsidR="00B678B5" w:rsidRPr="00E359BF" w:rsidRDefault="00B678B5">
            <w:pPr>
              <w:pStyle w:val="TableTextCentered"/>
              <w:rPr>
                <w:rFonts w:eastAsia="Times New Roman"/>
              </w:rPr>
            </w:pPr>
            <w:r>
              <w:rPr>
                <w:rFonts w:eastAsia="Times New Roman"/>
              </w:rPr>
              <w:t>11</w:t>
            </w:r>
          </w:p>
        </w:tc>
        <w:tc>
          <w:tcPr>
            <w:tcW w:w="720" w:type="dxa"/>
          </w:tcPr>
          <w:p w14:paraId="5E6BC461" w14:textId="77777777" w:rsidR="00B678B5" w:rsidRPr="00E359BF" w:rsidRDefault="00B678B5">
            <w:pPr>
              <w:pStyle w:val="TableTextCentered"/>
              <w:rPr>
                <w:rFonts w:eastAsia="Times New Roman"/>
              </w:rPr>
            </w:pPr>
            <w:r>
              <w:rPr>
                <w:rFonts w:eastAsia="Times New Roman"/>
              </w:rPr>
              <w:t>33</w:t>
            </w:r>
          </w:p>
        </w:tc>
        <w:tc>
          <w:tcPr>
            <w:tcW w:w="720" w:type="dxa"/>
          </w:tcPr>
          <w:p w14:paraId="6759B13A" w14:textId="77777777" w:rsidR="00B678B5" w:rsidRPr="00E359BF" w:rsidRDefault="00B678B5">
            <w:pPr>
              <w:pStyle w:val="TableTextCentered"/>
              <w:rPr>
                <w:rFonts w:eastAsia="Times New Roman"/>
              </w:rPr>
            </w:pPr>
            <w:r>
              <w:rPr>
                <w:rFonts w:eastAsia="Times New Roman"/>
              </w:rPr>
              <w:t>22</w:t>
            </w:r>
          </w:p>
        </w:tc>
        <w:tc>
          <w:tcPr>
            <w:tcW w:w="720" w:type="dxa"/>
          </w:tcPr>
          <w:p w14:paraId="76F0DECD" w14:textId="77777777" w:rsidR="00B678B5" w:rsidRPr="00E359BF" w:rsidRDefault="00B678B5">
            <w:pPr>
              <w:pStyle w:val="TableTextCentered"/>
              <w:rPr>
                <w:rFonts w:eastAsia="Times New Roman"/>
              </w:rPr>
            </w:pPr>
            <w:r>
              <w:rPr>
                <w:rFonts w:eastAsia="Times New Roman"/>
              </w:rPr>
              <w:t>12</w:t>
            </w:r>
          </w:p>
        </w:tc>
        <w:tc>
          <w:tcPr>
            <w:tcW w:w="533" w:type="dxa"/>
          </w:tcPr>
          <w:p w14:paraId="11A04B6C" w14:textId="77777777" w:rsidR="00B678B5" w:rsidRPr="00E359BF" w:rsidRDefault="00B678B5">
            <w:pPr>
              <w:pStyle w:val="TableTextCentered"/>
              <w:rPr>
                <w:rFonts w:eastAsia="Times New Roman"/>
              </w:rPr>
            </w:pPr>
            <w:r>
              <w:rPr>
                <w:rFonts w:eastAsia="Times New Roman"/>
              </w:rPr>
              <w:t>80</w:t>
            </w:r>
          </w:p>
        </w:tc>
        <w:tc>
          <w:tcPr>
            <w:tcW w:w="907" w:type="dxa"/>
          </w:tcPr>
          <w:p w14:paraId="4D7A25E8" w14:textId="77777777" w:rsidR="00B678B5" w:rsidRPr="00E359BF" w:rsidRDefault="00B678B5">
            <w:pPr>
              <w:pStyle w:val="TableTextCentered"/>
              <w:rPr>
                <w:rFonts w:eastAsia="Times New Roman"/>
              </w:rPr>
            </w:pPr>
            <w:r>
              <w:rPr>
                <w:rFonts w:eastAsia="Times New Roman"/>
              </w:rPr>
              <w:t>5.4</w:t>
            </w:r>
          </w:p>
        </w:tc>
      </w:tr>
      <w:tr w:rsidR="00B678B5" w:rsidRPr="00E359BF" w14:paraId="11EC742C" w14:textId="77777777" w:rsidTr="00D679F6">
        <w:tc>
          <w:tcPr>
            <w:tcW w:w="3238" w:type="dxa"/>
          </w:tcPr>
          <w:p w14:paraId="29CD8CA7" w14:textId="77777777" w:rsidR="00B678B5" w:rsidRPr="00C131AE" w:rsidRDefault="00B678B5">
            <w:pPr>
              <w:pStyle w:val="TableSubheading"/>
              <w:rPr>
                <w:szCs w:val="20"/>
              </w:rPr>
            </w:pPr>
            <w:r w:rsidRPr="00C131AE">
              <w:t>Instructional Support Domain</w:t>
            </w:r>
          </w:p>
        </w:tc>
        <w:tc>
          <w:tcPr>
            <w:tcW w:w="720" w:type="dxa"/>
          </w:tcPr>
          <w:p w14:paraId="4D999F82" w14:textId="77777777" w:rsidR="00B678B5" w:rsidRPr="00C131AE" w:rsidRDefault="00B678B5">
            <w:pPr>
              <w:pStyle w:val="TableTextCenteredDemi"/>
              <w:rPr>
                <w:rFonts w:eastAsia="Times New Roman"/>
              </w:rPr>
            </w:pPr>
            <w:r w:rsidRPr="00C131AE">
              <w:rPr>
                <w:rFonts w:eastAsia="Times New Roman"/>
              </w:rPr>
              <w:t>37</w:t>
            </w:r>
          </w:p>
        </w:tc>
        <w:tc>
          <w:tcPr>
            <w:tcW w:w="720" w:type="dxa"/>
          </w:tcPr>
          <w:p w14:paraId="19892AF3" w14:textId="77777777" w:rsidR="00B678B5" w:rsidRPr="00C131AE" w:rsidRDefault="00B678B5">
            <w:pPr>
              <w:pStyle w:val="TableTextCenteredDemi"/>
              <w:rPr>
                <w:rFonts w:eastAsia="Times New Roman"/>
              </w:rPr>
            </w:pPr>
            <w:r w:rsidRPr="00C131AE">
              <w:rPr>
                <w:rFonts w:eastAsia="Times New Roman"/>
              </w:rPr>
              <w:t>80</w:t>
            </w:r>
          </w:p>
        </w:tc>
        <w:tc>
          <w:tcPr>
            <w:tcW w:w="720" w:type="dxa"/>
          </w:tcPr>
          <w:p w14:paraId="3E417542" w14:textId="77777777" w:rsidR="00B678B5" w:rsidRPr="00C131AE" w:rsidRDefault="00B678B5">
            <w:pPr>
              <w:pStyle w:val="TableTextCenteredDemi"/>
              <w:rPr>
                <w:rFonts w:eastAsia="Times New Roman"/>
              </w:rPr>
            </w:pPr>
            <w:r w:rsidRPr="00C131AE">
              <w:rPr>
                <w:rFonts w:eastAsia="Times New Roman"/>
              </w:rPr>
              <w:t>58</w:t>
            </w:r>
          </w:p>
        </w:tc>
        <w:tc>
          <w:tcPr>
            <w:tcW w:w="720" w:type="dxa"/>
          </w:tcPr>
          <w:p w14:paraId="703C3BAA" w14:textId="77777777" w:rsidR="00B678B5" w:rsidRPr="00C131AE" w:rsidRDefault="00B678B5">
            <w:pPr>
              <w:pStyle w:val="TableTextCenteredDemi"/>
              <w:rPr>
                <w:rFonts w:eastAsia="Times New Roman"/>
              </w:rPr>
            </w:pPr>
            <w:r w:rsidRPr="00C131AE">
              <w:rPr>
                <w:rFonts w:eastAsia="Times New Roman"/>
              </w:rPr>
              <w:t>34</w:t>
            </w:r>
          </w:p>
        </w:tc>
        <w:tc>
          <w:tcPr>
            <w:tcW w:w="720" w:type="dxa"/>
          </w:tcPr>
          <w:p w14:paraId="51C9EF07" w14:textId="77777777" w:rsidR="00B678B5" w:rsidRPr="00C131AE" w:rsidRDefault="00B678B5">
            <w:pPr>
              <w:pStyle w:val="TableTextCenteredDemi"/>
              <w:rPr>
                <w:rFonts w:eastAsia="Times New Roman"/>
              </w:rPr>
            </w:pPr>
            <w:r w:rsidRPr="00C131AE">
              <w:rPr>
                <w:rFonts w:eastAsia="Times New Roman"/>
              </w:rPr>
              <w:t>36</w:t>
            </w:r>
          </w:p>
        </w:tc>
        <w:tc>
          <w:tcPr>
            <w:tcW w:w="720" w:type="dxa"/>
          </w:tcPr>
          <w:p w14:paraId="4AE3CC90" w14:textId="77777777" w:rsidR="00B678B5" w:rsidRPr="00C131AE" w:rsidRDefault="00B678B5">
            <w:pPr>
              <w:pStyle w:val="TableTextCenteredDemi"/>
              <w:rPr>
                <w:rFonts w:eastAsia="Times New Roman"/>
              </w:rPr>
            </w:pPr>
            <w:r w:rsidRPr="00C131AE">
              <w:rPr>
                <w:rFonts w:eastAsia="Times New Roman"/>
              </w:rPr>
              <w:t>13</w:t>
            </w:r>
          </w:p>
        </w:tc>
        <w:tc>
          <w:tcPr>
            <w:tcW w:w="720" w:type="dxa"/>
          </w:tcPr>
          <w:p w14:paraId="202B952B" w14:textId="77777777" w:rsidR="00B678B5" w:rsidRPr="00C131AE" w:rsidRDefault="00B678B5">
            <w:pPr>
              <w:pStyle w:val="TableTextCenteredDemi"/>
              <w:rPr>
                <w:rFonts w:eastAsia="Times New Roman"/>
              </w:rPr>
            </w:pPr>
            <w:r w:rsidRPr="00C131AE">
              <w:rPr>
                <w:rFonts w:eastAsia="Times New Roman"/>
              </w:rPr>
              <w:t>9</w:t>
            </w:r>
          </w:p>
        </w:tc>
        <w:tc>
          <w:tcPr>
            <w:tcW w:w="533" w:type="dxa"/>
          </w:tcPr>
          <w:p w14:paraId="430658D4" w14:textId="77777777" w:rsidR="00B678B5" w:rsidRPr="00C131AE" w:rsidRDefault="00B678B5">
            <w:pPr>
              <w:pStyle w:val="TableTextCenteredDemi"/>
              <w:rPr>
                <w:rFonts w:eastAsia="Times New Roman"/>
              </w:rPr>
            </w:pPr>
            <w:r w:rsidRPr="00C131AE">
              <w:rPr>
                <w:rFonts w:eastAsia="Times New Roman"/>
              </w:rPr>
              <w:t>267</w:t>
            </w:r>
          </w:p>
        </w:tc>
        <w:tc>
          <w:tcPr>
            <w:tcW w:w="907" w:type="dxa"/>
          </w:tcPr>
          <w:p w14:paraId="658A9E6C" w14:textId="77777777" w:rsidR="00B678B5" w:rsidRPr="00C131AE" w:rsidRDefault="00B678B5">
            <w:pPr>
              <w:pStyle w:val="TableTextCenteredDemi"/>
              <w:rPr>
                <w:rFonts w:eastAsia="Times New Roman"/>
              </w:rPr>
            </w:pPr>
            <w:r w:rsidRPr="00C131AE">
              <w:rPr>
                <w:rFonts w:eastAsia="Times New Roman"/>
              </w:rPr>
              <w:t>3.1</w:t>
            </w:r>
          </w:p>
        </w:tc>
      </w:tr>
      <w:tr w:rsidR="00B678B5" w:rsidRPr="00E359BF" w14:paraId="5404B3AC" w14:textId="77777777" w:rsidTr="00D679F6">
        <w:trPr>
          <w:cnfStyle w:val="000000100000" w:firstRow="0" w:lastRow="0" w:firstColumn="0" w:lastColumn="0" w:oddVBand="0" w:evenVBand="0" w:oddHBand="1" w:evenHBand="0" w:firstRowFirstColumn="0" w:firstRowLastColumn="0" w:lastRowFirstColumn="0" w:lastRowLastColumn="0"/>
        </w:trPr>
        <w:tc>
          <w:tcPr>
            <w:tcW w:w="3238" w:type="dxa"/>
          </w:tcPr>
          <w:p w14:paraId="373174C8"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Concept Development (</w:t>
            </w:r>
            <w:r>
              <w:rPr>
                <w:rFonts w:ascii="Franklin Gothic Book" w:hAnsi="Franklin Gothic Book"/>
              </w:rPr>
              <w:t>P</w:t>
            </w:r>
            <w:r w:rsidRPr="00EB088B">
              <w:rPr>
                <w:rFonts w:ascii="Franklin Gothic Book" w:hAnsi="Franklin Gothic Book"/>
              </w:rPr>
              <w:t>K-3 only)</w:t>
            </w:r>
          </w:p>
        </w:tc>
        <w:tc>
          <w:tcPr>
            <w:tcW w:w="720" w:type="dxa"/>
          </w:tcPr>
          <w:p w14:paraId="7F59EA5A" w14:textId="77777777" w:rsidR="00B678B5" w:rsidRPr="00E359BF" w:rsidRDefault="00B678B5">
            <w:pPr>
              <w:pStyle w:val="TableTextCentered"/>
              <w:rPr>
                <w:rFonts w:eastAsia="Times New Roman"/>
              </w:rPr>
            </w:pPr>
            <w:r>
              <w:rPr>
                <w:rFonts w:eastAsia="Times New Roman"/>
              </w:rPr>
              <w:t>11</w:t>
            </w:r>
          </w:p>
        </w:tc>
        <w:tc>
          <w:tcPr>
            <w:tcW w:w="720" w:type="dxa"/>
          </w:tcPr>
          <w:p w14:paraId="37808CC3" w14:textId="77777777" w:rsidR="00B678B5" w:rsidRPr="00E359BF" w:rsidRDefault="00B678B5">
            <w:pPr>
              <w:pStyle w:val="TableTextCentered"/>
              <w:rPr>
                <w:rFonts w:eastAsia="Times New Roman"/>
              </w:rPr>
            </w:pPr>
            <w:r>
              <w:rPr>
                <w:rFonts w:eastAsia="Times New Roman"/>
              </w:rPr>
              <w:t>20</w:t>
            </w:r>
          </w:p>
        </w:tc>
        <w:tc>
          <w:tcPr>
            <w:tcW w:w="720" w:type="dxa"/>
          </w:tcPr>
          <w:p w14:paraId="59A4D74D" w14:textId="77777777" w:rsidR="00B678B5" w:rsidRPr="00E359BF" w:rsidRDefault="00B678B5">
            <w:pPr>
              <w:pStyle w:val="TableTextCentered"/>
              <w:rPr>
                <w:rFonts w:eastAsia="Times New Roman"/>
              </w:rPr>
            </w:pPr>
            <w:r>
              <w:rPr>
                <w:rFonts w:eastAsia="Times New Roman"/>
              </w:rPr>
              <w:t>10</w:t>
            </w:r>
          </w:p>
        </w:tc>
        <w:tc>
          <w:tcPr>
            <w:tcW w:w="720" w:type="dxa"/>
          </w:tcPr>
          <w:p w14:paraId="23E4833C" w14:textId="77777777" w:rsidR="00B678B5" w:rsidRPr="00E359BF" w:rsidRDefault="00B678B5">
            <w:pPr>
              <w:pStyle w:val="TableTextCentered"/>
              <w:rPr>
                <w:rFonts w:eastAsia="Times New Roman"/>
              </w:rPr>
            </w:pPr>
            <w:r>
              <w:rPr>
                <w:rFonts w:eastAsia="Times New Roman"/>
              </w:rPr>
              <w:t>7</w:t>
            </w:r>
          </w:p>
        </w:tc>
        <w:tc>
          <w:tcPr>
            <w:tcW w:w="720" w:type="dxa"/>
          </w:tcPr>
          <w:p w14:paraId="108B5B9B" w14:textId="77777777" w:rsidR="00B678B5" w:rsidRPr="00E359BF" w:rsidRDefault="00B678B5">
            <w:pPr>
              <w:pStyle w:val="TableTextCentered"/>
              <w:rPr>
                <w:rFonts w:eastAsia="Times New Roman"/>
              </w:rPr>
            </w:pPr>
            <w:r>
              <w:rPr>
                <w:rFonts w:eastAsia="Times New Roman"/>
              </w:rPr>
              <w:t>4</w:t>
            </w:r>
          </w:p>
        </w:tc>
        <w:tc>
          <w:tcPr>
            <w:tcW w:w="720" w:type="dxa"/>
          </w:tcPr>
          <w:p w14:paraId="4D4615BC" w14:textId="77777777" w:rsidR="00B678B5" w:rsidRPr="00E359BF" w:rsidRDefault="00B678B5">
            <w:pPr>
              <w:pStyle w:val="TableTextCentered"/>
              <w:rPr>
                <w:rFonts w:eastAsia="Times New Roman"/>
              </w:rPr>
            </w:pPr>
            <w:r>
              <w:rPr>
                <w:rFonts w:eastAsia="Times New Roman"/>
              </w:rPr>
              <w:t>1</w:t>
            </w:r>
          </w:p>
        </w:tc>
        <w:tc>
          <w:tcPr>
            <w:tcW w:w="720" w:type="dxa"/>
          </w:tcPr>
          <w:p w14:paraId="14BCB1A1" w14:textId="77777777" w:rsidR="00B678B5" w:rsidRPr="00E359BF" w:rsidRDefault="00B678B5">
            <w:pPr>
              <w:pStyle w:val="TableTextCentered"/>
              <w:rPr>
                <w:rFonts w:eastAsia="Times New Roman"/>
              </w:rPr>
            </w:pPr>
            <w:r>
              <w:rPr>
                <w:rFonts w:eastAsia="Times New Roman"/>
              </w:rPr>
              <w:t>0</w:t>
            </w:r>
          </w:p>
        </w:tc>
        <w:tc>
          <w:tcPr>
            <w:tcW w:w="533" w:type="dxa"/>
          </w:tcPr>
          <w:p w14:paraId="25F72948" w14:textId="77777777" w:rsidR="00B678B5" w:rsidRPr="00E359BF" w:rsidRDefault="00B678B5">
            <w:pPr>
              <w:pStyle w:val="TableTextCentered"/>
              <w:rPr>
                <w:rFonts w:eastAsia="Times New Roman"/>
              </w:rPr>
            </w:pPr>
            <w:r>
              <w:rPr>
                <w:rFonts w:eastAsia="Times New Roman"/>
              </w:rPr>
              <w:t>53</w:t>
            </w:r>
          </w:p>
        </w:tc>
        <w:tc>
          <w:tcPr>
            <w:tcW w:w="907" w:type="dxa"/>
          </w:tcPr>
          <w:p w14:paraId="15F7870D" w14:textId="77777777" w:rsidR="00B678B5" w:rsidRPr="00E359BF" w:rsidRDefault="00B678B5">
            <w:pPr>
              <w:pStyle w:val="TableTextCentered"/>
              <w:rPr>
                <w:rFonts w:eastAsia="Times New Roman"/>
              </w:rPr>
            </w:pPr>
            <w:r>
              <w:rPr>
                <w:rFonts w:eastAsia="Times New Roman"/>
              </w:rPr>
              <w:t>2.5</w:t>
            </w:r>
          </w:p>
        </w:tc>
      </w:tr>
      <w:tr w:rsidR="00B678B5" w:rsidRPr="00E359BF" w14:paraId="04E4008C" w14:textId="77777777" w:rsidTr="00D679F6">
        <w:trPr>
          <w:trHeight w:val="70"/>
        </w:trPr>
        <w:tc>
          <w:tcPr>
            <w:tcW w:w="3238" w:type="dxa"/>
          </w:tcPr>
          <w:p w14:paraId="536D9EEE" w14:textId="77777777" w:rsidR="00B678B5" w:rsidRPr="00EB088B" w:rsidRDefault="00B678B5">
            <w:pPr>
              <w:pStyle w:val="TableText"/>
              <w:ind w:left="204"/>
              <w:rPr>
                <w:rFonts w:ascii="Franklin Gothic Book" w:hAnsi="Franklin Gothic Book"/>
              </w:rPr>
            </w:pPr>
            <w:r w:rsidRPr="00EB088B">
              <w:rPr>
                <w:rFonts w:ascii="Franklin Gothic Book" w:hAnsi="Franklin Gothic Book"/>
              </w:rPr>
              <w:t>Content Understanding (UE only)</w:t>
            </w:r>
          </w:p>
        </w:tc>
        <w:tc>
          <w:tcPr>
            <w:tcW w:w="720" w:type="dxa"/>
          </w:tcPr>
          <w:p w14:paraId="2F76FB4F" w14:textId="77777777" w:rsidR="00B678B5" w:rsidRPr="00E359BF" w:rsidRDefault="00B678B5">
            <w:pPr>
              <w:pStyle w:val="TableTextCentered"/>
              <w:rPr>
                <w:rFonts w:eastAsia="Times New Roman"/>
              </w:rPr>
            </w:pPr>
            <w:r>
              <w:rPr>
                <w:rFonts w:eastAsia="Times New Roman"/>
              </w:rPr>
              <w:t>0</w:t>
            </w:r>
          </w:p>
        </w:tc>
        <w:tc>
          <w:tcPr>
            <w:tcW w:w="720" w:type="dxa"/>
          </w:tcPr>
          <w:p w14:paraId="0293E04B" w14:textId="77777777" w:rsidR="00B678B5" w:rsidRPr="00E359BF" w:rsidRDefault="00B678B5">
            <w:pPr>
              <w:pStyle w:val="TableTextCentered"/>
              <w:rPr>
                <w:rFonts w:eastAsia="Times New Roman"/>
              </w:rPr>
            </w:pPr>
            <w:r>
              <w:rPr>
                <w:rFonts w:eastAsia="Times New Roman"/>
              </w:rPr>
              <w:t>2</w:t>
            </w:r>
          </w:p>
        </w:tc>
        <w:tc>
          <w:tcPr>
            <w:tcW w:w="720" w:type="dxa"/>
          </w:tcPr>
          <w:p w14:paraId="7E104182" w14:textId="77777777" w:rsidR="00B678B5" w:rsidRPr="00E359BF" w:rsidRDefault="00B678B5">
            <w:pPr>
              <w:pStyle w:val="TableTextCentered"/>
              <w:rPr>
                <w:rFonts w:eastAsia="Times New Roman"/>
              </w:rPr>
            </w:pPr>
            <w:r>
              <w:rPr>
                <w:rFonts w:eastAsia="Times New Roman"/>
              </w:rPr>
              <w:t>6</w:t>
            </w:r>
          </w:p>
        </w:tc>
        <w:tc>
          <w:tcPr>
            <w:tcW w:w="720" w:type="dxa"/>
          </w:tcPr>
          <w:p w14:paraId="50AE1522" w14:textId="77777777" w:rsidR="00B678B5" w:rsidRPr="00E359BF" w:rsidRDefault="00B678B5">
            <w:pPr>
              <w:pStyle w:val="TableTextCentered"/>
              <w:rPr>
                <w:rFonts w:eastAsia="Times New Roman"/>
              </w:rPr>
            </w:pPr>
            <w:r>
              <w:rPr>
                <w:rFonts w:eastAsia="Times New Roman"/>
              </w:rPr>
              <w:t>3</w:t>
            </w:r>
          </w:p>
        </w:tc>
        <w:tc>
          <w:tcPr>
            <w:tcW w:w="720" w:type="dxa"/>
          </w:tcPr>
          <w:p w14:paraId="416DA254" w14:textId="77777777" w:rsidR="00B678B5" w:rsidRPr="00E359BF" w:rsidRDefault="00B678B5">
            <w:pPr>
              <w:pStyle w:val="TableTextCentered"/>
              <w:rPr>
                <w:rFonts w:eastAsia="Times New Roman"/>
              </w:rPr>
            </w:pPr>
            <w:r>
              <w:rPr>
                <w:rFonts w:eastAsia="Times New Roman"/>
              </w:rPr>
              <w:t>7</w:t>
            </w:r>
          </w:p>
        </w:tc>
        <w:tc>
          <w:tcPr>
            <w:tcW w:w="720" w:type="dxa"/>
          </w:tcPr>
          <w:p w14:paraId="25F9365A" w14:textId="77777777" w:rsidR="00B678B5" w:rsidRPr="00E359BF" w:rsidRDefault="00B678B5">
            <w:pPr>
              <w:pStyle w:val="TableTextCentered"/>
              <w:rPr>
                <w:rFonts w:eastAsia="Times New Roman"/>
              </w:rPr>
            </w:pPr>
            <w:r>
              <w:rPr>
                <w:rFonts w:eastAsia="Times New Roman"/>
              </w:rPr>
              <w:t>5</w:t>
            </w:r>
          </w:p>
        </w:tc>
        <w:tc>
          <w:tcPr>
            <w:tcW w:w="720" w:type="dxa"/>
          </w:tcPr>
          <w:p w14:paraId="64A6D942" w14:textId="77777777" w:rsidR="00B678B5" w:rsidRPr="00E359BF" w:rsidRDefault="00B678B5">
            <w:pPr>
              <w:pStyle w:val="TableTextCentered"/>
              <w:rPr>
                <w:rFonts w:eastAsia="Times New Roman"/>
              </w:rPr>
            </w:pPr>
            <w:r>
              <w:rPr>
                <w:rFonts w:eastAsia="Times New Roman"/>
              </w:rPr>
              <w:t>4</w:t>
            </w:r>
          </w:p>
        </w:tc>
        <w:tc>
          <w:tcPr>
            <w:tcW w:w="533" w:type="dxa"/>
          </w:tcPr>
          <w:p w14:paraId="6FE9AC83" w14:textId="77777777" w:rsidR="00B678B5" w:rsidRPr="00E359BF" w:rsidRDefault="00B678B5">
            <w:pPr>
              <w:pStyle w:val="TableTextCentered"/>
              <w:rPr>
                <w:rFonts w:eastAsia="Times New Roman"/>
              </w:rPr>
            </w:pPr>
            <w:r>
              <w:rPr>
                <w:rFonts w:eastAsia="Times New Roman"/>
              </w:rPr>
              <w:t>27</w:t>
            </w:r>
          </w:p>
        </w:tc>
        <w:tc>
          <w:tcPr>
            <w:tcW w:w="907" w:type="dxa"/>
          </w:tcPr>
          <w:p w14:paraId="728C213C" w14:textId="77777777" w:rsidR="00B678B5" w:rsidRPr="00E359BF" w:rsidRDefault="00B678B5">
            <w:pPr>
              <w:pStyle w:val="TableTextCentered"/>
              <w:rPr>
                <w:rFonts w:eastAsia="Times New Roman"/>
              </w:rPr>
            </w:pPr>
            <w:r>
              <w:rPr>
                <w:rFonts w:eastAsia="Times New Roman"/>
              </w:rPr>
              <w:t>4.7</w:t>
            </w:r>
          </w:p>
        </w:tc>
      </w:tr>
      <w:tr w:rsidR="00B678B5" w:rsidRPr="00E359BF" w14:paraId="65A154C7" w14:textId="77777777" w:rsidTr="00D679F6">
        <w:trPr>
          <w:cnfStyle w:val="000000100000" w:firstRow="0" w:lastRow="0" w:firstColumn="0" w:lastColumn="0" w:oddVBand="0" w:evenVBand="0" w:oddHBand="1" w:evenHBand="0" w:firstRowFirstColumn="0" w:firstRowLastColumn="0" w:lastRowFirstColumn="0" w:lastRowLastColumn="0"/>
          <w:trHeight w:val="70"/>
        </w:trPr>
        <w:tc>
          <w:tcPr>
            <w:tcW w:w="3238" w:type="dxa"/>
          </w:tcPr>
          <w:p w14:paraId="39F5B72D" w14:textId="77777777" w:rsidR="00B678B5" w:rsidRPr="00EB088B" w:rsidRDefault="00B678B5">
            <w:pPr>
              <w:pStyle w:val="TableText"/>
              <w:ind w:left="204"/>
              <w:rPr>
                <w:rFonts w:ascii="Franklin Gothic Book" w:hAnsi="Franklin Gothic Book"/>
              </w:rPr>
            </w:pPr>
            <w:r w:rsidRPr="00EB088B">
              <w:rPr>
                <w:rFonts w:ascii="Franklin Gothic Book" w:hAnsi="Franklin Gothic Book"/>
              </w:rPr>
              <w:t>Analysis and Inquiry (UE only)</w:t>
            </w:r>
          </w:p>
        </w:tc>
        <w:tc>
          <w:tcPr>
            <w:tcW w:w="720" w:type="dxa"/>
          </w:tcPr>
          <w:p w14:paraId="22811BA8" w14:textId="77777777" w:rsidR="00B678B5" w:rsidRPr="00E359BF" w:rsidRDefault="00B678B5">
            <w:pPr>
              <w:pStyle w:val="TableTextCentered"/>
              <w:rPr>
                <w:rFonts w:eastAsia="Times New Roman"/>
              </w:rPr>
            </w:pPr>
            <w:r>
              <w:rPr>
                <w:rFonts w:eastAsia="Times New Roman"/>
              </w:rPr>
              <w:t>4</w:t>
            </w:r>
          </w:p>
        </w:tc>
        <w:tc>
          <w:tcPr>
            <w:tcW w:w="720" w:type="dxa"/>
          </w:tcPr>
          <w:p w14:paraId="4E0EBB7F" w14:textId="77777777" w:rsidR="00B678B5" w:rsidRPr="00E359BF" w:rsidRDefault="00B678B5">
            <w:pPr>
              <w:pStyle w:val="TableTextCentered"/>
              <w:rPr>
                <w:rFonts w:eastAsia="Times New Roman"/>
              </w:rPr>
            </w:pPr>
            <w:r>
              <w:rPr>
                <w:rFonts w:eastAsia="Times New Roman"/>
              </w:rPr>
              <w:t>8</w:t>
            </w:r>
          </w:p>
        </w:tc>
        <w:tc>
          <w:tcPr>
            <w:tcW w:w="720" w:type="dxa"/>
          </w:tcPr>
          <w:p w14:paraId="263BCB35" w14:textId="77777777" w:rsidR="00B678B5" w:rsidRPr="00E359BF" w:rsidRDefault="00B678B5">
            <w:pPr>
              <w:pStyle w:val="TableTextCentered"/>
              <w:rPr>
                <w:rFonts w:eastAsia="Times New Roman"/>
              </w:rPr>
            </w:pPr>
            <w:r>
              <w:rPr>
                <w:rFonts w:eastAsia="Times New Roman"/>
              </w:rPr>
              <w:t>7</w:t>
            </w:r>
          </w:p>
        </w:tc>
        <w:tc>
          <w:tcPr>
            <w:tcW w:w="720" w:type="dxa"/>
          </w:tcPr>
          <w:p w14:paraId="5EEF8273" w14:textId="77777777" w:rsidR="00B678B5" w:rsidRPr="00E359BF" w:rsidRDefault="00B678B5">
            <w:pPr>
              <w:pStyle w:val="TableTextCentered"/>
              <w:rPr>
                <w:rFonts w:eastAsia="Times New Roman"/>
              </w:rPr>
            </w:pPr>
            <w:r>
              <w:rPr>
                <w:rFonts w:eastAsia="Times New Roman"/>
              </w:rPr>
              <w:t>6</w:t>
            </w:r>
          </w:p>
        </w:tc>
        <w:tc>
          <w:tcPr>
            <w:tcW w:w="720" w:type="dxa"/>
          </w:tcPr>
          <w:p w14:paraId="256C5995" w14:textId="77777777" w:rsidR="00B678B5" w:rsidRPr="00E359BF" w:rsidRDefault="00B678B5">
            <w:pPr>
              <w:pStyle w:val="TableTextCentered"/>
              <w:rPr>
                <w:rFonts w:eastAsia="Times New Roman"/>
              </w:rPr>
            </w:pPr>
            <w:r>
              <w:rPr>
                <w:rFonts w:eastAsia="Times New Roman"/>
              </w:rPr>
              <w:t>2</w:t>
            </w:r>
          </w:p>
        </w:tc>
        <w:tc>
          <w:tcPr>
            <w:tcW w:w="720" w:type="dxa"/>
          </w:tcPr>
          <w:p w14:paraId="48B580DF" w14:textId="77777777" w:rsidR="00B678B5" w:rsidRPr="00E359BF" w:rsidRDefault="00B678B5">
            <w:pPr>
              <w:pStyle w:val="TableTextCentered"/>
              <w:rPr>
                <w:rFonts w:eastAsia="Times New Roman"/>
              </w:rPr>
            </w:pPr>
            <w:r>
              <w:rPr>
                <w:rFonts w:eastAsia="Times New Roman"/>
              </w:rPr>
              <w:t>0</w:t>
            </w:r>
          </w:p>
        </w:tc>
        <w:tc>
          <w:tcPr>
            <w:tcW w:w="720" w:type="dxa"/>
          </w:tcPr>
          <w:p w14:paraId="761DB962" w14:textId="77777777" w:rsidR="00B678B5" w:rsidRPr="00E359BF" w:rsidRDefault="00B678B5">
            <w:pPr>
              <w:pStyle w:val="TableTextCentered"/>
              <w:rPr>
                <w:rFonts w:eastAsia="Times New Roman"/>
              </w:rPr>
            </w:pPr>
            <w:r>
              <w:rPr>
                <w:rFonts w:eastAsia="Times New Roman"/>
              </w:rPr>
              <w:t>0</w:t>
            </w:r>
          </w:p>
        </w:tc>
        <w:tc>
          <w:tcPr>
            <w:tcW w:w="533" w:type="dxa"/>
          </w:tcPr>
          <w:p w14:paraId="6D5DE4A7" w14:textId="77777777" w:rsidR="00B678B5" w:rsidRPr="00E359BF" w:rsidRDefault="00B678B5">
            <w:pPr>
              <w:pStyle w:val="TableTextCentered"/>
              <w:rPr>
                <w:rFonts w:eastAsia="Times New Roman"/>
              </w:rPr>
            </w:pPr>
            <w:r>
              <w:rPr>
                <w:rFonts w:eastAsia="Times New Roman"/>
              </w:rPr>
              <w:t>27</w:t>
            </w:r>
          </w:p>
        </w:tc>
        <w:tc>
          <w:tcPr>
            <w:tcW w:w="907" w:type="dxa"/>
          </w:tcPr>
          <w:p w14:paraId="4619C4D7" w14:textId="77777777" w:rsidR="00B678B5" w:rsidRPr="00E359BF" w:rsidRDefault="00B678B5">
            <w:pPr>
              <w:pStyle w:val="TableTextCentered"/>
              <w:rPr>
                <w:rFonts w:eastAsia="Times New Roman"/>
              </w:rPr>
            </w:pPr>
            <w:r>
              <w:rPr>
                <w:rFonts w:eastAsia="Times New Roman"/>
              </w:rPr>
              <w:t>2.8</w:t>
            </w:r>
          </w:p>
        </w:tc>
      </w:tr>
      <w:tr w:rsidR="00B678B5" w:rsidRPr="00E359BF" w14:paraId="0D9B0FF3" w14:textId="77777777" w:rsidTr="00D679F6">
        <w:trPr>
          <w:trHeight w:val="70"/>
        </w:trPr>
        <w:tc>
          <w:tcPr>
            <w:tcW w:w="3238" w:type="dxa"/>
          </w:tcPr>
          <w:p w14:paraId="793E4CFA"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Quality of Feedback</w:t>
            </w:r>
          </w:p>
        </w:tc>
        <w:tc>
          <w:tcPr>
            <w:tcW w:w="720" w:type="dxa"/>
          </w:tcPr>
          <w:p w14:paraId="661C083B" w14:textId="77777777" w:rsidR="00B678B5" w:rsidRPr="00E359BF" w:rsidRDefault="00B678B5">
            <w:pPr>
              <w:pStyle w:val="TableTextCentered"/>
              <w:rPr>
                <w:rFonts w:eastAsia="Times New Roman"/>
              </w:rPr>
            </w:pPr>
            <w:r>
              <w:rPr>
                <w:rFonts w:eastAsia="Times New Roman"/>
              </w:rPr>
              <w:t>11</w:t>
            </w:r>
          </w:p>
        </w:tc>
        <w:tc>
          <w:tcPr>
            <w:tcW w:w="720" w:type="dxa"/>
          </w:tcPr>
          <w:p w14:paraId="5C74B18C" w14:textId="77777777" w:rsidR="00B678B5" w:rsidRPr="00E359BF" w:rsidRDefault="00B678B5">
            <w:pPr>
              <w:pStyle w:val="TableTextCentered"/>
              <w:rPr>
                <w:rFonts w:eastAsia="Times New Roman"/>
              </w:rPr>
            </w:pPr>
            <w:r>
              <w:rPr>
                <w:rFonts w:eastAsia="Times New Roman"/>
              </w:rPr>
              <w:t>32</w:t>
            </w:r>
          </w:p>
        </w:tc>
        <w:tc>
          <w:tcPr>
            <w:tcW w:w="720" w:type="dxa"/>
          </w:tcPr>
          <w:p w14:paraId="03CC3A34" w14:textId="77777777" w:rsidR="00B678B5" w:rsidRPr="00E359BF" w:rsidRDefault="00B678B5">
            <w:pPr>
              <w:pStyle w:val="TableTextCentered"/>
              <w:rPr>
                <w:rFonts w:eastAsia="Times New Roman"/>
              </w:rPr>
            </w:pPr>
            <w:r>
              <w:rPr>
                <w:rFonts w:eastAsia="Times New Roman"/>
              </w:rPr>
              <w:t>15</w:t>
            </w:r>
          </w:p>
        </w:tc>
        <w:tc>
          <w:tcPr>
            <w:tcW w:w="720" w:type="dxa"/>
          </w:tcPr>
          <w:p w14:paraId="4CE19769" w14:textId="77777777" w:rsidR="00B678B5" w:rsidRPr="00E359BF" w:rsidRDefault="00B678B5">
            <w:pPr>
              <w:pStyle w:val="TableTextCentered"/>
              <w:rPr>
                <w:rFonts w:eastAsia="Times New Roman"/>
              </w:rPr>
            </w:pPr>
            <w:r>
              <w:rPr>
                <w:rFonts w:eastAsia="Times New Roman"/>
              </w:rPr>
              <w:t>9</w:t>
            </w:r>
          </w:p>
        </w:tc>
        <w:tc>
          <w:tcPr>
            <w:tcW w:w="720" w:type="dxa"/>
          </w:tcPr>
          <w:p w14:paraId="057A6BAB" w14:textId="77777777" w:rsidR="00B678B5" w:rsidRPr="00E359BF" w:rsidRDefault="00B678B5">
            <w:pPr>
              <w:pStyle w:val="TableTextCentered"/>
              <w:rPr>
                <w:rFonts w:eastAsia="Times New Roman"/>
              </w:rPr>
            </w:pPr>
            <w:r>
              <w:rPr>
                <w:rFonts w:eastAsia="Times New Roman"/>
              </w:rPr>
              <w:t>7</w:t>
            </w:r>
          </w:p>
        </w:tc>
        <w:tc>
          <w:tcPr>
            <w:tcW w:w="720" w:type="dxa"/>
          </w:tcPr>
          <w:p w14:paraId="44812E67" w14:textId="77777777" w:rsidR="00B678B5" w:rsidRPr="00E359BF" w:rsidRDefault="00B678B5">
            <w:pPr>
              <w:pStyle w:val="TableTextCentered"/>
              <w:rPr>
                <w:rFonts w:eastAsia="Times New Roman"/>
              </w:rPr>
            </w:pPr>
            <w:r>
              <w:rPr>
                <w:rFonts w:eastAsia="Times New Roman"/>
              </w:rPr>
              <w:t>1</w:t>
            </w:r>
          </w:p>
        </w:tc>
        <w:tc>
          <w:tcPr>
            <w:tcW w:w="720" w:type="dxa"/>
          </w:tcPr>
          <w:p w14:paraId="2ADDF07F" w14:textId="77777777" w:rsidR="00B678B5" w:rsidRPr="00E359BF" w:rsidRDefault="00B678B5">
            <w:pPr>
              <w:pStyle w:val="TableTextCentered"/>
              <w:rPr>
                <w:rFonts w:eastAsia="Times New Roman"/>
              </w:rPr>
            </w:pPr>
            <w:r>
              <w:rPr>
                <w:rFonts w:eastAsia="Times New Roman"/>
              </w:rPr>
              <w:t>5</w:t>
            </w:r>
          </w:p>
        </w:tc>
        <w:tc>
          <w:tcPr>
            <w:tcW w:w="533" w:type="dxa"/>
          </w:tcPr>
          <w:p w14:paraId="1F601221" w14:textId="77777777" w:rsidR="00B678B5" w:rsidRPr="00E359BF" w:rsidRDefault="00B678B5">
            <w:pPr>
              <w:pStyle w:val="TableTextCentered"/>
              <w:rPr>
                <w:rFonts w:eastAsia="Times New Roman"/>
              </w:rPr>
            </w:pPr>
            <w:r>
              <w:rPr>
                <w:rFonts w:eastAsia="Times New Roman"/>
              </w:rPr>
              <w:t>80</w:t>
            </w:r>
          </w:p>
        </w:tc>
        <w:tc>
          <w:tcPr>
            <w:tcW w:w="907" w:type="dxa"/>
          </w:tcPr>
          <w:p w14:paraId="43A4353C" w14:textId="77777777" w:rsidR="00B678B5" w:rsidRPr="00E359BF" w:rsidRDefault="00B678B5">
            <w:pPr>
              <w:pStyle w:val="TableTextCentered"/>
              <w:rPr>
                <w:rFonts w:eastAsia="Times New Roman"/>
              </w:rPr>
            </w:pPr>
            <w:r>
              <w:rPr>
                <w:rFonts w:eastAsia="Times New Roman"/>
              </w:rPr>
              <w:t>2.9</w:t>
            </w:r>
          </w:p>
        </w:tc>
      </w:tr>
      <w:tr w:rsidR="00B678B5" w:rsidRPr="00E359BF" w14:paraId="471F732E" w14:textId="77777777" w:rsidTr="00D679F6">
        <w:trPr>
          <w:cnfStyle w:val="000000100000" w:firstRow="0" w:lastRow="0" w:firstColumn="0" w:lastColumn="0" w:oddVBand="0" w:evenVBand="0" w:oddHBand="1" w:evenHBand="0" w:firstRowFirstColumn="0" w:firstRowLastColumn="0" w:lastRowFirstColumn="0" w:lastRowLastColumn="0"/>
        </w:trPr>
        <w:tc>
          <w:tcPr>
            <w:tcW w:w="3238" w:type="dxa"/>
          </w:tcPr>
          <w:p w14:paraId="10BF85E4" w14:textId="77777777" w:rsidR="00B678B5" w:rsidRPr="00EB088B" w:rsidRDefault="00B678B5">
            <w:pPr>
              <w:pStyle w:val="TableText"/>
              <w:ind w:left="204"/>
              <w:rPr>
                <w:rFonts w:ascii="Franklin Gothic Book" w:hAnsi="Franklin Gothic Book"/>
                <w:b/>
                <w:bCs/>
              </w:rPr>
            </w:pPr>
            <w:r w:rsidRPr="00EB088B">
              <w:rPr>
                <w:rFonts w:ascii="Franklin Gothic Book" w:hAnsi="Franklin Gothic Book"/>
              </w:rPr>
              <w:t>Language Modeling (</w:t>
            </w:r>
            <w:r>
              <w:rPr>
                <w:rFonts w:ascii="Franklin Gothic Book" w:hAnsi="Franklin Gothic Book"/>
              </w:rPr>
              <w:t>P</w:t>
            </w:r>
            <w:r w:rsidRPr="00EB088B">
              <w:rPr>
                <w:rFonts w:ascii="Franklin Gothic Book" w:hAnsi="Franklin Gothic Book"/>
              </w:rPr>
              <w:t>K-3 only)</w:t>
            </w:r>
          </w:p>
        </w:tc>
        <w:tc>
          <w:tcPr>
            <w:tcW w:w="720" w:type="dxa"/>
          </w:tcPr>
          <w:p w14:paraId="1E80408A" w14:textId="77777777" w:rsidR="00B678B5" w:rsidRPr="00E359BF" w:rsidRDefault="00B678B5">
            <w:pPr>
              <w:pStyle w:val="TableTextCentered"/>
              <w:rPr>
                <w:rFonts w:eastAsia="Times New Roman"/>
              </w:rPr>
            </w:pPr>
            <w:r>
              <w:rPr>
                <w:rFonts w:eastAsia="Times New Roman"/>
              </w:rPr>
              <w:t>7</w:t>
            </w:r>
          </w:p>
        </w:tc>
        <w:tc>
          <w:tcPr>
            <w:tcW w:w="720" w:type="dxa"/>
          </w:tcPr>
          <w:p w14:paraId="3938B743" w14:textId="77777777" w:rsidR="00B678B5" w:rsidRPr="00E359BF" w:rsidRDefault="00B678B5">
            <w:pPr>
              <w:pStyle w:val="TableTextCentered"/>
              <w:rPr>
                <w:rFonts w:eastAsia="Times New Roman"/>
              </w:rPr>
            </w:pPr>
            <w:r>
              <w:rPr>
                <w:rFonts w:eastAsia="Times New Roman"/>
              </w:rPr>
              <w:t>14</w:t>
            </w:r>
          </w:p>
        </w:tc>
        <w:tc>
          <w:tcPr>
            <w:tcW w:w="720" w:type="dxa"/>
          </w:tcPr>
          <w:p w14:paraId="4FDB69F8" w14:textId="77777777" w:rsidR="00B678B5" w:rsidRPr="00E359BF" w:rsidRDefault="00B678B5">
            <w:pPr>
              <w:pStyle w:val="TableTextCentered"/>
              <w:rPr>
                <w:rFonts w:eastAsia="Times New Roman"/>
              </w:rPr>
            </w:pPr>
            <w:r>
              <w:rPr>
                <w:rFonts w:eastAsia="Times New Roman"/>
              </w:rPr>
              <w:t>14</w:t>
            </w:r>
          </w:p>
        </w:tc>
        <w:tc>
          <w:tcPr>
            <w:tcW w:w="720" w:type="dxa"/>
          </w:tcPr>
          <w:p w14:paraId="2F7D26C3" w14:textId="77777777" w:rsidR="00B678B5" w:rsidRPr="00E359BF" w:rsidRDefault="00B678B5">
            <w:pPr>
              <w:pStyle w:val="TableTextCentered"/>
              <w:rPr>
                <w:rFonts w:eastAsia="Times New Roman"/>
              </w:rPr>
            </w:pPr>
            <w:r>
              <w:rPr>
                <w:rFonts w:eastAsia="Times New Roman"/>
              </w:rPr>
              <w:t>4</w:t>
            </w:r>
          </w:p>
        </w:tc>
        <w:tc>
          <w:tcPr>
            <w:tcW w:w="720" w:type="dxa"/>
          </w:tcPr>
          <w:p w14:paraId="6F44CE3E" w14:textId="77777777" w:rsidR="00B678B5" w:rsidRPr="00E359BF" w:rsidRDefault="00B678B5">
            <w:pPr>
              <w:pStyle w:val="TableTextCentered"/>
              <w:rPr>
                <w:rFonts w:eastAsia="Times New Roman"/>
              </w:rPr>
            </w:pPr>
            <w:r>
              <w:rPr>
                <w:rFonts w:eastAsia="Times New Roman"/>
              </w:rPr>
              <w:t>12</w:t>
            </w:r>
          </w:p>
        </w:tc>
        <w:tc>
          <w:tcPr>
            <w:tcW w:w="720" w:type="dxa"/>
          </w:tcPr>
          <w:p w14:paraId="3DA924B3" w14:textId="77777777" w:rsidR="00B678B5" w:rsidRPr="00E359BF" w:rsidRDefault="00B678B5">
            <w:pPr>
              <w:pStyle w:val="TableTextCentered"/>
              <w:rPr>
                <w:rFonts w:eastAsia="Times New Roman"/>
              </w:rPr>
            </w:pPr>
            <w:r>
              <w:rPr>
                <w:rFonts w:eastAsia="Times New Roman"/>
              </w:rPr>
              <w:t>2</w:t>
            </w:r>
          </w:p>
        </w:tc>
        <w:tc>
          <w:tcPr>
            <w:tcW w:w="720" w:type="dxa"/>
          </w:tcPr>
          <w:p w14:paraId="1CF1AA64" w14:textId="77777777" w:rsidR="00B678B5" w:rsidRPr="00E359BF" w:rsidRDefault="00B678B5">
            <w:pPr>
              <w:pStyle w:val="TableTextCentered"/>
              <w:rPr>
                <w:rFonts w:eastAsia="Times New Roman"/>
              </w:rPr>
            </w:pPr>
            <w:r>
              <w:rPr>
                <w:rFonts w:eastAsia="Times New Roman"/>
              </w:rPr>
              <w:t>0</w:t>
            </w:r>
          </w:p>
        </w:tc>
        <w:tc>
          <w:tcPr>
            <w:tcW w:w="533" w:type="dxa"/>
          </w:tcPr>
          <w:p w14:paraId="7E227D1D" w14:textId="77777777" w:rsidR="00B678B5" w:rsidRPr="00E359BF" w:rsidRDefault="00B678B5">
            <w:pPr>
              <w:pStyle w:val="TableTextCentered"/>
              <w:rPr>
                <w:rFonts w:eastAsia="Times New Roman"/>
              </w:rPr>
            </w:pPr>
            <w:r>
              <w:rPr>
                <w:rFonts w:eastAsia="Times New Roman"/>
              </w:rPr>
              <w:t>53</w:t>
            </w:r>
          </w:p>
        </w:tc>
        <w:tc>
          <w:tcPr>
            <w:tcW w:w="907" w:type="dxa"/>
          </w:tcPr>
          <w:p w14:paraId="0C26C9FC" w14:textId="77777777" w:rsidR="00B678B5" w:rsidRPr="00E359BF" w:rsidRDefault="00B678B5">
            <w:pPr>
              <w:pStyle w:val="TableTextCentered"/>
              <w:rPr>
                <w:rFonts w:eastAsia="Times New Roman"/>
              </w:rPr>
            </w:pPr>
            <w:r>
              <w:rPr>
                <w:rFonts w:eastAsia="Times New Roman"/>
              </w:rPr>
              <w:t>3.1</w:t>
            </w:r>
          </w:p>
        </w:tc>
      </w:tr>
      <w:tr w:rsidR="00B678B5" w:rsidRPr="00E359BF" w14:paraId="7786D6C7" w14:textId="77777777" w:rsidTr="00D679F6">
        <w:tc>
          <w:tcPr>
            <w:tcW w:w="3238" w:type="dxa"/>
          </w:tcPr>
          <w:p w14:paraId="1C92931D" w14:textId="77777777" w:rsidR="00B678B5" w:rsidRPr="00EB088B" w:rsidRDefault="00B678B5">
            <w:pPr>
              <w:pStyle w:val="TableText"/>
              <w:ind w:left="204"/>
              <w:rPr>
                <w:rFonts w:ascii="Franklin Gothic Book" w:hAnsi="Franklin Gothic Book"/>
              </w:rPr>
            </w:pPr>
            <w:r w:rsidRPr="00EB088B">
              <w:rPr>
                <w:rFonts w:ascii="Franklin Gothic Book" w:hAnsi="Franklin Gothic Book"/>
              </w:rPr>
              <w:t>Instructional Dialogue (UE only)</w:t>
            </w:r>
          </w:p>
        </w:tc>
        <w:tc>
          <w:tcPr>
            <w:tcW w:w="720" w:type="dxa"/>
          </w:tcPr>
          <w:p w14:paraId="3E228C7D" w14:textId="77777777" w:rsidR="00B678B5" w:rsidRPr="00E359BF" w:rsidRDefault="00B678B5">
            <w:pPr>
              <w:pStyle w:val="TableTextCentered"/>
              <w:rPr>
                <w:rFonts w:eastAsia="Times New Roman"/>
              </w:rPr>
            </w:pPr>
            <w:r>
              <w:rPr>
                <w:rFonts w:eastAsia="Times New Roman"/>
              </w:rPr>
              <w:t>4</w:t>
            </w:r>
          </w:p>
        </w:tc>
        <w:tc>
          <w:tcPr>
            <w:tcW w:w="720" w:type="dxa"/>
          </w:tcPr>
          <w:p w14:paraId="4E745FCA" w14:textId="77777777" w:rsidR="00B678B5" w:rsidRPr="00E359BF" w:rsidRDefault="00B678B5">
            <w:pPr>
              <w:pStyle w:val="TableTextCentered"/>
              <w:rPr>
                <w:rFonts w:eastAsia="Times New Roman"/>
              </w:rPr>
            </w:pPr>
            <w:r>
              <w:rPr>
                <w:rFonts w:eastAsia="Times New Roman"/>
              </w:rPr>
              <w:t>4</w:t>
            </w:r>
          </w:p>
        </w:tc>
        <w:tc>
          <w:tcPr>
            <w:tcW w:w="720" w:type="dxa"/>
          </w:tcPr>
          <w:p w14:paraId="618BB40E" w14:textId="77777777" w:rsidR="00B678B5" w:rsidRPr="00E359BF" w:rsidRDefault="00B678B5">
            <w:pPr>
              <w:pStyle w:val="TableTextCentered"/>
              <w:rPr>
                <w:rFonts w:eastAsia="Times New Roman"/>
              </w:rPr>
            </w:pPr>
            <w:r>
              <w:rPr>
                <w:rFonts w:eastAsia="Times New Roman"/>
              </w:rPr>
              <w:t>6</w:t>
            </w:r>
          </w:p>
        </w:tc>
        <w:tc>
          <w:tcPr>
            <w:tcW w:w="720" w:type="dxa"/>
          </w:tcPr>
          <w:p w14:paraId="47875799" w14:textId="77777777" w:rsidR="00B678B5" w:rsidRPr="00E359BF" w:rsidRDefault="00B678B5">
            <w:pPr>
              <w:pStyle w:val="TableTextCentered"/>
              <w:rPr>
                <w:rFonts w:eastAsia="Times New Roman"/>
              </w:rPr>
            </w:pPr>
            <w:r>
              <w:rPr>
                <w:rFonts w:eastAsia="Times New Roman"/>
              </w:rPr>
              <w:t>5</w:t>
            </w:r>
          </w:p>
        </w:tc>
        <w:tc>
          <w:tcPr>
            <w:tcW w:w="720" w:type="dxa"/>
          </w:tcPr>
          <w:p w14:paraId="2E38729B" w14:textId="77777777" w:rsidR="00B678B5" w:rsidRPr="00E359BF" w:rsidRDefault="00B678B5">
            <w:pPr>
              <w:pStyle w:val="TableTextCentered"/>
              <w:rPr>
                <w:rFonts w:eastAsia="Times New Roman"/>
              </w:rPr>
            </w:pPr>
            <w:r>
              <w:rPr>
                <w:rFonts w:eastAsia="Times New Roman"/>
              </w:rPr>
              <w:t>4</w:t>
            </w:r>
          </w:p>
        </w:tc>
        <w:tc>
          <w:tcPr>
            <w:tcW w:w="720" w:type="dxa"/>
          </w:tcPr>
          <w:p w14:paraId="46917EF9" w14:textId="77777777" w:rsidR="00B678B5" w:rsidRPr="00E359BF" w:rsidRDefault="00B678B5">
            <w:pPr>
              <w:pStyle w:val="TableTextCentered"/>
              <w:rPr>
                <w:rFonts w:eastAsia="Times New Roman"/>
              </w:rPr>
            </w:pPr>
            <w:r>
              <w:rPr>
                <w:rFonts w:eastAsia="Times New Roman"/>
              </w:rPr>
              <w:t>4</w:t>
            </w:r>
          </w:p>
        </w:tc>
        <w:tc>
          <w:tcPr>
            <w:tcW w:w="720" w:type="dxa"/>
          </w:tcPr>
          <w:p w14:paraId="56C0E80E" w14:textId="77777777" w:rsidR="00B678B5" w:rsidRPr="00E359BF" w:rsidRDefault="00B678B5">
            <w:pPr>
              <w:pStyle w:val="TableTextCentered"/>
              <w:rPr>
                <w:rFonts w:eastAsia="Times New Roman"/>
              </w:rPr>
            </w:pPr>
            <w:r>
              <w:rPr>
                <w:rFonts w:eastAsia="Times New Roman"/>
              </w:rPr>
              <w:t>0</w:t>
            </w:r>
          </w:p>
        </w:tc>
        <w:tc>
          <w:tcPr>
            <w:tcW w:w="533" w:type="dxa"/>
          </w:tcPr>
          <w:p w14:paraId="41933382" w14:textId="77777777" w:rsidR="00B678B5" w:rsidRPr="00E359BF" w:rsidRDefault="00B678B5">
            <w:pPr>
              <w:pStyle w:val="TableTextCentered"/>
              <w:rPr>
                <w:rFonts w:eastAsia="Times New Roman"/>
              </w:rPr>
            </w:pPr>
            <w:r>
              <w:rPr>
                <w:rFonts w:eastAsia="Times New Roman"/>
              </w:rPr>
              <w:t>27</w:t>
            </w:r>
          </w:p>
        </w:tc>
        <w:tc>
          <w:tcPr>
            <w:tcW w:w="907" w:type="dxa"/>
          </w:tcPr>
          <w:p w14:paraId="472BD493" w14:textId="77777777" w:rsidR="00B678B5" w:rsidRPr="00E359BF" w:rsidRDefault="00B678B5">
            <w:pPr>
              <w:pStyle w:val="TableTextCentered"/>
              <w:rPr>
                <w:rFonts w:eastAsia="Times New Roman"/>
              </w:rPr>
            </w:pPr>
            <w:r>
              <w:rPr>
                <w:rFonts w:eastAsia="Times New Roman"/>
              </w:rPr>
              <w:t>3.5</w:t>
            </w:r>
          </w:p>
        </w:tc>
      </w:tr>
      <w:tr w:rsidR="00B678B5" w:rsidRPr="008461FE" w14:paraId="404005CC" w14:textId="77777777" w:rsidTr="00D679F6">
        <w:trPr>
          <w:cnfStyle w:val="000000100000" w:firstRow="0" w:lastRow="0" w:firstColumn="0" w:lastColumn="0" w:oddVBand="0" w:evenVBand="0" w:oddHBand="1" w:evenHBand="0" w:firstRowFirstColumn="0" w:firstRowLastColumn="0" w:lastRowFirstColumn="0" w:lastRowLastColumn="0"/>
        </w:trPr>
        <w:tc>
          <w:tcPr>
            <w:tcW w:w="3238" w:type="dxa"/>
          </w:tcPr>
          <w:p w14:paraId="0AEA8629" w14:textId="77777777" w:rsidR="00B678B5" w:rsidRPr="00C131AE" w:rsidRDefault="00B678B5">
            <w:pPr>
              <w:pStyle w:val="TableText"/>
              <w:rPr>
                <w:rFonts w:ascii="Franklin Gothic Demi" w:hAnsi="Franklin Gothic Demi"/>
              </w:rPr>
            </w:pPr>
            <w:r w:rsidRPr="00C131AE">
              <w:rPr>
                <w:rFonts w:ascii="Franklin Gothic Demi" w:hAnsi="Franklin Gothic Demi"/>
              </w:rPr>
              <w:t>Student Engagement (UE only)</w:t>
            </w:r>
          </w:p>
        </w:tc>
        <w:tc>
          <w:tcPr>
            <w:tcW w:w="720" w:type="dxa"/>
          </w:tcPr>
          <w:p w14:paraId="62297BBB"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0</w:t>
            </w:r>
          </w:p>
        </w:tc>
        <w:tc>
          <w:tcPr>
            <w:tcW w:w="720" w:type="dxa"/>
          </w:tcPr>
          <w:p w14:paraId="6C7C8E8C"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0</w:t>
            </w:r>
          </w:p>
        </w:tc>
        <w:tc>
          <w:tcPr>
            <w:tcW w:w="720" w:type="dxa"/>
          </w:tcPr>
          <w:p w14:paraId="017573FE"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0</w:t>
            </w:r>
          </w:p>
        </w:tc>
        <w:tc>
          <w:tcPr>
            <w:tcW w:w="720" w:type="dxa"/>
          </w:tcPr>
          <w:p w14:paraId="11EF96BE"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1</w:t>
            </w:r>
          </w:p>
        </w:tc>
        <w:tc>
          <w:tcPr>
            <w:tcW w:w="720" w:type="dxa"/>
          </w:tcPr>
          <w:p w14:paraId="2F76A4BB"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14</w:t>
            </w:r>
          </w:p>
        </w:tc>
        <w:tc>
          <w:tcPr>
            <w:tcW w:w="720" w:type="dxa"/>
          </w:tcPr>
          <w:p w14:paraId="759A77A1"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9</w:t>
            </w:r>
          </w:p>
        </w:tc>
        <w:tc>
          <w:tcPr>
            <w:tcW w:w="720" w:type="dxa"/>
          </w:tcPr>
          <w:p w14:paraId="41EC4DF1"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3</w:t>
            </w:r>
          </w:p>
        </w:tc>
        <w:tc>
          <w:tcPr>
            <w:tcW w:w="533" w:type="dxa"/>
          </w:tcPr>
          <w:p w14:paraId="2176EEBE"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27</w:t>
            </w:r>
          </w:p>
        </w:tc>
        <w:tc>
          <w:tcPr>
            <w:tcW w:w="907" w:type="dxa"/>
          </w:tcPr>
          <w:p w14:paraId="6AB1C0D8" w14:textId="77777777" w:rsidR="00B678B5" w:rsidRPr="00C131AE" w:rsidRDefault="00B678B5">
            <w:pPr>
              <w:pStyle w:val="TableTextCentered"/>
              <w:rPr>
                <w:rFonts w:ascii="Franklin Gothic Demi" w:eastAsia="Times New Roman" w:hAnsi="Franklin Gothic Demi"/>
              </w:rPr>
            </w:pPr>
            <w:r w:rsidRPr="00C131AE">
              <w:rPr>
                <w:rFonts w:ascii="Franklin Gothic Demi" w:eastAsia="Times New Roman" w:hAnsi="Franklin Gothic Demi"/>
              </w:rPr>
              <w:t>5.5</w:t>
            </w:r>
          </w:p>
        </w:tc>
      </w:tr>
    </w:tbl>
    <w:bookmarkEnd w:id="189"/>
    <w:p w14:paraId="732B2917" w14:textId="77777777" w:rsidR="00B678B5" w:rsidRPr="00AB597C" w:rsidRDefault="00B678B5" w:rsidP="00AB597C">
      <w:pPr>
        <w:pStyle w:val="TableNote"/>
      </w:pPr>
      <w:r w:rsidRPr="00AB597C">
        <w:t xml:space="preserve">*The district average is an average of the scores. For example, for Positive Climate, the district average is computed as: </w:t>
      </w:r>
      <w:bookmarkStart w:id="190" w:name="Elem_PC_Calc"/>
      <w:r w:rsidRPr="00AB597C">
        <w:t>([2 x 2] + [3 x 3] + [4 x 19] + [5 x 28] + [6 x 16] + [7 x 12]) ÷ 80 observations = 5.1</w:t>
      </w:r>
      <w:bookmarkEnd w:id="190"/>
    </w:p>
    <w:p w14:paraId="59D44A38" w14:textId="77777777" w:rsidR="00B678B5" w:rsidRPr="00AB597C" w:rsidRDefault="00B678B5" w:rsidP="00AB597C">
      <w:pPr>
        <w:pStyle w:val="TableNote"/>
      </w:pPr>
      <w:r w:rsidRPr="00AB597C">
        <w:t xml:space="preserve">**Negative Climate is rated on an inverse scale. An original score of 1 is given a value of 7. The scoring in the table reflects the normalized adjustment: </w:t>
      </w:r>
      <w:bookmarkStart w:id="191" w:name="Elem_NC_Calc"/>
      <w:r w:rsidRPr="00AB597C">
        <w:t>([5 x 1] + [6 x 6] + [7 x 73]) ÷ 80 observations = 6.9</w:t>
      </w:r>
      <w:bookmarkEnd w:id="191"/>
      <w:r w:rsidRPr="00AB597C">
        <w:t>. In addition, Negative Climate appears in the Classroom Organization Domain for the Upper Elementary Manual.</w:t>
      </w:r>
    </w:p>
    <w:p w14:paraId="403031B7" w14:textId="03FA8F34" w:rsidR="004B01A1" w:rsidRPr="00AB597C" w:rsidRDefault="00B678B5" w:rsidP="00AB597C">
      <w:pPr>
        <w:pStyle w:val="TableNote"/>
      </w:pPr>
      <w:r w:rsidRPr="00AB597C">
        <w:t>***Instructional Learning Formats appears in the Instructional Support Domain for the Upper Elementary Manual.</w:t>
      </w:r>
      <w:r w:rsidR="004B01A1" w:rsidRPr="00AB597C">
        <w:br w:type="page"/>
      </w:r>
    </w:p>
    <w:p w14:paraId="149EB4B5" w14:textId="77777777" w:rsidR="00B678B5" w:rsidRPr="00E359BF" w:rsidRDefault="00B678B5" w:rsidP="00E35A27">
      <w:pPr>
        <w:pStyle w:val="DIOR"/>
      </w:pPr>
      <w:bookmarkStart w:id="192" w:name="_Toc231296600"/>
      <w:r w:rsidRPr="00E359BF">
        <w:t>Summary of Average Ratings</w:t>
      </w:r>
      <w:r>
        <w:t>: Grades 6</w:t>
      </w:r>
      <w:r w:rsidRPr="00E359BF">
        <w:t>–</w:t>
      </w:r>
      <w:r>
        <w:t>8</w:t>
      </w:r>
      <w:bookmarkEnd w:id="192"/>
    </w:p>
    <w:p w14:paraId="27874C70" w14:textId="77777777" w:rsidR="00B678B5" w:rsidRPr="00E359BF" w:rsidRDefault="00B678B5" w:rsidP="00AB597C">
      <w:pPr>
        <w:pStyle w:val="TableTitle0"/>
      </w:pPr>
      <w:r w:rsidRPr="008F6B0C">
        <w:t>Table 18. Summary</w:t>
      </w:r>
      <w:r w:rsidRPr="00BC09E0">
        <w:t xml:space="preserve"> Table of Average Ratings for</w:t>
      </w:r>
      <w:r>
        <w:t xml:space="preserve"> </w:t>
      </w:r>
      <w:r w:rsidRPr="00BC09E0">
        <w:t xml:space="preserve">Each Dimension in </w:t>
      </w:r>
      <w:r w:rsidRPr="00AB597C">
        <w:t>Grades</w:t>
      </w:r>
      <w:r w:rsidRPr="00BC09E0">
        <w:t xml:space="preserve"> </w:t>
      </w:r>
      <w:r>
        <w:t>6</w:t>
      </w:r>
      <w:r w:rsidRPr="00E359BF">
        <w:t>–</w:t>
      </w:r>
      <w:r>
        <w:t>8</w:t>
      </w:r>
    </w:p>
    <w:tbl>
      <w:tblPr>
        <w:tblStyle w:val="MSVTable1"/>
        <w:tblW w:w="5000" w:type="pct"/>
        <w:tblLayout w:type="fixed"/>
        <w:tblLook w:val="04A0" w:firstRow="1" w:lastRow="0" w:firstColumn="1" w:lastColumn="0" w:noHBand="0" w:noVBand="1"/>
        <w:tblCaption w:val="Table 18. Summary Table of Average Ratings for Each Dimension in Grades 6–8"/>
        <w:tblDescription w:val="Summary Table of Average Ratings for Each Dimension in Grades 6–8"/>
      </w:tblPr>
      <w:tblGrid>
        <w:gridCol w:w="3097"/>
        <w:gridCol w:w="695"/>
        <w:gridCol w:w="694"/>
        <w:gridCol w:w="694"/>
        <w:gridCol w:w="694"/>
        <w:gridCol w:w="694"/>
        <w:gridCol w:w="694"/>
        <w:gridCol w:w="694"/>
        <w:gridCol w:w="522"/>
        <w:gridCol w:w="866"/>
      </w:tblGrid>
      <w:tr w:rsidR="00B678B5" w:rsidRPr="00E359BF" w14:paraId="28B0D197" w14:textId="77777777" w:rsidTr="00626238">
        <w:trPr>
          <w:cnfStyle w:val="100000000000" w:firstRow="1" w:lastRow="0" w:firstColumn="0" w:lastColumn="0" w:oddVBand="0" w:evenVBand="0" w:oddHBand="0" w:evenHBand="0" w:firstRowFirstColumn="0" w:firstRowLastColumn="0" w:lastRowFirstColumn="0" w:lastRowLastColumn="0"/>
          <w:tblHeader/>
        </w:trPr>
        <w:tc>
          <w:tcPr>
            <w:tcW w:w="3232" w:type="dxa"/>
            <w:tcMar>
              <w:left w:w="29" w:type="dxa"/>
              <w:right w:w="29" w:type="dxa"/>
            </w:tcMar>
            <w:vAlign w:val="center"/>
          </w:tcPr>
          <w:p w14:paraId="0C8C1F82" w14:textId="77777777" w:rsidR="00B678B5" w:rsidRPr="00E359BF" w:rsidRDefault="00B678B5" w:rsidP="00626238">
            <w:pPr>
              <w:pStyle w:val="TableColHeadingCenter"/>
              <w:rPr>
                <w:rFonts w:eastAsia="MS Mincho"/>
              </w:rPr>
            </w:pPr>
            <w:bookmarkStart w:id="193" w:name="SummaryTbl_Middle"/>
            <w:r>
              <w:rPr>
                <w:rFonts w:eastAsia="MS Mincho"/>
              </w:rPr>
              <w:t>Domain/Dimension</w:t>
            </w:r>
          </w:p>
        </w:tc>
        <w:tc>
          <w:tcPr>
            <w:tcW w:w="720" w:type="dxa"/>
            <w:tcMar>
              <w:left w:w="29" w:type="dxa"/>
              <w:right w:w="29" w:type="dxa"/>
            </w:tcMar>
            <w:vAlign w:val="center"/>
          </w:tcPr>
          <w:p w14:paraId="76A18841" w14:textId="77777777" w:rsidR="00B678B5" w:rsidRPr="00E359BF" w:rsidRDefault="00B678B5" w:rsidP="00626238">
            <w:pPr>
              <w:pStyle w:val="TableColHeadingCenter"/>
              <w:rPr>
                <w:rFonts w:eastAsia="MS Mincho"/>
              </w:rPr>
            </w:pPr>
            <w:r w:rsidRPr="00E359BF">
              <w:rPr>
                <w:rFonts w:eastAsia="MS Mincho"/>
              </w:rPr>
              <w:t>Low Range</w:t>
            </w:r>
            <w:r>
              <w:rPr>
                <w:rFonts w:eastAsia="MS Mincho"/>
              </w:rPr>
              <w:t xml:space="preserve"> (1)</w:t>
            </w:r>
          </w:p>
        </w:tc>
        <w:tc>
          <w:tcPr>
            <w:tcW w:w="720" w:type="dxa"/>
            <w:tcMar>
              <w:left w:w="29" w:type="dxa"/>
              <w:right w:w="29" w:type="dxa"/>
            </w:tcMar>
            <w:vAlign w:val="center"/>
          </w:tcPr>
          <w:p w14:paraId="2DF51123" w14:textId="77777777" w:rsidR="00B678B5" w:rsidRPr="00E359BF" w:rsidRDefault="00B678B5" w:rsidP="00626238">
            <w:pPr>
              <w:pStyle w:val="TableColHeadingCenter"/>
              <w:rPr>
                <w:rFonts w:eastAsia="MS Mincho"/>
              </w:rPr>
            </w:pPr>
            <w:r w:rsidRPr="00E359BF">
              <w:rPr>
                <w:rFonts w:eastAsia="MS Mincho"/>
              </w:rPr>
              <w:t>Low Range</w:t>
            </w:r>
            <w:r>
              <w:rPr>
                <w:rFonts w:eastAsia="MS Mincho"/>
              </w:rPr>
              <w:t xml:space="preserve"> (2)</w:t>
            </w:r>
          </w:p>
        </w:tc>
        <w:tc>
          <w:tcPr>
            <w:tcW w:w="720" w:type="dxa"/>
            <w:tcMar>
              <w:left w:w="29" w:type="dxa"/>
              <w:right w:w="29" w:type="dxa"/>
            </w:tcMar>
            <w:vAlign w:val="center"/>
          </w:tcPr>
          <w:p w14:paraId="2D9F385E"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(3)</w:t>
            </w:r>
          </w:p>
        </w:tc>
        <w:tc>
          <w:tcPr>
            <w:tcW w:w="720" w:type="dxa"/>
            <w:tcMar>
              <w:left w:w="29" w:type="dxa"/>
              <w:right w:w="29" w:type="dxa"/>
            </w:tcMar>
            <w:vAlign w:val="center"/>
          </w:tcPr>
          <w:p w14:paraId="50424105"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(4)</w:t>
            </w:r>
          </w:p>
        </w:tc>
        <w:tc>
          <w:tcPr>
            <w:tcW w:w="720" w:type="dxa"/>
            <w:tcMar>
              <w:left w:w="29" w:type="dxa"/>
              <w:right w:w="29" w:type="dxa"/>
            </w:tcMar>
            <w:vAlign w:val="center"/>
          </w:tcPr>
          <w:p w14:paraId="18C5329D"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(5)</w:t>
            </w:r>
          </w:p>
        </w:tc>
        <w:tc>
          <w:tcPr>
            <w:tcW w:w="720" w:type="dxa"/>
            <w:tcMar>
              <w:left w:w="29" w:type="dxa"/>
              <w:right w:w="29" w:type="dxa"/>
            </w:tcMar>
            <w:vAlign w:val="center"/>
          </w:tcPr>
          <w:p w14:paraId="603363AF" w14:textId="77777777" w:rsidR="00B678B5" w:rsidRPr="00E359BF" w:rsidRDefault="00B678B5" w:rsidP="00626238">
            <w:pPr>
              <w:pStyle w:val="TableColHeadingCenter"/>
              <w:rPr>
                <w:rFonts w:eastAsia="MS Mincho"/>
              </w:rPr>
            </w:pPr>
            <w:r w:rsidRPr="00E359BF">
              <w:rPr>
                <w:rFonts w:eastAsia="MS Mincho"/>
              </w:rPr>
              <w:t>High Range</w:t>
            </w:r>
            <w:r>
              <w:rPr>
                <w:rFonts w:eastAsia="MS Mincho"/>
              </w:rPr>
              <w:t xml:space="preserve"> (6)</w:t>
            </w:r>
          </w:p>
        </w:tc>
        <w:tc>
          <w:tcPr>
            <w:tcW w:w="720" w:type="dxa"/>
            <w:tcMar>
              <w:left w:w="29" w:type="dxa"/>
              <w:right w:w="29" w:type="dxa"/>
            </w:tcMar>
            <w:vAlign w:val="center"/>
          </w:tcPr>
          <w:p w14:paraId="2E8428B0" w14:textId="77777777" w:rsidR="00B678B5" w:rsidRPr="00E359BF" w:rsidRDefault="00B678B5" w:rsidP="00626238">
            <w:pPr>
              <w:pStyle w:val="TableColHeadingCenter"/>
              <w:rPr>
                <w:rFonts w:eastAsia="MS Mincho"/>
              </w:rPr>
            </w:pPr>
            <w:r w:rsidRPr="00E359BF">
              <w:rPr>
                <w:rFonts w:eastAsia="MS Mincho"/>
              </w:rPr>
              <w:t>High Range</w:t>
            </w:r>
            <w:r>
              <w:rPr>
                <w:rFonts w:eastAsia="MS Mincho"/>
              </w:rPr>
              <w:t xml:space="preserve"> (7)</w:t>
            </w:r>
          </w:p>
        </w:tc>
        <w:tc>
          <w:tcPr>
            <w:tcW w:w="540" w:type="dxa"/>
            <w:tcMar>
              <w:left w:w="29" w:type="dxa"/>
              <w:right w:w="29" w:type="dxa"/>
            </w:tcMar>
            <w:vAlign w:val="center"/>
          </w:tcPr>
          <w:p w14:paraId="1F19A1EF" w14:textId="77777777" w:rsidR="00B678B5" w:rsidRPr="00E359BF" w:rsidRDefault="00B678B5" w:rsidP="00626238">
            <w:pPr>
              <w:pStyle w:val="TableColHeadingCenter"/>
              <w:rPr>
                <w:rFonts w:eastAsia="MS Mincho"/>
              </w:rPr>
            </w:pPr>
            <w:r>
              <w:rPr>
                <w:rFonts w:eastAsia="MS Mincho"/>
              </w:rPr>
              <w:t>n</w:t>
            </w:r>
          </w:p>
        </w:tc>
        <w:tc>
          <w:tcPr>
            <w:tcW w:w="900" w:type="dxa"/>
            <w:tcMar>
              <w:left w:w="29" w:type="dxa"/>
              <w:right w:w="29" w:type="dxa"/>
            </w:tcMar>
            <w:vAlign w:val="center"/>
          </w:tcPr>
          <w:p w14:paraId="356617EE" w14:textId="77777777" w:rsidR="00B678B5" w:rsidRPr="00E359BF" w:rsidRDefault="00B678B5" w:rsidP="00626238">
            <w:pPr>
              <w:pStyle w:val="TableColHeadingCenter"/>
              <w:rPr>
                <w:rFonts w:eastAsia="MS Mincho"/>
              </w:rPr>
            </w:pPr>
            <w:r w:rsidRPr="00E359BF">
              <w:rPr>
                <w:rFonts w:eastAsia="MS Mincho"/>
              </w:rPr>
              <w:t>Average Scores*</w:t>
            </w:r>
          </w:p>
        </w:tc>
      </w:tr>
      <w:tr w:rsidR="00B678B5" w:rsidRPr="00E359BF" w14:paraId="1011CE2A"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22655650" w14:textId="77777777" w:rsidR="00B678B5" w:rsidRPr="00C131AE" w:rsidRDefault="00B678B5">
            <w:pPr>
              <w:pStyle w:val="TableSubheading"/>
            </w:pPr>
            <w:r w:rsidRPr="00C131AE">
              <w:t>Emotional Support Domain</w:t>
            </w:r>
          </w:p>
        </w:tc>
        <w:tc>
          <w:tcPr>
            <w:tcW w:w="720" w:type="dxa"/>
          </w:tcPr>
          <w:p w14:paraId="24AD0757" w14:textId="77777777" w:rsidR="00B678B5" w:rsidRPr="00C131AE" w:rsidRDefault="00B678B5">
            <w:pPr>
              <w:pStyle w:val="TableTextCenteredDemi"/>
              <w:rPr>
                <w:rFonts w:eastAsia="Times New Roman"/>
              </w:rPr>
            </w:pPr>
            <w:r w:rsidRPr="00C131AE">
              <w:rPr>
                <w:rFonts w:eastAsia="Times New Roman"/>
              </w:rPr>
              <w:t>11</w:t>
            </w:r>
          </w:p>
        </w:tc>
        <w:tc>
          <w:tcPr>
            <w:tcW w:w="720" w:type="dxa"/>
          </w:tcPr>
          <w:p w14:paraId="1CFF6B00" w14:textId="77777777" w:rsidR="00B678B5" w:rsidRPr="00C131AE" w:rsidRDefault="00B678B5">
            <w:pPr>
              <w:pStyle w:val="TableTextCenteredDemi"/>
              <w:rPr>
                <w:rFonts w:eastAsia="Times New Roman"/>
              </w:rPr>
            </w:pPr>
            <w:r w:rsidRPr="00C131AE">
              <w:rPr>
                <w:rFonts w:eastAsia="Times New Roman"/>
              </w:rPr>
              <w:t>10</w:t>
            </w:r>
          </w:p>
        </w:tc>
        <w:tc>
          <w:tcPr>
            <w:tcW w:w="720" w:type="dxa"/>
          </w:tcPr>
          <w:p w14:paraId="0DB8A30A" w14:textId="77777777" w:rsidR="00B678B5" w:rsidRPr="00C131AE" w:rsidRDefault="00B678B5">
            <w:pPr>
              <w:pStyle w:val="TableTextCenteredDemi"/>
              <w:rPr>
                <w:rFonts w:eastAsia="Times New Roman"/>
              </w:rPr>
            </w:pPr>
            <w:r w:rsidRPr="00C131AE">
              <w:rPr>
                <w:rFonts w:eastAsia="Times New Roman"/>
              </w:rPr>
              <w:t>7</w:t>
            </w:r>
          </w:p>
        </w:tc>
        <w:tc>
          <w:tcPr>
            <w:tcW w:w="720" w:type="dxa"/>
          </w:tcPr>
          <w:p w14:paraId="7F536768" w14:textId="77777777" w:rsidR="00B678B5" w:rsidRPr="00C131AE" w:rsidRDefault="00B678B5">
            <w:pPr>
              <w:pStyle w:val="TableTextCenteredDemi"/>
              <w:rPr>
                <w:rFonts w:eastAsia="Times New Roman"/>
              </w:rPr>
            </w:pPr>
            <w:r w:rsidRPr="00C131AE">
              <w:rPr>
                <w:rFonts w:eastAsia="Times New Roman"/>
              </w:rPr>
              <w:t>9</w:t>
            </w:r>
          </w:p>
        </w:tc>
        <w:tc>
          <w:tcPr>
            <w:tcW w:w="720" w:type="dxa"/>
          </w:tcPr>
          <w:p w14:paraId="3DB30A80" w14:textId="77777777" w:rsidR="00B678B5" w:rsidRPr="00C131AE" w:rsidRDefault="00B678B5">
            <w:pPr>
              <w:pStyle w:val="TableTextCenteredDemi"/>
              <w:rPr>
                <w:rFonts w:eastAsia="Times New Roman"/>
              </w:rPr>
            </w:pPr>
            <w:r w:rsidRPr="00C131AE">
              <w:rPr>
                <w:rFonts w:eastAsia="Times New Roman"/>
              </w:rPr>
              <w:t>31</w:t>
            </w:r>
          </w:p>
        </w:tc>
        <w:tc>
          <w:tcPr>
            <w:tcW w:w="720" w:type="dxa"/>
          </w:tcPr>
          <w:p w14:paraId="18A6A4F2" w14:textId="77777777" w:rsidR="00B678B5" w:rsidRPr="00C131AE" w:rsidRDefault="00B678B5">
            <w:pPr>
              <w:pStyle w:val="TableTextCenteredDemi"/>
              <w:rPr>
                <w:rFonts w:eastAsia="Times New Roman"/>
              </w:rPr>
            </w:pPr>
            <w:r w:rsidRPr="00C131AE">
              <w:rPr>
                <w:rFonts w:eastAsia="Times New Roman"/>
              </w:rPr>
              <w:t>36</w:t>
            </w:r>
          </w:p>
        </w:tc>
        <w:tc>
          <w:tcPr>
            <w:tcW w:w="720" w:type="dxa"/>
          </w:tcPr>
          <w:p w14:paraId="4C12A697" w14:textId="77777777" w:rsidR="00B678B5" w:rsidRPr="00C131AE" w:rsidRDefault="00B678B5">
            <w:pPr>
              <w:pStyle w:val="TableTextCenteredDemi"/>
              <w:rPr>
                <w:rFonts w:eastAsia="Times New Roman"/>
              </w:rPr>
            </w:pPr>
            <w:r w:rsidRPr="00C131AE">
              <w:rPr>
                <w:rFonts w:eastAsia="Times New Roman"/>
              </w:rPr>
              <w:t>16</w:t>
            </w:r>
          </w:p>
        </w:tc>
        <w:tc>
          <w:tcPr>
            <w:tcW w:w="540" w:type="dxa"/>
          </w:tcPr>
          <w:p w14:paraId="028DBE0F" w14:textId="77777777" w:rsidR="00B678B5" w:rsidRPr="00C131AE" w:rsidRDefault="00B678B5">
            <w:pPr>
              <w:pStyle w:val="TableTextCenteredDemi"/>
              <w:rPr>
                <w:rFonts w:eastAsia="Times New Roman"/>
              </w:rPr>
            </w:pPr>
            <w:r w:rsidRPr="00C131AE">
              <w:rPr>
                <w:rFonts w:eastAsia="Times New Roman"/>
              </w:rPr>
              <w:t>120</w:t>
            </w:r>
          </w:p>
        </w:tc>
        <w:tc>
          <w:tcPr>
            <w:tcW w:w="900" w:type="dxa"/>
          </w:tcPr>
          <w:p w14:paraId="12C0F8B4" w14:textId="77777777" w:rsidR="00B678B5" w:rsidRPr="00C131AE" w:rsidRDefault="00B678B5">
            <w:pPr>
              <w:pStyle w:val="TableTextCenteredDemi"/>
              <w:rPr>
                <w:rFonts w:eastAsia="Times New Roman"/>
              </w:rPr>
            </w:pPr>
            <w:r w:rsidRPr="00C131AE">
              <w:rPr>
                <w:rFonts w:eastAsia="Times New Roman"/>
              </w:rPr>
              <w:t>4.8</w:t>
            </w:r>
          </w:p>
        </w:tc>
      </w:tr>
      <w:tr w:rsidR="00B678B5" w:rsidRPr="00E359BF" w14:paraId="5B9D01A9" w14:textId="77777777" w:rsidTr="00D679F6">
        <w:tc>
          <w:tcPr>
            <w:tcW w:w="3232" w:type="dxa"/>
          </w:tcPr>
          <w:p w14:paraId="161ED14A" w14:textId="77777777" w:rsidR="00B678B5" w:rsidRPr="00E359BF" w:rsidRDefault="00B678B5">
            <w:pPr>
              <w:pStyle w:val="TableText"/>
              <w:ind w:left="204"/>
              <w:rPr>
                <w:b/>
                <w:bCs/>
              </w:rPr>
            </w:pPr>
            <w:r w:rsidRPr="00E359BF">
              <w:t>Positive Climate</w:t>
            </w:r>
          </w:p>
        </w:tc>
        <w:tc>
          <w:tcPr>
            <w:tcW w:w="720" w:type="dxa"/>
          </w:tcPr>
          <w:p w14:paraId="374FC7EB" w14:textId="77777777" w:rsidR="00B678B5" w:rsidRPr="00E359BF" w:rsidRDefault="00B678B5">
            <w:pPr>
              <w:pStyle w:val="TableTextCentered"/>
              <w:rPr>
                <w:rFonts w:eastAsia="Times New Roman"/>
              </w:rPr>
            </w:pPr>
            <w:r>
              <w:rPr>
                <w:rFonts w:eastAsia="Times New Roman"/>
              </w:rPr>
              <w:t>0</w:t>
            </w:r>
          </w:p>
        </w:tc>
        <w:tc>
          <w:tcPr>
            <w:tcW w:w="720" w:type="dxa"/>
          </w:tcPr>
          <w:p w14:paraId="0AB55984" w14:textId="77777777" w:rsidR="00B678B5" w:rsidRPr="00E359BF" w:rsidRDefault="00B678B5">
            <w:pPr>
              <w:pStyle w:val="TableTextCentered"/>
              <w:rPr>
                <w:rFonts w:eastAsia="Times New Roman"/>
              </w:rPr>
            </w:pPr>
            <w:r>
              <w:rPr>
                <w:rFonts w:eastAsia="Times New Roman"/>
              </w:rPr>
              <w:t>0</w:t>
            </w:r>
          </w:p>
        </w:tc>
        <w:tc>
          <w:tcPr>
            <w:tcW w:w="720" w:type="dxa"/>
          </w:tcPr>
          <w:p w14:paraId="6A37D9F1" w14:textId="77777777" w:rsidR="00B678B5" w:rsidRPr="00E359BF" w:rsidRDefault="00B678B5">
            <w:pPr>
              <w:pStyle w:val="TableTextCentered"/>
              <w:rPr>
                <w:rFonts w:eastAsia="Times New Roman"/>
              </w:rPr>
            </w:pPr>
            <w:r>
              <w:rPr>
                <w:rFonts w:eastAsia="Times New Roman"/>
              </w:rPr>
              <w:t>0</w:t>
            </w:r>
          </w:p>
        </w:tc>
        <w:tc>
          <w:tcPr>
            <w:tcW w:w="720" w:type="dxa"/>
          </w:tcPr>
          <w:p w14:paraId="7BB0ED34" w14:textId="77777777" w:rsidR="00B678B5" w:rsidRPr="00E359BF" w:rsidRDefault="00B678B5">
            <w:pPr>
              <w:pStyle w:val="TableTextCentered"/>
              <w:rPr>
                <w:rFonts w:eastAsia="Times New Roman"/>
              </w:rPr>
            </w:pPr>
            <w:r>
              <w:rPr>
                <w:rFonts w:eastAsia="Times New Roman"/>
              </w:rPr>
              <w:t>3</w:t>
            </w:r>
          </w:p>
        </w:tc>
        <w:tc>
          <w:tcPr>
            <w:tcW w:w="720" w:type="dxa"/>
          </w:tcPr>
          <w:p w14:paraId="4D88F15B" w14:textId="77777777" w:rsidR="00B678B5" w:rsidRPr="00E359BF" w:rsidRDefault="00B678B5">
            <w:pPr>
              <w:pStyle w:val="TableTextCentered"/>
              <w:rPr>
                <w:rFonts w:eastAsia="Times New Roman"/>
              </w:rPr>
            </w:pPr>
            <w:r>
              <w:rPr>
                <w:rFonts w:eastAsia="Times New Roman"/>
              </w:rPr>
              <w:t>14</w:t>
            </w:r>
          </w:p>
        </w:tc>
        <w:tc>
          <w:tcPr>
            <w:tcW w:w="720" w:type="dxa"/>
          </w:tcPr>
          <w:p w14:paraId="19A00781" w14:textId="77777777" w:rsidR="00B678B5" w:rsidRPr="00E359BF" w:rsidRDefault="00B678B5">
            <w:pPr>
              <w:pStyle w:val="TableTextCentered"/>
              <w:rPr>
                <w:rFonts w:eastAsia="Times New Roman"/>
              </w:rPr>
            </w:pPr>
            <w:r>
              <w:rPr>
                <w:rFonts w:eastAsia="Times New Roman"/>
              </w:rPr>
              <w:t>18</w:t>
            </w:r>
          </w:p>
        </w:tc>
        <w:tc>
          <w:tcPr>
            <w:tcW w:w="720" w:type="dxa"/>
          </w:tcPr>
          <w:p w14:paraId="2B4C925E" w14:textId="77777777" w:rsidR="00B678B5" w:rsidRPr="00E359BF" w:rsidRDefault="00B678B5">
            <w:pPr>
              <w:pStyle w:val="TableTextCentered"/>
              <w:rPr>
                <w:rFonts w:eastAsia="Times New Roman"/>
              </w:rPr>
            </w:pPr>
            <w:r>
              <w:rPr>
                <w:rFonts w:eastAsia="Times New Roman"/>
              </w:rPr>
              <w:t>5</w:t>
            </w:r>
          </w:p>
        </w:tc>
        <w:tc>
          <w:tcPr>
            <w:tcW w:w="540" w:type="dxa"/>
          </w:tcPr>
          <w:p w14:paraId="3397E3F6" w14:textId="77777777" w:rsidR="00B678B5" w:rsidRPr="00E359BF" w:rsidRDefault="00B678B5">
            <w:pPr>
              <w:pStyle w:val="TableTextCentered"/>
              <w:rPr>
                <w:rFonts w:eastAsia="Times New Roman"/>
              </w:rPr>
            </w:pPr>
            <w:r>
              <w:rPr>
                <w:rFonts w:eastAsia="Times New Roman"/>
              </w:rPr>
              <w:t>40</w:t>
            </w:r>
          </w:p>
        </w:tc>
        <w:tc>
          <w:tcPr>
            <w:tcW w:w="900" w:type="dxa"/>
          </w:tcPr>
          <w:p w14:paraId="6511169A" w14:textId="77777777" w:rsidR="00B678B5" w:rsidRPr="00E359BF" w:rsidRDefault="00B678B5">
            <w:pPr>
              <w:pStyle w:val="TableTextCentered"/>
              <w:rPr>
                <w:rFonts w:eastAsia="Times New Roman"/>
              </w:rPr>
            </w:pPr>
            <w:r>
              <w:rPr>
                <w:rFonts w:eastAsia="Times New Roman"/>
              </w:rPr>
              <w:t>5.6</w:t>
            </w:r>
          </w:p>
        </w:tc>
      </w:tr>
      <w:tr w:rsidR="00B678B5" w:rsidRPr="00E359BF" w14:paraId="76AE6CEE"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3155A9EE" w14:textId="77777777" w:rsidR="00B678B5" w:rsidRPr="00E359BF" w:rsidRDefault="00B678B5">
            <w:pPr>
              <w:pStyle w:val="TableText"/>
              <w:ind w:left="204"/>
              <w:rPr>
                <w:b/>
                <w:bCs/>
              </w:rPr>
            </w:pPr>
            <w:r w:rsidRPr="00E359BF">
              <w:t>Teacher Sensitivity</w:t>
            </w:r>
          </w:p>
        </w:tc>
        <w:tc>
          <w:tcPr>
            <w:tcW w:w="720" w:type="dxa"/>
          </w:tcPr>
          <w:p w14:paraId="3E64DAC4" w14:textId="77777777" w:rsidR="00B678B5" w:rsidRPr="00E359BF" w:rsidRDefault="00B678B5">
            <w:pPr>
              <w:pStyle w:val="TableTextCentered"/>
              <w:rPr>
                <w:rFonts w:eastAsia="Times New Roman"/>
              </w:rPr>
            </w:pPr>
            <w:r>
              <w:rPr>
                <w:rFonts w:eastAsia="Times New Roman"/>
              </w:rPr>
              <w:t>0</w:t>
            </w:r>
          </w:p>
        </w:tc>
        <w:tc>
          <w:tcPr>
            <w:tcW w:w="720" w:type="dxa"/>
          </w:tcPr>
          <w:p w14:paraId="3E2959BC" w14:textId="77777777" w:rsidR="00B678B5" w:rsidRPr="00E359BF" w:rsidRDefault="00B678B5">
            <w:pPr>
              <w:pStyle w:val="TableTextCentered"/>
              <w:rPr>
                <w:rFonts w:eastAsia="Times New Roman"/>
              </w:rPr>
            </w:pPr>
            <w:r>
              <w:rPr>
                <w:rFonts w:eastAsia="Times New Roman"/>
              </w:rPr>
              <w:t>0</w:t>
            </w:r>
          </w:p>
        </w:tc>
        <w:tc>
          <w:tcPr>
            <w:tcW w:w="720" w:type="dxa"/>
          </w:tcPr>
          <w:p w14:paraId="5364548B" w14:textId="77777777" w:rsidR="00B678B5" w:rsidRPr="00E359BF" w:rsidRDefault="00B678B5">
            <w:pPr>
              <w:pStyle w:val="TableTextCentered"/>
              <w:rPr>
                <w:rFonts w:eastAsia="Times New Roman"/>
              </w:rPr>
            </w:pPr>
            <w:r>
              <w:rPr>
                <w:rFonts w:eastAsia="Times New Roman"/>
              </w:rPr>
              <w:t>2</w:t>
            </w:r>
          </w:p>
        </w:tc>
        <w:tc>
          <w:tcPr>
            <w:tcW w:w="720" w:type="dxa"/>
          </w:tcPr>
          <w:p w14:paraId="4B0C2AC4" w14:textId="77777777" w:rsidR="00B678B5" w:rsidRPr="00E359BF" w:rsidRDefault="00B678B5">
            <w:pPr>
              <w:pStyle w:val="TableTextCentered"/>
              <w:rPr>
                <w:rFonts w:eastAsia="Times New Roman"/>
              </w:rPr>
            </w:pPr>
            <w:r>
              <w:rPr>
                <w:rFonts w:eastAsia="Times New Roman"/>
              </w:rPr>
              <w:t>1</w:t>
            </w:r>
          </w:p>
        </w:tc>
        <w:tc>
          <w:tcPr>
            <w:tcW w:w="720" w:type="dxa"/>
          </w:tcPr>
          <w:p w14:paraId="2CD18BFA" w14:textId="77777777" w:rsidR="00B678B5" w:rsidRPr="00E359BF" w:rsidRDefault="00B678B5">
            <w:pPr>
              <w:pStyle w:val="TableTextCentered"/>
              <w:rPr>
                <w:rFonts w:eastAsia="Times New Roman"/>
              </w:rPr>
            </w:pPr>
            <w:r>
              <w:rPr>
                <w:rFonts w:eastAsia="Times New Roman"/>
              </w:rPr>
              <w:t>10</w:t>
            </w:r>
          </w:p>
        </w:tc>
        <w:tc>
          <w:tcPr>
            <w:tcW w:w="720" w:type="dxa"/>
          </w:tcPr>
          <w:p w14:paraId="7DF3C970" w14:textId="77777777" w:rsidR="00B678B5" w:rsidRPr="00E359BF" w:rsidRDefault="00B678B5">
            <w:pPr>
              <w:pStyle w:val="TableTextCentered"/>
              <w:rPr>
                <w:rFonts w:eastAsia="Times New Roman"/>
              </w:rPr>
            </w:pPr>
            <w:r>
              <w:rPr>
                <w:rFonts w:eastAsia="Times New Roman"/>
              </w:rPr>
              <w:t>17</w:t>
            </w:r>
          </w:p>
        </w:tc>
        <w:tc>
          <w:tcPr>
            <w:tcW w:w="720" w:type="dxa"/>
          </w:tcPr>
          <w:p w14:paraId="0C83C2CE" w14:textId="77777777" w:rsidR="00B678B5" w:rsidRPr="00E359BF" w:rsidRDefault="00B678B5">
            <w:pPr>
              <w:pStyle w:val="TableTextCentered"/>
              <w:rPr>
                <w:rFonts w:eastAsia="Times New Roman"/>
              </w:rPr>
            </w:pPr>
            <w:r>
              <w:rPr>
                <w:rFonts w:eastAsia="Times New Roman"/>
              </w:rPr>
              <w:t>10</w:t>
            </w:r>
          </w:p>
        </w:tc>
        <w:tc>
          <w:tcPr>
            <w:tcW w:w="540" w:type="dxa"/>
          </w:tcPr>
          <w:p w14:paraId="35D508B7" w14:textId="77777777" w:rsidR="00B678B5" w:rsidRPr="00E359BF" w:rsidRDefault="00B678B5">
            <w:pPr>
              <w:pStyle w:val="TableTextCentered"/>
              <w:rPr>
                <w:rFonts w:eastAsia="Times New Roman"/>
              </w:rPr>
            </w:pPr>
            <w:r>
              <w:rPr>
                <w:rFonts w:eastAsia="Times New Roman"/>
              </w:rPr>
              <w:t>40</w:t>
            </w:r>
          </w:p>
        </w:tc>
        <w:tc>
          <w:tcPr>
            <w:tcW w:w="900" w:type="dxa"/>
          </w:tcPr>
          <w:p w14:paraId="48BC30F1" w14:textId="77777777" w:rsidR="00B678B5" w:rsidRPr="00E359BF" w:rsidRDefault="00B678B5">
            <w:pPr>
              <w:pStyle w:val="TableTextCentered"/>
              <w:rPr>
                <w:rFonts w:eastAsia="Times New Roman"/>
              </w:rPr>
            </w:pPr>
            <w:r>
              <w:rPr>
                <w:rFonts w:eastAsia="Times New Roman"/>
              </w:rPr>
              <w:t>5.8</w:t>
            </w:r>
          </w:p>
        </w:tc>
      </w:tr>
      <w:tr w:rsidR="00B678B5" w:rsidRPr="00E359BF" w14:paraId="4C1292B0" w14:textId="77777777" w:rsidTr="00D679F6">
        <w:tc>
          <w:tcPr>
            <w:tcW w:w="3232" w:type="dxa"/>
          </w:tcPr>
          <w:p w14:paraId="1C95EF6F" w14:textId="77777777" w:rsidR="00B678B5" w:rsidRPr="00E359BF" w:rsidRDefault="00B678B5">
            <w:pPr>
              <w:pStyle w:val="TableText"/>
              <w:ind w:left="204"/>
              <w:rPr>
                <w:b/>
                <w:bCs/>
              </w:rPr>
            </w:pPr>
            <w:r w:rsidRPr="00E359BF">
              <w:t>Regard for Student Perspectives</w:t>
            </w:r>
          </w:p>
        </w:tc>
        <w:tc>
          <w:tcPr>
            <w:tcW w:w="720" w:type="dxa"/>
          </w:tcPr>
          <w:p w14:paraId="3F0F2A4D" w14:textId="77777777" w:rsidR="00B678B5" w:rsidRPr="00E359BF" w:rsidRDefault="00B678B5">
            <w:pPr>
              <w:pStyle w:val="TableTextCentered"/>
              <w:rPr>
                <w:rFonts w:eastAsia="Times New Roman"/>
              </w:rPr>
            </w:pPr>
            <w:r>
              <w:rPr>
                <w:rFonts w:eastAsia="Times New Roman"/>
              </w:rPr>
              <w:t>11</w:t>
            </w:r>
          </w:p>
        </w:tc>
        <w:tc>
          <w:tcPr>
            <w:tcW w:w="720" w:type="dxa"/>
          </w:tcPr>
          <w:p w14:paraId="43D68F8F" w14:textId="77777777" w:rsidR="00B678B5" w:rsidRPr="00E359BF" w:rsidRDefault="00B678B5">
            <w:pPr>
              <w:pStyle w:val="TableTextCentered"/>
              <w:rPr>
                <w:rFonts w:eastAsia="Times New Roman"/>
              </w:rPr>
            </w:pPr>
            <w:r>
              <w:rPr>
                <w:rFonts w:eastAsia="Times New Roman"/>
              </w:rPr>
              <w:t>10</w:t>
            </w:r>
          </w:p>
        </w:tc>
        <w:tc>
          <w:tcPr>
            <w:tcW w:w="720" w:type="dxa"/>
          </w:tcPr>
          <w:p w14:paraId="194E34A6" w14:textId="77777777" w:rsidR="00B678B5" w:rsidRPr="00E359BF" w:rsidRDefault="00B678B5">
            <w:pPr>
              <w:pStyle w:val="TableTextCentered"/>
              <w:rPr>
                <w:rFonts w:eastAsia="Times New Roman"/>
              </w:rPr>
            </w:pPr>
            <w:r>
              <w:rPr>
                <w:rFonts w:eastAsia="Times New Roman"/>
              </w:rPr>
              <w:t>5</w:t>
            </w:r>
          </w:p>
        </w:tc>
        <w:tc>
          <w:tcPr>
            <w:tcW w:w="720" w:type="dxa"/>
          </w:tcPr>
          <w:p w14:paraId="684673A8" w14:textId="77777777" w:rsidR="00B678B5" w:rsidRPr="00E359BF" w:rsidRDefault="00B678B5">
            <w:pPr>
              <w:pStyle w:val="TableTextCentered"/>
              <w:rPr>
                <w:rFonts w:eastAsia="Times New Roman"/>
              </w:rPr>
            </w:pPr>
            <w:r>
              <w:rPr>
                <w:rFonts w:eastAsia="Times New Roman"/>
              </w:rPr>
              <w:t>5</w:t>
            </w:r>
          </w:p>
        </w:tc>
        <w:tc>
          <w:tcPr>
            <w:tcW w:w="720" w:type="dxa"/>
          </w:tcPr>
          <w:p w14:paraId="71CFEC70" w14:textId="77777777" w:rsidR="00B678B5" w:rsidRPr="00E359BF" w:rsidRDefault="00B678B5">
            <w:pPr>
              <w:pStyle w:val="TableTextCentered"/>
              <w:rPr>
                <w:rFonts w:eastAsia="Times New Roman"/>
              </w:rPr>
            </w:pPr>
            <w:r>
              <w:rPr>
                <w:rFonts w:eastAsia="Times New Roman"/>
              </w:rPr>
              <w:t>7</w:t>
            </w:r>
          </w:p>
        </w:tc>
        <w:tc>
          <w:tcPr>
            <w:tcW w:w="720" w:type="dxa"/>
          </w:tcPr>
          <w:p w14:paraId="50AE80EB" w14:textId="77777777" w:rsidR="00B678B5" w:rsidRPr="00E359BF" w:rsidRDefault="00B678B5">
            <w:pPr>
              <w:pStyle w:val="TableTextCentered"/>
              <w:rPr>
                <w:rFonts w:eastAsia="Times New Roman"/>
              </w:rPr>
            </w:pPr>
            <w:r>
              <w:rPr>
                <w:rFonts w:eastAsia="Times New Roman"/>
              </w:rPr>
              <w:t>1</w:t>
            </w:r>
          </w:p>
        </w:tc>
        <w:tc>
          <w:tcPr>
            <w:tcW w:w="720" w:type="dxa"/>
          </w:tcPr>
          <w:p w14:paraId="51949781" w14:textId="77777777" w:rsidR="00B678B5" w:rsidRPr="00E359BF" w:rsidRDefault="00B678B5">
            <w:pPr>
              <w:pStyle w:val="TableTextCentered"/>
              <w:rPr>
                <w:rFonts w:eastAsia="Times New Roman"/>
              </w:rPr>
            </w:pPr>
            <w:r>
              <w:rPr>
                <w:rFonts w:eastAsia="Times New Roman"/>
              </w:rPr>
              <w:t>1</w:t>
            </w:r>
          </w:p>
        </w:tc>
        <w:tc>
          <w:tcPr>
            <w:tcW w:w="540" w:type="dxa"/>
          </w:tcPr>
          <w:p w14:paraId="4C850B6D" w14:textId="77777777" w:rsidR="00B678B5" w:rsidRPr="00E359BF" w:rsidRDefault="00B678B5">
            <w:pPr>
              <w:pStyle w:val="TableTextCentered"/>
              <w:rPr>
                <w:rFonts w:eastAsia="Times New Roman"/>
              </w:rPr>
            </w:pPr>
            <w:r>
              <w:rPr>
                <w:rFonts w:eastAsia="Times New Roman"/>
              </w:rPr>
              <w:t>40</w:t>
            </w:r>
          </w:p>
        </w:tc>
        <w:tc>
          <w:tcPr>
            <w:tcW w:w="900" w:type="dxa"/>
          </w:tcPr>
          <w:p w14:paraId="27142D17" w14:textId="77777777" w:rsidR="00B678B5" w:rsidRPr="00E359BF" w:rsidRDefault="00B678B5">
            <w:pPr>
              <w:pStyle w:val="TableTextCentered"/>
              <w:rPr>
                <w:rFonts w:eastAsia="Times New Roman"/>
              </w:rPr>
            </w:pPr>
            <w:r>
              <w:rPr>
                <w:rFonts w:eastAsia="Times New Roman"/>
              </w:rPr>
              <w:t>2.9</w:t>
            </w:r>
          </w:p>
        </w:tc>
      </w:tr>
      <w:tr w:rsidR="00B678B5" w:rsidRPr="00E359BF" w14:paraId="15D2DFCF"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7F9240C7" w14:textId="77777777" w:rsidR="00B678B5" w:rsidRPr="00C131AE" w:rsidRDefault="00B678B5">
            <w:pPr>
              <w:pStyle w:val="TableSubheading"/>
              <w:rPr>
                <w:szCs w:val="20"/>
              </w:rPr>
            </w:pPr>
            <w:r w:rsidRPr="00C131AE">
              <w:t>Classroom Organization Domain</w:t>
            </w:r>
          </w:p>
        </w:tc>
        <w:tc>
          <w:tcPr>
            <w:tcW w:w="720" w:type="dxa"/>
          </w:tcPr>
          <w:p w14:paraId="28CC0024" w14:textId="77777777" w:rsidR="00B678B5" w:rsidRPr="00C131AE" w:rsidRDefault="00B678B5">
            <w:pPr>
              <w:pStyle w:val="TableTextCenteredDemi"/>
              <w:rPr>
                <w:rFonts w:eastAsia="Times New Roman"/>
              </w:rPr>
            </w:pPr>
            <w:r w:rsidRPr="00C131AE">
              <w:rPr>
                <w:rFonts w:eastAsia="Times New Roman"/>
              </w:rPr>
              <w:t>0</w:t>
            </w:r>
          </w:p>
        </w:tc>
        <w:tc>
          <w:tcPr>
            <w:tcW w:w="720" w:type="dxa"/>
          </w:tcPr>
          <w:p w14:paraId="352E23A5" w14:textId="77777777" w:rsidR="00B678B5" w:rsidRPr="00C131AE" w:rsidRDefault="00B678B5">
            <w:pPr>
              <w:pStyle w:val="TableTextCenteredDemi"/>
              <w:rPr>
                <w:rFonts w:eastAsia="Times New Roman"/>
              </w:rPr>
            </w:pPr>
            <w:r w:rsidRPr="00C131AE">
              <w:rPr>
                <w:rFonts w:eastAsia="Times New Roman"/>
              </w:rPr>
              <w:t>1</w:t>
            </w:r>
          </w:p>
        </w:tc>
        <w:tc>
          <w:tcPr>
            <w:tcW w:w="720" w:type="dxa"/>
          </w:tcPr>
          <w:p w14:paraId="461A3E1E" w14:textId="77777777" w:rsidR="00B678B5" w:rsidRPr="00C131AE" w:rsidRDefault="00B678B5">
            <w:pPr>
              <w:pStyle w:val="TableTextCenteredDemi"/>
              <w:rPr>
                <w:rFonts w:eastAsia="Times New Roman"/>
              </w:rPr>
            </w:pPr>
            <w:r w:rsidRPr="00C131AE">
              <w:rPr>
                <w:rFonts w:eastAsia="Times New Roman"/>
              </w:rPr>
              <w:t>1</w:t>
            </w:r>
          </w:p>
        </w:tc>
        <w:tc>
          <w:tcPr>
            <w:tcW w:w="720" w:type="dxa"/>
          </w:tcPr>
          <w:p w14:paraId="77CDE22E" w14:textId="77777777" w:rsidR="00B678B5" w:rsidRPr="00C131AE" w:rsidRDefault="00B678B5">
            <w:pPr>
              <w:pStyle w:val="TableTextCenteredDemi"/>
              <w:rPr>
                <w:rFonts w:eastAsia="Times New Roman"/>
              </w:rPr>
            </w:pPr>
            <w:r w:rsidRPr="00C131AE">
              <w:rPr>
                <w:rFonts w:eastAsia="Times New Roman"/>
              </w:rPr>
              <w:t>7</w:t>
            </w:r>
          </w:p>
        </w:tc>
        <w:tc>
          <w:tcPr>
            <w:tcW w:w="720" w:type="dxa"/>
          </w:tcPr>
          <w:p w14:paraId="306B0462" w14:textId="77777777" w:rsidR="00B678B5" w:rsidRPr="00C131AE" w:rsidRDefault="00B678B5">
            <w:pPr>
              <w:pStyle w:val="TableTextCenteredDemi"/>
              <w:rPr>
                <w:rFonts w:eastAsia="Times New Roman"/>
              </w:rPr>
            </w:pPr>
            <w:r w:rsidRPr="00C131AE">
              <w:rPr>
                <w:rFonts w:eastAsia="Times New Roman"/>
              </w:rPr>
              <w:t>14</w:t>
            </w:r>
          </w:p>
        </w:tc>
        <w:tc>
          <w:tcPr>
            <w:tcW w:w="720" w:type="dxa"/>
          </w:tcPr>
          <w:p w14:paraId="1493FF3E" w14:textId="77777777" w:rsidR="00B678B5" w:rsidRPr="00C131AE" w:rsidRDefault="00B678B5">
            <w:pPr>
              <w:pStyle w:val="TableTextCenteredDemi"/>
              <w:rPr>
                <w:rFonts w:eastAsia="Times New Roman"/>
              </w:rPr>
            </w:pPr>
            <w:r w:rsidRPr="00C131AE">
              <w:rPr>
                <w:rFonts w:eastAsia="Times New Roman"/>
              </w:rPr>
              <w:t>25</w:t>
            </w:r>
          </w:p>
        </w:tc>
        <w:tc>
          <w:tcPr>
            <w:tcW w:w="720" w:type="dxa"/>
          </w:tcPr>
          <w:p w14:paraId="0CB3A69F" w14:textId="77777777" w:rsidR="00B678B5" w:rsidRPr="00C131AE" w:rsidRDefault="00B678B5">
            <w:pPr>
              <w:pStyle w:val="TableTextCenteredDemi"/>
              <w:rPr>
                <w:rFonts w:eastAsia="Times New Roman"/>
              </w:rPr>
            </w:pPr>
            <w:r w:rsidRPr="00C131AE">
              <w:rPr>
                <w:rFonts w:eastAsia="Times New Roman"/>
              </w:rPr>
              <w:t>72</w:t>
            </w:r>
          </w:p>
        </w:tc>
        <w:tc>
          <w:tcPr>
            <w:tcW w:w="540" w:type="dxa"/>
          </w:tcPr>
          <w:p w14:paraId="630BE4F8" w14:textId="77777777" w:rsidR="00B678B5" w:rsidRPr="00C131AE" w:rsidRDefault="00B678B5">
            <w:pPr>
              <w:pStyle w:val="TableTextCenteredDemi"/>
              <w:rPr>
                <w:rFonts w:eastAsia="Times New Roman"/>
              </w:rPr>
            </w:pPr>
            <w:r w:rsidRPr="00C131AE">
              <w:rPr>
                <w:rFonts w:eastAsia="Times New Roman"/>
              </w:rPr>
              <w:t>120</w:t>
            </w:r>
          </w:p>
        </w:tc>
        <w:tc>
          <w:tcPr>
            <w:tcW w:w="900" w:type="dxa"/>
          </w:tcPr>
          <w:p w14:paraId="5A5BFBAC" w14:textId="77777777" w:rsidR="00B678B5" w:rsidRPr="00C131AE" w:rsidRDefault="00B678B5">
            <w:pPr>
              <w:pStyle w:val="TableTextCenteredDemi"/>
              <w:rPr>
                <w:rFonts w:eastAsia="Times New Roman"/>
              </w:rPr>
            </w:pPr>
            <w:r w:rsidRPr="00C131AE">
              <w:rPr>
                <w:rFonts w:eastAsia="Times New Roman"/>
              </w:rPr>
              <w:t>6.3</w:t>
            </w:r>
          </w:p>
        </w:tc>
      </w:tr>
      <w:tr w:rsidR="00B678B5" w:rsidRPr="00E359BF" w14:paraId="277FA526" w14:textId="77777777" w:rsidTr="00D679F6">
        <w:tc>
          <w:tcPr>
            <w:tcW w:w="3232" w:type="dxa"/>
          </w:tcPr>
          <w:p w14:paraId="55E0D85F" w14:textId="77777777" w:rsidR="00B678B5" w:rsidRPr="00E359BF" w:rsidRDefault="00B678B5">
            <w:pPr>
              <w:pStyle w:val="TableText"/>
              <w:ind w:left="204"/>
              <w:rPr>
                <w:b/>
                <w:bCs/>
              </w:rPr>
            </w:pPr>
            <w:r w:rsidRPr="00E359BF">
              <w:t>Behavior Management</w:t>
            </w:r>
          </w:p>
        </w:tc>
        <w:tc>
          <w:tcPr>
            <w:tcW w:w="720" w:type="dxa"/>
          </w:tcPr>
          <w:p w14:paraId="2DD99BFD" w14:textId="77777777" w:rsidR="00B678B5" w:rsidRPr="00E359BF" w:rsidRDefault="00B678B5">
            <w:pPr>
              <w:pStyle w:val="TableTextCentered"/>
              <w:rPr>
                <w:rFonts w:eastAsia="Times New Roman"/>
              </w:rPr>
            </w:pPr>
            <w:r>
              <w:rPr>
                <w:rFonts w:eastAsia="Times New Roman"/>
              </w:rPr>
              <w:t>0</w:t>
            </w:r>
          </w:p>
        </w:tc>
        <w:tc>
          <w:tcPr>
            <w:tcW w:w="720" w:type="dxa"/>
          </w:tcPr>
          <w:p w14:paraId="10420CD5" w14:textId="77777777" w:rsidR="00B678B5" w:rsidRPr="00E359BF" w:rsidRDefault="00B678B5">
            <w:pPr>
              <w:pStyle w:val="TableTextCentered"/>
              <w:rPr>
                <w:rFonts w:eastAsia="Times New Roman"/>
              </w:rPr>
            </w:pPr>
            <w:r>
              <w:rPr>
                <w:rFonts w:eastAsia="Times New Roman"/>
              </w:rPr>
              <w:t>1</w:t>
            </w:r>
          </w:p>
        </w:tc>
        <w:tc>
          <w:tcPr>
            <w:tcW w:w="720" w:type="dxa"/>
          </w:tcPr>
          <w:p w14:paraId="50F30BA3" w14:textId="77777777" w:rsidR="00B678B5" w:rsidRPr="00E359BF" w:rsidRDefault="00B678B5">
            <w:pPr>
              <w:pStyle w:val="TableTextCentered"/>
              <w:rPr>
                <w:rFonts w:eastAsia="Times New Roman"/>
              </w:rPr>
            </w:pPr>
            <w:r>
              <w:rPr>
                <w:rFonts w:eastAsia="Times New Roman"/>
              </w:rPr>
              <w:t>1</w:t>
            </w:r>
          </w:p>
        </w:tc>
        <w:tc>
          <w:tcPr>
            <w:tcW w:w="720" w:type="dxa"/>
          </w:tcPr>
          <w:p w14:paraId="17125844" w14:textId="77777777" w:rsidR="00B678B5" w:rsidRPr="00E359BF" w:rsidRDefault="00B678B5">
            <w:pPr>
              <w:pStyle w:val="TableTextCentered"/>
              <w:rPr>
                <w:rFonts w:eastAsia="Times New Roman"/>
              </w:rPr>
            </w:pPr>
            <w:r>
              <w:rPr>
                <w:rFonts w:eastAsia="Times New Roman"/>
              </w:rPr>
              <w:t>5</w:t>
            </w:r>
          </w:p>
        </w:tc>
        <w:tc>
          <w:tcPr>
            <w:tcW w:w="720" w:type="dxa"/>
          </w:tcPr>
          <w:p w14:paraId="35D0D955" w14:textId="77777777" w:rsidR="00B678B5" w:rsidRPr="00E359BF" w:rsidRDefault="00B678B5">
            <w:pPr>
              <w:pStyle w:val="TableTextCentered"/>
              <w:rPr>
                <w:rFonts w:eastAsia="Times New Roman"/>
              </w:rPr>
            </w:pPr>
            <w:r>
              <w:rPr>
                <w:rFonts w:eastAsia="Times New Roman"/>
              </w:rPr>
              <w:t>7</w:t>
            </w:r>
          </w:p>
        </w:tc>
        <w:tc>
          <w:tcPr>
            <w:tcW w:w="720" w:type="dxa"/>
          </w:tcPr>
          <w:p w14:paraId="282E674D" w14:textId="77777777" w:rsidR="00B678B5" w:rsidRPr="00E359BF" w:rsidRDefault="00B678B5">
            <w:pPr>
              <w:pStyle w:val="TableTextCentered"/>
              <w:rPr>
                <w:rFonts w:eastAsia="Times New Roman"/>
              </w:rPr>
            </w:pPr>
            <w:r>
              <w:rPr>
                <w:rFonts w:eastAsia="Times New Roman"/>
              </w:rPr>
              <w:t>8</w:t>
            </w:r>
          </w:p>
        </w:tc>
        <w:tc>
          <w:tcPr>
            <w:tcW w:w="720" w:type="dxa"/>
          </w:tcPr>
          <w:p w14:paraId="173DAB26" w14:textId="77777777" w:rsidR="00B678B5" w:rsidRPr="00E359BF" w:rsidRDefault="00B678B5">
            <w:pPr>
              <w:pStyle w:val="TableTextCentered"/>
              <w:rPr>
                <w:rFonts w:eastAsia="Times New Roman"/>
              </w:rPr>
            </w:pPr>
            <w:r>
              <w:rPr>
                <w:rFonts w:eastAsia="Times New Roman"/>
              </w:rPr>
              <w:t>18</w:t>
            </w:r>
          </w:p>
        </w:tc>
        <w:tc>
          <w:tcPr>
            <w:tcW w:w="540" w:type="dxa"/>
          </w:tcPr>
          <w:p w14:paraId="33DB90CB" w14:textId="77777777" w:rsidR="00B678B5" w:rsidRPr="00E359BF" w:rsidRDefault="00B678B5">
            <w:pPr>
              <w:pStyle w:val="TableTextCentered"/>
              <w:rPr>
                <w:rFonts w:eastAsia="Times New Roman"/>
              </w:rPr>
            </w:pPr>
            <w:r>
              <w:rPr>
                <w:rFonts w:eastAsia="Times New Roman"/>
              </w:rPr>
              <w:t>40</w:t>
            </w:r>
          </w:p>
        </w:tc>
        <w:tc>
          <w:tcPr>
            <w:tcW w:w="900" w:type="dxa"/>
          </w:tcPr>
          <w:p w14:paraId="094E9A3C" w14:textId="77777777" w:rsidR="00B678B5" w:rsidRPr="00E359BF" w:rsidRDefault="00B678B5">
            <w:pPr>
              <w:pStyle w:val="TableTextCentered"/>
              <w:rPr>
                <w:rFonts w:eastAsia="Times New Roman"/>
              </w:rPr>
            </w:pPr>
            <w:r>
              <w:rPr>
                <w:rFonts w:eastAsia="Times New Roman"/>
              </w:rPr>
              <w:t>5.9</w:t>
            </w:r>
          </w:p>
        </w:tc>
      </w:tr>
      <w:tr w:rsidR="00B678B5" w:rsidRPr="00E359BF" w14:paraId="4BDFB7B6"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66EF62DE" w14:textId="77777777" w:rsidR="00B678B5" w:rsidRPr="00E359BF" w:rsidRDefault="00B678B5">
            <w:pPr>
              <w:pStyle w:val="TableText"/>
              <w:ind w:left="204"/>
              <w:rPr>
                <w:b/>
                <w:bCs/>
              </w:rPr>
            </w:pPr>
            <w:r w:rsidRPr="00E359BF">
              <w:t>Productivity</w:t>
            </w:r>
          </w:p>
        </w:tc>
        <w:tc>
          <w:tcPr>
            <w:tcW w:w="720" w:type="dxa"/>
          </w:tcPr>
          <w:p w14:paraId="08B0C41B" w14:textId="77777777" w:rsidR="00B678B5" w:rsidRPr="00E359BF" w:rsidRDefault="00B678B5">
            <w:pPr>
              <w:pStyle w:val="TableTextCentered"/>
              <w:rPr>
                <w:rFonts w:eastAsia="Times New Roman"/>
              </w:rPr>
            </w:pPr>
            <w:r>
              <w:rPr>
                <w:rFonts w:eastAsia="Times New Roman"/>
              </w:rPr>
              <w:t>0</w:t>
            </w:r>
          </w:p>
        </w:tc>
        <w:tc>
          <w:tcPr>
            <w:tcW w:w="720" w:type="dxa"/>
          </w:tcPr>
          <w:p w14:paraId="005FF10A" w14:textId="77777777" w:rsidR="00B678B5" w:rsidRPr="00E359BF" w:rsidRDefault="00B678B5">
            <w:pPr>
              <w:pStyle w:val="TableTextCentered"/>
              <w:rPr>
                <w:rFonts w:eastAsia="Times New Roman"/>
              </w:rPr>
            </w:pPr>
            <w:r>
              <w:rPr>
                <w:rFonts w:eastAsia="Times New Roman"/>
              </w:rPr>
              <w:t>0</w:t>
            </w:r>
          </w:p>
        </w:tc>
        <w:tc>
          <w:tcPr>
            <w:tcW w:w="720" w:type="dxa"/>
          </w:tcPr>
          <w:p w14:paraId="7BAECD11" w14:textId="77777777" w:rsidR="00B678B5" w:rsidRPr="00E359BF" w:rsidRDefault="00B678B5">
            <w:pPr>
              <w:pStyle w:val="TableTextCentered"/>
              <w:rPr>
                <w:rFonts w:eastAsia="Times New Roman"/>
              </w:rPr>
            </w:pPr>
            <w:r>
              <w:rPr>
                <w:rFonts w:eastAsia="Times New Roman"/>
              </w:rPr>
              <w:t>0</w:t>
            </w:r>
          </w:p>
        </w:tc>
        <w:tc>
          <w:tcPr>
            <w:tcW w:w="720" w:type="dxa"/>
          </w:tcPr>
          <w:p w14:paraId="7BFE0D78" w14:textId="77777777" w:rsidR="00B678B5" w:rsidRPr="00E359BF" w:rsidRDefault="00B678B5">
            <w:pPr>
              <w:pStyle w:val="TableTextCentered"/>
              <w:rPr>
                <w:rFonts w:eastAsia="Times New Roman"/>
              </w:rPr>
            </w:pPr>
            <w:r>
              <w:rPr>
                <w:rFonts w:eastAsia="Times New Roman"/>
              </w:rPr>
              <w:t>2</w:t>
            </w:r>
          </w:p>
        </w:tc>
        <w:tc>
          <w:tcPr>
            <w:tcW w:w="720" w:type="dxa"/>
          </w:tcPr>
          <w:p w14:paraId="5C57AC67" w14:textId="77777777" w:rsidR="00B678B5" w:rsidRPr="00E359BF" w:rsidRDefault="00B678B5">
            <w:pPr>
              <w:pStyle w:val="TableTextCentered"/>
              <w:rPr>
                <w:rFonts w:eastAsia="Times New Roman"/>
              </w:rPr>
            </w:pPr>
            <w:r>
              <w:rPr>
                <w:rFonts w:eastAsia="Times New Roman"/>
              </w:rPr>
              <w:t>7</w:t>
            </w:r>
          </w:p>
        </w:tc>
        <w:tc>
          <w:tcPr>
            <w:tcW w:w="720" w:type="dxa"/>
          </w:tcPr>
          <w:p w14:paraId="2A7DD658" w14:textId="77777777" w:rsidR="00B678B5" w:rsidRPr="00E359BF" w:rsidRDefault="00B678B5">
            <w:pPr>
              <w:pStyle w:val="TableTextCentered"/>
              <w:rPr>
                <w:rFonts w:eastAsia="Times New Roman"/>
              </w:rPr>
            </w:pPr>
            <w:r>
              <w:rPr>
                <w:rFonts w:eastAsia="Times New Roman"/>
              </w:rPr>
              <w:t>15</w:t>
            </w:r>
          </w:p>
        </w:tc>
        <w:tc>
          <w:tcPr>
            <w:tcW w:w="720" w:type="dxa"/>
          </w:tcPr>
          <w:p w14:paraId="3894A92A" w14:textId="77777777" w:rsidR="00B678B5" w:rsidRPr="00E359BF" w:rsidRDefault="00B678B5">
            <w:pPr>
              <w:pStyle w:val="TableTextCentered"/>
              <w:rPr>
                <w:rFonts w:eastAsia="Times New Roman"/>
              </w:rPr>
            </w:pPr>
            <w:r>
              <w:rPr>
                <w:rFonts w:eastAsia="Times New Roman"/>
              </w:rPr>
              <w:t>16</w:t>
            </w:r>
          </w:p>
        </w:tc>
        <w:tc>
          <w:tcPr>
            <w:tcW w:w="540" w:type="dxa"/>
          </w:tcPr>
          <w:p w14:paraId="3A2A76C4" w14:textId="77777777" w:rsidR="00B678B5" w:rsidRPr="00E359BF" w:rsidRDefault="00B678B5">
            <w:pPr>
              <w:pStyle w:val="TableTextCentered"/>
              <w:rPr>
                <w:rFonts w:eastAsia="Times New Roman"/>
              </w:rPr>
            </w:pPr>
            <w:r>
              <w:rPr>
                <w:rFonts w:eastAsia="Times New Roman"/>
              </w:rPr>
              <w:t>40</w:t>
            </w:r>
          </w:p>
        </w:tc>
        <w:tc>
          <w:tcPr>
            <w:tcW w:w="900" w:type="dxa"/>
          </w:tcPr>
          <w:p w14:paraId="0A1B1420" w14:textId="77777777" w:rsidR="00B678B5" w:rsidRPr="00E359BF" w:rsidRDefault="00B678B5">
            <w:pPr>
              <w:pStyle w:val="TableTextCentered"/>
              <w:rPr>
                <w:rFonts w:eastAsia="Times New Roman"/>
              </w:rPr>
            </w:pPr>
            <w:r>
              <w:rPr>
                <w:rFonts w:eastAsia="Times New Roman"/>
              </w:rPr>
              <w:t>6.1</w:t>
            </w:r>
          </w:p>
        </w:tc>
      </w:tr>
      <w:tr w:rsidR="00B678B5" w:rsidRPr="00E359BF" w14:paraId="76A6CB9F" w14:textId="77777777" w:rsidTr="00D679F6">
        <w:tc>
          <w:tcPr>
            <w:tcW w:w="3232" w:type="dxa"/>
          </w:tcPr>
          <w:p w14:paraId="6097A1C6" w14:textId="77777777" w:rsidR="00B678B5" w:rsidRPr="00E359BF" w:rsidRDefault="00B678B5">
            <w:pPr>
              <w:pStyle w:val="TableText"/>
              <w:ind w:left="204"/>
              <w:rPr>
                <w:b/>
                <w:bCs/>
              </w:rPr>
            </w:pPr>
            <w:r w:rsidRPr="00D931E1">
              <w:t>Negative Climate</w:t>
            </w:r>
            <w:r>
              <w:t>**</w:t>
            </w:r>
          </w:p>
        </w:tc>
        <w:tc>
          <w:tcPr>
            <w:tcW w:w="720" w:type="dxa"/>
          </w:tcPr>
          <w:p w14:paraId="34260EE8" w14:textId="77777777" w:rsidR="00B678B5" w:rsidRPr="00E359BF" w:rsidRDefault="00B678B5">
            <w:pPr>
              <w:pStyle w:val="TableTextCentered"/>
              <w:rPr>
                <w:rFonts w:eastAsia="Times New Roman"/>
              </w:rPr>
            </w:pPr>
            <w:r>
              <w:rPr>
                <w:rFonts w:eastAsia="Times New Roman"/>
              </w:rPr>
              <w:t>0</w:t>
            </w:r>
          </w:p>
        </w:tc>
        <w:tc>
          <w:tcPr>
            <w:tcW w:w="720" w:type="dxa"/>
          </w:tcPr>
          <w:p w14:paraId="3316BC4A" w14:textId="77777777" w:rsidR="00B678B5" w:rsidRPr="00E359BF" w:rsidRDefault="00B678B5">
            <w:pPr>
              <w:pStyle w:val="TableTextCentered"/>
              <w:rPr>
                <w:rFonts w:eastAsia="Times New Roman"/>
              </w:rPr>
            </w:pPr>
            <w:r>
              <w:rPr>
                <w:rFonts w:eastAsia="Times New Roman"/>
              </w:rPr>
              <w:t>0</w:t>
            </w:r>
          </w:p>
        </w:tc>
        <w:tc>
          <w:tcPr>
            <w:tcW w:w="720" w:type="dxa"/>
          </w:tcPr>
          <w:p w14:paraId="0A422CD7" w14:textId="77777777" w:rsidR="00B678B5" w:rsidRPr="00E359BF" w:rsidRDefault="00B678B5">
            <w:pPr>
              <w:pStyle w:val="TableTextCentered"/>
              <w:rPr>
                <w:rFonts w:eastAsia="Times New Roman"/>
              </w:rPr>
            </w:pPr>
            <w:r>
              <w:rPr>
                <w:rFonts w:eastAsia="Times New Roman"/>
              </w:rPr>
              <w:t>0</w:t>
            </w:r>
          </w:p>
        </w:tc>
        <w:tc>
          <w:tcPr>
            <w:tcW w:w="720" w:type="dxa"/>
          </w:tcPr>
          <w:p w14:paraId="27BEF24C" w14:textId="77777777" w:rsidR="00B678B5" w:rsidRPr="00E359BF" w:rsidRDefault="00B678B5">
            <w:pPr>
              <w:pStyle w:val="TableTextCentered"/>
              <w:rPr>
                <w:rFonts w:eastAsia="Times New Roman"/>
              </w:rPr>
            </w:pPr>
            <w:r>
              <w:rPr>
                <w:rFonts w:eastAsia="Times New Roman"/>
              </w:rPr>
              <w:t>0</w:t>
            </w:r>
          </w:p>
        </w:tc>
        <w:tc>
          <w:tcPr>
            <w:tcW w:w="720" w:type="dxa"/>
          </w:tcPr>
          <w:p w14:paraId="63621E4E" w14:textId="77777777" w:rsidR="00B678B5" w:rsidRPr="00E359BF" w:rsidRDefault="00B678B5">
            <w:pPr>
              <w:pStyle w:val="TableTextCentered"/>
              <w:rPr>
                <w:rFonts w:eastAsia="Times New Roman"/>
              </w:rPr>
            </w:pPr>
            <w:r>
              <w:rPr>
                <w:rFonts w:eastAsia="Times New Roman"/>
              </w:rPr>
              <w:t>0</w:t>
            </w:r>
          </w:p>
        </w:tc>
        <w:tc>
          <w:tcPr>
            <w:tcW w:w="720" w:type="dxa"/>
          </w:tcPr>
          <w:p w14:paraId="4631883A" w14:textId="77777777" w:rsidR="00B678B5" w:rsidRPr="00E359BF" w:rsidRDefault="00B678B5">
            <w:pPr>
              <w:pStyle w:val="TableTextCentered"/>
              <w:rPr>
                <w:rFonts w:eastAsia="Times New Roman"/>
              </w:rPr>
            </w:pPr>
            <w:r>
              <w:rPr>
                <w:rFonts w:eastAsia="Times New Roman"/>
              </w:rPr>
              <w:t>2</w:t>
            </w:r>
          </w:p>
        </w:tc>
        <w:tc>
          <w:tcPr>
            <w:tcW w:w="720" w:type="dxa"/>
          </w:tcPr>
          <w:p w14:paraId="7543F681" w14:textId="77777777" w:rsidR="00B678B5" w:rsidRPr="00E359BF" w:rsidRDefault="00B678B5">
            <w:pPr>
              <w:pStyle w:val="TableTextCentered"/>
              <w:rPr>
                <w:rFonts w:eastAsia="Times New Roman"/>
              </w:rPr>
            </w:pPr>
            <w:r>
              <w:rPr>
                <w:rFonts w:eastAsia="Times New Roman"/>
              </w:rPr>
              <w:t>38</w:t>
            </w:r>
          </w:p>
        </w:tc>
        <w:tc>
          <w:tcPr>
            <w:tcW w:w="540" w:type="dxa"/>
          </w:tcPr>
          <w:p w14:paraId="4B54A01C" w14:textId="77777777" w:rsidR="00B678B5" w:rsidRPr="00E359BF" w:rsidRDefault="00B678B5">
            <w:pPr>
              <w:pStyle w:val="TableTextCentered"/>
              <w:rPr>
                <w:rFonts w:eastAsia="Times New Roman"/>
              </w:rPr>
            </w:pPr>
            <w:r>
              <w:rPr>
                <w:rFonts w:eastAsia="Times New Roman"/>
              </w:rPr>
              <w:t>40</w:t>
            </w:r>
          </w:p>
        </w:tc>
        <w:tc>
          <w:tcPr>
            <w:tcW w:w="900" w:type="dxa"/>
          </w:tcPr>
          <w:p w14:paraId="088F25B8" w14:textId="77777777" w:rsidR="00B678B5" w:rsidRPr="00E359BF" w:rsidRDefault="00B678B5">
            <w:pPr>
              <w:pStyle w:val="TableTextCentered"/>
              <w:rPr>
                <w:rFonts w:eastAsia="Times New Roman"/>
              </w:rPr>
            </w:pPr>
            <w:r>
              <w:rPr>
                <w:rFonts w:eastAsia="Times New Roman"/>
              </w:rPr>
              <w:t>7.0</w:t>
            </w:r>
          </w:p>
        </w:tc>
      </w:tr>
      <w:tr w:rsidR="00B678B5" w:rsidRPr="00E359BF" w14:paraId="4785AF67"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77DE9369" w14:textId="77777777" w:rsidR="00B678B5" w:rsidRPr="00C131AE" w:rsidRDefault="00B678B5">
            <w:pPr>
              <w:pStyle w:val="TableSubheading"/>
              <w:rPr>
                <w:szCs w:val="20"/>
              </w:rPr>
            </w:pPr>
            <w:r w:rsidRPr="00C131AE">
              <w:t>Instructional Support Domain</w:t>
            </w:r>
          </w:p>
        </w:tc>
        <w:tc>
          <w:tcPr>
            <w:tcW w:w="720" w:type="dxa"/>
          </w:tcPr>
          <w:p w14:paraId="30CA1EB4" w14:textId="77777777" w:rsidR="00B678B5" w:rsidRPr="00C131AE" w:rsidRDefault="00B678B5">
            <w:pPr>
              <w:pStyle w:val="TableTextCenteredDemi"/>
              <w:rPr>
                <w:rFonts w:eastAsia="Times New Roman"/>
              </w:rPr>
            </w:pPr>
            <w:r w:rsidRPr="00C131AE">
              <w:rPr>
                <w:rFonts w:eastAsia="Times New Roman"/>
              </w:rPr>
              <w:t>28</w:t>
            </w:r>
          </w:p>
        </w:tc>
        <w:tc>
          <w:tcPr>
            <w:tcW w:w="720" w:type="dxa"/>
          </w:tcPr>
          <w:p w14:paraId="5508A719" w14:textId="77777777" w:rsidR="00B678B5" w:rsidRPr="00C131AE" w:rsidRDefault="00B678B5">
            <w:pPr>
              <w:pStyle w:val="TableTextCenteredDemi"/>
              <w:rPr>
                <w:rFonts w:eastAsia="Times New Roman"/>
              </w:rPr>
            </w:pPr>
            <w:r w:rsidRPr="00C131AE">
              <w:rPr>
                <w:rFonts w:eastAsia="Times New Roman"/>
              </w:rPr>
              <w:t>43</w:t>
            </w:r>
          </w:p>
        </w:tc>
        <w:tc>
          <w:tcPr>
            <w:tcW w:w="720" w:type="dxa"/>
          </w:tcPr>
          <w:p w14:paraId="47FF3D67" w14:textId="77777777" w:rsidR="00B678B5" w:rsidRPr="00C131AE" w:rsidRDefault="00B678B5">
            <w:pPr>
              <w:pStyle w:val="TableTextCenteredDemi"/>
              <w:rPr>
                <w:rFonts w:eastAsia="Times New Roman"/>
              </w:rPr>
            </w:pPr>
            <w:r w:rsidRPr="00C131AE">
              <w:rPr>
                <w:rFonts w:eastAsia="Times New Roman"/>
              </w:rPr>
              <w:t>40</w:t>
            </w:r>
          </w:p>
        </w:tc>
        <w:tc>
          <w:tcPr>
            <w:tcW w:w="720" w:type="dxa"/>
          </w:tcPr>
          <w:p w14:paraId="25E371A9" w14:textId="77777777" w:rsidR="00B678B5" w:rsidRPr="00C131AE" w:rsidRDefault="00B678B5">
            <w:pPr>
              <w:pStyle w:val="TableTextCenteredDemi"/>
              <w:rPr>
                <w:rFonts w:eastAsia="Times New Roman"/>
              </w:rPr>
            </w:pPr>
            <w:r w:rsidRPr="00C131AE">
              <w:rPr>
                <w:rFonts w:eastAsia="Times New Roman"/>
              </w:rPr>
              <w:t>30</w:t>
            </w:r>
          </w:p>
        </w:tc>
        <w:tc>
          <w:tcPr>
            <w:tcW w:w="720" w:type="dxa"/>
          </w:tcPr>
          <w:p w14:paraId="218C20AF" w14:textId="77777777" w:rsidR="00B678B5" w:rsidRPr="00C131AE" w:rsidRDefault="00B678B5">
            <w:pPr>
              <w:pStyle w:val="TableTextCenteredDemi"/>
              <w:rPr>
                <w:rFonts w:eastAsia="Times New Roman"/>
              </w:rPr>
            </w:pPr>
            <w:r w:rsidRPr="00C131AE">
              <w:rPr>
                <w:rFonts w:eastAsia="Times New Roman"/>
              </w:rPr>
              <w:t>35</w:t>
            </w:r>
          </w:p>
        </w:tc>
        <w:tc>
          <w:tcPr>
            <w:tcW w:w="720" w:type="dxa"/>
          </w:tcPr>
          <w:p w14:paraId="17CEAD92" w14:textId="77777777" w:rsidR="00B678B5" w:rsidRPr="00C131AE" w:rsidRDefault="00B678B5">
            <w:pPr>
              <w:pStyle w:val="TableTextCenteredDemi"/>
              <w:rPr>
                <w:rFonts w:eastAsia="Times New Roman"/>
              </w:rPr>
            </w:pPr>
            <w:r w:rsidRPr="00C131AE">
              <w:rPr>
                <w:rFonts w:eastAsia="Times New Roman"/>
              </w:rPr>
              <w:t>21</w:t>
            </w:r>
          </w:p>
        </w:tc>
        <w:tc>
          <w:tcPr>
            <w:tcW w:w="720" w:type="dxa"/>
          </w:tcPr>
          <w:p w14:paraId="6EE58544" w14:textId="77777777" w:rsidR="00B678B5" w:rsidRPr="00C131AE" w:rsidRDefault="00B678B5">
            <w:pPr>
              <w:pStyle w:val="TableTextCenteredDemi"/>
              <w:rPr>
                <w:rFonts w:eastAsia="Times New Roman"/>
              </w:rPr>
            </w:pPr>
            <w:r w:rsidRPr="00C131AE">
              <w:rPr>
                <w:rFonts w:eastAsia="Times New Roman"/>
              </w:rPr>
              <w:t>3</w:t>
            </w:r>
          </w:p>
        </w:tc>
        <w:tc>
          <w:tcPr>
            <w:tcW w:w="540" w:type="dxa"/>
          </w:tcPr>
          <w:p w14:paraId="763669A0" w14:textId="77777777" w:rsidR="00B678B5" w:rsidRPr="00C131AE" w:rsidRDefault="00B678B5">
            <w:pPr>
              <w:pStyle w:val="TableTextCenteredDemi"/>
              <w:rPr>
                <w:rFonts w:eastAsia="Times New Roman"/>
              </w:rPr>
            </w:pPr>
            <w:r w:rsidRPr="00C131AE">
              <w:rPr>
                <w:rFonts w:eastAsia="Times New Roman"/>
              </w:rPr>
              <w:t>200</w:t>
            </w:r>
          </w:p>
        </w:tc>
        <w:tc>
          <w:tcPr>
            <w:tcW w:w="900" w:type="dxa"/>
          </w:tcPr>
          <w:p w14:paraId="207F1CEF" w14:textId="77777777" w:rsidR="00B678B5" w:rsidRPr="00C131AE" w:rsidRDefault="00B678B5">
            <w:pPr>
              <w:pStyle w:val="TableTextCenteredDemi"/>
              <w:rPr>
                <w:rFonts w:eastAsia="Times New Roman"/>
              </w:rPr>
            </w:pPr>
            <w:r w:rsidRPr="00C131AE">
              <w:rPr>
                <w:rFonts w:eastAsia="Times New Roman"/>
              </w:rPr>
              <w:t>3.4</w:t>
            </w:r>
          </w:p>
        </w:tc>
      </w:tr>
      <w:tr w:rsidR="00B678B5" w:rsidRPr="00E359BF" w14:paraId="59F7E56F" w14:textId="77777777" w:rsidTr="00D679F6">
        <w:tc>
          <w:tcPr>
            <w:tcW w:w="3232" w:type="dxa"/>
          </w:tcPr>
          <w:p w14:paraId="6EA6CD32" w14:textId="77777777" w:rsidR="00B678B5" w:rsidRPr="00E359BF" w:rsidRDefault="00B678B5">
            <w:pPr>
              <w:pStyle w:val="TableText"/>
              <w:ind w:left="204"/>
              <w:rPr>
                <w:b/>
                <w:bCs/>
              </w:rPr>
            </w:pPr>
            <w:r w:rsidRPr="00D931E1">
              <w:t>Instructional Learning Formats</w:t>
            </w:r>
          </w:p>
        </w:tc>
        <w:tc>
          <w:tcPr>
            <w:tcW w:w="720" w:type="dxa"/>
          </w:tcPr>
          <w:p w14:paraId="101ADBA5" w14:textId="77777777" w:rsidR="00B678B5" w:rsidRPr="00E359BF" w:rsidRDefault="00B678B5">
            <w:pPr>
              <w:pStyle w:val="TableTextCentered"/>
              <w:rPr>
                <w:rFonts w:eastAsia="Times New Roman"/>
              </w:rPr>
            </w:pPr>
            <w:r>
              <w:rPr>
                <w:rFonts w:eastAsia="Times New Roman"/>
              </w:rPr>
              <w:t>0</w:t>
            </w:r>
          </w:p>
        </w:tc>
        <w:tc>
          <w:tcPr>
            <w:tcW w:w="720" w:type="dxa"/>
          </w:tcPr>
          <w:p w14:paraId="716912BE" w14:textId="77777777" w:rsidR="00B678B5" w:rsidRPr="00E359BF" w:rsidRDefault="00B678B5">
            <w:pPr>
              <w:pStyle w:val="TableTextCentered"/>
              <w:rPr>
                <w:rFonts w:eastAsia="Times New Roman"/>
              </w:rPr>
            </w:pPr>
            <w:r>
              <w:rPr>
                <w:rFonts w:eastAsia="Times New Roman"/>
              </w:rPr>
              <w:t>0</w:t>
            </w:r>
          </w:p>
        </w:tc>
        <w:tc>
          <w:tcPr>
            <w:tcW w:w="720" w:type="dxa"/>
          </w:tcPr>
          <w:p w14:paraId="67010000" w14:textId="77777777" w:rsidR="00B678B5" w:rsidRPr="00E359BF" w:rsidRDefault="00B678B5">
            <w:pPr>
              <w:pStyle w:val="TableTextCentered"/>
              <w:rPr>
                <w:rFonts w:eastAsia="Times New Roman"/>
              </w:rPr>
            </w:pPr>
            <w:r>
              <w:rPr>
                <w:rFonts w:eastAsia="Times New Roman"/>
              </w:rPr>
              <w:t>3</w:t>
            </w:r>
          </w:p>
        </w:tc>
        <w:tc>
          <w:tcPr>
            <w:tcW w:w="720" w:type="dxa"/>
          </w:tcPr>
          <w:p w14:paraId="2C69FF4E" w14:textId="77777777" w:rsidR="00B678B5" w:rsidRPr="00E359BF" w:rsidRDefault="00B678B5">
            <w:pPr>
              <w:pStyle w:val="TableTextCentered"/>
              <w:rPr>
                <w:rFonts w:eastAsia="Times New Roman"/>
              </w:rPr>
            </w:pPr>
            <w:r>
              <w:rPr>
                <w:rFonts w:eastAsia="Times New Roman"/>
              </w:rPr>
              <w:t>5</w:t>
            </w:r>
          </w:p>
        </w:tc>
        <w:tc>
          <w:tcPr>
            <w:tcW w:w="720" w:type="dxa"/>
          </w:tcPr>
          <w:p w14:paraId="79741E1C" w14:textId="77777777" w:rsidR="00B678B5" w:rsidRPr="00E359BF" w:rsidRDefault="00B678B5">
            <w:pPr>
              <w:pStyle w:val="TableTextCentered"/>
              <w:rPr>
                <w:rFonts w:eastAsia="Times New Roman"/>
              </w:rPr>
            </w:pPr>
            <w:r>
              <w:rPr>
                <w:rFonts w:eastAsia="Times New Roman"/>
              </w:rPr>
              <w:t>21</w:t>
            </w:r>
          </w:p>
        </w:tc>
        <w:tc>
          <w:tcPr>
            <w:tcW w:w="720" w:type="dxa"/>
          </w:tcPr>
          <w:p w14:paraId="76B42303" w14:textId="77777777" w:rsidR="00B678B5" w:rsidRPr="00E359BF" w:rsidRDefault="00B678B5">
            <w:pPr>
              <w:pStyle w:val="TableTextCentered"/>
              <w:rPr>
                <w:rFonts w:eastAsia="Times New Roman"/>
              </w:rPr>
            </w:pPr>
            <w:r>
              <w:rPr>
                <w:rFonts w:eastAsia="Times New Roman"/>
              </w:rPr>
              <w:t>11</w:t>
            </w:r>
          </w:p>
        </w:tc>
        <w:tc>
          <w:tcPr>
            <w:tcW w:w="720" w:type="dxa"/>
          </w:tcPr>
          <w:p w14:paraId="77B01A41" w14:textId="77777777" w:rsidR="00B678B5" w:rsidRPr="00E359BF" w:rsidRDefault="00B678B5">
            <w:pPr>
              <w:pStyle w:val="TableTextCentered"/>
              <w:rPr>
                <w:rFonts w:eastAsia="Times New Roman"/>
              </w:rPr>
            </w:pPr>
            <w:r>
              <w:rPr>
                <w:rFonts w:eastAsia="Times New Roman"/>
              </w:rPr>
              <w:t>0</w:t>
            </w:r>
          </w:p>
        </w:tc>
        <w:tc>
          <w:tcPr>
            <w:tcW w:w="540" w:type="dxa"/>
          </w:tcPr>
          <w:p w14:paraId="39EC2CAB" w14:textId="77777777" w:rsidR="00B678B5" w:rsidRPr="00E359BF" w:rsidRDefault="00B678B5">
            <w:pPr>
              <w:pStyle w:val="TableTextCentered"/>
              <w:rPr>
                <w:rFonts w:eastAsia="Times New Roman"/>
              </w:rPr>
            </w:pPr>
            <w:r>
              <w:rPr>
                <w:rFonts w:eastAsia="Times New Roman"/>
              </w:rPr>
              <w:t>40</w:t>
            </w:r>
          </w:p>
        </w:tc>
        <w:tc>
          <w:tcPr>
            <w:tcW w:w="900" w:type="dxa"/>
          </w:tcPr>
          <w:p w14:paraId="347A7C1B" w14:textId="77777777" w:rsidR="00B678B5" w:rsidRPr="00E359BF" w:rsidRDefault="00B678B5">
            <w:pPr>
              <w:pStyle w:val="TableTextCentered"/>
              <w:rPr>
                <w:rFonts w:eastAsia="Times New Roman"/>
              </w:rPr>
            </w:pPr>
            <w:r>
              <w:rPr>
                <w:rFonts w:eastAsia="Times New Roman"/>
              </w:rPr>
              <w:t>5.0</w:t>
            </w:r>
          </w:p>
        </w:tc>
      </w:tr>
      <w:tr w:rsidR="00B678B5" w:rsidRPr="00E359BF" w14:paraId="707E2BA0" w14:textId="77777777" w:rsidTr="00D679F6">
        <w:trPr>
          <w:cnfStyle w:val="000000100000" w:firstRow="0" w:lastRow="0" w:firstColumn="0" w:lastColumn="0" w:oddVBand="0" w:evenVBand="0" w:oddHBand="1" w:evenHBand="0" w:firstRowFirstColumn="0" w:firstRowLastColumn="0" w:lastRowFirstColumn="0" w:lastRowLastColumn="0"/>
          <w:trHeight w:val="70"/>
        </w:trPr>
        <w:tc>
          <w:tcPr>
            <w:tcW w:w="3232" w:type="dxa"/>
          </w:tcPr>
          <w:p w14:paraId="1629B40F" w14:textId="77777777" w:rsidR="00B678B5" w:rsidRPr="00E359BF" w:rsidRDefault="00B678B5">
            <w:pPr>
              <w:pStyle w:val="TableText"/>
              <w:ind w:left="204"/>
              <w:rPr>
                <w:b/>
                <w:bCs/>
              </w:rPr>
            </w:pPr>
            <w:r w:rsidRPr="00D931E1">
              <w:t>Content Understanding</w:t>
            </w:r>
          </w:p>
        </w:tc>
        <w:tc>
          <w:tcPr>
            <w:tcW w:w="720" w:type="dxa"/>
          </w:tcPr>
          <w:p w14:paraId="58ED6A08" w14:textId="77777777" w:rsidR="00B678B5" w:rsidRPr="00E359BF" w:rsidRDefault="00B678B5">
            <w:pPr>
              <w:pStyle w:val="TableTextCentered"/>
              <w:rPr>
                <w:rFonts w:eastAsia="Times New Roman"/>
              </w:rPr>
            </w:pPr>
            <w:r>
              <w:rPr>
                <w:rFonts w:eastAsia="Times New Roman"/>
              </w:rPr>
              <w:t>1</w:t>
            </w:r>
          </w:p>
        </w:tc>
        <w:tc>
          <w:tcPr>
            <w:tcW w:w="720" w:type="dxa"/>
          </w:tcPr>
          <w:p w14:paraId="270992CB" w14:textId="77777777" w:rsidR="00B678B5" w:rsidRPr="00E359BF" w:rsidRDefault="00B678B5">
            <w:pPr>
              <w:pStyle w:val="TableTextCentered"/>
              <w:rPr>
                <w:rFonts w:eastAsia="Times New Roman"/>
              </w:rPr>
            </w:pPr>
            <w:r>
              <w:rPr>
                <w:rFonts w:eastAsia="Times New Roman"/>
              </w:rPr>
              <w:t>4</w:t>
            </w:r>
          </w:p>
        </w:tc>
        <w:tc>
          <w:tcPr>
            <w:tcW w:w="720" w:type="dxa"/>
          </w:tcPr>
          <w:p w14:paraId="35514013" w14:textId="77777777" w:rsidR="00B678B5" w:rsidRPr="00E359BF" w:rsidRDefault="00B678B5">
            <w:pPr>
              <w:pStyle w:val="TableTextCentered"/>
              <w:rPr>
                <w:rFonts w:eastAsia="Times New Roman"/>
              </w:rPr>
            </w:pPr>
            <w:r>
              <w:rPr>
                <w:rFonts w:eastAsia="Times New Roman"/>
              </w:rPr>
              <w:t>11</w:t>
            </w:r>
          </w:p>
        </w:tc>
        <w:tc>
          <w:tcPr>
            <w:tcW w:w="720" w:type="dxa"/>
          </w:tcPr>
          <w:p w14:paraId="0913F9F0" w14:textId="77777777" w:rsidR="00B678B5" w:rsidRPr="00E359BF" w:rsidRDefault="00B678B5">
            <w:pPr>
              <w:pStyle w:val="TableTextCentered"/>
              <w:rPr>
                <w:rFonts w:eastAsia="Times New Roman"/>
              </w:rPr>
            </w:pPr>
            <w:r>
              <w:rPr>
                <w:rFonts w:eastAsia="Times New Roman"/>
              </w:rPr>
              <w:t>9</w:t>
            </w:r>
          </w:p>
        </w:tc>
        <w:tc>
          <w:tcPr>
            <w:tcW w:w="720" w:type="dxa"/>
          </w:tcPr>
          <w:p w14:paraId="5E682847" w14:textId="77777777" w:rsidR="00B678B5" w:rsidRPr="00E359BF" w:rsidRDefault="00B678B5">
            <w:pPr>
              <w:pStyle w:val="TableTextCentered"/>
              <w:rPr>
                <w:rFonts w:eastAsia="Times New Roman"/>
              </w:rPr>
            </w:pPr>
            <w:r>
              <w:rPr>
                <w:rFonts w:eastAsia="Times New Roman"/>
              </w:rPr>
              <w:t>6</w:t>
            </w:r>
          </w:p>
        </w:tc>
        <w:tc>
          <w:tcPr>
            <w:tcW w:w="720" w:type="dxa"/>
          </w:tcPr>
          <w:p w14:paraId="5CDE1F8E" w14:textId="77777777" w:rsidR="00B678B5" w:rsidRPr="00E359BF" w:rsidRDefault="00B678B5">
            <w:pPr>
              <w:pStyle w:val="TableTextCentered"/>
              <w:rPr>
                <w:rFonts w:eastAsia="Times New Roman"/>
              </w:rPr>
            </w:pPr>
            <w:r>
              <w:rPr>
                <w:rFonts w:eastAsia="Times New Roman"/>
              </w:rPr>
              <w:t>9</w:t>
            </w:r>
          </w:p>
        </w:tc>
        <w:tc>
          <w:tcPr>
            <w:tcW w:w="720" w:type="dxa"/>
          </w:tcPr>
          <w:p w14:paraId="506D7CC7" w14:textId="77777777" w:rsidR="00B678B5" w:rsidRPr="00E359BF" w:rsidRDefault="00B678B5">
            <w:pPr>
              <w:pStyle w:val="TableTextCentered"/>
              <w:rPr>
                <w:rFonts w:eastAsia="Times New Roman"/>
              </w:rPr>
            </w:pPr>
            <w:r>
              <w:rPr>
                <w:rFonts w:eastAsia="Times New Roman"/>
              </w:rPr>
              <w:t>0</w:t>
            </w:r>
          </w:p>
        </w:tc>
        <w:tc>
          <w:tcPr>
            <w:tcW w:w="540" w:type="dxa"/>
          </w:tcPr>
          <w:p w14:paraId="1358B13E" w14:textId="77777777" w:rsidR="00B678B5" w:rsidRPr="00E359BF" w:rsidRDefault="00B678B5">
            <w:pPr>
              <w:pStyle w:val="TableTextCentered"/>
              <w:rPr>
                <w:rFonts w:eastAsia="Times New Roman"/>
              </w:rPr>
            </w:pPr>
            <w:r>
              <w:rPr>
                <w:rFonts w:eastAsia="Times New Roman"/>
              </w:rPr>
              <w:t>40</w:t>
            </w:r>
          </w:p>
        </w:tc>
        <w:tc>
          <w:tcPr>
            <w:tcW w:w="900" w:type="dxa"/>
          </w:tcPr>
          <w:p w14:paraId="4C944DEC" w14:textId="77777777" w:rsidR="00B678B5" w:rsidRPr="00E359BF" w:rsidRDefault="00B678B5">
            <w:pPr>
              <w:pStyle w:val="TableTextCentered"/>
              <w:rPr>
                <w:rFonts w:eastAsia="Times New Roman"/>
              </w:rPr>
            </w:pPr>
            <w:r>
              <w:rPr>
                <w:rFonts w:eastAsia="Times New Roman"/>
              </w:rPr>
              <w:t>4.1</w:t>
            </w:r>
          </w:p>
        </w:tc>
      </w:tr>
      <w:tr w:rsidR="00B678B5" w:rsidRPr="00E359BF" w14:paraId="73A1BE0C" w14:textId="77777777" w:rsidTr="00D679F6">
        <w:tc>
          <w:tcPr>
            <w:tcW w:w="3232" w:type="dxa"/>
          </w:tcPr>
          <w:p w14:paraId="335C919C" w14:textId="77777777" w:rsidR="00B678B5" w:rsidRPr="00E359BF" w:rsidRDefault="00B678B5">
            <w:pPr>
              <w:pStyle w:val="TableText"/>
              <w:ind w:left="204"/>
              <w:rPr>
                <w:b/>
                <w:bCs/>
              </w:rPr>
            </w:pPr>
            <w:r w:rsidRPr="00D931E1">
              <w:t>Analysis and Inquiry</w:t>
            </w:r>
          </w:p>
        </w:tc>
        <w:tc>
          <w:tcPr>
            <w:tcW w:w="720" w:type="dxa"/>
          </w:tcPr>
          <w:p w14:paraId="014AEA83" w14:textId="77777777" w:rsidR="00B678B5" w:rsidRPr="00E359BF" w:rsidRDefault="00B678B5">
            <w:pPr>
              <w:pStyle w:val="TableTextCentered"/>
              <w:rPr>
                <w:rFonts w:eastAsia="Times New Roman"/>
              </w:rPr>
            </w:pPr>
            <w:r>
              <w:rPr>
                <w:rFonts w:eastAsia="Times New Roman"/>
              </w:rPr>
              <w:t>12</w:t>
            </w:r>
          </w:p>
        </w:tc>
        <w:tc>
          <w:tcPr>
            <w:tcW w:w="720" w:type="dxa"/>
          </w:tcPr>
          <w:p w14:paraId="32135917" w14:textId="77777777" w:rsidR="00B678B5" w:rsidRPr="00E359BF" w:rsidRDefault="00B678B5">
            <w:pPr>
              <w:pStyle w:val="TableTextCentered"/>
              <w:rPr>
                <w:rFonts w:eastAsia="Times New Roman"/>
              </w:rPr>
            </w:pPr>
            <w:r>
              <w:rPr>
                <w:rFonts w:eastAsia="Times New Roman"/>
              </w:rPr>
              <w:t>11</w:t>
            </w:r>
          </w:p>
        </w:tc>
        <w:tc>
          <w:tcPr>
            <w:tcW w:w="720" w:type="dxa"/>
          </w:tcPr>
          <w:p w14:paraId="2B4D955C" w14:textId="77777777" w:rsidR="00B678B5" w:rsidRPr="00E359BF" w:rsidRDefault="00B678B5">
            <w:pPr>
              <w:pStyle w:val="TableTextCentered"/>
              <w:rPr>
                <w:rFonts w:eastAsia="Times New Roman"/>
              </w:rPr>
            </w:pPr>
            <w:r>
              <w:rPr>
                <w:rFonts w:eastAsia="Times New Roman"/>
              </w:rPr>
              <w:t>12</w:t>
            </w:r>
          </w:p>
        </w:tc>
        <w:tc>
          <w:tcPr>
            <w:tcW w:w="720" w:type="dxa"/>
          </w:tcPr>
          <w:p w14:paraId="5A67ACC5" w14:textId="77777777" w:rsidR="00B678B5" w:rsidRPr="00E359BF" w:rsidRDefault="00B678B5">
            <w:pPr>
              <w:pStyle w:val="TableTextCentered"/>
              <w:rPr>
                <w:rFonts w:eastAsia="Times New Roman"/>
              </w:rPr>
            </w:pPr>
            <w:r>
              <w:rPr>
                <w:rFonts w:eastAsia="Times New Roman"/>
              </w:rPr>
              <w:t>4</w:t>
            </w:r>
          </w:p>
        </w:tc>
        <w:tc>
          <w:tcPr>
            <w:tcW w:w="720" w:type="dxa"/>
          </w:tcPr>
          <w:p w14:paraId="565BE88E" w14:textId="77777777" w:rsidR="00B678B5" w:rsidRPr="00E359BF" w:rsidRDefault="00B678B5">
            <w:pPr>
              <w:pStyle w:val="TableTextCentered"/>
              <w:rPr>
                <w:rFonts w:eastAsia="Times New Roman"/>
              </w:rPr>
            </w:pPr>
            <w:r>
              <w:rPr>
                <w:rFonts w:eastAsia="Times New Roman"/>
              </w:rPr>
              <w:t>1</w:t>
            </w:r>
          </w:p>
        </w:tc>
        <w:tc>
          <w:tcPr>
            <w:tcW w:w="720" w:type="dxa"/>
          </w:tcPr>
          <w:p w14:paraId="1EF56FCC" w14:textId="77777777" w:rsidR="00B678B5" w:rsidRPr="00E359BF" w:rsidRDefault="00B678B5">
            <w:pPr>
              <w:pStyle w:val="TableTextCentered"/>
              <w:rPr>
                <w:rFonts w:eastAsia="Times New Roman"/>
              </w:rPr>
            </w:pPr>
            <w:r>
              <w:rPr>
                <w:rFonts w:eastAsia="Times New Roman"/>
              </w:rPr>
              <w:t>0</w:t>
            </w:r>
          </w:p>
        </w:tc>
        <w:tc>
          <w:tcPr>
            <w:tcW w:w="720" w:type="dxa"/>
          </w:tcPr>
          <w:p w14:paraId="48CEA147" w14:textId="77777777" w:rsidR="00B678B5" w:rsidRPr="00E359BF" w:rsidRDefault="00B678B5">
            <w:pPr>
              <w:pStyle w:val="TableTextCentered"/>
              <w:rPr>
                <w:rFonts w:eastAsia="Times New Roman"/>
              </w:rPr>
            </w:pPr>
            <w:r>
              <w:rPr>
                <w:rFonts w:eastAsia="Times New Roman"/>
              </w:rPr>
              <w:t>0</w:t>
            </w:r>
          </w:p>
        </w:tc>
        <w:tc>
          <w:tcPr>
            <w:tcW w:w="540" w:type="dxa"/>
          </w:tcPr>
          <w:p w14:paraId="3A0DF52A" w14:textId="77777777" w:rsidR="00B678B5" w:rsidRPr="00E359BF" w:rsidRDefault="00B678B5">
            <w:pPr>
              <w:pStyle w:val="TableTextCentered"/>
              <w:rPr>
                <w:rFonts w:eastAsia="Times New Roman"/>
              </w:rPr>
            </w:pPr>
            <w:r>
              <w:rPr>
                <w:rFonts w:eastAsia="Times New Roman"/>
              </w:rPr>
              <w:t>40</w:t>
            </w:r>
          </w:p>
        </w:tc>
        <w:tc>
          <w:tcPr>
            <w:tcW w:w="900" w:type="dxa"/>
          </w:tcPr>
          <w:p w14:paraId="448313F7" w14:textId="77777777" w:rsidR="00B678B5" w:rsidRPr="00E359BF" w:rsidRDefault="00B678B5">
            <w:pPr>
              <w:pStyle w:val="TableTextCentered"/>
              <w:rPr>
                <w:rFonts w:eastAsia="Times New Roman"/>
              </w:rPr>
            </w:pPr>
            <w:r>
              <w:rPr>
                <w:rFonts w:eastAsia="Times New Roman"/>
              </w:rPr>
              <w:t>2.3</w:t>
            </w:r>
          </w:p>
        </w:tc>
      </w:tr>
      <w:tr w:rsidR="00B678B5" w:rsidRPr="00E359BF" w14:paraId="093D5C54"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1F04D1F7" w14:textId="77777777" w:rsidR="00B678B5" w:rsidRPr="00D931E1" w:rsidRDefault="00B678B5">
            <w:pPr>
              <w:pStyle w:val="TableText"/>
              <w:ind w:left="204"/>
              <w:rPr>
                <w:b/>
                <w:bCs/>
              </w:rPr>
            </w:pPr>
            <w:r w:rsidRPr="00D931E1">
              <w:t>Quality of Feedback</w:t>
            </w:r>
          </w:p>
        </w:tc>
        <w:tc>
          <w:tcPr>
            <w:tcW w:w="720" w:type="dxa"/>
          </w:tcPr>
          <w:p w14:paraId="16F7B119" w14:textId="77777777" w:rsidR="00B678B5" w:rsidRPr="00E359BF" w:rsidRDefault="00B678B5">
            <w:pPr>
              <w:pStyle w:val="TableTextCentered"/>
              <w:rPr>
                <w:rFonts w:eastAsia="Times New Roman"/>
              </w:rPr>
            </w:pPr>
            <w:r>
              <w:rPr>
                <w:rFonts w:eastAsia="Times New Roman"/>
              </w:rPr>
              <w:t>4</w:t>
            </w:r>
          </w:p>
        </w:tc>
        <w:tc>
          <w:tcPr>
            <w:tcW w:w="720" w:type="dxa"/>
          </w:tcPr>
          <w:p w14:paraId="3751C0AF" w14:textId="77777777" w:rsidR="00B678B5" w:rsidRPr="00E359BF" w:rsidRDefault="00B678B5">
            <w:pPr>
              <w:pStyle w:val="TableTextCentered"/>
              <w:rPr>
                <w:rFonts w:eastAsia="Times New Roman"/>
              </w:rPr>
            </w:pPr>
            <w:r>
              <w:rPr>
                <w:rFonts w:eastAsia="Times New Roman"/>
              </w:rPr>
              <w:t>18</w:t>
            </w:r>
          </w:p>
        </w:tc>
        <w:tc>
          <w:tcPr>
            <w:tcW w:w="720" w:type="dxa"/>
          </w:tcPr>
          <w:p w14:paraId="5659C0AE" w14:textId="77777777" w:rsidR="00B678B5" w:rsidRPr="00E359BF" w:rsidRDefault="00B678B5">
            <w:pPr>
              <w:pStyle w:val="TableTextCentered"/>
              <w:rPr>
                <w:rFonts w:eastAsia="Times New Roman"/>
              </w:rPr>
            </w:pPr>
            <w:r>
              <w:rPr>
                <w:rFonts w:eastAsia="Times New Roman"/>
              </w:rPr>
              <w:t>5</w:t>
            </w:r>
          </w:p>
        </w:tc>
        <w:tc>
          <w:tcPr>
            <w:tcW w:w="720" w:type="dxa"/>
          </w:tcPr>
          <w:p w14:paraId="4C41BB83" w14:textId="77777777" w:rsidR="00B678B5" w:rsidRPr="00E359BF" w:rsidRDefault="00B678B5">
            <w:pPr>
              <w:pStyle w:val="TableTextCentered"/>
              <w:rPr>
                <w:rFonts w:eastAsia="Times New Roman"/>
              </w:rPr>
            </w:pPr>
            <w:r>
              <w:rPr>
                <w:rFonts w:eastAsia="Times New Roman"/>
              </w:rPr>
              <w:t>5</w:t>
            </w:r>
          </w:p>
        </w:tc>
        <w:tc>
          <w:tcPr>
            <w:tcW w:w="720" w:type="dxa"/>
          </w:tcPr>
          <w:p w14:paraId="10C36470" w14:textId="77777777" w:rsidR="00B678B5" w:rsidRPr="00E359BF" w:rsidRDefault="00B678B5">
            <w:pPr>
              <w:pStyle w:val="TableTextCentered"/>
              <w:rPr>
                <w:rFonts w:eastAsia="Times New Roman"/>
              </w:rPr>
            </w:pPr>
            <w:r>
              <w:rPr>
                <w:rFonts w:eastAsia="Times New Roman"/>
              </w:rPr>
              <w:t>5</w:t>
            </w:r>
          </w:p>
        </w:tc>
        <w:tc>
          <w:tcPr>
            <w:tcW w:w="720" w:type="dxa"/>
          </w:tcPr>
          <w:p w14:paraId="32F0D9FB" w14:textId="77777777" w:rsidR="00B678B5" w:rsidRPr="00E359BF" w:rsidRDefault="00B678B5">
            <w:pPr>
              <w:pStyle w:val="TableTextCentered"/>
              <w:rPr>
                <w:rFonts w:eastAsia="Times New Roman"/>
              </w:rPr>
            </w:pPr>
            <w:r>
              <w:rPr>
                <w:rFonts w:eastAsia="Times New Roman"/>
              </w:rPr>
              <w:t>0</w:t>
            </w:r>
          </w:p>
        </w:tc>
        <w:tc>
          <w:tcPr>
            <w:tcW w:w="720" w:type="dxa"/>
          </w:tcPr>
          <w:p w14:paraId="5CE73BFD" w14:textId="77777777" w:rsidR="00B678B5" w:rsidRPr="00E359BF" w:rsidRDefault="00B678B5">
            <w:pPr>
              <w:pStyle w:val="TableTextCentered"/>
              <w:rPr>
                <w:rFonts w:eastAsia="Times New Roman"/>
              </w:rPr>
            </w:pPr>
            <w:r>
              <w:rPr>
                <w:rFonts w:eastAsia="Times New Roman"/>
              </w:rPr>
              <w:t>3</w:t>
            </w:r>
          </w:p>
        </w:tc>
        <w:tc>
          <w:tcPr>
            <w:tcW w:w="540" w:type="dxa"/>
          </w:tcPr>
          <w:p w14:paraId="2DF52F87" w14:textId="77777777" w:rsidR="00B678B5" w:rsidRPr="00E359BF" w:rsidRDefault="00B678B5">
            <w:pPr>
              <w:pStyle w:val="TableTextCentered"/>
              <w:rPr>
                <w:rFonts w:eastAsia="Times New Roman"/>
              </w:rPr>
            </w:pPr>
            <w:r>
              <w:rPr>
                <w:rFonts w:eastAsia="Times New Roman"/>
              </w:rPr>
              <w:t>40</w:t>
            </w:r>
          </w:p>
        </w:tc>
        <w:tc>
          <w:tcPr>
            <w:tcW w:w="900" w:type="dxa"/>
          </w:tcPr>
          <w:p w14:paraId="322D26FC" w14:textId="77777777" w:rsidR="00B678B5" w:rsidRPr="00E359BF" w:rsidRDefault="00B678B5">
            <w:pPr>
              <w:pStyle w:val="TableTextCentered"/>
              <w:rPr>
                <w:rFonts w:eastAsia="Times New Roman"/>
              </w:rPr>
            </w:pPr>
            <w:r>
              <w:rPr>
                <w:rFonts w:eastAsia="Times New Roman"/>
              </w:rPr>
              <w:t>3.0</w:t>
            </w:r>
          </w:p>
        </w:tc>
      </w:tr>
      <w:tr w:rsidR="00B678B5" w:rsidRPr="00E359BF" w14:paraId="407C68E3" w14:textId="77777777" w:rsidTr="00D679F6">
        <w:tc>
          <w:tcPr>
            <w:tcW w:w="3232" w:type="dxa"/>
          </w:tcPr>
          <w:p w14:paraId="120BC0A2" w14:textId="77777777" w:rsidR="00B678B5" w:rsidRPr="00D931E1" w:rsidRDefault="00B678B5">
            <w:pPr>
              <w:pStyle w:val="TableText"/>
              <w:ind w:left="204"/>
              <w:rPr>
                <w:b/>
                <w:bCs/>
              </w:rPr>
            </w:pPr>
            <w:r w:rsidRPr="00D931E1">
              <w:t>Instructional Dialogue</w:t>
            </w:r>
          </w:p>
        </w:tc>
        <w:tc>
          <w:tcPr>
            <w:tcW w:w="720" w:type="dxa"/>
          </w:tcPr>
          <w:p w14:paraId="67E9D094" w14:textId="77777777" w:rsidR="00B678B5" w:rsidRPr="00E359BF" w:rsidRDefault="00B678B5">
            <w:pPr>
              <w:pStyle w:val="TableTextCentered"/>
              <w:rPr>
                <w:rFonts w:eastAsia="Times New Roman"/>
              </w:rPr>
            </w:pPr>
            <w:r>
              <w:rPr>
                <w:rFonts w:eastAsia="Times New Roman"/>
              </w:rPr>
              <w:t>11</w:t>
            </w:r>
          </w:p>
        </w:tc>
        <w:tc>
          <w:tcPr>
            <w:tcW w:w="720" w:type="dxa"/>
          </w:tcPr>
          <w:p w14:paraId="0FF3B3C8" w14:textId="77777777" w:rsidR="00B678B5" w:rsidRPr="00E359BF" w:rsidRDefault="00B678B5">
            <w:pPr>
              <w:pStyle w:val="TableTextCentered"/>
              <w:rPr>
                <w:rFonts w:eastAsia="Times New Roman"/>
              </w:rPr>
            </w:pPr>
            <w:r>
              <w:rPr>
                <w:rFonts w:eastAsia="Times New Roman"/>
              </w:rPr>
              <w:t>10</w:t>
            </w:r>
          </w:p>
        </w:tc>
        <w:tc>
          <w:tcPr>
            <w:tcW w:w="720" w:type="dxa"/>
          </w:tcPr>
          <w:p w14:paraId="1344B65B" w14:textId="77777777" w:rsidR="00B678B5" w:rsidRPr="00E359BF" w:rsidRDefault="00B678B5">
            <w:pPr>
              <w:pStyle w:val="TableTextCentered"/>
              <w:rPr>
                <w:rFonts w:eastAsia="Times New Roman"/>
              </w:rPr>
            </w:pPr>
            <w:r>
              <w:rPr>
                <w:rFonts w:eastAsia="Times New Roman"/>
              </w:rPr>
              <w:t>9</w:t>
            </w:r>
          </w:p>
        </w:tc>
        <w:tc>
          <w:tcPr>
            <w:tcW w:w="720" w:type="dxa"/>
          </w:tcPr>
          <w:p w14:paraId="4E148B76" w14:textId="77777777" w:rsidR="00B678B5" w:rsidRPr="00E359BF" w:rsidRDefault="00B678B5">
            <w:pPr>
              <w:pStyle w:val="TableTextCentered"/>
              <w:rPr>
                <w:rFonts w:eastAsia="Times New Roman"/>
              </w:rPr>
            </w:pPr>
            <w:r>
              <w:rPr>
                <w:rFonts w:eastAsia="Times New Roman"/>
              </w:rPr>
              <w:t>7</w:t>
            </w:r>
          </w:p>
        </w:tc>
        <w:tc>
          <w:tcPr>
            <w:tcW w:w="720" w:type="dxa"/>
          </w:tcPr>
          <w:p w14:paraId="053715DF" w14:textId="77777777" w:rsidR="00B678B5" w:rsidRPr="00E359BF" w:rsidRDefault="00B678B5">
            <w:pPr>
              <w:pStyle w:val="TableTextCentered"/>
              <w:rPr>
                <w:rFonts w:eastAsia="Times New Roman"/>
              </w:rPr>
            </w:pPr>
            <w:r>
              <w:rPr>
                <w:rFonts w:eastAsia="Times New Roman"/>
              </w:rPr>
              <w:t>2</w:t>
            </w:r>
          </w:p>
        </w:tc>
        <w:tc>
          <w:tcPr>
            <w:tcW w:w="720" w:type="dxa"/>
          </w:tcPr>
          <w:p w14:paraId="2D4EC3FC" w14:textId="77777777" w:rsidR="00B678B5" w:rsidRPr="00E359BF" w:rsidRDefault="00B678B5">
            <w:pPr>
              <w:pStyle w:val="TableTextCentered"/>
              <w:rPr>
                <w:rFonts w:eastAsia="Times New Roman"/>
              </w:rPr>
            </w:pPr>
            <w:r>
              <w:rPr>
                <w:rFonts w:eastAsia="Times New Roman"/>
              </w:rPr>
              <w:t>1</w:t>
            </w:r>
          </w:p>
        </w:tc>
        <w:tc>
          <w:tcPr>
            <w:tcW w:w="720" w:type="dxa"/>
          </w:tcPr>
          <w:p w14:paraId="41C16853" w14:textId="77777777" w:rsidR="00B678B5" w:rsidRPr="00E359BF" w:rsidRDefault="00B678B5">
            <w:pPr>
              <w:pStyle w:val="TableTextCentered"/>
              <w:rPr>
                <w:rFonts w:eastAsia="Times New Roman"/>
              </w:rPr>
            </w:pPr>
            <w:r>
              <w:rPr>
                <w:rFonts w:eastAsia="Times New Roman"/>
              </w:rPr>
              <w:t>0</w:t>
            </w:r>
          </w:p>
        </w:tc>
        <w:tc>
          <w:tcPr>
            <w:tcW w:w="540" w:type="dxa"/>
          </w:tcPr>
          <w:p w14:paraId="33CC0076" w14:textId="77777777" w:rsidR="00B678B5" w:rsidRPr="00E359BF" w:rsidRDefault="00B678B5">
            <w:pPr>
              <w:pStyle w:val="TableTextCentered"/>
              <w:rPr>
                <w:rFonts w:eastAsia="Times New Roman"/>
              </w:rPr>
            </w:pPr>
            <w:r>
              <w:rPr>
                <w:rFonts w:eastAsia="Times New Roman"/>
              </w:rPr>
              <w:t>40</w:t>
            </w:r>
          </w:p>
        </w:tc>
        <w:tc>
          <w:tcPr>
            <w:tcW w:w="900" w:type="dxa"/>
          </w:tcPr>
          <w:p w14:paraId="343A6D35" w14:textId="77777777" w:rsidR="00B678B5" w:rsidRPr="00E359BF" w:rsidRDefault="00B678B5">
            <w:pPr>
              <w:pStyle w:val="TableTextCentered"/>
              <w:rPr>
                <w:rFonts w:eastAsia="Times New Roman"/>
              </w:rPr>
            </w:pPr>
            <w:r>
              <w:rPr>
                <w:rFonts w:eastAsia="Times New Roman"/>
              </w:rPr>
              <w:t>2.6</w:t>
            </w:r>
          </w:p>
        </w:tc>
      </w:tr>
      <w:tr w:rsidR="00B678B5" w:rsidRPr="00E359BF" w14:paraId="425F1D20"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7FD0B61C" w14:textId="77777777" w:rsidR="00B678B5" w:rsidRPr="00C131AE" w:rsidRDefault="00B678B5">
            <w:pPr>
              <w:pStyle w:val="TableSubheading"/>
            </w:pPr>
            <w:r w:rsidRPr="00C131AE">
              <w:t>Student Engagement</w:t>
            </w:r>
          </w:p>
        </w:tc>
        <w:tc>
          <w:tcPr>
            <w:tcW w:w="720" w:type="dxa"/>
          </w:tcPr>
          <w:p w14:paraId="04E754B9" w14:textId="77777777" w:rsidR="00B678B5" w:rsidRPr="00C131AE" w:rsidRDefault="00B678B5">
            <w:pPr>
              <w:pStyle w:val="TableTextCenteredDemi"/>
              <w:rPr>
                <w:rFonts w:eastAsia="Times New Roman"/>
              </w:rPr>
            </w:pPr>
            <w:r w:rsidRPr="00C131AE">
              <w:rPr>
                <w:rFonts w:eastAsia="Times New Roman"/>
              </w:rPr>
              <w:t>0</w:t>
            </w:r>
          </w:p>
        </w:tc>
        <w:tc>
          <w:tcPr>
            <w:tcW w:w="720" w:type="dxa"/>
          </w:tcPr>
          <w:p w14:paraId="39A9FD1F" w14:textId="77777777" w:rsidR="00B678B5" w:rsidRPr="00C131AE" w:rsidRDefault="00B678B5">
            <w:pPr>
              <w:pStyle w:val="TableTextCenteredDemi"/>
              <w:rPr>
                <w:rFonts w:eastAsia="Times New Roman"/>
              </w:rPr>
            </w:pPr>
            <w:r w:rsidRPr="00C131AE">
              <w:rPr>
                <w:rFonts w:eastAsia="Times New Roman"/>
              </w:rPr>
              <w:t>0</w:t>
            </w:r>
          </w:p>
        </w:tc>
        <w:tc>
          <w:tcPr>
            <w:tcW w:w="720" w:type="dxa"/>
          </w:tcPr>
          <w:p w14:paraId="496065C7" w14:textId="77777777" w:rsidR="00B678B5" w:rsidRPr="00C131AE" w:rsidRDefault="00B678B5">
            <w:pPr>
              <w:pStyle w:val="TableTextCenteredDemi"/>
              <w:rPr>
                <w:rFonts w:eastAsia="Times New Roman"/>
              </w:rPr>
            </w:pPr>
            <w:r w:rsidRPr="00C131AE">
              <w:rPr>
                <w:rFonts w:eastAsia="Times New Roman"/>
              </w:rPr>
              <w:t>0</w:t>
            </w:r>
          </w:p>
        </w:tc>
        <w:tc>
          <w:tcPr>
            <w:tcW w:w="720" w:type="dxa"/>
          </w:tcPr>
          <w:p w14:paraId="122D6321" w14:textId="77777777" w:rsidR="00B678B5" w:rsidRPr="00C131AE" w:rsidRDefault="00B678B5">
            <w:pPr>
              <w:pStyle w:val="TableTextCenteredDemi"/>
              <w:rPr>
                <w:rFonts w:eastAsia="Times New Roman"/>
              </w:rPr>
            </w:pPr>
            <w:r w:rsidRPr="00C131AE">
              <w:rPr>
                <w:rFonts w:eastAsia="Times New Roman"/>
              </w:rPr>
              <w:t>10</w:t>
            </w:r>
          </w:p>
        </w:tc>
        <w:tc>
          <w:tcPr>
            <w:tcW w:w="720" w:type="dxa"/>
          </w:tcPr>
          <w:p w14:paraId="7240A8AD" w14:textId="77777777" w:rsidR="00B678B5" w:rsidRPr="00C131AE" w:rsidRDefault="00B678B5">
            <w:pPr>
              <w:pStyle w:val="TableTextCenteredDemi"/>
              <w:rPr>
                <w:rFonts w:eastAsia="Times New Roman"/>
              </w:rPr>
            </w:pPr>
            <w:r w:rsidRPr="00C131AE">
              <w:rPr>
                <w:rFonts w:eastAsia="Times New Roman"/>
              </w:rPr>
              <w:t>17</w:t>
            </w:r>
          </w:p>
        </w:tc>
        <w:tc>
          <w:tcPr>
            <w:tcW w:w="720" w:type="dxa"/>
          </w:tcPr>
          <w:p w14:paraId="3593DDD3" w14:textId="77777777" w:rsidR="00B678B5" w:rsidRPr="00C131AE" w:rsidRDefault="00B678B5">
            <w:pPr>
              <w:pStyle w:val="TableTextCenteredDemi"/>
              <w:rPr>
                <w:rFonts w:eastAsia="Times New Roman"/>
              </w:rPr>
            </w:pPr>
            <w:r w:rsidRPr="00C131AE">
              <w:rPr>
                <w:rFonts w:eastAsia="Times New Roman"/>
              </w:rPr>
              <w:t>12</w:t>
            </w:r>
          </w:p>
        </w:tc>
        <w:tc>
          <w:tcPr>
            <w:tcW w:w="720" w:type="dxa"/>
          </w:tcPr>
          <w:p w14:paraId="04B1AD90" w14:textId="77777777" w:rsidR="00B678B5" w:rsidRPr="00C131AE" w:rsidRDefault="00B678B5">
            <w:pPr>
              <w:pStyle w:val="TableTextCenteredDemi"/>
              <w:rPr>
                <w:rFonts w:eastAsia="Times New Roman"/>
              </w:rPr>
            </w:pPr>
            <w:r w:rsidRPr="00C131AE">
              <w:rPr>
                <w:rFonts w:eastAsia="Times New Roman"/>
              </w:rPr>
              <w:t>1</w:t>
            </w:r>
          </w:p>
        </w:tc>
        <w:tc>
          <w:tcPr>
            <w:tcW w:w="540" w:type="dxa"/>
          </w:tcPr>
          <w:p w14:paraId="2F5C32D9" w14:textId="77777777" w:rsidR="00B678B5" w:rsidRPr="00C131AE" w:rsidRDefault="00B678B5">
            <w:pPr>
              <w:pStyle w:val="TableTextCenteredDemi"/>
              <w:rPr>
                <w:rFonts w:eastAsia="Times New Roman"/>
              </w:rPr>
            </w:pPr>
            <w:r w:rsidRPr="00C131AE">
              <w:rPr>
                <w:rFonts w:eastAsia="Times New Roman"/>
              </w:rPr>
              <w:t>40</w:t>
            </w:r>
          </w:p>
        </w:tc>
        <w:tc>
          <w:tcPr>
            <w:tcW w:w="900" w:type="dxa"/>
          </w:tcPr>
          <w:p w14:paraId="7F1777E2" w14:textId="77777777" w:rsidR="00B678B5" w:rsidRPr="00C131AE" w:rsidRDefault="00B678B5">
            <w:pPr>
              <w:pStyle w:val="TableTextCenteredDemi"/>
              <w:rPr>
                <w:rFonts w:eastAsia="Times New Roman"/>
              </w:rPr>
            </w:pPr>
            <w:r w:rsidRPr="00C131AE">
              <w:rPr>
                <w:rFonts w:eastAsia="Times New Roman"/>
              </w:rPr>
              <w:t>5.1</w:t>
            </w:r>
          </w:p>
        </w:tc>
      </w:tr>
    </w:tbl>
    <w:bookmarkEnd w:id="193"/>
    <w:p w14:paraId="55ED3090" w14:textId="77777777" w:rsidR="00B678B5" w:rsidRDefault="00B678B5" w:rsidP="00AB597C">
      <w:pPr>
        <w:pStyle w:val="TableNote"/>
        <w:rPr>
          <w:szCs w:val="20"/>
        </w:rPr>
      </w:pPr>
      <w:r>
        <w:t xml:space="preserve">*The district average is an </w:t>
      </w:r>
      <w:r w:rsidRPr="00A63819">
        <w:t xml:space="preserve">average of the scores. For example, </w:t>
      </w:r>
      <w:r>
        <w:t xml:space="preserve">for Positive Climate, the district average is computed as: </w:t>
      </w:r>
      <w:bookmarkStart w:id="194" w:name="Middle_PC_Calc"/>
      <w:r>
        <w:rPr>
          <w:szCs w:val="20"/>
        </w:rPr>
        <w:t>([4 x 3] + [5 x 14] + [6 x 18] + [7 x 5]) ÷ 40 observations = 5.6</w:t>
      </w:r>
      <w:bookmarkEnd w:id="194"/>
    </w:p>
    <w:p w14:paraId="076CD949" w14:textId="77777777" w:rsidR="00B678B5" w:rsidRDefault="00B678B5" w:rsidP="00AB597C">
      <w:pPr>
        <w:pStyle w:val="TableNote"/>
      </w:pPr>
      <w:r w:rsidRPr="00AE4E16">
        <w:t xml:space="preserve">**Negative Climate is rated on an inverse </w:t>
      </w:r>
      <w:r>
        <w:t>scale. An original score of 1 is given a value of 7. The scoring in the table reflects the normalized adjustment</w:t>
      </w:r>
      <w:r w:rsidRPr="00AE4E16">
        <w:t xml:space="preserve">: </w:t>
      </w:r>
      <w:bookmarkStart w:id="195" w:name="Middle_NC_Calc"/>
      <w:r>
        <w:t>([6 x 2] + [7 x 38]) ÷ 40 observations = 7.0</w:t>
      </w:r>
      <w:bookmarkEnd w:id="195"/>
    </w:p>
    <w:p w14:paraId="75D8783E" w14:textId="77777777" w:rsidR="00B678B5" w:rsidRDefault="00B678B5" w:rsidP="00AB597C">
      <w:pPr>
        <w:pStyle w:val="TableNote"/>
        <w:rPr>
          <w:rFonts w:ascii="Times New Roman" w:eastAsia="MS Mincho" w:hAnsi="Times New Roman"/>
          <w:b/>
        </w:rPr>
      </w:pPr>
      <w:r>
        <w:rPr>
          <w:rFonts w:ascii="Times New Roman" w:eastAsia="MS Mincho" w:hAnsi="Times New Roman"/>
          <w:b/>
        </w:rPr>
        <w:br w:type="page"/>
      </w:r>
    </w:p>
    <w:p w14:paraId="0C89E19B" w14:textId="77777777" w:rsidR="00B678B5" w:rsidRPr="00E359BF" w:rsidRDefault="00B678B5" w:rsidP="00E35A27">
      <w:pPr>
        <w:pStyle w:val="DIOR"/>
      </w:pPr>
      <w:bookmarkStart w:id="196" w:name="_Toc231296601"/>
      <w:r w:rsidRPr="00E359BF">
        <w:t>Summary of Average Ratings</w:t>
      </w:r>
      <w:r>
        <w:t xml:space="preserve">: </w:t>
      </w:r>
      <w:r w:rsidRPr="00AB597C">
        <w:t>Grades</w:t>
      </w:r>
      <w:r>
        <w:t xml:space="preserve"> 9</w:t>
      </w:r>
      <w:r w:rsidRPr="00E359BF">
        <w:t>–</w:t>
      </w:r>
      <w:r>
        <w:t>12</w:t>
      </w:r>
      <w:bookmarkEnd w:id="196"/>
    </w:p>
    <w:p w14:paraId="20A0AD2F" w14:textId="77777777" w:rsidR="00B678B5" w:rsidRPr="00E359BF" w:rsidRDefault="00B678B5" w:rsidP="00AB597C">
      <w:pPr>
        <w:pStyle w:val="TableTitle0"/>
      </w:pPr>
      <w:r w:rsidRPr="004E6368">
        <w:t>Table</w:t>
      </w:r>
      <w:r>
        <w:t xml:space="preserve"> 19.</w:t>
      </w:r>
      <w:r w:rsidRPr="00BC09E0">
        <w:t xml:space="preserve"> Summary Table of Average Ratings for</w:t>
      </w:r>
      <w:r>
        <w:t xml:space="preserve"> </w:t>
      </w:r>
      <w:r w:rsidRPr="00BC09E0">
        <w:t xml:space="preserve">Each Dimension in </w:t>
      </w:r>
      <w:r w:rsidRPr="00AB597C">
        <w:t>Grades</w:t>
      </w:r>
      <w:r w:rsidRPr="00BC09E0">
        <w:t xml:space="preserve"> </w:t>
      </w:r>
      <w:r>
        <w:t>9</w:t>
      </w:r>
      <w:r w:rsidRPr="00E359BF">
        <w:t>–</w:t>
      </w:r>
      <w:r>
        <w:t>12</w:t>
      </w:r>
    </w:p>
    <w:tbl>
      <w:tblPr>
        <w:tblStyle w:val="MSVTable1"/>
        <w:tblW w:w="5000" w:type="pct"/>
        <w:tblLayout w:type="fixed"/>
        <w:tblLook w:val="04A0" w:firstRow="1" w:lastRow="0" w:firstColumn="1" w:lastColumn="0" w:noHBand="0" w:noVBand="1"/>
        <w:tblCaption w:val="Table 19. Summary Table of Average Ratings for Each Dimension in Grades 9–12"/>
        <w:tblDescription w:val="Summary Table of Average Ratings for Each Dimension in Grades 9–12"/>
      </w:tblPr>
      <w:tblGrid>
        <w:gridCol w:w="3092"/>
        <w:gridCol w:w="693"/>
        <w:gridCol w:w="694"/>
        <w:gridCol w:w="694"/>
        <w:gridCol w:w="694"/>
        <w:gridCol w:w="694"/>
        <w:gridCol w:w="694"/>
        <w:gridCol w:w="694"/>
        <w:gridCol w:w="529"/>
        <w:gridCol w:w="866"/>
      </w:tblGrid>
      <w:tr w:rsidR="00B678B5" w:rsidRPr="00E359BF" w14:paraId="0A28078F" w14:textId="77777777" w:rsidTr="00626238">
        <w:trPr>
          <w:cnfStyle w:val="100000000000" w:firstRow="1" w:lastRow="0" w:firstColumn="0" w:lastColumn="0" w:oddVBand="0" w:evenVBand="0" w:oddHBand="0" w:evenHBand="0" w:firstRowFirstColumn="0" w:firstRowLastColumn="0" w:lastRowFirstColumn="0" w:lastRowLastColumn="0"/>
          <w:tblHeader/>
        </w:trPr>
        <w:tc>
          <w:tcPr>
            <w:tcW w:w="3232" w:type="dxa"/>
            <w:tcMar>
              <w:left w:w="29" w:type="dxa"/>
              <w:right w:w="29" w:type="dxa"/>
            </w:tcMar>
            <w:vAlign w:val="center"/>
          </w:tcPr>
          <w:p w14:paraId="4F20AE8D" w14:textId="77777777" w:rsidR="00B678B5" w:rsidRPr="00E359BF" w:rsidRDefault="00B678B5" w:rsidP="00626238">
            <w:pPr>
              <w:pStyle w:val="TableColHeadingCenter"/>
              <w:rPr>
                <w:rFonts w:eastAsia="MS Mincho"/>
              </w:rPr>
            </w:pPr>
            <w:bookmarkStart w:id="197" w:name="SummaryTbl_High"/>
            <w:r>
              <w:rPr>
                <w:rFonts w:eastAsia="MS Mincho"/>
              </w:rPr>
              <w:t>Domain/Dimension</w:t>
            </w:r>
          </w:p>
        </w:tc>
        <w:tc>
          <w:tcPr>
            <w:tcW w:w="720" w:type="dxa"/>
            <w:tcMar>
              <w:left w:w="29" w:type="dxa"/>
              <w:right w:w="29" w:type="dxa"/>
            </w:tcMar>
            <w:vAlign w:val="center"/>
          </w:tcPr>
          <w:p w14:paraId="33D54631" w14:textId="77777777" w:rsidR="00B678B5" w:rsidRPr="00E359BF" w:rsidRDefault="00B678B5" w:rsidP="00626238">
            <w:pPr>
              <w:pStyle w:val="TableColHeadingCenter"/>
              <w:rPr>
                <w:rFonts w:eastAsia="MS Mincho"/>
              </w:rPr>
            </w:pPr>
            <w:r w:rsidRPr="00E359BF">
              <w:rPr>
                <w:rFonts w:eastAsia="MS Mincho"/>
              </w:rPr>
              <w:t>Low Range</w:t>
            </w:r>
            <w:r>
              <w:rPr>
                <w:rFonts w:eastAsia="MS Mincho"/>
              </w:rPr>
              <w:t xml:space="preserve"> (1)</w:t>
            </w:r>
          </w:p>
        </w:tc>
        <w:tc>
          <w:tcPr>
            <w:tcW w:w="720" w:type="dxa"/>
            <w:tcMar>
              <w:left w:w="29" w:type="dxa"/>
              <w:right w:w="29" w:type="dxa"/>
            </w:tcMar>
            <w:vAlign w:val="center"/>
          </w:tcPr>
          <w:p w14:paraId="17F2A004" w14:textId="77777777" w:rsidR="00B678B5" w:rsidRPr="00E359BF" w:rsidRDefault="00B678B5" w:rsidP="00626238">
            <w:pPr>
              <w:pStyle w:val="TableColHeadingCenter"/>
              <w:rPr>
                <w:rFonts w:eastAsia="MS Mincho"/>
              </w:rPr>
            </w:pPr>
            <w:r w:rsidRPr="00E359BF">
              <w:rPr>
                <w:rFonts w:eastAsia="MS Mincho"/>
              </w:rPr>
              <w:t>Low Range</w:t>
            </w:r>
            <w:r>
              <w:rPr>
                <w:rFonts w:eastAsia="MS Mincho"/>
              </w:rPr>
              <w:t xml:space="preserve"> (2)</w:t>
            </w:r>
          </w:p>
        </w:tc>
        <w:tc>
          <w:tcPr>
            <w:tcW w:w="720" w:type="dxa"/>
            <w:tcMar>
              <w:left w:w="29" w:type="dxa"/>
              <w:right w:w="29" w:type="dxa"/>
            </w:tcMar>
            <w:vAlign w:val="center"/>
          </w:tcPr>
          <w:p w14:paraId="51F1879A"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(3)</w:t>
            </w:r>
          </w:p>
        </w:tc>
        <w:tc>
          <w:tcPr>
            <w:tcW w:w="720" w:type="dxa"/>
            <w:tcMar>
              <w:left w:w="29" w:type="dxa"/>
              <w:right w:w="29" w:type="dxa"/>
            </w:tcMar>
            <w:vAlign w:val="center"/>
          </w:tcPr>
          <w:p w14:paraId="39EC0A18"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(4)</w:t>
            </w:r>
          </w:p>
        </w:tc>
        <w:tc>
          <w:tcPr>
            <w:tcW w:w="720" w:type="dxa"/>
            <w:tcMar>
              <w:left w:w="29" w:type="dxa"/>
              <w:right w:w="29" w:type="dxa"/>
            </w:tcMar>
            <w:vAlign w:val="center"/>
          </w:tcPr>
          <w:p w14:paraId="2F4C0AD2" w14:textId="77777777" w:rsidR="00B678B5" w:rsidRPr="00E359BF" w:rsidRDefault="00B678B5" w:rsidP="00626238">
            <w:pPr>
              <w:pStyle w:val="TableColHeadingCenter"/>
              <w:rPr>
                <w:rFonts w:eastAsia="MS Mincho"/>
              </w:rPr>
            </w:pPr>
            <w:r w:rsidRPr="00E359BF">
              <w:rPr>
                <w:rFonts w:eastAsia="MS Mincho"/>
              </w:rPr>
              <w:t>Middle Range</w:t>
            </w:r>
            <w:r>
              <w:rPr>
                <w:rFonts w:eastAsia="MS Mincho"/>
              </w:rPr>
              <w:t xml:space="preserve"> (5)</w:t>
            </w:r>
          </w:p>
        </w:tc>
        <w:tc>
          <w:tcPr>
            <w:tcW w:w="720" w:type="dxa"/>
            <w:tcMar>
              <w:left w:w="29" w:type="dxa"/>
              <w:right w:w="29" w:type="dxa"/>
            </w:tcMar>
            <w:vAlign w:val="center"/>
          </w:tcPr>
          <w:p w14:paraId="1347D470" w14:textId="77777777" w:rsidR="00B678B5" w:rsidRPr="00E359BF" w:rsidRDefault="00B678B5" w:rsidP="00626238">
            <w:pPr>
              <w:pStyle w:val="TableColHeadingCenter"/>
              <w:rPr>
                <w:rFonts w:eastAsia="MS Mincho"/>
              </w:rPr>
            </w:pPr>
            <w:r w:rsidRPr="00E359BF">
              <w:rPr>
                <w:rFonts w:eastAsia="MS Mincho"/>
              </w:rPr>
              <w:t>High Range</w:t>
            </w:r>
            <w:r>
              <w:rPr>
                <w:rFonts w:eastAsia="MS Mincho"/>
              </w:rPr>
              <w:t xml:space="preserve"> (6)</w:t>
            </w:r>
          </w:p>
        </w:tc>
        <w:tc>
          <w:tcPr>
            <w:tcW w:w="720" w:type="dxa"/>
            <w:tcMar>
              <w:left w:w="29" w:type="dxa"/>
              <w:right w:w="29" w:type="dxa"/>
            </w:tcMar>
            <w:vAlign w:val="center"/>
          </w:tcPr>
          <w:p w14:paraId="45AD7E5D" w14:textId="77777777" w:rsidR="00B678B5" w:rsidRPr="00E359BF" w:rsidRDefault="00B678B5" w:rsidP="00626238">
            <w:pPr>
              <w:pStyle w:val="TableColHeadingCenter"/>
              <w:rPr>
                <w:rFonts w:eastAsia="MS Mincho"/>
              </w:rPr>
            </w:pPr>
            <w:r w:rsidRPr="00E359BF">
              <w:rPr>
                <w:rFonts w:eastAsia="MS Mincho"/>
              </w:rPr>
              <w:t>High Range</w:t>
            </w:r>
            <w:r>
              <w:rPr>
                <w:rFonts w:eastAsia="MS Mincho"/>
              </w:rPr>
              <w:t xml:space="preserve"> (7)</w:t>
            </w:r>
          </w:p>
        </w:tc>
        <w:tc>
          <w:tcPr>
            <w:tcW w:w="547" w:type="dxa"/>
            <w:tcMar>
              <w:left w:w="29" w:type="dxa"/>
              <w:right w:w="29" w:type="dxa"/>
            </w:tcMar>
            <w:vAlign w:val="center"/>
          </w:tcPr>
          <w:p w14:paraId="2BD5A009" w14:textId="77777777" w:rsidR="00B678B5" w:rsidRPr="00E359BF" w:rsidRDefault="00B678B5" w:rsidP="00626238">
            <w:pPr>
              <w:pStyle w:val="TableColHeadingCenter"/>
              <w:rPr>
                <w:rFonts w:eastAsia="MS Mincho"/>
              </w:rPr>
            </w:pPr>
            <w:r>
              <w:rPr>
                <w:rFonts w:eastAsia="MS Mincho"/>
              </w:rPr>
              <w:t>n</w:t>
            </w:r>
          </w:p>
        </w:tc>
        <w:tc>
          <w:tcPr>
            <w:tcW w:w="900" w:type="dxa"/>
            <w:tcMar>
              <w:left w:w="29" w:type="dxa"/>
              <w:right w:w="29" w:type="dxa"/>
            </w:tcMar>
            <w:vAlign w:val="center"/>
          </w:tcPr>
          <w:p w14:paraId="3D69427A" w14:textId="77777777" w:rsidR="00B678B5" w:rsidRPr="00E359BF" w:rsidRDefault="00B678B5" w:rsidP="00626238">
            <w:pPr>
              <w:pStyle w:val="TableColHeadingCenter"/>
              <w:rPr>
                <w:rFonts w:eastAsia="MS Mincho"/>
              </w:rPr>
            </w:pPr>
            <w:r w:rsidRPr="00E359BF">
              <w:rPr>
                <w:rFonts w:eastAsia="MS Mincho"/>
              </w:rPr>
              <w:t>Average Scores*</w:t>
            </w:r>
          </w:p>
        </w:tc>
      </w:tr>
      <w:tr w:rsidR="00B678B5" w:rsidRPr="00E359BF" w14:paraId="11566CF6"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3CB6A622" w14:textId="77777777" w:rsidR="00B678B5" w:rsidRPr="00C131AE" w:rsidRDefault="00B678B5">
            <w:pPr>
              <w:pStyle w:val="TableSubheading"/>
            </w:pPr>
            <w:r w:rsidRPr="00C131AE">
              <w:t>Emotional Support Domain</w:t>
            </w:r>
          </w:p>
        </w:tc>
        <w:tc>
          <w:tcPr>
            <w:tcW w:w="720" w:type="dxa"/>
          </w:tcPr>
          <w:p w14:paraId="46102E22" w14:textId="77777777" w:rsidR="00B678B5" w:rsidRPr="00C131AE" w:rsidRDefault="00B678B5">
            <w:pPr>
              <w:pStyle w:val="TableTextCenteredDemi"/>
              <w:rPr>
                <w:rFonts w:eastAsia="Times New Roman"/>
              </w:rPr>
            </w:pPr>
            <w:r w:rsidRPr="00C131AE">
              <w:rPr>
                <w:rFonts w:eastAsia="Times New Roman"/>
              </w:rPr>
              <w:t>7</w:t>
            </w:r>
          </w:p>
        </w:tc>
        <w:tc>
          <w:tcPr>
            <w:tcW w:w="720" w:type="dxa"/>
          </w:tcPr>
          <w:p w14:paraId="75C6A8A3" w14:textId="77777777" w:rsidR="00B678B5" w:rsidRPr="00C131AE" w:rsidRDefault="00B678B5">
            <w:pPr>
              <w:pStyle w:val="TableTextCenteredDemi"/>
              <w:rPr>
                <w:rFonts w:eastAsia="Times New Roman"/>
              </w:rPr>
            </w:pPr>
            <w:r w:rsidRPr="00C131AE">
              <w:rPr>
                <w:rFonts w:eastAsia="Times New Roman"/>
              </w:rPr>
              <w:t>12</w:t>
            </w:r>
          </w:p>
        </w:tc>
        <w:tc>
          <w:tcPr>
            <w:tcW w:w="720" w:type="dxa"/>
          </w:tcPr>
          <w:p w14:paraId="614070B2" w14:textId="77777777" w:rsidR="00B678B5" w:rsidRPr="00C131AE" w:rsidRDefault="00B678B5">
            <w:pPr>
              <w:pStyle w:val="TableTextCenteredDemi"/>
              <w:rPr>
                <w:rFonts w:eastAsia="Times New Roman"/>
              </w:rPr>
            </w:pPr>
            <w:r w:rsidRPr="00C131AE">
              <w:rPr>
                <w:rFonts w:eastAsia="Times New Roman"/>
              </w:rPr>
              <w:t>16</w:t>
            </w:r>
          </w:p>
        </w:tc>
        <w:tc>
          <w:tcPr>
            <w:tcW w:w="720" w:type="dxa"/>
          </w:tcPr>
          <w:p w14:paraId="003043B2" w14:textId="77777777" w:rsidR="00B678B5" w:rsidRPr="00C131AE" w:rsidRDefault="00B678B5">
            <w:pPr>
              <w:pStyle w:val="TableTextCenteredDemi"/>
              <w:rPr>
                <w:rFonts w:eastAsia="Times New Roman"/>
              </w:rPr>
            </w:pPr>
            <w:r w:rsidRPr="00C131AE">
              <w:rPr>
                <w:rFonts w:eastAsia="Times New Roman"/>
              </w:rPr>
              <w:t>23</w:t>
            </w:r>
          </w:p>
        </w:tc>
        <w:tc>
          <w:tcPr>
            <w:tcW w:w="720" w:type="dxa"/>
          </w:tcPr>
          <w:p w14:paraId="56A1ADC6" w14:textId="77777777" w:rsidR="00B678B5" w:rsidRPr="00C131AE" w:rsidRDefault="00B678B5">
            <w:pPr>
              <w:pStyle w:val="TableTextCenteredDemi"/>
              <w:rPr>
                <w:rFonts w:eastAsia="Times New Roman"/>
              </w:rPr>
            </w:pPr>
            <w:r w:rsidRPr="00C131AE">
              <w:rPr>
                <w:rFonts w:eastAsia="Times New Roman"/>
              </w:rPr>
              <w:t>44</w:t>
            </w:r>
          </w:p>
        </w:tc>
        <w:tc>
          <w:tcPr>
            <w:tcW w:w="720" w:type="dxa"/>
          </w:tcPr>
          <w:p w14:paraId="139461EC" w14:textId="77777777" w:rsidR="00B678B5" w:rsidRPr="00C131AE" w:rsidRDefault="00B678B5">
            <w:pPr>
              <w:pStyle w:val="TableTextCenteredDemi"/>
              <w:rPr>
                <w:rFonts w:eastAsia="Times New Roman"/>
              </w:rPr>
            </w:pPr>
            <w:r w:rsidRPr="00C131AE">
              <w:rPr>
                <w:rFonts w:eastAsia="Times New Roman"/>
              </w:rPr>
              <w:t>43</w:t>
            </w:r>
          </w:p>
        </w:tc>
        <w:tc>
          <w:tcPr>
            <w:tcW w:w="720" w:type="dxa"/>
          </w:tcPr>
          <w:p w14:paraId="3E7D4631" w14:textId="77777777" w:rsidR="00B678B5" w:rsidRPr="00C131AE" w:rsidRDefault="00B678B5">
            <w:pPr>
              <w:pStyle w:val="TableTextCenteredDemi"/>
              <w:rPr>
                <w:rFonts w:eastAsia="Times New Roman"/>
              </w:rPr>
            </w:pPr>
            <w:r w:rsidRPr="00C131AE">
              <w:rPr>
                <w:rFonts w:eastAsia="Times New Roman"/>
              </w:rPr>
              <w:t>14</w:t>
            </w:r>
          </w:p>
        </w:tc>
        <w:tc>
          <w:tcPr>
            <w:tcW w:w="547" w:type="dxa"/>
          </w:tcPr>
          <w:p w14:paraId="66FAAD20" w14:textId="77777777" w:rsidR="00B678B5" w:rsidRPr="00C131AE" w:rsidRDefault="00B678B5">
            <w:pPr>
              <w:pStyle w:val="TableTextCenteredDemi"/>
              <w:rPr>
                <w:rFonts w:eastAsia="Times New Roman"/>
              </w:rPr>
            </w:pPr>
            <w:r w:rsidRPr="00C131AE">
              <w:rPr>
                <w:rFonts w:eastAsia="Times New Roman"/>
              </w:rPr>
              <w:t>159</w:t>
            </w:r>
          </w:p>
        </w:tc>
        <w:tc>
          <w:tcPr>
            <w:tcW w:w="900" w:type="dxa"/>
          </w:tcPr>
          <w:p w14:paraId="39D090F9" w14:textId="77777777" w:rsidR="00B678B5" w:rsidRPr="00C131AE" w:rsidRDefault="00B678B5">
            <w:pPr>
              <w:pStyle w:val="TableTextCenteredDemi"/>
              <w:rPr>
                <w:rFonts w:eastAsia="Times New Roman"/>
              </w:rPr>
            </w:pPr>
            <w:r w:rsidRPr="00C131AE">
              <w:rPr>
                <w:rFonts w:eastAsia="Times New Roman"/>
              </w:rPr>
              <w:t>4.7</w:t>
            </w:r>
          </w:p>
        </w:tc>
      </w:tr>
      <w:tr w:rsidR="00B678B5" w:rsidRPr="00E359BF" w14:paraId="7D747118" w14:textId="77777777" w:rsidTr="00D679F6">
        <w:tc>
          <w:tcPr>
            <w:tcW w:w="3232" w:type="dxa"/>
          </w:tcPr>
          <w:p w14:paraId="3B9EDE4D" w14:textId="77777777" w:rsidR="00B678B5" w:rsidRPr="00276F92" w:rsidRDefault="00B678B5">
            <w:pPr>
              <w:pStyle w:val="TableText"/>
              <w:ind w:left="204"/>
              <w:rPr>
                <w:b/>
                <w:bCs/>
              </w:rPr>
            </w:pPr>
            <w:r w:rsidRPr="00276F92">
              <w:t>Positive Climate</w:t>
            </w:r>
          </w:p>
        </w:tc>
        <w:tc>
          <w:tcPr>
            <w:tcW w:w="720" w:type="dxa"/>
          </w:tcPr>
          <w:p w14:paraId="58C30E02" w14:textId="77777777" w:rsidR="00B678B5" w:rsidRPr="00276F92" w:rsidRDefault="00B678B5">
            <w:pPr>
              <w:pStyle w:val="TableTextCentered"/>
              <w:rPr>
                <w:rFonts w:eastAsia="Times New Roman"/>
              </w:rPr>
            </w:pPr>
            <w:r>
              <w:rPr>
                <w:rFonts w:eastAsia="Times New Roman"/>
              </w:rPr>
              <w:t>0</w:t>
            </w:r>
          </w:p>
        </w:tc>
        <w:tc>
          <w:tcPr>
            <w:tcW w:w="720" w:type="dxa"/>
          </w:tcPr>
          <w:p w14:paraId="4DFD3AFE" w14:textId="77777777" w:rsidR="00B678B5" w:rsidRPr="00276F92" w:rsidRDefault="00B678B5">
            <w:pPr>
              <w:pStyle w:val="TableTextCentered"/>
              <w:rPr>
                <w:rFonts w:eastAsia="Times New Roman"/>
              </w:rPr>
            </w:pPr>
            <w:r>
              <w:rPr>
                <w:rFonts w:eastAsia="Times New Roman"/>
              </w:rPr>
              <w:t>1</w:t>
            </w:r>
          </w:p>
        </w:tc>
        <w:tc>
          <w:tcPr>
            <w:tcW w:w="720" w:type="dxa"/>
          </w:tcPr>
          <w:p w14:paraId="06CCFB11" w14:textId="77777777" w:rsidR="00B678B5" w:rsidRPr="00276F92" w:rsidRDefault="00B678B5">
            <w:pPr>
              <w:pStyle w:val="TableTextCentered"/>
              <w:rPr>
                <w:rFonts w:eastAsia="Times New Roman"/>
              </w:rPr>
            </w:pPr>
            <w:r>
              <w:rPr>
                <w:rFonts w:eastAsia="Times New Roman"/>
              </w:rPr>
              <w:t>4</w:t>
            </w:r>
          </w:p>
        </w:tc>
        <w:tc>
          <w:tcPr>
            <w:tcW w:w="720" w:type="dxa"/>
          </w:tcPr>
          <w:p w14:paraId="00C87806" w14:textId="77777777" w:rsidR="00B678B5" w:rsidRPr="00276F92" w:rsidRDefault="00B678B5">
            <w:pPr>
              <w:pStyle w:val="TableTextCentered"/>
              <w:rPr>
                <w:rFonts w:eastAsia="Times New Roman"/>
              </w:rPr>
            </w:pPr>
            <w:r>
              <w:rPr>
                <w:rFonts w:eastAsia="Times New Roman"/>
              </w:rPr>
              <w:t>9</w:t>
            </w:r>
          </w:p>
        </w:tc>
        <w:tc>
          <w:tcPr>
            <w:tcW w:w="720" w:type="dxa"/>
          </w:tcPr>
          <w:p w14:paraId="25B11E2D" w14:textId="77777777" w:rsidR="00B678B5" w:rsidRPr="00276F92" w:rsidRDefault="00B678B5">
            <w:pPr>
              <w:pStyle w:val="TableTextCentered"/>
              <w:rPr>
                <w:rFonts w:eastAsia="Times New Roman"/>
              </w:rPr>
            </w:pPr>
            <w:r>
              <w:rPr>
                <w:rFonts w:eastAsia="Times New Roman"/>
              </w:rPr>
              <w:t>18</w:t>
            </w:r>
          </w:p>
        </w:tc>
        <w:tc>
          <w:tcPr>
            <w:tcW w:w="720" w:type="dxa"/>
          </w:tcPr>
          <w:p w14:paraId="16DF6D55" w14:textId="77777777" w:rsidR="00B678B5" w:rsidRPr="00276F92" w:rsidRDefault="00B678B5">
            <w:pPr>
              <w:pStyle w:val="TableTextCentered"/>
              <w:rPr>
                <w:rFonts w:eastAsia="Times New Roman"/>
              </w:rPr>
            </w:pPr>
            <w:r>
              <w:rPr>
                <w:rFonts w:eastAsia="Times New Roman"/>
              </w:rPr>
              <w:t>19</w:t>
            </w:r>
          </w:p>
        </w:tc>
        <w:tc>
          <w:tcPr>
            <w:tcW w:w="720" w:type="dxa"/>
          </w:tcPr>
          <w:p w14:paraId="147211B6" w14:textId="77777777" w:rsidR="00B678B5" w:rsidRPr="00276F92" w:rsidRDefault="00B678B5">
            <w:pPr>
              <w:pStyle w:val="TableTextCentered"/>
              <w:rPr>
                <w:rFonts w:eastAsia="Times New Roman"/>
              </w:rPr>
            </w:pPr>
            <w:r>
              <w:rPr>
                <w:rFonts w:eastAsia="Times New Roman"/>
              </w:rPr>
              <w:t>2</w:t>
            </w:r>
          </w:p>
        </w:tc>
        <w:tc>
          <w:tcPr>
            <w:tcW w:w="547" w:type="dxa"/>
          </w:tcPr>
          <w:p w14:paraId="771E3B4F" w14:textId="77777777" w:rsidR="00B678B5" w:rsidRPr="00276F92" w:rsidRDefault="00B678B5">
            <w:pPr>
              <w:pStyle w:val="TableTextCentered"/>
              <w:rPr>
                <w:rFonts w:eastAsia="Times New Roman"/>
              </w:rPr>
            </w:pPr>
            <w:r>
              <w:rPr>
                <w:rFonts w:eastAsia="Times New Roman"/>
              </w:rPr>
              <w:t>53</w:t>
            </w:r>
          </w:p>
        </w:tc>
        <w:tc>
          <w:tcPr>
            <w:tcW w:w="900" w:type="dxa"/>
          </w:tcPr>
          <w:p w14:paraId="5DD63321" w14:textId="77777777" w:rsidR="00B678B5" w:rsidRPr="00276F92" w:rsidRDefault="00B678B5">
            <w:pPr>
              <w:pStyle w:val="TableTextCentered"/>
              <w:rPr>
                <w:rFonts w:eastAsia="Times New Roman"/>
              </w:rPr>
            </w:pPr>
            <w:r>
              <w:rPr>
                <w:rFonts w:eastAsia="Times New Roman"/>
              </w:rPr>
              <w:t>5.1</w:t>
            </w:r>
          </w:p>
        </w:tc>
      </w:tr>
      <w:tr w:rsidR="00B678B5" w:rsidRPr="00E359BF" w14:paraId="57F5EEB2"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7723AC70" w14:textId="77777777" w:rsidR="00B678B5" w:rsidRPr="00276F92" w:rsidRDefault="00B678B5">
            <w:pPr>
              <w:pStyle w:val="TableText"/>
              <w:ind w:left="204"/>
              <w:rPr>
                <w:b/>
                <w:bCs/>
              </w:rPr>
            </w:pPr>
            <w:r w:rsidRPr="00276F92">
              <w:t>Teacher Sensitivity</w:t>
            </w:r>
          </w:p>
        </w:tc>
        <w:tc>
          <w:tcPr>
            <w:tcW w:w="720" w:type="dxa"/>
          </w:tcPr>
          <w:p w14:paraId="2E9B354E" w14:textId="77777777" w:rsidR="00B678B5" w:rsidRPr="00276F92" w:rsidRDefault="00B678B5">
            <w:pPr>
              <w:pStyle w:val="TableTextCentered"/>
              <w:rPr>
                <w:rFonts w:eastAsia="Times New Roman"/>
              </w:rPr>
            </w:pPr>
            <w:r>
              <w:rPr>
                <w:rFonts w:eastAsia="Times New Roman"/>
              </w:rPr>
              <w:t>0</w:t>
            </w:r>
          </w:p>
        </w:tc>
        <w:tc>
          <w:tcPr>
            <w:tcW w:w="720" w:type="dxa"/>
          </w:tcPr>
          <w:p w14:paraId="1358CB7A" w14:textId="77777777" w:rsidR="00B678B5" w:rsidRPr="00276F92" w:rsidRDefault="00B678B5">
            <w:pPr>
              <w:pStyle w:val="TableTextCentered"/>
              <w:rPr>
                <w:rFonts w:eastAsia="Times New Roman"/>
              </w:rPr>
            </w:pPr>
            <w:r>
              <w:rPr>
                <w:rFonts w:eastAsia="Times New Roman"/>
              </w:rPr>
              <w:t>0</w:t>
            </w:r>
          </w:p>
        </w:tc>
        <w:tc>
          <w:tcPr>
            <w:tcW w:w="720" w:type="dxa"/>
          </w:tcPr>
          <w:p w14:paraId="5082CE80" w14:textId="77777777" w:rsidR="00B678B5" w:rsidRPr="00276F92" w:rsidRDefault="00B678B5">
            <w:pPr>
              <w:pStyle w:val="TableTextCentered"/>
              <w:rPr>
                <w:rFonts w:eastAsia="Times New Roman"/>
              </w:rPr>
            </w:pPr>
            <w:r>
              <w:rPr>
                <w:rFonts w:eastAsia="Times New Roman"/>
              </w:rPr>
              <w:t>6</w:t>
            </w:r>
          </w:p>
        </w:tc>
        <w:tc>
          <w:tcPr>
            <w:tcW w:w="720" w:type="dxa"/>
          </w:tcPr>
          <w:p w14:paraId="4538F3C5" w14:textId="77777777" w:rsidR="00B678B5" w:rsidRPr="00276F92" w:rsidRDefault="00B678B5">
            <w:pPr>
              <w:pStyle w:val="TableTextCentered"/>
              <w:rPr>
                <w:rFonts w:eastAsia="Times New Roman"/>
              </w:rPr>
            </w:pPr>
            <w:r>
              <w:rPr>
                <w:rFonts w:eastAsia="Times New Roman"/>
              </w:rPr>
              <w:t>4</w:t>
            </w:r>
          </w:p>
        </w:tc>
        <w:tc>
          <w:tcPr>
            <w:tcW w:w="720" w:type="dxa"/>
          </w:tcPr>
          <w:p w14:paraId="34EC9C4B" w14:textId="77777777" w:rsidR="00B678B5" w:rsidRPr="00276F92" w:rsidRDefault="00B678B5">
            <w:pPr>
              <w:pStyle w:val="TableTextCentered"/>
              <w:rPr>
                <w:rFonts w:eastAsia="Times New Roman"/>
              </w:rPr>
            </w:pPr>
            <w:r>
              <w:rPr>
                <w:rFonts w:eastAsia="Times New Roman"/>
              </w:rPr>
              <w:t>13</w:t>
            </w:r>
          </w:p>
        </w:tc>
        <w:tc>
          <w:tcPr>
            <w:tcW w:w="720" w:type="dxa"/>
          </w:tcPr>
          <w:p w14:paraId="7434A6E9" w14:textId="77777777" w:rsidR="00B678B5" w:rsidRPr="00276F92" w:rsidRDefault="00B678B5">
            <w:pPr>
              <w:pStyle w:val="TableTextCentered"/>
              <w:rPr>
                <w:rFonts w:eastAsia="Times New Roman"/>
              </w:rPr>
            </w:pPr>
            <w:r>
              <w:rPr>
                <w:rFonts w:eastAsia="Times New Roman"/>
              </w:rPr>
              <w:t>19</w:t>
            </w:r>
          </w:p>
        </w:tc>
        <w:tc>
          <w:tcPr>
            <w:tcW w:w="720" w:type="dxa"/>
          </w:tcPr>
          <w:p w14:paraId="22F4254B" w14:textId="77777777" w:rsidR="00B678B5" w:rsidRPr="00276F92" w:rsidRDefault="00B678B5">
            <w:pPr>
              <w:pStyle w:val="TableTextCentered"/>
              <w:rPr>
                <w:rFonts w:eastAsia="Times New Roman"/>
              </w:rPr>
            </w:pPr>
            <w:r>
              <w:rPr>
                <w:rFonts w:eastAsia="Times New Roman"/>
              </w:rPr>
              <w:t>11</w:t>
            </w:r>
          </w:p>
        </w:tc>
        <w:tc>
          <w:tcPr>
            <w:tcW w:w="547" w:type="dxa"/>
          </w:tcPr>
          <w:p w14:paraId="0B477069" w14:textId="77777777" w:rsidR="00B678B5" w:rsidRPr="00276F92" w:rsidRDefault="00B678B5">
            <w:pPr>
              <w:pStyle w:val="TableTextCentered"/>
              <w:rPr>
                <w:rFonts w:eastAsia="Times New Roman"/>
              </w:rPr>
            </w:pPr>
            <w:r>
              <w:rPr>
                <w:rFonts w:eastAsia="Times New Roman"/>
              </w:rPr>
              <w:t>53</w:t>
            </w:r>
          </w:p>
        </w:tc>
        <w:tc>
          <w:tcPr>
            <w:tcW w:w="900" w:type="dxa"/>
          </w:tcPr>
          <w:p w14:paraId="4EB02E88" w14:textId="77777777" w:rsidR="00B678B5" w:rsidRPr="00276F92" w:rsidRDefault="00B678B5">
            <w:pPr>
              <w:pStyle w:val="TableTextCentered"/>
              <w:rPr>
                <w:rFonts w:eastAsia="Times New Roman"/>
              </w:rPr>
            </w:pPr>
            <w:r>
              <w:rPr>
                <w:rFonts w:eastAsia="Times New Roman"/>
              </w:rPr>
              <w:t>5.5</w:t>
            </w:r>
          </w:p>
        </w:tc>
      </w:tr>
      <w:tr w:rsidR="00B678B5" w:rsidRPr="00E359BF" w14:paraId="1A3B21AC" w14:textId="77777777" w:rsidTr="00D679F6">
        <w:tc>
          <w:tcPr>
            <w:tcW w:w="3232" w:type="dxa"/>
          </w:tcPr>
          <w:p w14:paraId="10D313F5" w14:textId="77777777" w:rsidR="00B678B5" w:rsidRPr="00276F92" w:rsidRDefault="00B678B5">
            <w:pPr>
              <w:pStyle w:val="TableText"/>
              <w:ind w:left="204"/>
              <w:rPr>
                <w:b/>
                <w:bCs/>
              </w:rPr>
            </w:pPr>
            <w:r w:rsidRPr="00276F92">
              <w:t>Regard for Student Perspectives</w:t>
            </w:r>
          </w:p>
        </w:tc>
        <w:tc>
          <w:tcPr>
            <w:tcW w:w="720" w:type="dxa"/>
          </w:tcPr>
          <w:p w14:paraId="0CB16A0F" w14:textId="77777777" w:rsidR="00B678B5" w:rsidRPr="00276F92" w:rsidRDefault="00B678B5">
            <w:pPr>
              <w:pStyle w:val="TableTextCentered"/>
              <w:rPr>
                <w:rFonts w:eastAsia="Times New Roman"/>
              </w:rPr>
            </w:pPr>
            <w:r>
              <w:rPr>
                <w:rFonts w:eastAsia="Times New Roman"/>
              </w:rPr>
              <w:t>7</w:t>
            </w:r>
          </w:p>
        </w:tc>
        <w:tc>
          <w:tcPr>
            <w:tcW w:w="720" w:type="dxa"/>
          </w:tcPr>
          <w:p w14:paraId="0D3E82F1" w14:textId="77777777" w:rsidR="00B678B5" w:rsidRPr="00276F92" w:rsidRDefault="00B678B5">
            <w:pPr>
              <w:pStyle w:val="TableTextCentered"/>
              <w:rPr>
                <w:rFonts w:eastAsia="Times New Roman"/>
              </w:rPr>
            </w:pPr>
            <w:r>
              <w:rPr>
                <w:rFonts w:eastAsia="Times New Roman"/>
              </w:rPr>
              <w:t>11</w:t>
            </w:r>
          </w:p>
        </w:tc>
        <w:tc>
          <w:tcPr>
            <w:tcW w:w="720" w:type="dxa"/>
          </w:tcPr>
          <w:p w14:paraId="32320196" w14:textId="77777777" w:rsidR="00B678B5" w:rsidRPr="00276F92" w:rsidRDefault="00B678B5">
            <w:pPr>
              <w:pStyle w:val="TableTextCentered"/>
              <w:rPr>
                <w:rFonts w:eastAsia="Times New Roman"/>
              </w:rPr>
            </w:pPr>
            <w:r>
              <w:rPr>
                <w:rFonts w:eastAsia="Times New Roman"/>
              </w:rPr>
              <w:t>6</w:t>
            </w:r>
          </w:p>
        </w:tc>
        <w:tc>
          <w:tcPr>
            <w:tcW w:w="720" w:type="dxa"/>
          </w:tcPr>
          <w:p w14:paraId="4373AD83" w14:textId="77777777" w:rsidR="00B678B5" w:rsidRPr="00276F92" w:rsidRDefault="00B678B5">
            <w:pPr>
              <w:pStyle w:val="TableTextCentered"/>
              <w:rPr>
                <w:rFonts w:eastAsia="Times New Roman"/>
              </w:rPr>
            </w:pPr>
            <w:r>
              <w:rPr>
                <w:rFonts w:eastAsia="Times New Roman"/>
              </w:rPr>
              <w:t>10</w:t>
            </w:r>
          </w:p>
        </w:tc>
        <w:tc>
          <w:tcPr>
            <w:tcW w:w="720" w:type="dxa"/>
          </w:tcPr>
          <w:p w14:paraId="47D44225" w14:textId="77777777" w:rsidR="00B678B5" w:rsidRPr="00276F92" w:rsidRDefault="00B678B5">
            <w:pPr>
              <w:pStyle w:val="TableTextCentered"/>
              <w:rPr>
                <w:rFonts w:eastAsia="Times New Roman"/>
              </w:rPr>
            </w:pPr>
            <w:r>
              <w:rPr>
                <w:rFonts w:eastAsia="Times New Roman"/>
              </w:rPr>
              <w:t>13</w:t>
            </w:r>
          </w:p>
        </w:tc>
        <w:tc>
          <w:tcPr>
            <w:tcW w:w="720" w:type="dxa"/>
          </w:tcPr>
          <w:p w14:paraId="34FA7130" w14:textId="77777777" w:rsidR="00B678B5" w:rsidRPr="00276F92" w:rsidRDefault="00B678B5">
            <w:pPr>
              <w:pStyle w:val="TableTextCentered"/>
              <w:rPr>
                <w:rFonts w:eastAsia="Times New Roman"/>
              </w:rPr>
            </w:pPr>
            <w:r>
              <w:rPr>
                <w:rFonts w:eastAsia="Times New Roman"/>
              </w:rPr>
              <w:t>5</w:t>
            </w:r>
          </w:p>
        </w:tc>
        <w:tc>
          <w:tcPr>
            <w:tcW w:w="720" w:type="dxa"/>
          </w:tcPr>
          <w:p w14:paraId="06D51FEC" w14:textId="77777777" w:rsidR="00B678B5" w:rsidRPr="00276F92" w:rsidRDefault="00B678B5">
            <w:pPr>
              <w:pStyle w:val="TableTextCentered"/>
              <w:rPr>
                <w:rFonts w:eastAsia="Times New Roman"/>
              </w:rPr>
            </w:pPr>
            <w:r>
              <w:rPr>
                <w:rFonts w:eastAsia="Times New Roman"/>
              </w:rPr>
              <w:t>1</w:t>
            </w:r>
          </w:p>
        </w:tc>
        <w:tc>
          <w:tcPr>
            <w:tcW w:w="547" w:type="dxa"/>
          </w:tcPr>
          <w:p w14:paraId="39366046" w14:textId="77777777" w:rsidR="00B678B5" w:rsidRPr="00276F92" w:rsidRDefault="00B678B5">
            <w:pPr>
              <w:pStyle w:val="TableTextCentered"/>
              <w:rPr>
                <w:rFonts w:eastAsia="Times New Roman"/>
              </w:rPr>
            </w:pPr>
            <w:r>
              <w:rPr>
                <w:rFonts w:eastAsia="Times New Roman"/>
              </w:rPr>
              <w:t>53</w:t>
            </w:r>
          </w:p>
        </w:tc>
        <w:tc>
          <w:tcPr>
            <w:tcW w:w="900" w:type="dxa"/>
          </w:tcPr>
          <w:p w14:paraId="76183877" w14:textId="77777777" w:rsidR="00B678B5" w:rsidRPr="00276F92" w:rsidRDefault="00B678B5">
            <w:pPr>
              <w:pStyle w:val="TableTextCentered"/>
              <w:rPr>
                <w:rFonts w:eastAsia="Times New Roman"/>
              </w:rPr>
            </w:pPr>
            <w:r>
              <w:rPr>
                <w:rFonts w:eastAsia="Times New Roman"/>
              </w:rPr>
              <w:t>3.6</w:t>
            </w:r>
          </w:p>
        </w:tc>
      </w:tr>
      <w:tr w:rsidR="00B678B5" w:rsidRPr="00E359BF" w14:paraId="2A8F94CD"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69878173" w14:textId="77777777" w:rsidR="00B678B5" w:rsidRPr="00C131AE" w:rsidRDefault="00B678B5">
            <w:pPr>
              <w:pStyle w:val="TableSubheading"/>
            </w:pPr>
            <w:r w:rsidRPr="00C131AE">
              <w:t>Classroom Organization Domain</w:t>
            </w:r>
          </w:p>
        </w:tc>
        <w:tc>
          <w:tcPr>
            <w:tcW w:w="720" w:type="dxa"/>
          </w:tcPr>
          <w:p w14:paraId="0E7DFAF0" w14:textId="77777777" w:rsidR="00B678B5" w:rsidRPr="00C131AE" w:rsidRDefault="00B678B5">
            <w:pPr>
              <w:pStyle w:val="TableTextCenteredDemi"/>
            </w:pPr>
            <w:r w:rsidRPr="00C131AE">
              <w:t>0</w:t>
            </w:r>
          </w:p>
        </w:tc>
        <w:tc>
          <w:tcPr>
            <w:tcW w:w="720" w:type="dxa"/>
          </w:tcPr>
          <w:p w14:paraId="12107AB8" w14:textId="77777777" w:rsidR="00B678B5" w:rsidRPr="00C131AE" w:rsidRDefault="00B678B5">
            <w:pPr>
              <w:pStyle w:val="TableTextCenteredDemi"/>
            </w:pPr>
            <w:r w:rsidRPr="00C131AE">
              <w:t>2</w:t>
            </w:r>
          </w:p>
        </w:tc>
        <w:tc>
          <w:tcPr>
            <w:tcW w:w="720" w:type="dxa"/>
          </w:tcPr>
          <w:p w14:paraId="1D409ACB" w14:textId="77777777" w:rsidR="00B678B5" w:rsidRPr="00C131AE" w:rsidRDefault="00B678B5">
            <w:pPr>
              <w:pStyle w:val="TableTextCenteredDemi"/>
            </w:pPr>
            <w:r w:rsidRPr="00C131AE">
              <w:t>4</w:t>
            </w:r>
          </w:p>
        </w:tc>
        <w:tc>
          <w:tcPr>
            <w:tcW w:w="720" w:type="dxa"/>
          </w:tcPr>
          <w:p w14:paraId="527F2F31" w14:textId="77777777" w:rsidR="00B678B5" w:rsidRPr="00C131AE" w:rsidRDefault="00B678B5">
            <w:pPr>
              <w:pStyle w:val="TableTextCenteredDemi"/>
            </w:pPr>
            <w:r w:rsidRPr="00C131AE">
              <w:t>12</w:t>
            </w:r>
          </w:p>
        </w:tc>
        <w:tc>
          <w:tcPr>
            <w:tcW w:w="720" w:type="dxa"/>
          </w:tcPr>
          <w:p w14:paraId="744255A5" w14:textId="77777777" w:rsidR="00B678B5" w:rsidRPr="00C131AE" w:rsidRDefault="00B678B5">
            <w:pPr>
              <w:pStyle w:val="TableTextCenteredDemi"/>
            </w:pPr>
            <w:r w:rsidRPr="00C131AE">
              <w:t>15</w:t>
            </w:r>
          </w:p>
        </w:tc>
        <w:tc>
          <w:tcPr>
            <w:tcW w:w="720" w:type="dxa"/>
          </w:tcPr>
          <w:p w14:paraId="2FDC9BE5" w14:textId="77777777" w:rsidR="00B678B5" w:rsidRPr="00C131AE" w:rsidRDefault="00B678B5">
            <w:pPr>
              <w:pStyle w:val="TableTextCenteredDemi"/>
            </w:pPr>
            <w:r w:rsidRPr="00C131AE">
              <w:t>42</w:t>
            </w:r>
          </w:p>
        </w:tc>
        <w:tc>
          <w:tcPr>
            <w:tcW w:w="720" w:type="dxa"/>
          </w:tcPr>
          <w:p w14:paraId="3D556AE5" w14:textId="77777777" w:rsidR="00B678B5" w:rsidRPr="00C131AE" w:rsidRDefault="00B678B5">
            <w:pPr>
              <w:pStyle w:val="TableTextCenteredDemi"/>
            </w:pPr>
            <w:r w:rsidRPr="00C131AE">
              <w:t>84</w:t>
            </w:r>
          </w:p>
        </w:tc>
        <w:tc>
          <w:tcPr>
            <w:tcW w:w="547" w:type="dxa"/>
          </w:tcPr>
          <w:p w14:paraId="10F2B0B5" w14:textId="77777777" w:rsidR="00B678B5" w:rsidRPr="00C131AE" w:rsidRDefault="00B678B5">
            <w:pPr>
              <w:pStyle w:val="TableTextCenteredDemi"/>
            </w:pPr>
            <w:r w:rsidRPr="00C131AE">
              <w:t>159</w:t>
            </w:r>
          </w:p>
        </w:tc>
        <w:tc>
          <w:tcPr>
            <w:tcW w:w="900" w:type="dxa"/>
          </w:tcPr>
          <w:p w14:paraId="4971B73E" w14:textId="77777777" w:rsidR="00B678B5" w:rsidRPr="00C131AE" w:rsidRDefault="00B678B5">
            <w:pPr>
              <w:pStyle w:val="TableTextCenteredDemi"/>
            </w:pPr>
            <w:r w:rsidRPr="00C131AE">
              <w:t>6.2</w:t>
            </w:r>
          </w:p>
        </w:tc>
      </w:tr>
      <w:tr w:rsidR="00B678B5" w:rsidRPr="00E359BF" w14:paraId="0BBBE910" w14:textId="77777777" w:rsidTr="00D679F6">
        <w:tc>
          <w:tcPr>
            <w:tcW w:w="3232" w:type="dxa"/>
          </w:tcPr>
          <w:p w14:paraId="614C36B1" w14:textId="77777777" w:rsidR="00B678B5" w:rsidRPr="00276F92" w:rsidRDefault="00B678B5">
            <w:pPr>
              <w:pStyle w:val="TableText"/>
              <w:ind w:left="204"/>
              <w:rPr>
                <w:b/>
                <w:bCs/>
              </w:rPr>
            </w:pPr>
            <w:r w:rsidRPr="00276F92">
              <w:t>Behavior Management</w:t>
            </w:r>
          </w:p>
        </w:tc>
        <w:tc>
          <w:tcPr>
            <w:tcW w:w="720" w:type="dxa"/>
          </w:tcPr>
          <w:p w14:paraId="43DB034F" w14:textId="77777777" w:rsidR="00B678B5" w:rsidRPr="00276F92" w:rsidRDefault="00B678B5">
            <w:pPr>
              <w:pStyle w:val="TableTextCentered"/>
              <w:rPr>
                <w:rFonts w:eastAsia="Times New Roman"/>
              </w:rPr>
            </w:pPr>
            <w:r>
              <w:rPr>
                <w:rFonts w:eastAsia="Times New Roman"/>
              </w:rPr>
              <w:t>0</w:t>
            </w:r>
          </w:p>
        </w:tc>
        <w:tc>
          <w:tcPr>
            <w:tcW w:w="720" w:type="dxa"/>
          </w:tcPr>
          <w:p w14:paraId="441AD3D4" w14:textId="77777777" w:rsidR="00B678B5" w:rsidRPr="00276F92" w:rsidRDefault="00B678B5">
            <w:pPr>
              <w:pStyle w:val="TableTextCentered"/>
              <w:rPr>
                <w:rFonts w:eastAsia="Times New Roman"/>
              </w:rPr>
            </w:pPr>
            <w:r>
              <w:rPr>
                <w:rFonts w:eastAsia="Times New Roman"/>
              </w:rPr>
              <w:t>1</w:t>
            </w:r>
          </w:p>
        </w:tc>
        <w:tc>
          <w:tcPr>
            <w:tcW w:w="720" w:type="dxa"/>
          </w:tcPr>
          <w:p w14:paraId="543D3598" w14:textId="77777777" w:rsidR="00B678B5" w:rsidRPr="00276F92" w:rsidRDefault="00B678B5">
            <w:pPr>
              <w:pStyle w:val="TableTextCentered"/>
              <w:rPr>
                <w:rFonts w:eastAsia="Times New Roman"/>
              </w:rPr>
            </w:pPr>
            <w:r>
              <w:rPr>
                <w:rFonts w:eastAsia="Times New Roman"/>
              </w:rPr>
              <w:t>2</w:t>
            </w:r>
          </w:p>
        </w:tc>
        <w:tc>
          <w:tcPr>
            <w:tcW w:w="720" w:type="dxa"/>
          </w:tcPr>
          <w:p w14:paraId="4B3DF04B" w14:textId="77777777" w:rsidR="00B678B5" w:rsidRPr="00276F92" w:rsidRDefault="00B678B5">
            <w:pPr>
              <w:pStyle w:val="TableTextCentered"/>
              <w:rPr>
                <w:rFonts w:eastAsia="Times New Roman"/>
              </w:rPr>
            </w:pPr>
            <w:r>
              <w:rPr>
                <w:rFonts w:eastAsia="Times New Roman"/>
              </w:rPr>
              <w:t>9</w:t>
            </w:r>
          </w:p>
        </w:tc>
        <w:tc>
          <w:tcPr>
            <w:tcW w:w="720" w:type="dxa"/>
          </w:tcPr>
          <w:p w14:paraId="2238528D" w14:textId="77777777" w:rsidR="00B678B5" w:rsidRPr="00276F92" w:rsidRDefault="00B678B5">
            <w:pPr>
              <w:pStyle w:val="TableTextCentered"/>
              <w:rPr>
                <w:rFonts w:eastAsia="Times New Roman"/>
              </w:rPr>
            </w:pPr>
            <w:r>
              <w:rPr>
                <w:rFonts w:eastAsia="Times New Roman"/>
              </w:rPr>
              <w:t>7</w:t>
            </w:r>
          </w:p>
        </w:tc>
        <w:tc>
          <w:tcPr>
            <w:tcW w:w="720" w:type="dxa"/>
          </w:tcPr>
          <w:p w14:paraId="65C3B4E0" w14:textId="77777777" w:rsidR="00B678B5" w:rsidRPr="00276F92" w:rsidRDefault="00B678B5">
            <w:pPr>
              <w:pStyle w:val="TableTextCentered"/>
              <w:rPr>
                <w:rFonts w:eastAsia="Times New Roman"/>
              </w:rPr>
            </w:pPr>
            <w:r>
              <w:rPr>
                <w:rFonts w:eastAsia="Times New Roman"/>
              </w:rPr>
              <w:t>18</w:t>
            </w:r>
          </w:p>
        </w:tc>
        <w:tc>
          <w:tcPr>
            <w:tcW w:w="720" w:type="dxa"/>
          </w:tcPr>
          <w:p w14:paraId="1FFEE46C" w14:textId="77777777" w:rsidR="00B678B5" w:rsidRPr="00276F92" w:rsidRDefault="00B678B5">
            <w:pPr>
              <w:pStyle w:val="TableTextCentered"/>
              <w:rPr>
                <w:rFonts w:eastAsia="Times New Roman"/>
              </w:rPr>
            </w:pPr>
            <w:r>
              <w:rPr>
                <w:rFonts w:eastAsia="Times New Roman"/>
              </w:rPr>
              <w:t>16</w:t>
            </w:r>
          </w:p>
        </w:tc>
        <w:tc>
          <w:tcPr>
            <w:tcW w:w="547" w:type="dxa"/>
          </w:tcPr>
          <w:p w14:paraId="108DBE0E" w14:textId="77777777" w:rsidR="00B678B5" w:rsidRPr="00276F92" w:rsidRDefault="00B678B5">
            <w:pPr>
              <w:pStyle w:val="TableTextCentered"/>
              <w:rPr>
                <w:rFonts w:eastAsia="Times New Roman"/>
              </w:rPr>
            </w:pPr>
            <w:r>
              <w:rPr>
                <w:rFonts w:eastAsia="Times New Roman"/>
              </w:rPr>
              <w:t>53</w:t>
            </w:r>
          </w:p>
        </w:tc>
        <w:tc>
          <w:tcPr>
            <w:tcW w:w="900" w:type="dxa"/>
          </w:tcPr>
          <w:p w14:paraId="28C0E91E" w14:textId="77777777" w:rsidR="00B678B5" w:rsidRPr="00276F92" w:rsidRDefault="00B678B5">
            <w:pPr>
              <w:pStyle w:val="TableTextCentered"/>
              <w:rPr>
                <w:rFonts w:eastAsia="Times New Roman"/>
              </w:rPr>
            </w:pPr>
            <w:r>
              <w:rPr>
                <w:rFonts w:eastAsia="Times New Roman"/>
              </w:rPr>
              <w:t>5.6</w:t>
            </w:r>
          </w:p>
        </w:tc>
      </w:tr>
      <w:tr w:rsidR="00B678B5" w:rsidRPr="00E359BF" w14:paraId="39F40624"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42E8B107" w14:textId="77777777" w:rsidR="00B678B5" w:rsidRPr="00276F92" w:rsidRDefault="00B678B5">
            <w:pPr>
              <w:pStyle w:val="TableText"/>
              <w:ind w:left="204"/>
              <w:rPr>
                <w:b/>
                <w:bCs/>
              </w:rPr>
            </w:pPr>
            <w:r w:rsidRPr="00276F92">
              <w:t>Productivity</w:t>
            </w:r>
          </w:p>
        </w:tc>
        <w:tc>
          <w:tcPr>
            <w:tcW w:w="720" w:type="dxa"/>
          </w:tcPr>
          <w:p w14:paraId="73DC2571" w14:textId="77777777" w:rsidR="00B678B5" w:rsidRPr="00276F92" w:rsidRDefault="00B678B5">
            <w:pPr>
              <w:pStyle w:val="TableTextCentered"/>
              <w:rPr>
                <w:rFonts w:eastAsia="Times New Roman"/>
              </w:rPr>
            </w:pPr>
            <w:r>
              <w:rPr>
                <w:rFonts w:eastAsia="Times New Roman"/>
              </w:rPr>
              <w:t>0</w:t>
            </w:r>
          </w:p>
        </w:tc>
        <w:tc>
          <w:tcPr>
            <w:tcW w:w="720" w:type="dxa"/>
          </w:tcPr>
          <w:p w14:paraId="5F956054" w14:textId="77777777" w:rsidR="00B678B5" w:rsidRPr="00276F92" w:rsidRDefault="00B678B5">
            <w:pPr>
              <w:pStyle w:val="TableTextCentered"/>
              <w:rPr>
                <w:rFonts w:eastAsia="Times New Roman"/>
              </w:rPr>
            </w:pPr>
            <w:r>
              <w:rPr>
                <w:rFonts w:eastAsia="Times New Roman"/>
              </w:rPr>
              <w:t>1</w:t>
            </w:r>
          </w:p>
        </w:tc>
        <w:tc>
          <w:tcPr>
            <w:tcW w:w="720" w:type="dxa"/>
          </w:tcPr>
          <w:p w14:paraId="009D4F29" w14:textId="77777777" w:rsidR="00B678B5" w:rsidRPr="00276F92" w:rsidRDefault="00B678B5">
            <w:pPr>
              <w:pStyle w:val="TableTextCentered"/>
              <w:rPr>
                <w:rFonts w:eastAsia="Times New Roman"/>
              </w:rPr>
            </w:pPr>
            <w:r>
              <w:rPr>
                <w:rFonts w:eastAsia="Times New Roman"/>
              </w:rPr>
              <w:t>2</w:t>
            </w:r>
          </w:p>
        </w:tc>
        <w:tc>
          <w:tcPr>
            <w:tcW w:w="720" w:type="dxa"/>
          </w:tcPr>
          <w:p w14:paraId="2DF286CD" w14:textId="77777777" w:rsidR="00B678B5" w:rsidRPr="00276F92" w:rsidRDefault="00B678B5">
            <w:pPr>
              <w:pStyle w:val="TableTextCentered"/>
              <w:rPr>
                <w:rFonts w:eastAsia="Times New Roman"/>
              </w:rPr>
            </w:pPr>
            <w:r>
              <w:rPr>
                <w:rFonts w:eastAsia="Times New Roman"/>
              </w:rPr>
              <w:t>3</w:t>
            </w:r>
          </w:p>
        </w:tc>
        <w:tc>
          <w:tcPr>
            <w:tcW w:w="720" w:type="dxa"/>
          </w:tcPr>
          <w:p w14:paraId="4C2A3513" w14:textId="77777777" w:rsidR="00B678B5" w:rsidRPr="00276F92" w:rsidRDefault="00B678B5">
            <w:pPr>
              <w:pStyle w:val="TableTextCentered"/>
              <w:rPr>
                <w:rFonts w:eastAsia="Times New Roman"/>
              </w:rPr>
            </w:pPr>
            <w:r>
              <w:rPr>
                <w:rFonts w:eastAsia="Times New Roman"/>
              </w:rPr>
              <w:t>8</w:t>
            </w:r>
          </w:p>
        </w:tc>
        <w:tc>
          <w:tcPr>
            <w:tcW w:w="720" w:type="dxa"/>
          </w:tcPr>
          <w:p w14:paraId="0A42EDA3" w14:textId="77777777" w:rsidR="00B678B5" w:rsidRPr="00276F92" w:rsidRDefault="00B678B5">
            <w:pPr>
              <w:pStyle w:val="TableTextCentered"/>
              <w:rPr>
                <w:rFonts w:eastAsia="Times New Roman"/>
              </w:rPr>
            </w:pPr>
            <w:r>
              <w:rPr>
                <w:rFonts w:eastAsia="Times New Roman"/>
              </w:rPr>
              <w:t>19</w:t>
            </w:r>
          </w:p>
        </w:tc>
        <w:tc>
          <w:tcPr>
            <w:tcW w:w="720" w:type="dxa"/>
          </w:tcPr>
          <w:p w14:paraId="44A34C33" w14:textId="77777777" w:rsidR="00B678B5" w:rsidRPr="00276F92" w:rsidRDefault="00B678B5">
            <w:pPr>
              <w:pStyle w:val="TableTextCentered"/>
              <w:rPr>
                <w:rFonts w:eastAsia="Times New Roman"/>
              </w:rPr>
            </w:pPr>
            <w:r>
              <w:rPr>
                <w:rFonts w:eastAsia="Times New Roman"/>
              </w:rPr>
              <w:t>20</w:t>
            </w:r>
          </w:p>
        </w:tc>
        <w:tc>
          <w:tcPr>
            <w:tcW w:w="547" w:type="dxa"/>
          </w:tcPr>
          <w:p w14:paraId="47AF0D07" w14:textId="77777777" w:rsidR="00B678B5" w:rsidRPr="00276F92" w:rsidRDefault="00B678B5">
            <w:pPr>
              <w:pStyle w:val="TableTextCentered"/>
              <w:rPr>
                <w:rFonts w:eastAsia="Times New Roman"/>
              </w:rPr>
            </w:pPr>
            <w:r>
              <w:rPr>
                <w:rFonts w:eastAsia="Times New Roman"/>
              </w:rPr>
              <w:t>53</w:t>
            </w:r>
          </w:p>
        </w:tc>
        <w:tc>
          <w:tcPr>
            <w:tcW w:w="900" w:type="dxa"/>
          </w:tcPr>
          <w:p w14:paraId="2193B0D8" w14:textId="77777777" w:rsidR="00B678B5" w:rsidRPr="00276F92" w:rsidRDefault="00B678B5">
            <w:pPr>
              <w:pStyle w:val="TableTextCentered"/>
              <w:rPr>
                <w:rFonts w:eastAsia="Times New Roman"/>
              </w:rPr>
            </w:pPr>
            <w:r>
              <w:rPr>
                <w:rFonts w:eastAsia="Times New Roman"/>
              </w:rPr>
              <w:t>5.9</w:t>
            </w:r>
          </w:p>
        </w:tc>
      </w:tr>
      <w:tr w:rsidR="00B678B5" w:rsidRPr="00E359BF" w14:paraId="634D40E8" w14:textId="77777777" w:rsidTr="00D679F6">
        <w:tc>
          <w:tcPr>
            <w:tcW w:w="3232" w:type="dxa"/>
          </w:tcPr>
          <w:p w14:paraId="619C6B58" w14:textId="77777777" w:rsidR="00B678B5" w:rsidRPr="00276F92" w:rsidRDefault="00B678B5">
            <w:pPr>
              <w:pStyle w:val="TableText"/>
              <w:ind w:left="204"/>
              <w:rPr>
                <w:b/>
                <w:bCs/>
              </w:rPr>
            </w:pPr>
            <w:r w:rsidRPr="00276F92">
              <w:t>Negative Climate**</w:t>
            </w:r>
          </w:p>
        </w:tc>
        <w:tc>
          <w:tcPr>
            <w:tcW w:w="720" w:type="dxa"/>
          </w:tcPr>
          <w:p w14:paraId="48CEE7C2" w14:textId="77777777" w:rsidR="00B678B5" w:rsidRPr="00276F92" w:rsidRDefault="00B678B5">
            <w:pPr>
              <w:pStyle w:val="TableTextCentered"/>
              <w:rPr>
                <w:rFonts w:eastAsia="Times New Roman"/>
              </w:rPr>
            </w:pPr>
            <w:r>
              <w:rPr>
                <w:rFonts w:eastAsia="Times New Roman"/>
              </w:rPr>
              <w:t>0</w:t>
            </w:r>
          </w:p>
        </w:tc>
        <w:tc>
          <w:tcPr>
            <w:tcW w:w="720" w:type="dxa"/>
          </w:tcPr>
          <w:p w14:paraId="449DE0AF" w14:textId="77777777" w:rsidR="00B678B5" w:rsidRPr="00276F92" w:rsidRDefault="00B678B5">
            <w:pPr>
              <w:pStyle w:val="TableTextCentered"/>
              <w:rPr>
                <w:rFonts w:eastAsia="Times New Roman"/>
              </w:rPr>
            </w:pPr>
            <w:r>
              <w:rPr>
                <w:rFonts w:eastAsia="Times New Roman"/>
              </w:rPr>
              <w:t>0</w:t>
            </w:r>
          </w:p>
        </w:tc>
        <w:tc>
          <w:tcPr>
            <w:tcW w:w="720" w:type="dxa"/>
          </w:tcPr>
          <w:p w14:paraId="77C15FEE" w14:textId="77777777" w:rsidR="00B678B5" w:rsidRPr="00276F92" w:rsidRDefault="00B678B5">
            <w:pPr>
              <w:pStyle w:val="TableTextCentered"/>
              <w:rPr>
                <w:rFonts w:eastAsia="Times New Roman"/>
              </w:rPr>
            </w:pPr>
            <w:r>
              <w:rPr>
                <w:rFonts w:eastAsia="Times New Roman"/>
              </w:rPr>
              <w:t>0</w:t>
            </w:r>
          </w:p>
        </w:tc>
        <w:tc>
          <w:tcPr>
            <w:tcW w:w="720" w:type="dxa"/>
          </w:tcPr>
          <w:p w14:paraId="508A1CCE" w14:textId="77777777" w:rsidR="00B678B5" w:rsidRPr="00276F92" w:rsidRDefault="00B678B5">
            <w:pPr>
              <w:pStyle w:val="TableTextCentered"/>
              <w:rPr>
                <w:rFonts w:eastAsia="Times New Roman"/>
              </w:rPr>
            </w:pPr>
            <w:r>
              <w:rPr>
                <w:rFonts w:eastAsia="Times New Roman"/>
              </w:rPr>
              <w:t>0</w:t>
            </w:r>
          </w:p>
        </w:tc>
        <w:tc>
          <w:tcPr>
            <w:tcW w:w="720" w:type="dxa"/>
          </w:tcPr>
          <w:p w14:paraId="5D7FE1AD" w14:textId="77777777" w:rsidR="00B678B5" w:rsidRPr="00276F92" w:rsidRDefault="00B678B5">
            <w:pPr>
              <w:pStyle w:val="TableTextCentered"/>
              <w:rPr>
                <w:rFonts w:eastAsia="Times New Roman"/>
              </w:rPr>
            </w:pPr>
            <w:r>
              <w:rPr>
                <w:rFonts w:eastAsia="Times New Roman"/>
              </w:rPr>
              <w:t>0</w:t>
            </w:r>
          </w:p>
        </w:tc>
        <w:tc>
          <w:tcPr>
            <w:tcW w:w="720" w:type="dxa"/>
          </w:tcPr>
          <w:p w14:paraId="0E0197B2" w14:textId="77777777" w:rsidR="00B678B5" w:rsidRPr="00276F92" w:rsidRDefault="00B678B5">
            <w:pPr>
              <w:pStyle w:val="TableTextCentered"/>
              <w:rPr>
                <w:rFonts w:eastAsia="Times New Roman"/>
              </w:rPr>
            </w:pPr>
            <w:r>
              <w:rPr>
                <w:rFonts w:eastAsia="Times New Roman"/>
              </w:rPr>
              <w:t>5</w:t>
            </w:r>
          </w:p>
        </w:tc>
        <w:tc>
          <w:tcPr>
            <w:tcW w:w="720" w:type="dxa"/>
          </w:tcPr>
          <w:p w14:paraId="6E254614" w14:textId="77777777" w:rsidR="00B678B5" w:rsidRPr="00276F92" w:rsidRDefault="00B678B5">
            <w:pPr>
              <w:pStyle w:val="TableTextCentered"/>
              <w:rPr>
                <w:rFonts w:eastAsia="Times New Roman"/>
              </w:rPr>
            </w:pPr>
            <w:r>
              <w:rPr>
                <w:rFonts w:eastAsia="Times New Roman"/>
              </w:rPr>
              <w:t>48</w:t>
            </w:r>
          </w:p>
        </w:tc>
        <w:tc>
          <w:tcPr>
            <w:tcW w:w="547" w:type="dxa"/>
          </w:tcPr>
          <w:p w14:paraId="26FE52DF" w14:textId="77777777" w:rsidR="00B678B5" w:rsidRPr="00276F92" w:rsidRDefault="00B678B5">
            <w:pPr>
              <w:pStyle w:val="TableTextCentered"/>
              <w:rPr>
                <w:rFonts w:eastAsia="Times New Roman"/>
              </w:rPr>
            </w:pPr>
            <w:r>
              <w:rPr>
                <w:rFonts w:eastAsia="Times New Roman"/>
              </w:rPr>
              <w:t>53</w:t>
            </w:r>
          </w:p>
        </w:tc>
        <w:tc>
          <w:tcPr>
            <w:tcW w:w="900" w:type="dxa"/>
          </w:tcPr>
          <w:p w14:paraId="05BDF42E" w14:textId="77777777" w:rsidR="00B678B5" w:rsidRPr="00276F92" w:rsidRDefault="00B678B5">
            <w:pPr>
              <w:pStyle w:val="TableTextCentered"/>
              <w:rPr>
                <w:rFonts w:eastAsia="Times New Roman"/>
              </w:rPr>
            </w:pPr>
            <w:r>
              <w:rPr>
                <w:rFonts w:eastAsia="Times New Roman"/>
              </w:rPr>
              <w:t>6.9</w:t>
            </w:r>
          </w:p>
        </w:tc>
      </w:tr>
      <w:tr w:rsidR="00B678B5" w:rsidRPr="00E359BF" w14:paraId="188C297B"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25BFE6F7" w14:textId="77777777" w:rsidR="00B678B5" w:rsidRPr="00C131AE" w:rsidRDefault="00B678B5">
            <w:pPr>
              <w:pStyle w:val="TableSubheading"/>
              <w:rPr>
                <w:szCs w:val="20"/>
              </w:rPr>
            </w:pPr>
            <w:r w:rsidRPr="00C131AE">
              <w:t>Instructional Support Domain</w:t>
            </w:r>
          </w:p>
        </w:tc>
        <w:tc>
          <w:tcPr>
            <w:tcW w:w="720" w:type="dxa"/>
          </w:tcPr>
          <w:p w14:paraId="4E0C4DAC" w14:textId="77777777" w:rsidR="00B678B5" w:rsidRPr="00C131AE" w:rsidRDefault="00B678B5">
            <w:pPr>
              <w:pStyle w:val="TableTextCenteredDemi"/>
              <w:rPr>
                <w:rFonts w:eastAsia="Times New Roman"/>
              </w:rPr>
            </w:pPr>
            <w:r w:rsidRPr="00C131AE">
              <w:rPr>
                <w:rFonts w:eastAsia="Times New Roman"/>
              </w:rPr>
              <w:t>31</w:t>
            </w:r>
          </w:p>
        </w:tc>
        <w:tc>
          <w:tcPr>
            <w:tcW w:w="720" w:type="dxa"/>
          </w:tcPr>
          <w:p w14:paraId="490CA550" w14:textId="77777777" w:rsidR="00B678B5" w:rsidRPr="00C131AE" w:rsidRDefault="00B678B5">
            <w:pPr>
              <w:pStyle w:val="TableTextCenteredDemi"/>
              <w:rPr>
                <w:rFonts w:eastAsia="Times New Roman"/>
              </w:rPr>
            </w:pPr>
            <w:r w:rsidRPr="00C131AE">
              <w:rPr>
                <w:rFonts w:eastAsia="Times New Roman"/>
              </w:rPr>
              <w:t>42</w:t>
            </w:r>
          </w:p>
        </w:tc>
        <w:tc>
          <w:tcPr>
            <w:tcW w:w="720" w:type="dxa"/>
          </w:tcPr>
          <w:p w14:paraId="052EC223" w14:textId="77777777" w:rsidR="00B678B5" w:rsidRPr="00C131AE" w:rsidRDefault="00B678B5">
            <w:pPr>
              <w:pStyle w:val="TableTextCenteredDemi"/>
              <w:rPr>
                <w:rFonts w:eastAsia="Times New Roman"/>
              </w:rPr>
            </w:pPr>
            <w:r w:rsidRPr="00C131AE">
              <w:rPr>
                <w:rFonts w:eastAsia="Times New Roman"/>
              </w:rPr>
              <w:t>59</w:t>
            </w:r>
          </w:p>
        </w:tc>
        <w:tc>
          <w:tcPr>
            <w:tcW w:w="720" w:type="dxa"/>
          </w:tcPr>
          <w:p w14:paraId="6DDA648C" w14:textId="77777777" w:rsidR="00B678B5" w:rsidRPr="00C131AE" w:rsidRDefault="00B678B5">
            <w:pPr>
              <w:pStyle w:val="TableTextCenteredDemi"/>
              <w:rPr>
                <w:rFonts w:eastAsia="Times New Roman"/>
              </w:rPr>
            </w:pPr>
            <w:r w:rsidRPr="00C131AE">
              <w:rPr>
                <w:rFonts w:eastAsia="Times New Roman"/>
              </w:rPr>
              <w:t>54</w:t>
            </w:r>
          </w:p>
        </w:tc>
        <w:tc>
          <w:tcPr>
            <w:tcW w:w="720" w:type="dxa"/>
          </w:tcPr>
          <w:p w14:paraId="6E5032A9" w14:textId="77777777" w:rsidR="00B678B5" w:rsidRPr="00C131AE" w:rsidRDefault="00B678B5">
            <w:pPr>
              <w:pStyle w:val="TableTextCenteredDemi"/>
              <w:rPr>
                <w:rFonts w:eastAsia="Times New Roman"/>
              </w:rPr>
            </w:pPr>
            <w:r w:rsidRPr="00C131AE">
              <w:rPr>
                <w:rFonts w:eastAsia="Times New Roman"/>
              </w:rPr>
              <w:t>48</w:t>
            </w:r>
          </w:p>
        </w:tc>
        <w:tc>
          <w:tcPr>
            <w:tcW w:w="720" w:type="dxa"/>
          </w:tcPr>
          <w:p w14:paraId="15B47B80" w14:textId="77777777" w:rsidR="00B678B5" w:rsidRPr="00C131AE" w:rsidRDefault="00B678B5">
            <w:pPr>
              <w:pStyle w:val="TableTextCenteredDemi"/>
              <w:rPr>
                <w:rFonts w:eastAsia="Times New Roman"/>
              </w:rPr>
            </w:pPr>
            <w:r w:rsidRPr="00C131AE">
              <w:rPr>
                <w:rFonts w:eastAsia="Times New Roman"/>
              </w:rPr>
              <w:t>21</w:t>
            </w:r>
          </w:p>
        </w:tc>
        <w:tc>
          <w:tcPr>
            <w:tcW w:w="720" w:type="dxa"/>
          </w:tcPr>
          <w:p w14:paraId="47F2ABF3" w14:textId="77777777" w:rsidR="00B678B5" w:rsidRPr="00C131AE" w:rsidRDefault="00B678B5">
            <w:pPr>
              <w:pStyle w:val="TableTextCenteredDemi"/>
              <w:rPr>
                <w:rFonts w:eastAsia="Times New Roman"/>
              </w:rPr>
            </w:pPr>
            <w:r w:rsidRPr="00C131AE">
              <w:rPr>
                <w:rFonts w:eastAsia="Times New Roman"/>
              </w:rPr>
              <w:t>10</w:t>
            </w:r>
          </w:p>
        </w:tc>
        <w:tc>
          <w:tcPr>
            <w:tcW w:w="547" w:type="dxa"/>
          </w:tcPr>
          <w:p w14:paraId="43BB69EF" w14:textId="77777777" w:rsidR="00B678B5" w:rsidRPr="00C131AE" w:rsidRDefault="00B678B5">
            <w:pPr>
              <w:pStyle w:val="TableTextCenteredDemi"/>
              <w:rPr>
                <w:rFonts w:eastAsia="Times New Roman"/>
              </w:rPr>
            </w:pPr>
            <w:r w:rsidRPr="00C131AE">
              <w:rPr>
                <w:rFonts w:eastAsia="Times New Roman"/>
              </w:rPr>
              <w:t>265</w:t>
            </w:r>
          </w:p>
        </w:tc>
        <w:tc>
          <w:tcPr>
            <w:tcW w:w="900" w:type="dxa"/>
          </w:tcPr>
          <w:p w14:paraId="07DBDBCE" w14:textId="77777777" w:rsidR="00B678B5" w:rsidRPr="00C131AE" w:rsidRDefault="00B678B5">
            <w:pPr>
              <w:pStyle w:val="TableTextCenteredDemi"/>
              <w:rPr>
                <w:rFonts w:eastAsia="Times New Roman"/>
              </w:rPr>
            </w:pPr>
            <w:r w:rsidRPr="00C131AE">
              <w:rPr>
                <w:rFonts w:eastAsia="Times New Roman"/>
              </w:rPr>
              <w:t>3.6</w:t>
            </w:r>
          </w:p>
        </w:tc>
      </w:tr>
      <w:tr w:rsidR="00B678B5" w:rsidRPr="00E359BF" w14:paraId="0F26206C" w14:textId="77777777" w:rsidTr="00D679F6">
        <w:tc>
          <w:tcPr>
            <w:tcW w:w="3232" w:type="dxa"/>
          </w:tcPr>
          <w:p w14:paraId="54201DA3" w14:textId="77777777" w:rsidR="00B678B5" w:rsidRPr="00276F92" w:rsidRDefault="00B678B5">
            <w:pPr>
              <w:pStyle w:val="TableText"/>
              <w:ind w:left="204"/>
              <w:rPr>
                <w:b/>
                <w:bCs/>
              </w:rPr>
            </w:pPr>
            <w:r w:rsidRPr="00276F92">
              <w:t>Instructional Learning Formats</w:t>
            </w:r>
          </w:p>
        </w:tc>
        <w:tc>
          <w:tcPr>
            <w:tcW w:w="720" w:type="dxa"/>
          </w:tcPr>
          <w:p w14:paraId="6F1DDAC4" w14:textId="77777777" w:rsidR="00B678B5" w:rsidRPr="00276F92" w:rsidRDefault="00B678B5">
            <w:pPr>
              <w:pStyle w:val="TableTextCentered"/>
              <w:rPr>
                <w:rFonts w:eastAsia="Times New Roman"/>
              </w:rPr>
            </w:pPr>
            <w:r>
              <w:rPr>
                <w:rFonts w:eastAsia="Times New Roman"/>
              </w:rPr>
              <w:t>0</w:t>
            </w:r>
          </w:p>
        </w:tc>
        <w:tc>
          <w:tcPr>
            <w:tcW w:w="720" w:type="dxa"/>
          </w:tcPr>
          <w:p w14:paraId="675E8843" w14:textId="77777777" w:rsidR="00B678B5" w:rsidRPr="00276F92" w:rsidRDefault="00B678B5">
            <w:pPr>
              <w:pStyle w:val="TableTextCentered"/>
              <w:rPr>
                <w:rFonts w:eastAsia="Times New Roman"/>
              </w:rPr>
            </w:pPr>
            <w:r>
              <w:rPr>
                <w:rFonts w:eastAsia="Times New Roman"/>
              </w:rPr>
              <w:t>1</w:t>
            </w:r>
          </w:p>
        </w:tc>
        <w:tc>
          <w:tcPr>
            <w:tcW w:w="720" w:type="dxa"/>
          </w:tcPr>
          <w:p w14:paraId="309E644F" w14:textId="77777777" w:rsidR="00B678B5" w:rsidRPr="00276F92" w:rsidRDefault="00B678B5">
            <w:pPr>
              <w:pStyle w:val="TableTextCentered"/>
              <w:rPr>
                <w:rFonts w:eastAsia="Times New Roman"/>
              </w:rPr>
            </w:pPr>
            <w:r>
              <w:rPr>
                <w:rFonts w:eastAsia="Times New Roman"/>
              </w:rPr>
              <w:t>6</w:t>
            </w:r>
          </w:p>
        </w:tc>
        <w:tc>
          <w:tcPr>
            <w:tcW w:w="720" w:type="dxa"/>
          </w:tcPr>
          <w:p w14:paraId="477AE8BD" w14:textId="77777777" w:rsidR="00B678B5" w:rsidRPr="00276F92" w:rsidRDefault="00B678B5">
            <w:pPr>
              <w:pStyle w:val="TableTextCentered"/>
              <w:rPr>
                <w:rFonts w:eastAsia="Times New Roman"/>
              </w:rPr>
            </w:pPr>
            <w:r>
              <w:rPr>
                <w:rFonts w:eastAsia="Times New Roman"/>
              </w:rPr>
              <w:t>15</w:t>
            </w:r>
          </w:p>
        </w:tc>
        <w:tc>
          <w:tcPr>
            <w:tcW w:w="720" w:type="dxa"/>
          </w:tcPr>
          <w:p w14:paraId="513F83C9" w14:textId="77777777" w:rsidR="00B678B5" w:rsidRPr="00276F92" w:rsidRDefault="00B678B5">
            <w:pPr>
              <w:pStyle w:val="TableTextCentered"/>
              <w:rPr>
                <w:rFonts w:eastAsia="Times New Roman"/>
              </w:rPr>
            </w:pPr>
            <w:r>
              <w:rPr>
                <w:rFonts w:eastAsia="Times New Roman"/>
              </w:rPr>
              <w:t>18</w:t>
            </w:r>
          </w:p>
        </w:tc>
        <w:tc>
          <w:tcPr>
            <w:tcW w:w="720" w:type="dxa"/>
          </w:tcPr>
          <w:p w14:paraId="0CAF89CB" w14:textId="77777777" w:rsidR="00B678B5" w:rsidRPr="00276F92" w:rsidRDefault="00B678B5">
            <w:pPr>
              <w:pStyle w:val="TableTextCentered"/>
              <w:rPr>
                <w:rFonts w:eastAsia="Times New Roman"/>
              </w:rPr>
            </w:pPr>
            <w:r>
              <w:rPr>
                <w:rFonts w:eastAsia="Times New Roman"/>
              </w:rPr>
              <w:t>10</w:t>
            </w:r>
          </w:p>
        </w:tc>
        <w:tc>
          <w:tcPr>
            <w:tcW w:w="720" w:type="dxa"/>
          </w:tcPr>
          <w:p w14:paraId="4545E712" w14:textId="77777777" w:rsidR="00B678B5" w:rsidRPr="00276F92" w:rsidRDefault="00B678B5">
            <w:pPr>
              <w:pStyle w:val="TableTextCentered"/>
              <w:rPr>
                <w:rFonts w:eastAsia="Times New Roman"/>
              </w:rPr>
            </w:pPr>
            <w:r>
              <w:rPr>
                <w:rFonts w:eastAsia="Times New Roman"/>
              </w:rPr>
              <w:t>3</w:t>
            </w:r>
          </w:p>
        </w:tc>
        <w:tc>
          <w:tcPr>
            <w:tcW w:w="547" w:type="dxa"/>
          </w:tcPr>
          <w:p w14:paraId="25BE6B77" w14:textId="77777777" w:rsidR="00B678B5" w:rsidRPr="00276F92" w:rsidRDefault="00B678B5">
            <w:pPr>
              <w:pStyle w:val="TableTextCentered"/>
              <w:rPr>
                <w:rFonts w:eastAsia="Times New Roman"/>
              </w:rPr>
            </w:pPr>
            <w:r>
              <w:rPr>
                <w:rFonts w:eastAsia="Times New Roman"/>
              </w:rPr>
              <w:t>53</w:t>
            </w:r>
          </w:p>
        </w:tc>
        <w:tc>
          <w:tcPr>
            <w:tcW w:w="900" w:type="dxa"/>
          </w:tcPr>
          <w:p w14:paraId="152D8A7A" w14:textId="77777777" w:rsidR="00B678B5" w:rsidRPr="00276F92" w:rsidRDefault="00B678B5">
            <w:pPr>
              <w:pStyle w:val="TableTextCentered"/>
              <w:rPr>
                <w:rFonts w:eastAsia="Times New Roman"/>
              </w:rPr>
            </w:pPr>
            <w:r>
              <w:rPr>
                <w:rFonts w:eastAsia="Times New Roman"/>
              </w:rPr>
              <w:t>4.7</w:t>
            </w:r>
          </w:p>
        </w:tc>
      </w:tr>
      <w:tr w:rsidR="00B678B5" w:rsidRPr="00E359BF" w14:paraId="19A7874E" w14:textId="77777777" w:rsidTr="00D679F6">
        <w:trPr>
          <w:cnfStyle w:val="000000100000" w:firstRow="0" w:lastRow="0" w:firstColumn="0" w:lastColumn="0" w:oddVBand="0" w:evenVBand="0" w:oddHBand="1" w:evenHBand="0" w:firstRowFirstColumn="0" w:firstRowLastColumn="0" w:lastRowFirstColumn="0" w:lastRowLastColumn="0"/>
          <w:trHeight w:val="70"/>
        </w:trPr>
        <w:tc>
          <w:tcPr>
            <w:tcW w:w="3232" w:type="dxa"/>
          </w:tcPr>
          <w:p w14:paraId="44B68841" w14:textId="77777777" w:rsidR="00B678B5" w:rsidRPr="00276F92" w:rsidRDefault="00B678B5">
            <w:pPr>
              <w:pStyle w:val="TableText"/>
              <w:ind w:left="204"/>
              <w:rPr>
                <w:b/>
                <w:bCs/>
              </w:rPr>
            </w:pPr>
            <w:r w:rsidRPr="00276F92">
              <w:t>Content Understanding</w:t>
            </w:r>
          </w:p>
        </w:tc>
        <w:tc>
          <w:tcPr>
            <w:tcW w:w="720" w:type="dxa"/>
          </w:tcPr>
          <w:p w14:paraId="29960838" w14:textId="77777777" w:rsidR="00B678B5" w:rsidRPr="00276F92" w:rsidRDefault="00B678B5">
            <w:pPr>
              <w:pStyle w:val="TableTextCentered"/>
              <w:rPr>
                <w:rFonts w:eastAsia="Times New Roman"/>
              </w:rPr>
            </w:pPr>
            <w:r>
              <w:rPr>
                <w:rFonts w:eastAsia="Times New Roman"/>
              </w:rPr>
              <w:t>2</w:t>
            </w:r>
          </w:p>
        </w:tc>
        <w:tc>
          <w:tcPr>
            <w:tcW w:w="720" w:type="dxa"/>
          </w:tcPr>
          <w:p w14:paraId="7BC627AE" w14:textId="77777777" w:rsidR="00B678B5" w:rsidRPr="00276F92" w:rsidRDefault="00B678B5">
            <w:pPr>
              <w:pStyle w:val="TableTextCentered"/>
              <w:rPr>
                <w:rFonts w:eastAsia="Times New Roman"/>
              </w:rPr>
            </w:pPr>
            <w:r>
              <w:rPr>
                <w:rFonts w:eastAsia="Times New Roman"/>
              </w:rPr>
              <w:t>6</w:t>
            </w:r>
          </w:p>
        </w:tc>
        <w:tc>
          <w:tcPr>
            <w:tcW w:w="720" w:type="dxa"/>
          </w:tcPr>
          <w:p w14:paraId="7BED2828" w14:textId="77777777" w:rsidR="00B678B5" w:rsidRPr="00276F92" w:rsidRDefault="00B678B5">
            <w:pPr>
              <w:pStyle w:val="TableTextCentered"/>
              <w:rPr>
                <w:rFonts w:eastAsia="Times New Roman"/>
              </w:rPr>
            </w:pPr>
            <w:r>
              <w:rPr>
                <w:rFonts w:eastAsia="Times New Roman"/>
              </w:rPr>
              <w:t>14</w:t>
            </w:r>
          </w:p>
        </w:tc>
        <w:tc>
          <w:tcPr>
            <w:tcW w:w="720" w:type="dxa"/>
          </w:tcPr>
          <w:p w14:paraId="542A80BD" w14:textId="77777777" w:rsidR="00B678B5" w:rsidRPr="00276F92" w:rsidRDefault="00B678B5">
            <w:pPr>
              <w:pStyle w:val="TableTextCentered"/>
              <w:rPr>
                <w:rFonts w:eastAsia="Times New Roman"/>
              </w:rPr>
            </w:pPr>
            <w:r>
              <w:rPr>
                <w:rFonts w:eastAsia="Times New Roman"/>
              </w:rPr>
              <w:t>11</w:t>
            </w:r>
          </w:p>
        </w:tc>
        <w:tc>
          <w:tcPr>
            <w:tcW w:w="720" w:type="dxa"/>
          </w:tcPr>
          <w:p w14:paraId="7D99B663" w14:textId="77777777" w:rsidR="00B678B5" w:rsidRPr="00276F92" w:rsidRDefault="00B678B5">
            <w:pPr>
              <w:pStyle w:val="TableTextCentered"/>
              <w:rPr>
                <w:rFonts w:eastAsia="Times New Roman"/>
              </w:rPr>
            </w:pPr>
            <w:r>
              <w:rPr>
                <w:rFonts w:eastAsia="Times New Roman"/>
              </w:rPr>
              <w:t>12</w:t>
            </w:r>
          </w:p>
        </w:tc>
        <w:tc>
          <w:tcPr>
            <w:tcW w:w="720" w:type="dxa"/>
          </w:tcPr>
          <w:p w14:paraId="0CF6EB1B" w14:textId="77777777" w:rsidR="00B678B5" w:rsidRPr="00276F92" w:rsidRDefault="00B678B5">
            <w:pPr>
              <w:pStyle w:val="TableTextCentered"/>
              <w:rPr>
                <w:rFonts w:eastAsia="Times New Roman"/>
              </w:rPr>
            </w:pPr>
            <w:r>
              <w:rPr>
                <w:rFonts w:eastAsia="Times New Roman"/>
              </w:rPr>
              <w:t>5</w:t>
            </w:r>
          </w:p>
        </w:tc>
        <w:tc>
          <w:tcPr>
            <w:tcW w:w="720" w:type="dxa"/>
          </w:tcPr>
          <w:p w14:paraId="77A61717" w14:textId="77777777" w:rsidR="00B678B5" w:rsidRPr="00276F92" w:rsidRDefault="00B678B5">
            <w:pPr>
              <w:pStyle w:val="TableTextCentered"/>
              <w:rPr>
                <w:rFonts w:eastAsia="Times New Roman"/>
              </w:rPr>
            </w:pPr>
            <w:r>
              <w:rPr>
                <w:rFonts w:eastAsia="Times New Roman"/>
              </w:rPr>
              <w:t>3</w:t>
            </w:r>
          </w:p>
        </w:tc>
        <w:tc>
          <w:tcPr>
            <w:tcW w:w="547" w:type="dxa"/>
          </w:tcPr>
          <w:p w14:paraId="39D0B49B" w14:textId="77777777" w:rsidR="00B678B5" w:rsidRPr="00276F92" w:rsidRDefault="00B678B5">
            <w:pPr>
              <w:pStyle w:val="TableTextCentered"/>
              <w:rPr>
                <w:rFonts w:eastAsia="Times New Roman"/>
              </w:rPr>
            </w:pPr>
            <w:r>
              <w:rPr>
                <w:rFonts w:eastAsia="Times New Roman"/>
              </w:rPr>
              <w:t>53</w:t>
            </w:r>
          </w:p>
        </w:tc>
        <w:tc>
          <w:tcPr>
            <w:tcW w:w="900" w:type="dxa"/>
          </w:tcPr>
          <w:p w14:paraId="16AD83D7" w14:textId="77777777" w:rsidR="00B678B5" w:rsidRPr="00276F92" w:rsidRDefault="00B678B5">
            <w:pPr>
              <w:pStyle w:val="TableTextCentered"/>
              <w:rPr>
                <w:rFonts w:eastAsia="Times New Roman"/>
              </w:rPr>
            </w:pPr>
            <w:r>
              <w:rPr>
                <w:rFonts w:eastAsia="Times New Roman"/>
              </w:rPr>
              <w:t>4.0</w:t>
            </w:r>
          </w:p>
        </w:tc>
      </w:tr>
      <w:tr w:rsidR="00B678B5" w:rsidRPr="00E359BF" w14:paraId="2F5934E0" w14:textId="77777777" w:rsidTr="00D679F6">
        <w:tc>
          <w:tcPr>
            <w:tcW w:w="3232" w:type="dxa"/>
          </w:tcPr>
          <w:p w14:paraId="4AFE77A7" w14:textId="77777777" w:rsidR="00B678B5" w:rsidRPr="00276F92" w:rsidRDefault="00B678B5">
            <w:pPr>
              <w:pStyle w:val="TableText"/>
              <w:ind w:left="204"/>
              <w:rPr>
                <w:b/>
                <w:bCs/>
              </w:rPr>
            </w:pPr>
            <w:r w:rsidRPr="00276F92">
              <w:t>Analysis and Inquiry</w:t>
            </w:r>
          </w:p>
        </w:tc>
        <w:tc>
          <w:tcPr>
            <w:tcW w:w="720" w:type="dxa"/>
          </w:tcPr>
          <w:p w14:paraId="1F4123FA" w14:textId="77777777" w:rsidR="00B678B5" w:rsidRPr="00276F92" w:rsidRDefault="00B678B5">
            <w:pPr>
              <w:pStyle w:val="TableTextCentered"/>
              <w:rPr>
                <w:rFonts w:eastAsia="Times New Roman"/>
              </w:rPr>
            </w:pPr>
            <w:r>
              <w:rPr>
                <w:rFonts w:eastAsia="Times New Roman"/>
              </w:rPr>
              <w:t>17</w:t>
            </w:r>
          </w:p>
        </w:tc>
        <w:tc>
          <w:tcPr>
            <w:tcW w:w="720" w:type="dxa"/>
          </w:tcPr>
          <w:p w14:paraId="210DED49" w14:textId="77777777" w:rsidR="00B678B5" w:rsidRPr="00276F92" w:rsidRDefault="00B678B5">
            <w:pPr>
              <w:pStyle w:val="TableTextCentered"/>
              <w:rPr>
                <w:rFonts w:eastAsia="Times New Roman"/>
              </w:rPr>
            </w:pPr>
            <w:r>
              <w:rPr>
                <w:rFonts w:eastAsia="Times New Roman"/>
              </w:rPr>
              <w:t>12</w:t>
            </w:r>
          </w:p>
        </w:tc>
        <w:tc>
          <w:tcPr>
            <w:tcW w:w="720" w:type="dxa"/>
          </w:tcPr>
          <w:p w14:paraId="2E54DD97" w14:textId="77777777" w:rsidR="00B678B5" w:rsidRPr="00276F92" w:rsidRDefault="00B678B5">
            <w:pPr>
              <w:pStyle w:val="TableTextCentered"/>
              <w:rPr>
                <w:rFonts w:eastAsia="Times New Roman"/>
              </w:rPr>
            </w:pPr>
            <w:r>
              <w:rPr>
                <w:rFonts w:eastAsia="Times New Roman"/>
              </w:rPr>
              <w:t>14</w:t>
            </w:r>
          </w:p>
        </w:tc>
        <w:tc>
          <w:tcPr>
            <w:tcW w:w="720" w:type="dxa"/>
          </w:tcPr>
          <w:p w14:paraId="08C5BC0E" w14:textId="77777777" w:rsidR="00B678B5" w:rsidRPr="00276F92" w:rsidRDefault="00B678B5">
            <w:pPr>
              <w:pStyle w:val="TableTextCentered"/>
              <w:rPr>
                <w:rFonts w:eastAsia="Times New Roman"/>
              </w:rPr>
            </w:pPr>
            <w:r>
              <w:rPr>
                <w:rFonts w:eastAsia="Times New Roman"/>
              </w:rPr>
              <w:t>6</w:t>
            </w:r>
          </w:p>
        </w:tc>
        <w:tc>
          <w:tcPr>
            <w:tcW w:w="720" w:type="dxa"/>
          </w:tcPr>
          <w:p w14:paraId="24CC2287" w14:textId="77777777" w:rsidR="00B678B5" w:rsidRPr="00276F92" w:rsidRDefault="00B678B5">
            <w:pPr>
              <w:pStyle w:val="TableTextCentered"/>
              <w:rPr>
                <w:rFonts w:eastAsia="Times New Roman"/>
              </w:rPr>
            </w:pPr>
            <w:r>
              <w:rPr>
                <w:rFonts w:eastAsia="Times New Roman"/>
              </w:rPr>
              <w:t>3</w:t>
            </w:r>
          </w:p>
        </w:tc>
        <w:tc>
          <w:tcPr>
            <w:tcW w:w="720" w:type="dxa"/>
          </w:tcPr>
          <w:p w14:paraId="46556CC9" w14:textId="77777777" w:rsidR="00B678B5" w:rsidRPr="00276F92" w:rsidRDefault="00B678B5">
            <w:pPr>
              <w:pStyle w:val="TableTextCentered"/>
              <w:rPr>
                <w:rFonts w:eastAsia="Times New Roman"/>
              </w:rPr>
            </w:pPr>
            <w:r>
              <w:rPr>
                <w:rFonts w:eastAsia="Times New Roman"/>
              </w:rPr>
              <w:t>0</w:t>
            </w:r>
          </w:p>
        </w:tc>
        <w:tc>
          <w:tcPr>
            <w:tcW w:w="720" w:type="dxa"/>
          </w:tcPr>
          <w:p w14:paraId="563B2965" w14:textId="77777777" w:rsidR="00B678B5" w:rsidRPr="00276F92" w:rsidRDefault="00B678B5">
            <w:pPr>
              <w:pStyle w:val="TableTextCentered"/>
              <w:rPr>
                <w:rFonts w:eastAsia="Times New Roman"/>
              </w:rPr>
            </w:pPr>
            <w:r>
              <w:rPr>
                <w:rFonts w:eastAsia="Times New Roman"/>
              </w:rPr>
              <w:t>1</w:t>
            </w:r>
          </w:p>
        </w:tc>
        <w:tc>
          <w:tcPr>
            <w:tcW w:w="547" w:type="dxa"/>
          </w:tcPr>
          <w:p w14:paraId="36AFE162" w14:textId="77777777" w:rsidR="00B678B5" w:rsidRPr="00276F92" w:rsidRDefault="00B678B5">
            <w:pPr>
              <w:pStyle w:val="TableTextCentered"/>
              <w:rPr>
                <w:rFonts w:eastAsia="Times New Roman"/>
              </w:rPr>
            </w:pPr>
            <w:r>
              <w:rPr>
                <w:rFonts w:eastAsia="Times New Roman"/>
              </w:rPr>
              <w:t>53</w:t>
            </w:r>
          </w:p>
        </w:tc>
        <w:tc>
          <w:tcPr>
            <w:tcW w:w="900" w:type="dxa"/>
          </w:tcPr>
          <w:p w14:paraId="14663057" w14:textId="77777777" w:rsidR="00B678B5" w:rsidRPr="00276F92" w:rsidRDefault="00B678B5">
            <w:pPr>
              <w:pStyle w:val="TableTextCentered"/>
              <w:rPr>
                <w:rFonts w:eastAsia="Times New Roman"/>
              </w:rPr>
            </w:pPr>
            <w:r>
              <w:rPr>
                <w:rFonts w:eastAsia="Times New Roman"/>
              </w:rPr>
              <w:t>2.4</w:t>
            </w:r>
          </w:p>
        </w:tc>
      </w:tr>
      <w:tr w:rsidR="00B678B5" w:rsidRPr="00E359BF" w14:paraId="644F2531"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0C4E42DB" w14:textId="77777777" w:rsidR="00B678B5" w:rsidRPr="00276F92" w:rsidRDefault="00B678B5">
            <w:pPr>
              <w:pStyle w:val="TableText"/>
              <w:ind w:left="204"/>
              <w:rPr>
                <w:b/>
                <w:bCs/>
              </w:rPr>
            </w:pPr>
            <w:r w:rsidRPr="00276F92">
              <w:t>Quality of Feedback</w:t>
            </w:r>
          </w:p>
        </w:tc>
        <w:tc>
          <w:tcPr>
            <w:tcW w:w="720" w:type="dxa"/>
          </w:tcPr>
          <w:p w14:paraId="316777FE" w14:textId="77777777" w:rsidR="00B678B5" w:rsidRPr="00276F92" w:rsidRDefault="00B678B5">
            <w:pPr>
              <w:pStyle w:val="TableTextCentered"/>
              <w:rPr>
                <w:rFonts w:eastAsia="Times New Roman"/>
              </w:rPr>
            </w:pPr>
            <w:r>
              <w:rPr>
                <w:rFonts w:eastAsia="Times New Roman"/>
              </w:rPr>
              <w:t>5</w:t>
            </w:r>
          </w:p>
        </w:tc>
        <w:tc>
          <w:tcPr>
            <w:tcW w:w="720" w:type="dxa"/>
          </w:tcPr>
          <w:p w14:paraId="69731A19" w14:textId="77777777" w:rsidR="00B678B5" w:rsidRPr="00276F92" w:rsidRDefault="00B678B5">
            <w:pPr>
              <w:pStyle w:val="TableTextCentered"/>
              <w:rPr>
                <w:rFonts w:eastAsia="Times New Roman"/>
              </w:rPr>
            </w:pPr>
            <w:r>
              <w:rPr>
                <w:rFonts w:eastAsia="Times New Roman"/>
              </w:rPr>
              <w:t>13</w:t>
            </w:r>
          </w:p>
        </w:tc>
        <w:tc>
          <w:tcPr>
            <w:tcW w:w="720" w:type="dxa"/>
          </w:tcPr>
          <w:p w14:paraId="7FBD0E37" w14:textId="77777777" w:rsidR="00B678B5" w:rsidRPr="00276F92" w:rsidRDefault="00B678B5">
            <w:pPr>
              <w:pStyle w:val="TableTextCentered"/>
              <w:rPr>
                <w:rFonts w:eastAsia="Times New Roman"/>
              </w:rPr>
            </w:pPr>
            <w:r>
              <w:rPr>
                <w:rFonts w:eastAsia="Times New Roman"/>
              </w:rPr>
              <w:t>13</w:t>
            </w:r>
          </w:p>
        </w:tc>
        <w:tc>
          <w:tcPr>
            <w:tcW w:w="720" w:type="dxa"/>
          </w:tcPr>
          <w:p w14:paraId="12D74BB8" w14:textId="77777777" w:rsidR="00B678B5" w:rsidRPr="00276F92" w:rsidRDefault="00B678B5">
            <w:pPr>
              <w:pStyle w:val="TableTextCentered"/>
              <w:rPr>
                <w:rFonts w:eastAsia="Times New Roman"/>
              </w:rPr>
            </w:pPr>
            <w:r>
              <w:rPr>
                <w:rFonts w:eastAsia="Times New Roman"/>
              </w:rPr>
              <w:t>9</w:t>
            </w:r>
          </w:p>
        </w:tc>
        <w:tc>
          <w:tcPr>
            <w:tcW w:w="720" w:type="dxa"/>
          </w:tcPr>
          <w:p w14:paraId="68808F82" w14:textId="77777777" w:rsidR="00B678B5" w:rsidRPr="00276F92" w:rsidRDefault="00B678B5">
            <w:pPr>
              <w:pStyle w:val="TableTextCentered"/>
              <w:rPr>
                <w:rFonts w:eastAsia="Times New Roman"/>
              </w:rPr>
            </w:pPr>
            <w:r>
              <w:rPr>
                <w:rFonts w:eastAsia="Times New Roman"/>
              </w:rPr>
              <w:t>7</w:t>
            </w:r>
          </w:p>
        </w:tc>
        <w:tc>
          <w:tcPr>
            <w:tcW w:w="720" w:type="dxa"/>
          </w:tcPr>
          <w:p w14:paraId="270E5AE0" w14:textId="77777777" w:rsidR="00B678B5" w:rsidRPr="00276F92" w:rsidRDefault="00B678B5">
            <w:pPr>
              <w:pStyle w:val="TableTextCentered"/>
              <w:rPr>
                <w:rFonts w:eastAsia="Times New Roman"/>
              </w:rPr>
            </w:pPr>
            <w:r>
              <w:rPr>
                <w:rFonts w:eastAsia="Times New Roman"/>
              </w:rPr>
              <w:t>4</w:t>
            </w:r>
          </w:p>
        </w:tc>
        <w:tc>
          <w:tcPr>
            <w:tcW w:w="720" w:type="dxa"/>
          </w:tcPr>
          <w:p w14:paraId="6CC10562" w14:textId="77777777" w:rsidR="00B678B5" w:rsidRPr="00276F92" w:rsidRDefault="00B678B5">
            <w:pPr>
              <w:pStyle w:val="TableTextCentered"/>
              <w:rPr>
                <w:rFonts w:eastAsia="Times New Roman"/>
              </w:rPr>
            </w:pPr>
            <w:r>
              <w:rPr>
                <w:rFonts w:eastAsia="Times New Roman"/>
              </w:rPr>
              <w:t>2</w:t>
            </w:r>
          </w:p>
        </w:tc>
        <w:tc>
          <w:tcPr>
            <w:tcW w:w="547" w:type="dxa"/>
          </w:tcPr>
          <w:p w14:paraId="43F881C7" w14:textId="77777777" w:rsidR="00B678B5" w:rsidRPr="00276F92" w:rsidRDefault="00B678B5">
            <w:pPr>
              <w:pStyle w:val="TableTextCentered"/>
              <w:rPr>
                <w:rFonts w:eastAsia="Times New Roman"/>
              </w:rPr>
            </w:pPr>
            <w:r>
              <w:rPr>
                <w:rFonts w:eastAsia="Times New Roman"/>
              </w:rPr>
              <w:t>53</w:t>
            </w:r>
          </w:p>
        </w:tc>
        <w:tc>
          <w:tcPr>
            <w:tcW w:w="900" w:type="dxa"/>
          </w:tcPr>
          <w:p w14:paraId="2F978ED4" w14:textId="77777777" w:rsidR="00B678B5" w:rsidRPr="00276F92" w:rsidRDefault="00B678B5">
            <w:pPr>
              <w:pStyle w:val="TableTextCentered"/>
              <w:rPr>
                <w:rFonts w:eastAsia="Times New Roman"/>
              </w:rPr>
            </w:pPr>
            <w:r>
              <w:rPr>
                <w:rFonts w:eastAsia="Times New Roman"/>
              </w:rPr>
              <w:t>3.4</w:t>
            </w:r>
          </w:p>
        </w:tc>
      </w:tr>
      <w:tr w:rsidR="00B678B5" w:rsidRPr="00E359BF" w14:paraId="1DEE64B2" w14:textId="77777777" w:rsidTr="00D679F6">
        <w:tc>
          <w:tcPr>
            <w:tcW w:w="3232" w:type="dxa"/>
          </w:tcPr>
          <w:p w14:paraId="4B52C242" w14:textId="77777777" w:rsidR="00B678B5" w:rsidRPr="00276F92" w:rsidRDefault="00B678B5">
            <w:pPr>
              <w:pStyle w:val="TableText"/>
              <w:ind w:left="204"/>
              <w:rPr>
                <w:b/>
                <w:bCs/>
              </w:rPr>
            </w:pPr>
            <w:r w:rsidRPr="00276F92">
              <w:t>Instructional Dialogue</w:t>
            </w:r>
          </w:p>
        </w:tc>
        <w:tc>
          <w:tcPr>
            <w:tcW w:w="720" w:type="dxa"/>
          </w:tcPr>
          <w:p w14:paraId="40F348AD" w14:textId="77777777" w:rsidR="00B678B5" w:rsidRPr="00276F92" w:rsidRDefault="00B678B5">
            <w:pPr>
              <w:pStyle w:val="TableTextCentered"/>
              <w:rPr>
                <w:rFonts w:eastAsia="Times New Roman"/>
              </w:rPr>
            </w:pPr>
            <w:r>
              <w:rPr>
                <w:rFonts w:eastAsia="Times New Roman"/>
              </w:rPr>
              <w:t>7</w:t>
            </w:r>
          </w:p>
        </w:tc>
        <w:tc>
          <w:tcPr>
            <w:tcW w:w="720" w:type="dxa"/>
          </w:tcPr>
          <w:p w14:paraId="5037E180" w14:textId="77777777" w:rsidR="00B678B5" w:rsidRPr="00276F92" w:rsidRDefault="00B678B5">
            <w:pPr>
              <w:pStyle w:val="TableTextCentered"/>
              <w:rPr>
                <w:rFonts w:eastAsia="Times New Roman"/>
              </w:rPr>
            </w:pPr>
            <w:r>
              <w:rPr>
                <w:rFonts w:eastAsia="Times New Roman"/>
              </w:rPr>
              <w:t>10</w:t>
            </w:r>
          </w:p>
        </w:tc>
        <w:tc>
          <w:tcPr>
            <w:tcW w:w="720" w:type="dxa"/>
          </w:tcPr>
          <w:p w14:paraId="0AD2BE60" w14:textId="77777777" w:rsidR="00B678B5" w:rsidRPr="00276F92" w:rsidRDefault="00B678B5">
            <w:pPr>
              <w:pStyle w:val="TableTextCentered"/>
              <w:rPr>
                <w:rFonts w:eastAsia="Times New Roman"/>
              </w:rPr>
            </w:pPr>
            <w:r>
              <w:rPr>
                <w:rFonts w:eastAsia="Times New Roman"/>
              </w:rPr>
              <w:t>12</w:t>
            </w:r>
          </w:p>
        </w:tc>
        <w:tc>
          <w:tcPr>
            <w:tcW w:w="720" w:type="dxa"/>
          </w:tcPr>
          <w:p w14:paraId="51DE184E" w14:textId="77777777" w:rsidR="00B678B5" w:rsidRPr="00276F92" w:rsidRDefault="00B678B5">
            <w:pPr>
              <w:pStyle w:val="TableTextCentered"/>
              <w:rPr>
                <w:rFonts w:eastAsia="Times New Roman"/>
              </w:rPr>
            </w:pPr>
            <w:r>
              <w:rPr>
                <w:rFonts w:eastAsia="Times New Roman"/>
              </w:rPr>
              <w:t>13</w:t>
            </w:r>
          </w:p>
        </w:tc>
        <w:tc>
          <w:tcPr>
            <w:tcW w:w="720" w:type="dxa"/>
          </w:tcPr>
          <w:p w14:paraId="5057415A" w14:textId="77777777" w:rsidR="00B678B5" w:rsidRPr="00276F92" w:rsidRDefault="00B678B5">
            <w:pPr>
              <w:pStyle w:val="TableTextCentered"/>
              <w:rPr>
                <w:rFonts w:eastAsia="Times New Roman"/>
              </w:rPr>
            </w:pPr>
            <w:r>
              <w:rPr>
                <w:rFonts w:eastAsia="Times New Roman"/>
              </w:rPr>
              <w:t>8</w:t>
            </w:r>
          </w:p>
        </w:tc>
        <w:tc>
          <w:tcPr>
            <w:tcW w:w="720" w:type="dxa"/>
          </w:tcPr>
          <w:p w14:paraId="3E72EB71" w14:textId="77777777" w:rsidR="00B678B5" w:rsidRPr="00276F92" w:rsidRDefault="00B678B5">
            <w:pPr>
              <w:pStyle w:val="TableTextCentered"/>
              <w:rPr>
                <w:rFonts w:eastAsia="Times New Roman"/>
              </w:rPr>
            </w:pPr>
            <w:r>
              <w:rPr>
                <w:rFonts w:eastAsia="Times New Roman"/>
              </w:rPr>
              <w:t>2</w:t>
            </w:r>
          </w:p>
        </w:tc>
        <w:tc>
          <w:tcPr>
            <w:tcW w:w="720" w:type="dxa"/>
          </w:tcPr>
          <w:p w14:paraId="59BF2E68" w14:textId="77777777" w:rsidR="00B678B5" w:rsidRPr="00276F92" w:rsidRDefault="00B678B5">
            <w:pPr>
              <w:pStyle w:val="TableTextCentered"/>
              <w:rPr>
                <w:rFonts w:eastAsia="Times New Roman"/>
              </w:rPr>
            </w:pPr>
            <w:r>
              <w:rPr>
                <w:rFonts w:eastAsia="Times New Roman"/>
              </w:rPr>
              <w:t>1</w:t>
            </w:r>
          </w:p>
        </w:tc>
        <w:tc>
          <w:tcPr>
            <w:tcW w:w="547" w:type="dxa"/>
          </w:tcPr>
          <w:p w14:paraId="16643C40" w14:textId="77777777" w:rsidR="00B678B5" w:rsidRPr="00276F92" w:rsidRDefault="00B678B5">
            <w:pPr>
              <w:pStyle w:val="TableTextCentered"/>
              <w:rPr>
                <w:rFonts w:eastAsia="Times New Roman"/>
              </w:rPr>
            </w:pPr>
            <w:r>
              <w:rPr>
                <w:rFonts w:eastAsia="Times New Roman"/>
              </w:rPr>
              <w:t>53</w:t>
            </w:r>
          </w:p>
        </w:tc>
        <w:tc>
          <w:tcPr>
            <w:tcW w:w="900" w:type="dxa"/>
          </w:tcPr>
          <w:p w14:paraId="1E682F61" w14:textId="77777777" w:rsidR="00B678B5" w:rsidRPr="00276F92" w:rsidRDefault="00B678B5">
            <w:pPr>
              <w:pStyle w:val="TableTextCentered"/>
              <w:rPr>
                <w:rFonts w:eastAsia="Times New Roman"/>
              </w:rPr>
            </w:pPr>
            <w:r>
              <w:rPr>
                <w:rFonts w:eastAsia="Times New Roman"/>
              </w:rPr>
              <w:t>3.3</w:t>
            </w:r>
          </w:p>
        </w:tc>
      </w:tr>
      <w:tr w:rsidR="00B678B5" w:rsidRPr="009A0F07" w14:paraId="02852EF2" w14:textId="77777777" w:rsidTr="00D679F6">
        <w:trPr>
          <w:cnfStyle w:val="000000100000" w:firstRow="0" w:lastRow="0" w:firstColumn="0" w:lastColumn="0" w:oddVBand="0" w:evenVBand="0" w:oddHBand="1" w:evenHBand="0" w:firstRowFirstColumn="0" w:firstRowLastColumn="0" w:lastRowFirstColumn="0" w:lastRowLastColumn="0"/>
        </w:trPr>
        <w:tc>
          <w:tcPr>
            <w:tcW w:w="3232" w:type="dxa"/>
          </w:tcPr>
          <w:p w14:paraId="5D99CCF1" w14:textId="77777777" w:rsidR="00B678B5" w:rsidRPr="00C131AE" w:rsidRDefault="00B678B5">
            <w:pPr>
              <w:pStyle w:val="TableSubheading"/>
            </w:pPr>
            <w:r w:rsidRPr="00C131AE">
              <w:t>Student Engagement</w:t>
            </w:r>
          </w:p>
        </w:tc>
        <w:tc>
          <w:tcPr>
            <w:tcW w:w="720" w:type="dxa"/>
          </w:tcPr>
          <w:p w14:paraId="70580FF1" w14:textId="77777777" w:rsidR="00B678B5" w:rsidRPr="00C131AE" w:rsidRDefault="00B678B5">
            <w:pPr>
              <w:pStyle w:val="TableTextCenteredDemi"/>
              <w:rPr>
                <w:rFonts w:eastAsia="Times New Roman"/>
              </w:rPr>
            </w:pPr>
            <w:r w:rsidRPr="00C131AE">
              <w:rPr>
                <w:rFonts w:eastAsia="Times New Roman"/>
              </w:rPr>
              <w:t>0</w:t>
            </w:r>
          </w:p>
        </w:tc>
        <w:tc>
          <w:tcPr>
            <w:tcW w:w="720" w:type="dxa"/>
          </w:tcPr>
          <w:p w14:paraId="7D687AF2" w14:textId="77777777" w:rsidR="00B678B5" w:rsidRPr="00C131AE" w:rsidRDefault="00B678B5">
            <w:pPr>
              <w:pStyle w:val="TableTextCenteredDemi"/>
              <w:rPr>
                <w:rFonts w:eastAsia="Times New Roman"/>
              </w:rPr>
            </w:pPr>
            <w:r w:rsidRPr="00C131AE">
              <w:rPr>
                <w:rFonts w:eastAsia="Times New Roman"/>
              </w:rPr>
              <w:t>2</w:t>
            </w:r>
          </w:p>
        </w:tc>
        <w:tc>
          <w:tcPr>
            <w:tcW w:w="720" w:type="dxa"/>
          </w:tcPr>
          <w:p w14:paraId="2C41936C" w14:textId="77777777" w:rsidR="00B678B5" w:rsidRPr="00C131AE" w:rsidRDefault="00B678B5">
            <w:pPr>
              <w:pStyle w:val="TableTextCenteredDemi"/>
              <w:rPr>
                <w:rFonts w:eastAsia="Times New Roman"/>
              </w:rPr>
            </w:pPr>
            <w:r w:rsidRPr="00C131AE">
              <w:rPr>
                <w:rFonts w:eastAsia="Times New Roman"/>
              </w:rPr>
              <w:t>5</w:t>
            </w:r>
          </w:p>
        </w:tc>
        <w:tc>
          <w:tcPr>
            <w:tcW w:w="720" w:type="dxa"/>
          </w:tcPr>
          <w:p w14:paraId="6AC1534C" w14:textId="77777777" w:rsidR="00B678B5" w:rsidRPr="00C131AE" w:rsidRDefault="00B678B5">
            <w:pPr>
              <w:pStyle w:val="TableTextCenteredDemi"/>
              <w:rPr>
                <w:rFonts w:eastAsia="Times New Roman"/>
              </w:rPr>
            </w:pPr>
            <w:r w:rsidRPr="00C131AE">
              <w:rPr>
                <w:rFonts w:eastAsia="Times New Roman"/>
              </w:rPr>
              <w:t>12</w:t>
            </w:r>
          </w:p>
        </w:tc>
        <w:tc>
          <w:tcPr>
            <w:tcW w:w="720" w:type="dxa"/>
          </w:tcPr>
          <w:p w14:paraId="15A58C3D" w14:textId="77777777" w:rsidR="00B678B5" w:rsidRPr="00C131AE" w:rsidRDefault="00B678B5">
            <w:pPr>
              <w:pStyle w:val="TableTextCenteredDemi"/>
              <w:rPr>
                <w:rFonts w:eastAsia="Times New Roman"/>
              </w:rPr>
            </w:pPr>
            <w:r w:rsidRPr="00C131AE">
              <w:rPr>
                <w:rFonts w:eastAsia="Times New Roman"/>
              </w:rPr>
              <w:t>21</w:t>
            </w:r>
          </w:p>
        </w:tc>
        <w:tc>
          <w:tcPr>
            <w:tcW w:w="720" w:type="dxa"/>
          </w:tcPr>
          <w:p w14:paraId="0B01BCC8" w14:textId="77777777" w:rsidR="00B678B5" w:rsidRPr="00C131AE" w:rsidRDefault="00B678B5">
            <w:pPr>
              <w:pStyle w:val="TableTextCenteredDemi"/>
              <w:rPr>
                <w:rFonts w:eastAsia="Times New Roman"/>
              </w:rPr>
            </w:pPr>
            <w:r w:rsidRPr="00C131AE">
              <w:rPr>
                <w:rFonts w:eastAsia="Times New Roman"/>
              </w:rPr>
              <w:t>11</w:t>
            </w:r>
          </w:p>
        </w:tc>
        <w:tc>
          <w:tcPr>
            <w:tcW w:w="720" w:type="dxa"/>
          </w:tcPr>
          <w:p w14:paraId="5CB3F61C" w14:textId="77777777" w:rsidR="00B678B5" w:rsidRPr="00C131AE" w:rsidRDefault="00B678B5">
            <w:pPr>
              <w:pStyle w:val="TableTextCenteredDemi"/>
              <w:rPr>
                <w:rFonts w:eastAsia="Times New Roman"/>
              </w:rPr>
            </w:pPr>
            <w:r w:rsidRPr="00C131AE">
              <w:rPr>
                <w:rFonts w:eastAsia="Times New Roman"/>
              </w:rPr>
              <w:t>2</w:t>
            </w:r>
          </w:p>
        </w:tc>
        <w:tc>
          <w:tcPr>
            <w:tcW w:w="547" w:type="dxa"/>
          </w:tcPr>
          <w:p w14:paraId="7EF56583" w14:textId="77777777" w:rsidR="00B678B5" w:rsidRPr="00C131AE" w:rsidRDefault="00B678B5">
            <w:pPr>
              <w:pStyle w:val="TableTextCenteredDemi"/>
              <w:rPr>
                <w:rFonts w:eastAsia="Times New Roman"/>
              </w:rPr>
            </w:pPr>
            <w:r w:rsidRPr="00C131AE">
              <w:rPr>
                <w:rFonts w:eastAsia="Times New Roman"/>
              </w:rPr>
              <w:t>53</w:t>
            </w:r>
          </w:p>
        </w:tc>
        <w:tc>
          <w:tcPr>
            <w:tcW w:w="900" w:type="dxa"/>
          </w:tcPr>
          <w:p w14:paraId="27444E86" w14:textId="77777777" w:rsidR="00B678B5" w:rsidRPr="00C131AE" w:rsidRDefault="00B678B5">
            <w:pPr>
              <w:pStyle w:val="TableTextCenteredDemi"/>
              <w:rPr>
                <w:rFonts w:eastAsia="Times New Roman"/>
              </w:rPr>
            </w:pPr>
            <w:r w:rsidRPr="00C131AE">
              <w:rPr>
                <w:rFonts w:eastAsia="Times New Roman"/>
              </w:rPr>
              <w:t>4.8</w:t>
            </w:r>
          </w:p>
        </w:tc>
      </w:tr>
    </w:tbl>
    <w:bookmarkEnd w:id="197"/>
    <w:p w14:paraId="4A66993C" w14:textId="77777777" w:rsidR="00B678B5" w:rsidRPr="00AB597C" w:rsidRDefault="00B678B5" w:rsidP="00AB597C">
      <w:pPr>
        <w:pStyle w:val="TableNote"/>
      </w:pPr>
      <w:r w:rsidRPr="00AB597C">
        <w:t xml:space="preserve">*The district average is an average of the scores. For example, for Positive Climate, the district average is computed as: </w:t>
      </w:r>
      <w:bookmarkStart w:id="198" w:name="High_PC_Calc"/>
      <w:r w:rsidRPr="00AB597C">
        <w:t>([2 x 1] + [3 x 4] + [4 x 9] + [5 x 18] + [6 x 19] + [7 x 2]) ÷ 53 observations = 5.1</w:t>
      </w:r>
      <w:bookmarkEnd w:id="198"/>
    </w:p>
    <w:p w14:paraId="001456CF" w14:textId="5AFD32B2" w:rsidR="004B01A1" w:rsidRDefault="00B678B5" w:rsidP="00AB597C">
      <w:pPr>
        <w:pStyle w:val="TableNote"/>
      </w:pPr>
      <w:r w:rsidRPr="00AB597C">
        <w:t xml:space="preserve">**Negative Climate is rated on an inverse scale. An original score of 1 is given a value of 7. The scoring in the table reflects the normalized adjustment: </w:t>
      </w:r>
      <w:bookmarkStart w:id="199" w:name="High_NC_Calc"/>
      <w:r w:rsidRPr="00AB597C">
        <w:t>([6 x 5] + [7 x 48]) ÷ 53 observations = 6.9</w:t>
      </w:r>
      <w:bookmarkEnd w:id="199"/>
      <w:r w:rsidR="004B01A1">
        <w:br w:type="page"/>
      </w:r>
    </w:p>
    <w:p w14:paraId="2752F04F" w14:textId="77777777" w:rsidR="00B678B5" w:rsidRPr="00E359BF" w:rsidRDefault="00B678B5" w:rsidP="00E35A27">
      <w:pPr>
        <w:pStyle w:val="DIOR"/>
      </w:pPr>
      <w:bookmarkStart w:id="200" w:name="_Toc430114891"/>
      <w:bookmarkStart w:id="201" w:name="_Toc496109993"/>
      <w:bookmarkStart w:id="202" w:name="_Toc231296602"/>
      <w:r w:rsidRPr="00E359BF">
        <w:t>References</w:t>
      </w:r>
      <w:bookmarkEnd w:id="200"/>
      <w:bookmarkEnd w:id="201"/>
      <w:bookmarkEnd w:id="202"/>
    </w:p>
    <w:p w14:paraId="33D9C784" w14:textId="7E2E6597" w:rsidR="00B678B5" w:rsidRPr="00BC09E0" w:rsidRDefault="00B678B5">
      <w:pPr>
        <w:pStyle w:val="Reference"/>
        <w:rPr>
          <w:rStyle w:val="Hyperlink"/>
        </w:rPr>
      </w:pPr>
      <w:r w:rsidRPr="00031A8B">
        <w:t xml:space="preserve">Center </w:t>
      </w:r>
      <w:r w:rsidRPr="00BC09E0">
        <w:t xml:space="preserve">for Advanced Study of Teaching and Learning. (n.d.). </w:t>
      </w:r>
      <w:r w:rsidRPr="00BC09E0">
        <w:rPr>
          <w:i/>
        </w:rPr>
        <w:t>Measuring and improving teacher-student interactions in PK−12 settings to enhance students’ learning</w:t>
      </w:r>
      <w:r w:rsidRPr="00BC09E0">
        <w:t xml:space="preserve">. Charlottesville, VA: University of Virginia. Retrieved from </w:t>
      </w:r>
      <w:hyperlink r:id="rId51" w:history="1">
        <w:r w:rsidRPr="00BC09E0">
          <w:rPr>
            <w:rStyle w:val="Hyperlink"/>
          </w:rPr>
          <w:t>http://www.teachstone.com/wp-content/uploads/2011/05/class-mtp-pk-12-brief.pdf</w:t>
        </w:r>
      </w:hyperlink>
    </w:p>
    <w:p w14:paraId="44C7D8A3" w14:textId="77777777" w:rsidR="00B678B5" w:rsidRPr="00BC09E0" w:rsidRDefault="00B678B5">
      <w:pPr>
        <w:pStyle w:val="Reference"/>
        <w:rPr>
          <w:rStyle w:val="Hyperlink"/>
        </w:rPr>
      </w:pPr>
      <w:r w:rsidRPr="00BC09E0">
        <w:t xml:space="preserve">MET Project. (2010). </w:t>
      </w:r>
      <w:r w:rsidRPr="00BC09E0">
        <w:rPr>
          <w:i/>
        </w:rPr>
        <w:t>The CLASS protocol for classroom observations</w:t>
      </w:r>
      <w:r w:rsidRPr="00BC09E0">
        <w:t xml:space="preserve">. Seattle, WA: Bill &amp; Melinda Gates Foundation. Retrieved from </w:t>
      </w:r>
      <w:hyperlink r:id="rId52" w:history="1">
        <w:r w:rsidRPr="00BC09E0">
          <w:rPr>
            <w:rStyle w:val="Hyperlink"/>
          </w:rPr>
          <w:t>http://metproject.org/resources/CLASS_10_29_10.pdf</w:t>
        </w:r>
      </w:hyperlink>
    </w:p>
    <w:p w14:paraId="41CEBC35" w14:textId="77777777" w:rsidR="00B678B5" w:rsidRPr="009A5AC2" w:rsidRDefault="00B678B5">
      <w:pPr>
        <w:pStyle w:val="Reference"/>
      </w:pPr>
      <w:r w:rsidRPr="007B0DF4">
        <w:rPr>
          <w:lang w:val="es-MX"/>
        </w:rPr>
        <w:t xml:space="preserve">Pianta, R. C., Hamre, B. K., &amp; Mintz, S. (2012). </w:t>
      </w:r>
      <w:r w:rsidRPr="00BC09E0">
        <w:rPr>
          <w:i/>
        </w:rPr>
        <w:t xml:space="preserve">Classroom Assessment Scoring System (CLASS) Manual, </w:t>
      </w:r>
      <w:r>
        <w:rPr>
          <w:i/>
        </w:rPr>
        <w:t>Secondary</w:t>
      </w:r>
      <w:r w:rsidRPr="00BC09E0">
        <w:rPr>
          <w:i/>
        </w:rPr>
        <w:t>.</w:t>
      </w:r>
      <w:r w:rsidRPr="00BC09E0">
        <w:t xml:space="preserve"> </w:t>
      </w:r>
      <w:r w:rsidRPr="009A5AC2">
        <w:t>Charlottesville, VA:</w:t>
      </w:r>
      <w:r w:rsidRPr="009A5AC2">
        <w:rPr>
          <w:i/>
        </w:rPr>
        <w:t xml:space="preserve"> </w:t>
      </w:r>
      <w:r w:rsidRPr="009A5AC2">
        <w:t>Teachstone.</w:t>
      </w:r>
    </w:p>
    <w:p w14:paraId="331712AC" w14:textId="77777777" w:rsidR="00B678B5" w:rsidRPr="007B0DF4" w:rsidRDefault="00B678B5">
      <w:pPr>
        <w:pStyle w:val="Reference"/>
        <w:rPr>
          <w:lang w:val="es-MX"/>
        </w:rPr>
      </w:pPr>
      <w:r w:rsidRPr="009A5AC2">
        <w:t xml:space="preserve">Pianta, R. C., Hamre, B. K., &amp; Mintz, S. (2012). </w:t>
      </w:r>
      <w:r w:rsidRPr="00BC09E0">
        <w:rPr>
          <w:i/>
        </w:rPr>
        <w:t>Classroom Assessment Scoring System (CLASS) Manual, Upper Elementary.</w:t>
      </w:r>
      <w:r w:rsidRPr="00BC09E0">
        <w:t xml:space="preserve"> </w:t>
      </w:r>
      <w:r w:rsidRPr="007B0DF4">
        <w:rPr>
          <w:lang w:val="es-MX"/>
        </w:rPr>
        <w:t>Charlottesville, VA:</w:t>
      </w:r>
      <w:r w:rsidRPr="007B0DF4">
        <w:rPr>
          <w:i/>
          <w:lang w:val="es-MX"/>
        </w:rPr>
        <w:t xml:space="preserve"> </w:t>
      </w:r>
      <w:r w:rsidRPr="007B0DF4">
        <w:rPr>
          <w:lang w:val="es-MX"/>
        </w:rPr>
        <w:t>Teachstone.</w:t>
      </w:r>
    </w:p>
    <w:p w14:paraId="18A513B6" w14:textId="35EE6BDD" w:rsidR="00486B55" w:rsidRDefault="00B678B5" w:rsidP="00B678B5">
      <w:pPr>
        <w:pStyle w:val="Reference"/>
      </w:pPr>
      <w:r w:rsidRPr="00BC09E0">
        <w:rPr>
          <w:lang w:val="es-MX"/>
        </w:rPr>
        <w:t xml:space="preserve">Pianta, R. C., La Paro, K. M., &amp; Hamre, B. K. (2008). </w:t>
      </w:r>
      <w:r w:rsidRPr="00BC09E0">
        <w:rPr>
          <w:i/>
        </w:rPr>
        <w:t xml:space="preserve">Classroom Assessment Scoring System (CLASS) Manual, </w:t>
      </w:r>
      <w:r>
        <w:rPr>
          <w:i/>
        </w:rPr>
        <w:t>PK–</w:t>
      </w:r>
      <w:r w:rsidRPr="00BC09E0">
        <w:rPr>
          <w:i/>
        </w:rPr>
        <w:t xml:space="preserve">3. </w:t>
      </w:r>
      <w:r w:rsidRPr="00BC09E0">
        <w:t>Baltimore, MD: Paul H. Brookes Publishing Co.</w:t>
      </w:r>
    </w:p>
    <w:p w14:paraId="15BA24A9" w14:textId="77777777" w:rsidR="00B678B5" w:rsidRPr="00CB0607" w:rsidRDefault="00B678B5" w:rsidP="00486B55">
      <w:pPr>
        <w:spacing w:line="240" w:lineRule="auto"/>
        <w:sectPr w:rsidR="00B678B5" w:rsidRPr="00CB0607" w:rsidSect="00B22A35">
          <w:headerReference w:type="even" r:id="rId53"/>
          <w:headerReference w:type="default" r:id="rId54"/>
          <w:footerReference w:type="default" r:id="rId55"/>
          <w:headerReference w:type="first" r:id="rId56"/>
          <w:footerReference w:type="first" r:id="rId57"/>
          <w:endnotePr>
            <w:numFmt w:val="decimal"/>
          </w:endnotePr>
          <w:pgSz w:w="12240" w:h="15840" w:code="1"/>
          <w:pgMar w:top="1440" w:right="1440" w:bottom="1440" w:left="1440" w:header="720" w:footer="720" w:gutter="0"/>
          <w:pgNumType w:start="4"/>
          <w:cols w:space="720"/>
          <w:noEndnote/>
          <w:docGrid w:linePitch="326"/>
        </w:sectPr>
      </w:pPr>
    </w:p>
    <w:p w14:paraId="38032451" w14:textId="77777777" w:rsidR="00754618" w:rsidRDefault="00754618" w:rsidP="00754618">
      <w:pPr>
        <w:pStyle w:val="Heading2"/>
      </w:pPr>
      <w:bookmarkStart w:id="203" w:name="_Toc235104383"/>
      <w:bookmarkStart w:id="204" w:name="_Toc235104458"/>
      <w:r w:rsidRPr="00CB0607">
        <w:t xml:space="preserve">Appendix </w:t>
      </w:r>
      <w:r>
        <w:t>C</w:t>
      </w:r>
      <w:r w:rsidRPr="00CB0607">
        <w:t>. Resources to Support Implementation of DESE’s District Standards and Indicators</w:t>
      </w:r>
      <w:bookmarkEnd w:id="203"/>
      <w:bookmarkEnd w:id="204"/>
    </w:p>
    <w:p w14:paraId="1C2FF629" w14:textId="77777777" w:rsidR="00C2247C" w:rsidRDefault="00C2247C" w:rsidP="00560E52">
      <w:pPr>
        <w:pStyle w:val="BodyTextposthead"/>
      </w:pPr>
    </w:p>
    <w:p w14:paraId="60007F77" w14:textId="77777777" w:rsidR="00C2247C" w:rsidRPr="0079770B" w:rsidRDefault="00C2247C" w:rsidP="00C2247C">
      <w:pPr>
        <w:pStyle w:val="TableTitle0"/>
        <w:rPr>
          <w:rFonts w:ascii="Franklin Gothic Book" w:hAnsi="Franklin Gothic Book" w:cs="Arial"/>
          <w:b/>
        </w:rPr>
      </w:pPr>
      <w:r w:rsidRPr="0079770B">
        <w:rPr>
          <w:rFonts w:ascii="Franklin Gothic Book" w:hAnsi="Franklin Gothic Book" w:cs="Arial"/>
          <w:b/>
        </w:rPr>
        <w:t>Table C1. Resources to Support Leadership and Governance</w:t>
      </w:r>
    </w:p>
    <w:tbl>
      <w:tblPr>
        <w:tblStyle w:val="MSVTable1"/>
        <w:tblW w:w="5000" w:type="pct"/>
        <w:tblLayout w:type="fixed"/>
        <w:tblLook w:val="0620" w:firstRow="1" w:lastRow="0" w:firstColumn="0" w:lastColumn="0" w:noHBand="1" w:noVBand="1"/>
      </w:tblPr>
      <w:tblGrid>
        <w:gridCol w:w="3592"/>
        <w:gridCol w:w="5752"/>
      </w:tblGrid>
      <w:tr w:rsidR="00C2247C" w:rsidRPr="00AB7B1E" w14:paraId="467B425A" w14:textId="77777777">
        <w:trPr>
          <w:cnfStyle w:val="100000000000" w:firstRow="1" w:lastRow="0" w:firstColumn="0" w:lastColumn="0" w:oddVBand="0" w:evenVBand="0" w:oddHBand="0" w:evenHBand="0" w:firstRowFirstColumn="0" w:firstRowLastColumn="0" w:lastRowFirstColumn="0" w:lastRowLastColumn="0"/>
        </w:trPr>
        <w:tc>
          <w:tcPr>
            <w:tcW w:w="3592" w:type="dxa"/>
            <w:tcBorders>
              <w:top w:val="single" w:sz="6" w:space="0" w:color="2F5496"/>
              <w:left w:val="single" w:sz="6" w:space="0" w:color="2F5496"/>
              <w:bottom w:val="single" w:sz="6" w:space="0" w:color="2F5496"/>
            </w:tcBorders>
            <w:hideMark/>
          </w:tcPr>
          <w:p w14:paraId="0E26D286" w14:textId="77777777" w:rsidR="00C2247C" w:rsidRPr="00AB7B1E" w:rsidRDefault="00C2247C">
            <w:pPr>
              <w:pStyle w:val="TableColHeadingLeft"/>
              <w:rPr>
                <w:rFonts w:ascii="Franklin Gothic Book" w:hAnsi="Franklin Gothic Book" w:cs="Arial"/>
              </w:rPr>
            </w:pPr>
            <w:r w:rsidRPr="00AB7B1E">
              <w:rPr>
                <w:rFonts w:ascii="Franklin Gothic Book" w:hAnsi="Franklin Gothic Book" w:cs="Arial"/>
              </w:rPr>
              <w:t>Resource</w:t>
            </w:r>
          </w:p>
        </w:tc>
        <w:tc>
          <w:tcPr>
            <w:tcW w:w="5752" w:type="dxa"/>
            <w:tcBorders>
              <w:top w:val="single" w:sz="6" w:space="0" w:color="2F5496"/>
              <w:bottom w:val="single" w:sz="6" w:space="0" w:color="2F5496"/>
              <w:right w:val="single" w:sz="6" w:space="0" w:color="2F5496"/>
            </w:tcBorders>
            <w:hideMark/>
          </w:tcPr>
          <w:p w14:paraId="02670D70" w14:textId="77777777" w:rsidR="00C2247C" w:rsidRPr="00AB7B1E" w:rsidRDefault="00C2247C">
            <w:pPr>
              <w:pStyle w:val="TableColHeadingLeft"/>
              <w:rPr>
                <w:rFonts w:ascii="Franklin Gothic Book" w:hAnsi="Franklin Gothic Book" w:cs="Arial"/>
              </w:rPr>
            </w:pPr>
            <w:r w:rsidRPr="00AB7B1E">
              <w:rPr>
                <w:rFonts w:ascii="Franklin Gothic Book" w:hAnsi="Franklin Gothic Book" w:cs="Arial"/>
              </w:rPr>
              <w:t>Description</w:t>
            </w:r>
          </w:p>
        </w:tc>
      </w:tr>
      <w:tr w:rsidR="00C2247C" w:rsidRPr="00AB7B1E" w14:paraId="0F76B740" w14:textId="77777777">
        <w:tc>
          <w:tcPr>
            <w:tcW w:w="3592" w:type="dxa"/>
            <w:tcBorders>
              <w:top w:val="single" w:sz="6" w:space="0" w:color="2F5496"/>
              <w:left w:val="single" w:sz="6" w:space="0" w:color="2F5496"/>
              <w:bottom w:val="single" w:sz="6" w:space="0" w:color="2F5496"/>
              <w:right w:val="single" w:sz="6" w:space="0" w:color="2F5496"/>
            </w:tcBorders>
          </w:tcPr>
          <w:p w14:paraId="3493C05E" w14:textId="77777777" w:rsidR="00C2247C" w:rsidRPr="00AB7B1E" w:rsidRDefault="00C2247C">
            <w:pPr>
              <w:pStyle w:val="TableText"/>
              <w:rPr>
                <w:rFonts w:ascii="Franklin Gothic Book" w:hAnsi="Franklin Gothic Book" w:cs="Arial"/>
              </w:rPr>
            </w:pPr>
            <w:hyperlink r:id="rId58" w:history="1">
              <w:r w:rsidRPr="0007783C">
                <w:rPr>
                  <w:rStyle w:val="Hyperlink"/>
                  <w:rFonts w:ascii="Franklin Gothic Book" w:hAnsi="Franklin Gothic Book" w:cs="Arial"/>
                </w:rPr>
                <w:t>English Learner Parent Advisory Council (ELPAC) Support</w:t>
              </w:r>
            </w:hyperlink>
          </w:p>
        </w:tc>
        <w:tc>
          <w:tcPr>
            <w:tcW w:w="5752" w:type="dxa"/>
            <w:tcBorders>
              <w:top w:val="single" w:sz="6" w:space="0" w:color="2F5496"/>
              <w:left w:val="single" w:sz="6" w:space="0" w:color="2F5496"/>
              <w:bottom w:val="single" w:sz="6" w:space="0" w:color="2F5496"/>
              <w:right w:val="single" w:sz="6" w:space="0" w:color="2F5496"/>
            </w:tcBorders>
          </w:tcPr>
          <w:p w14:paraId="2347AAF8" w14:textId="77777777" w:rsidR="00C2247C" w:rsidRPr="00AB7B1E" w:rsidRDefault="00C2247C">
            <w:pPr>
              <w:pStyle w:val="TableText"/>
              <w:rPr>
                <w:rFonts w:ascii="Franklin Gothic Book" w:hAnsi="Franklin Gothic Book" w:cs="Arial"/>
              </w:rPr>
            </w:pPr>
            <w:r w:rsidRPr="009506E9">
              <w:rPr>
                <w:rFonts w:ascii="Franklin Gothic Book" w:hAnsi="Franklin Gothic Book" w:cs="Arial"/>
              </w:rPr>
              <w:t>DESE’s Office of Language Acquisition support</w:t>
            </w:r>
            <w:r>
              <w:rPr>
                <w:rFonts w:ascii="Franklin Gothic Book" w:hAnsi="Franklin Gothic Book" w:cs="Arial"/>
              </w:rPr>
              <w:t>s</w:t>
            </w:r>
            <w:r w:rsidRPr="009506E9">
              <w:rPr>
                <w:rFonts w:ascii="Franklin Gothic Book" w:hAnsi="Franklin Gothic Book" w:cs="Arial"/>
              </w:rPr>
              <w:t xml:space="preserve"> the establishment of English Learner Parent Advisory Committees (ELPACs) through a comprehensive program designed to empower families and strengthen partnerships between schools and multilingual communities. </w:t>
            </w:r>
            <w:r>
              <w:rPr>
                <w:rFonts w:ascii="Franklin Gothic Book" w:hAnsi="Franklin Gothic Book" w:cs="Arial"/>
              </w:rPr>
              <w:t>This webpage includes guidance and resources pertaining to developing and sustaining an ELPAC.</w:t>
            </w:r>
          </w:p>
        </w:tc>
      </w:tr>
    </w:tbl>
    <w:p w14:paraId="43133DBB" w14:textId="72013074" w:rsidR="003D4585" w:rsidRPr="0079770B" w:rsidRDefault="003D4585" w:rsidP="003D4585">
      <w:pPr>
        <w:pStyle w:val="TableTitle0"/>
        <w:rPr>
          <w:rFonts w:ascii="Franklin Gothic Book" w:hAnsi="Franklin Gothic Book" w:cs="Arial"/>
          <w:b/>
        </w:rPr>
      </w:pPr>
      <w:r w:rsidRPr="0079770B">
        <w:rPr>
          <w:rFonts w:ascii="Franklin Gothic Book" w:hAnsi="Franklin Gothic Book" w:cs="Arial"/>
          <w:b/>
        </w:rPr>
        <w:t>Table C2. Resources to Support Curriculum and Instruction</w:t>
      </w:r>
    </w:p>
    <w:tbl>
      <w:tblPr>
        <w:tblStyle w:val="MSVTable1"/>
        <w:tblW w:w="5000" w:type="pct"/>
        <w:tblLayout w:type="fixed"/>
        <w:tblLook w:val="0620" w:firstRow="1" w:lastRow="0" w:firstColumn="0" w:lastColumn="0" w:noHBand="1" w:noVBand="1"/>
      </w:tblPr>
      <w:tblGrid>
        <w:gridCol w:w="3592"/>
        <w:gridCol w:w="5752"/>
      </w:tblGrid>
      <w:tr w:rsidR="003D4585" w:rsidRPr="00AB7B1E" w14:paraId="4B0EBDC8" w14:textId="77777777">
        <w:trPr>
          <w:cnfStyle w:val="100000000000" w:firstRow="1" w:lastRow="0" w:firstColumn="0" w:lastColumn="0" w:oddVBand="0" w:evenVBand="0" w:oddHBand="0" w:evenHBand="0" w:firstRowFirstColumn="0" w:firstRowLastColumn="0" w:lastRowFirstColumn="0" w:lastRowLastColumn="0"/>
        </w:trPr>
        <w:tc>
          <w:tcPr>
            <w:tcW w:w="3592" w:type="dxa"/>
            <w:tcBorders>
              <w:top w:val="single" w:sz="6" w:space="0" w:color="2F5496"/>
              <w:left w:val="single" w:sz="6" w:space="0" w:color="2F5496"/>
              <w:bottom w:val="single" w:sz="6" w:space="0" w:color="2F5496"/>
            </w:tcBorders>
            <w:hideMark/>
          </w:tcPr>
          <w:p w14:paraId="5433FF8E" w14:textId="77777777" w:rsidR="003D4585" w:rsidRPr="00AB7B1E" w:rsidRDefault="003D4585">
            <w:pPr>
              <w:pStyle w:val="TableColHeadingLeft"/>
              <w:rPr>
                <w:rFonts w:ascii="Franklin Gothic Book" w:hAnsi="Franklin Gothic Book" w:cs="Arial"/>
              </w:rPr>
            </w:pPr>
            <w:r w:rsidRPr="00AB7B1E">
              <w:rPr>
                <w:rFonts w:ascii="Franklin Gothic Book" w:hAnsi="Franklin Gothic Book" w:cs="Arial"/>
              </w:rPr>
              <w:t>Resource</w:t>
            </w:r>
          </w:p>
        </w:tc>
        <w:tc>
          <w:tcPr>
            <w:tcW w:w="5752" w:type="dxa"/>
            <w:tcBorders>
              <w:top w:val="single" w:sz="6" w:space="0" w:color="2F5496"/>
              <w:bottom w:val="single" w:sz="6" w:space="0" w:color="2F5496"/>
              <w:right w:val="single" w:sz="6" w:space="0" w:color="2F5496"/>
            </w:tcBorders>
            <w:hideMark/>
          </w:tcPr>
          <w:p w14:paraId="69DFD582" w14:textId="77777777" w:rsidR="003D4585" w:rsidRPr="00AB7B1E" w:rsidRDefault="003D4585">
            <w:pPr>
              <w:pStyle w:val="TableColHeadingLeft"/>
              <w:rPr>
                <w:rFonts w:ascii="Franklin Gothic Book" w:hAnsi="Franklin Gothic Book" w:cs="Arial"/>
              </w:rPr>
            </w:pPr>
            <w:r w:rsidRPr="00AB7B1E">
              <w:rPr>
                <w:rFonts w:ascii="Franklin Gothic Book" w:hAnsi="Franklin Gothic Book" w:cs="Arial"/>
              </w:rPr>
              <w:t>Description</w:t>
            </w:r>
          </w:p>
        </w:tc>
      </w:tr>
      <w:tr w:rsidR="003D4585" w:rsidRPr="00AB7B1E" w14:paraId="7B6B56D0" w14:textId="77777777">
        <w:tc>
          <w:tcPr>
            <w:tcW w:w="3592" w:type="dxa"/>
            <w:tcBorders>
              <w:top w:val="single" w:sz="6" w:space="0" w:color="2F5496"/>
              <w:left w:val="single" w:sz="6" w:space="0" w:color="2F5496"/>
              <w:bottom w:val="single" w:sz="6" w:space="0" w:color="2F5496"/>
              <w:right w:val="single" w:sz="6" w:space="0" w:color="2F5496"/>
            </w:tcBorders>
            <w:hideMark/>
          </w:tcPr>
          <w:p w14:paraId="0F938E88" w14:textId="77777777" w:rsidR="003D4585" w:rsidRPr="00AB7B1E" w:rsidRDefault="003D4585">
            <w:pPr>
              <w:pStyle w:val="TableText"/>
              <w:rPr>
                <w:rFonts w:ascii="Franklin Gothic Book" w:eastAsia="HGGothicE" w:hAnsi="Franklin Gothic Book" w:cs="Arial"/>
                <w:bCs/>
              </w:rPr>
            </w:pPr>
            <w:hyperlink r:id="rId59" w:history="1">
              <w:r w:rsidRPr="00AB7B1E">
                <w:rPr>
                  <w:rStyle w:val="Hyperlink"/>
                  <w:rFonts w:ascii="Franklin Gothic Book" w:eastAsiaTheme="majorEastAsia" w:hAnsi="Franklin Gothic Book" w:cs="Arial"/>
                </w:rPr>
                <w:t>Coherence Guidebook</w:t>
              </w:r>
            </w:hyperlink>
            <w:r w:rsidRPr="00AB7B1E">
              <w:rPr>
                <w:rFonts w:ascii="Franklin Gothic Book" w:hAnsi="Franklin Gothic Book" w:cs="Arial"/>
              </w:rPr>
              <w:t>*</w:t>
            </w:r>
          </w:p>
        </w:tc>
        <w:tc>
          <w:tcPr>
            <w:tcW w:w="5752" w:type="dxa"/>
            <w:tcBorders>
              <w:top w:val="single" w:sz="6" w:space="0" w:color="2F5496"/>
              <w:left w:val="single" w:sz="6" w:space="0" w:color="2F5496"/>
              <w:bottom w:val="single" w:sz="6" w:space="0" w:color="2F5496"/>
              <w:right w:val="single" w:sz="6" w:space="0" w:color="2F5496"/>
            </w:tcBorders>
            <w:hideMark/>
          </w:tcPr>
          <w:p w14:paraId="2ACFA7F6" w14:textId="77777777" w:rsidR="003D4585" w:rsidRPr="00AB7B1E" w:rsidRDefault="003D4585">
            <w:pPr>
              <w:pStyle w:val="TableText"/>
              <w:rPr>
                <w:rFonts w:ascii="Franklin Gothic Book" w:eastAsia="HGGothicE" w:hAnsi="Franklin Gothic Book" w:cs="Arial"/>
                <w:bCs/>
              </w:rPr>
            </w:pPr>
            <w:r w:rsidRPr="00AB7B1E">
              <w:rPr>
                <w:rFonts w:ascii="Franklin Gothic Book" w:hAnsi="Franklin Gothic Book" w:cs="Arial"/>
              </w:rPr>
              <w:t xml:space="preserve">The guidebook illustrates a systems-level path toward deeper learning. School system leaders and teams may use the guidebook, along with its companion self-assessment, to articulate a vision of deeper learning, identify high-leverage instructional priorities, refine tiered supports, and leverage systems and structures—all in service of the articulated vision. </w:t>
            </w:r>
          </w:p>
        </w:tc>
      </w:tr>
      <w:tr w:rsidR="00D85B5C" w:rsidRPr="00AB7B1E" w14:paraId="39441631" w14:textId="77777777">
        <w:tc>
          <w:tcPr>
            <w:tcW w:w="3592" w:type="dxa"/>
            <w:tcBorders>
              <w:top w:val="single" w:sz="6" w:space="0" w:color="2F5496"/>
              <w:left w:val="single" w:sz="6" w:space="0" w:color="2F5496"/>
              <w:bottom w:val="single" w:sz="6" w:space="0" w:color="2F5496"/>
              <w:right w:val="single" w:sz="6" w:space="0" w:color="2F5496"/>
            </w:tcBorders>
          </w:tcPr>
          <w:p w14:paraId="39B8BA0F" w14:textId="77777777" w:rsidR="00D85B5C" w:rsidRPr="00AB7B1E" w:rsidRDefault="00D85B5C" w:rsidP="00D85B5C">
            <w:pPr>
              <w:pStyle w:val="TableText"/>
              <w:rPr>
                <w:rFonts w:ascii="Franklin Gothic Book" w:hAnsi="Franklin Gothic Book" w:cs="Arial"/>
              </w:rPr>
            </w:pPr>
            <w:r w:rsidRPr="00AB7B1E">
              <w:rPr>
                <w:rFonts w:ascii="Franklin Gothic Book" w:hAnsi="Franklin Gothic Book" w:cs="Arial"/>
              </w:rPr>
              <w:t>Curriculum Frameworks and Resources</w:t>
            </w:r>
          </w:p>
          <w:p w14:paraId="7EC69B66" w14:textId="77777777" w:rsidR="00D85B5C" w:rsidRPr="00AB7B1E" w:rsidRDefault="00D85B5C" w:rsidP="00D85B5C">
            <w:pPr>
              <w:pStyle w:val="TableBullet1"/>
              <w:rPr>
                <w:rStyle w:val="Hyperlink"/>
                <w:rFonts w:ascii="Franklin Gothic Book" w:eastAsia="Franklin Gothic Book" w:hAnsi="Franklin Gothic Book" w:cs="Arial"/>
                <w:color w:val="auto"/>
                <w:szCs w:val="20"/>
                <w:u w:val="none"/>
                <w14:ligatures w14:val="standardContextual"/>
              </w:rPr>
            </w:pPr>
            <w:hyperlink r:id="rId60" w:history="1">
              <w:r w:rsidRPr="00AB7B1E">
                <w:rPr>
                  <w:rStyle w:val="Hyperlink"/>
                  <w:rFonts w:ascii="Franklin Gothic Book" w:hAnsi="Franklin Gothic Book" w:cs="Arial"/>
                  <w:szCs w:val="20"/>
                </w:rPr>
                <w:t>Curriculum Matters Webpage</w:t>
              </w:r>
            </w:hyperlink>
          </w:p>
          <w:p w14:paraId="2444A2F9" w14:textId="77777777" w:rsidR="00D85B5C" w:rsidRPr="00AB7B1E" w:rsidRDefault="00D85B5C" w:rsidP="00D85B5C">
            <w:pPr>
              <w:pStyle w:val="TableBullet1"/>
              <w:rPr>
                <w:rStyle w:val="Hyperlink"/>
                <w:rFonts w:ascii="Franklin Gothic Book" w:eastAsia="Franklin Gothic Book" w:hAnsi="Franklin Gothic Book" w:cs="Arial"/>
                <w:color w:val="auto"/>
                <w:szCs w:val="20"/>
                <w:u w:val="none"/>
                <w14:ligatures w14:val="standardContextual"/>
              </w:rPr>
            </w:pPr>
            <w:hyperlink r:id="rId61" w:history="1">
              <w:r w:rsidRPr="00AB7B1E">
                <w:rPr>
                  <w:rStyle w:val="Hyperlink"/>
                  <w:rFonts w:ascii="Franklin Gothic Book" w:hAnsi="Franklin Gothic Book" w:cs="Arial"/>
                  <w:szCs w:val="20"/>
                </w:rPr>
                <w:t>Curriculum Frameworks Resources</w:t>
              </w:r>
            </w:hyperlink>
          </w:p>
          <w:p w14:paraId="782CFB4D" w14:textId="77777777" w:rsidR="00D85B5C" w:rsidRPr="00AB7B1E" w:rsidRDefault="00D85B5C" w:rsidP="00D85B5C">
            <w:pPr>
              <w:pStyle w:val="TableBullet1"/>
              <w:rPr>
                <w:rFonts w:ascii="Franklin Gothic Book" w:eastAsia="Franklin Gothic Book" w:hAnsi="Franklin Gothic Book" w:cs="Arial"/>
                <w:szCs w:val="20"/>
                <w14:ligatures w14:val="standardContextual"/>
              </w:rPr>
            </w:pPr>
            <w:hyperlink r:id="rId62" w:history="1">
              <w:r w:rsidRPr="00AB7B1E">
                <w:rPr>
                  <w:rStyle w:val="Hyperlink"/>
                  <w:rFonts w:ascii="Franklin Gothic Book" w:hAnsi="Franklin Gothic Book" w:cs="Arial"/>
                  <w:szCs w:val="20"/>
                </w:rPr>
                <w:t>IMplement MA</w:t>
              </w:r>
            </w:hyperlink>
          </w:p>
          <w:p w14:paraId="4E5DD0E3" w14:textId="77777777" w:rsidR="00D85B5C" w:rsidRPr="00D85B5C" w:rsidRDefault="00D85B5C" w:rsidP="00D85B5C">
            <w:pPr>
              <w:pStyle w:val="TableBullet1"/>
              <w:rPr>
                <w:rFonts w:ascii="Franklin Gothic Book" w:eastAsia="Franklin Gothic Book" w:hAnsi="Franklin Gothic Book" w:cs="Arial"/>
                <w:szCs w:val="20"/>
                <w14:ligatures w14:val="standardContextual"/>
              </w:rPr>
            </w:pPr>
            <w:hyperlink r:id="rId63" w:history="1">
              <w:r w:rsidRPr="00AB7B1E">
                <w:rPr>
                  <w:rStyle w:val="Hyperlink"/>
                  <w:rFonts w:ascii="Franklin Gothic Book" w:hAnsi="Franklin Gothic Book" w:cs="Arial"/>
                  <w:szCs w:val="20"/>
                </w:rPr>
                <w:t>CURATE</w:t>
              </w:r>
            </w:hyperlink>
          </w:p>
          <w:p w14:paraId="7FFC5534" w14:textId="5A321509" w:rsidR="00D85B5C" w:rsidRPr="00D85B5C" w:rsidRDefault="00D85B5C" w:rsidP="00D85B5C">
            <w:pPr>
              <w:pStyle w:val="TableBullet1"/>
              <w:rPr>
                <w:rFonts w:ascii="Franklin Gothic Book" w:eastAsia="Franklin Gothic Book" w:hAnsi="Franklin Gothic Book" w:cs="Arial"/>
                <w:szCs w:val="20"/>
                <w14:ligatures w14:val="standardContextual"/>
              </w:rPr>
            </w:pPr>
            <w:hyperlink r:id="rId64" w:history="1">
              <w:r w:rsidRPr="00D85B5C">
                <w:rPr>
                  <w:rStyle w:val="Hyperlink"/>
                  <w:rFonts w:ascii="Franklin Gothic Book" w:hAnsi="Franklin Gothic Book" w:cs="Arial"/>
                  <w:szCs w:val="20"/>
                </w:rPr>
                <w:t>Supporting Culturally and Linguistically Sustaining Practices</w:t>
              </w:r>
            </w:hyperlink>
          </w:p>
        </w:tc>
        <w:tc>
          <w:tcPr>
            <w:tcW w:w="5752" w:type="dxa"/>
            <w:tcBorders>
              <w:top w:val="single" w:sz="6" w:space="0" w:color="2F5496"/>
              <w:left w:val="single" w:sz="6" w:space="0" w:color="2F5496"/>
              <w:bottom w:val="single" w:sz="6" w:space="0" w:color="2F5496"/>
              <w:right w:val="single" w:sz="6" w:space="0" w:color="2F5496"/>
            </w:tcBorders>
          </w:tcPr>
          <w:p w14:paraId="694DD891" w14:textId="77777777" w:rsidR="00D85B5C" w:rsidRPr="00AB7B1E" w:rsidRDefault="00D85B5C" w:rsidP="00D85B5C">
            <w:pPr>
              <w:pStyle w:val="TableText"/>
              <w:rPr>
                <w:rFonts w:ascii="Franklin Gothic Book" w:hAnsi="Franklin Gothic Book" w:cs="Arial"/>
              </w:rPr>
            </w:pPr>
            <w:r w:rsidRPr="00AB7B1E">
              <w:rPr>
                <w:rFonts w:ascii="Franklin Gothic Book" w:hAnsi="Franklin Gothic Book" w:cs="Arial"/>
              </w:rPr>
              <w:t xml:space="preserve">DESE offers a suite of resources to support the use of high-quality curriculum that is culturally and linguistically sustaining. These resources include the curriculum frameworks and </w:t>
            </w:r>
            <w:r w:rsidRPr="00AB7B1E">
              <w:rPr>
                <w:rFonts w:ascii="Franklin Gothic Book" w:eastAsiaTheme="majorEastAsia" w:hAnsi="Franklin Gothic Book" w:cs="Arial"/>
              </w:rPr>
              <w:t>IMplement MA</w:t>
            </w:r>
            <w:r w:rsidRPr="00AB7B1E">
              <w:rPr>
                <w:rFonts w:ascii="Franklin Gothic Book" w:hAnsi="Franklin Gothic Book" w:cs="Arial"/>
              </w:rPr>
              <w:t xml:space="preserve">, our recommended four-phase process to prepare for, select, launch, and implement new high-quality instructional materials with key tasks and action steps. Additionally, CURATE convenes panels of Massachusetts teachers to review and rate curriculum. These ratings are posted publicly to support schools and districts in selected high-quality instructional materials. Finally, the Supporting Culturally and Linguistically Sustaining Practices webpage provides DESE’s definition of these practices and highlights their importance in our schools and classrooms. </w:t>
            </w:r>
          </w:p>
          <w:p w14:paraId="0E5DA308" w14:textId="77777777" w:rsidR="00D85B5C" w:rsidRPr="00AB7B1E" w:rsidRDefault="00D85B5C" w:rsidP="00D85B5C">
            <w:pPr>
              <w:pStyle w:val="TableText"/>
              <w:rPr>
                <w:rFonts w:ascii="Franklin Gothic Book" w:hAnsi="Franklin Gothic Book" w:cs="Arial"/>
              </w:rPr>
            </w:pPr>
          </w:p>
        </w:tc>
      </w:tr>
    </w:tbl>
    <w:p w14:paraId="634221A7" w14:textId="454CDD50" w:rsidR="00AB326D" w:rsidRPr="0079770B" w:rsidRDefault="00AB326D" w:rsidP="00AB326D">
      <w:pPr>
        <w:pStyle w:val="TableTitle0"/>
        <w:rPr>
          <w:rFonts w:ascii="Franklin Gothic Book" w:hAnsi="Franklin Gothic Book" w:cs="Arial"/>
          <w:b/>
        </w:rPr>
      </w:pPr>
      <w:r w:rsidRPr="0079770B">
        <w:rPr>
          <w:rFonts w:ascii="Franklin Gothic Book" w:hAnsi="Franklin Gothic Book" w:cs="Arial"/>
          <w:b/>
        </w:rPr>
        <w:t>Table C</w:t>
      </w:r>
      <w:r w:rsidR="00EC5E43" w:rsidRPr="0079770B">
        <w:rPr>
          <w:rFonts w:ascii="Franklin Gothic Book" w:hAnsi="Franklin Gothic Book" w:cs="Arial"/>
          <w:b/>
        </w:rPr>
        <w:t>3</w:t>
      </w:r>
      <w:r w:rsidRPr="0079770B">
        <w:rPr>
          <w:rFonts w:ascii="Franklin Gothic Book" w:hAnsi="Franklin Gothic Book" w:cs="Arial"/>
          <w:b/>
        </w:rPr>
        <w:t>. Resources to Support Human Resources and Professional Development</w:t>
      </w:r>
    </w:p>
    <w:tbl>
      <w:tblPr>
        <w:tblStyle w:val="MSVTable1"/>
        <w:tblW w:w="5004" w:type="pct"/>
        <w:tblLook w:val="0620" w:firstRow="1" w:lastRow="0" w:firstColumn="0" w:lastColumn="0" w:noHBand="1" w:noVBand="1"/>
      </w:tblPr>
      <w:tblGrid>
        <w:gridCol w:w="3592"/>
        <w:gridCol w:w="5759"/>
      </w:tblGrid>
      <w:tr w:rsidR="00AB326D" w:rsidRPr="00AB7B1E" w14:paraId="0CD0B453" w14:textId="77777777">
        <w:trPr>
          <w:cnfStyle w:val="100000000000" w:firstRow="1" w:lastRow="0" w:firstColumn="0" w:lastColumn="0" w:oddVBand="0" w:evenVBand="0" w:oddHBand="0" w:evenHBand="0" w:firstRowFirstColumn="0" w:firstRowLastColumn="0" w:lastRowFirstColumn="0" w:lastRowLastColumn="0"/>
          <w:cantSplit/>
          <w:tblHeader/>
        </w:trPr>
        <w:tc>
          <w:tcPr>
            <w:tcW w:w="3592" w:type="dxa"/>
            <w:tcBorders>
              <w:top w:val="single" w:sz="6" w:space="0" w:color="2F5496"/>
              <w:left w:val="single" w:sz="6" w:space="0" w:color="2F5496"/>
              <w:bottom w:val="single" w:sz="6" w:space="0" w:color="2F5496"/>
            </w:tcBorders>
            <w:hideMark/>
          </w:tcPr>
          <w:p w14:paraId="7B11E585" w14:textId="77777777" w:rsidR="00AB326D" w:rsidRPr="00AB7B1E" w:rsidRDefault="00AB326D">
            <w:pPr>
              <w:pStyle w:val="TableColHeadingLeft"/>
              <w:rPr>
                <w:rFonts w:ascii="Franklin Gothic Book" w:hAnsi="Franklin Gothic Book" w:cs="Arial"/>
              </w:rPr>
            </w:pPr>
            <w:r w:rsidRPr="00AB7B1E">
              <w:rPr>
                <w:rFonts w:ascii="Franklin Gothic Book" w:hAnsi="Franklin Gothic Book" w:cs="Arial"/>
              </w:rPr>
              <w:t>Resource</w:t>
            </w:r>
          </w:p>
        </w:tc>
        <w:tc>
          <w:tcPr>
            <w:tcW w:w="5759" w:type="dxa"/>
            <w:tcBorders>
              <w:top w:val="single" w:sz="6" w:space="0" w:color="2F5496"/>
              <w:bottom w:val="single" w:sz="6" w:space="0" w:color="2F5496"/>
              <w:right w:val="single" w:sz="6" w:space="0" w:color="2F5496"/>
            </w:tcBorders>
            <w:hideMark/>
          </w:tcPr>
          <w:p w14:paraId="789F280F" w14:textId="77777777" w:rsidR="00AB326D" w:rsidRPr="00AB7B1E" w:rsidRDefault="00AB326D">
            <w:pPr>
              <w:pStyle w:val="TableColHeadingLeft"/>
              <w:rPr>
                <w:rFonts w:ascii="Franklin Gothic Book" w:hAnsi="Franklin Gothic Book" w:cs="Arial"/>
              </w:rPr>
            </w:pPr>
            <w:r w:rsidRPr="00AB7B1E">
              <w:rPr>
                <w:rFonts w:ascii="Franklin Gothic Book" w:hAnsi="Franklin Gothic Book" w:cs="Arial"/>
              </w:rPr>
              <w:t>Description</w:t>
            </w:r>
          </w:p>
        </w:tc>
      </w:tr>
      <w:tr w:rsidR="00AB326D" w:rsidRPr="00AB7B1E" w14:paraId="19ADD29D"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5CAEC20A" w14:textId="77777777" w:rsidR="00AB326D" w:rsidRPr="00AB7B1E" w:rsidRDefault="00AB326D">
            <w:pPr>
              <w:pStyle w:val="TableText"/>
              <w:rPr>
                <w:rFonts w:ascii="Franklin Gothic Book" w:eastAsia="HGGothicE" w:hAnsi="Franklin Gothic Book" w:cs="Arial"/>
                <w:bCs/>
              </w:rPr>
            </w:pPr>
            <w:hyperlink r:id="rId65" w:history="1">
              <w:r w:rsidRPr="00AB7B1E">
                <w:rPr>
                  <w:rStyle w:val="Hyperlink"/>
                  <w:rFonts w:ascii="Franklin Gothic Book" w:eastAsiaTheme="majorEastAsia" w:hAnsi="Franklin Gothic Book" w:cs="Arial"/>
                </w:rPr>
                <w:t>Educator Evaluation Implementation Resources</w:t>
              </w:r>
            </w:hyperlink>
          </w:p>
        </w:tc>
        <w:tc>
          <w:tcPr>
            <w:tcW w:w="5759" w:type="dxa"/>
            <w:tcBorders>
              <w:top w:val="single" w:sz="6" w:space="0" w:color="2F5496"/>
              <w:left w:val="single" w:sz="6" w:space="0" w:color="2F5496"/>
              <w:bottom w:val="single" w:sz="6" w:space="0" w:color="2F5496"/>
              <w:right w:val="single" w:sz="6" w:space="0" w:color="2F5496"/>
            </w:tcBorders>
            <w:hideMark/>
          </w:tcPr>
          <w:p w14:paraId="3756D81E" w14:textId="77777777" w:rsidR="00AB326D" w:rsidRPr="00AB7B1E" w:rsidRDefault="00AB326D">
            <w:pPr>
              <w:pStyle w:val="TableText"/>
              <w:rPr>
                <w:rFonts w:ascii="Franklin Gothic Book" w:eastAsia="HGGothicE" w:hAnsi="Franklin Gothic Book" w:cs="Arial"/>
                <w:bCs/>
              </w:rPr>
            </w:pPr>
            <w:r w:rsidRPr="00AB7B1E">
              <w:rPr>
                <w:rFonts w:ascii="Franklin Gothic Book" w:hAnsi="Franklin Gothic Book" w:cs="Arial"/>
                <w:color w:val="000000"/>
              </w:rPr>
              <w:t>A suite of resources and practical tools for effective and equitable implementation of educator evaluation, including Focus Indicators, a subset of Indicators from the Classroom Teacher and School Level Administrator Rubrics that represent high-priority practices for the school year.</w:t>
            </w:r>
          </w:p>
        </w:tc>
      </w:tr>
      <w:tr w:rsidR="00AB326D" w:rsidRPr="00AB7B1E" w14:paraId="380388A4"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3C759119" w14:textId="77777777" w:rsidR="00AB326D" w:rsidRPr="00AB7B1E" w:rsidRDefault="00AB326D">
            <w:pPr>
              <w:pStyle w:val="TableText"/>
              <w:rPr>
                <w:rFonts w:ascii="Franklin Gothic Book" w:hAnsi="Franklin Gothic Book" w:cs="Arial"/>
                <w14:ligatures w14:val="standardContextual"/>
              </w:rPr>
            </w:pPr>
            <w:r w:rsidRPr="00AB7B1E">
              <w:rPr>
                <w:rFonts w:ascii="Franklin Gothic Book" w:hAnsi="Franklin Gothic Book" w:cs="Arial"/>
              </w:rPr>
              <w:t>Induction and Mentoring</w:t>
            </w:r>
          </w:p>
          <w:p w14:paraId="054C518A" w14:textId="77777777" w:rsidR="00AB326D" w:rsidRPr="00AB7B1E" w:rsidRDefault="00AB326D" w:rsidP="00AB326D">
            <w:pPr>
              <w:pStyle w:val="TableBullet1"/>
              <w:rPr>
                <w:rStyle w:val="Hyperlink"/>
                <w:rFonts w:ascii="Franklin Gothic Book" w:hAnsi="Franklin Gothic Book" w:cs="Arial"/>
                <w:szCs w:val="20"/>
              </w:rPr>
            </w:pPr>
            <w:hyperlink r:id="rId66" w:history="1">
              <w:r w:rsidRPr="00AB7B1E">
                <w:rPr>
                  <w:rStyle w:val="Hyperlink"/>
                  <w:rFonts w:ascii="Franklin Gothic Book" w:hAnsi="Franklin Gothic Book" w:cs="Arial"/>
                  <w:szCs w:val="20"/>
                </w:rPr>
                <w:t>Teacher Induction and Mentoring</w:t>
              </w:r>
            </w:hyperlink>
          </w:p>
          <w:p w14:paraId="5BE0CC5C" w14:textId="77777777" w:rsidR="00AB326D" w:rsidRPr="00AB7B1E" w:rsidRDefault="00AB326D" w:rsidP="00AB326D">
            <w:pPr>
              <w:pStyle w:val="TableBullet1"/>
              <w:rPr>
                <w:rFonts w:ascii="Franklin Gothic Book" w:eastAsia="Franklin Gothic Book" w:hAnsi="Franklin Gothic Book" w:cs="Arial"/>
                <w:szCs w:val="20"/>
                <w:u w:val="single"/>
              </w:rPr>
            </w:pPr>
            <w:hyperlink r:id="rId67" w:history="1">
              <w:r w:rsidRPr="00AB7B1E">
                <w:rPr>
                  <w:rStyle w:val="Hyperlink"/>
                  <w:rFonts w:ascii="Franklin Gothic Book" w:hAnsi="Franklin Gothic Book" w:cs="Arial"/>
                  <w:szCs w:val="20"/>
                </w:rPr>
                <w:t>Principal Induction and Mentoring</w:t>
              </w:r>
            </w:hyperlink>
          </w:p>
        </w:tc>
        <w:tc>
          <w:tcPr>
            <w:tcW w:w="5759" w:type="dxa"/>
            <w:tcBorders>
              <w:top w:val="single" w:sz="6" w:space="0" w:color="2F5496"/>
              <w:left w:val="single" w:sz="6" w:space="0" w:color="2F5496"/>
              <w:bottom w:val="single" w:sz="6" w:space="0" w:color="2F5496"/>
              <w:right w:val="single" w:sz="6" w:space="0" w:color="2F5496"/>
            </w:tcBorders>
            <w:hideMark/>
          </w:tcPr>
          <w:p w14:paraId="5A0CCC39" w14:textId="77777777" w:rsidR="00AB326D" w:rsidRPr="00AB7B1E" w:rsidRDefault="00AB326D">
            <w:pPr>
              <w:pStyle w:val="TableText"/>
              <w:rPr>
                <w:rFonts w:ascii="Franklin Gothic Book" w:eastAsia="Franklin Gothic Book" w:hAnsi="Franklin Gothic Book" w:cs="Arial"/>
              </w:rPr>
            </w:pPr>
            <w:r w:rsidRPr="00AB7B1E">
              <w:rPr>
                <w:rFonts w:ascii="Franklin Gothic Book" w:hAnsi="Franklin Gothic Book" w:cs="Arial"/>
              </w:rPr>
              <w:t xml:space="preserve">Resources that highlight best practices and reinforce the recently updated guidelines and standards for induction and mentoring. </w:t>
            </w:r>
          </w:p>
        </w:tc>
      </w:tr>
      <w:tr w:rsidR="00AB326D" w:rsidRPr="00AB7B1E" w14:paraId="1241F450"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7A9DBE90" w14:textId="77777777" w:rsidR="00AB326D" w:rsidRPr="00AB7B1E" w:rsidRDefault="00AB326D">
            <w:pPr>
              <w:pStyle w:val="TableText"/>
              <w:rPr>
                <w:rFonts w:ascii="Franklin Gothic Book" w:hAnsi="Franklin Gothic Book" w:cs="Arial"/>
              </w:rPr>
            </w:pPr>
            <w:hyperlink r:id="rId68" w:history="1">
              <w:r w:rsidRPr="00AB7B1E">
                <w:rPr>
                  <w:rStyle w:val="Hyperlink"/>
                  <w:rFonts w:ascii="Franklin Gothic Book" w:hAnsi="Franklin Gothic Book" w:cs="Arial"/>
                </w:rPr>
                <w:t>MA Guide to Building Supportive Talent Systems for Educators</w:t>
              </w:r>
            </w:hyperlink>
          </w:p>
        </w:tc>
        <w:tc>
          <w:tcPr>
            <w:tcW w:w="5759" w:type="dxa"/>
            <w:tcBorders>
              <w:top w:val="single" w:sz="6" w:space="0" w:color="2F5496"/>
              <w:left w:val="single" w:sz="6" w:space="0" w:color="2F5496"/>
              <w:bottom w:val="single" w:sz="6" w:space="0" w:color="2F5496"/>
              <w:right w:val="single" w:sz="6" w:space="0" w:color="2F5496"/>
            </w:tcBorders>
          </w:tcPr>
          <w:p w14:paraId="10A482FE" w14:textId="77777777" w:rsidR="00AB326D" w:rsidRPr="00AB7B1E" w:rsidRDefault="00AB326D">
            <w:pPr>
              <w:pStyle w:val="TableText"/>
              <w:rPr>
                <w:rFonts w:ascii="Franklin Gothic Book" w:hAnsi="Franklin Gothic Book" w:cs="Arial"/>
              </w:rPr>
            </w:pPr>
            <w:r w:rsidRPr="00AB7B1E">
              <w:rPr>
                <w:rFonts w:ascii="Franklin Gothic Book" w:hAnsi="Franklin Gothic Book" w:cs="Arial"/>
              </w:rPr>
              <w:t>This guide provides useful information and resources to support districts in developing and sustaining a workforce that is diverse, culturally responsive, well-prepared, and committed to continuous improvement, so that all students have equitable access to effective educators. Resources include guidance around building hiring, assignment, support, and development systems that support equity and high-quality teaching and learning.</w:t>
            </w:r>
          </w:p>
        </w:tc>
      </w:tr>
      <w:tr w:rsidR="001456A3" w:rsidRPr="00AB7B1E" w14:paraId="14142AA9"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49AA2BBA" w14:textId="225B6B72" w:rsidR="001456A3" w:rsidRDefault="001456A3" w:rsidP="001456A3">
            <w:pPr>
              <w:pStyle w:val="TableText"/>
            </w:pPr>
            <w:hyperlink r:id="rId69" w:history="1">
              <w:r w:rsidRPr="00AB7B1E">
                <w:rPr>
                  <w:rStyle w:val="Hyperlink"/>
                  <w:rFonts w:ascii="Franklin Gothic Book" w:eastAsiaTheme="majorEastAsia" w:hAnsi="Franklin Gothic Book" w:cs="Arial"/>
                </w:rPr>
                <w:t>Professional Learning Partner Guide</w:t>
              </w:r>
            </w:hyperlink>
          </w:p>
        </w:tc>
        <w:tc>
          <w:tcPr>
            <w:tcW w:w="5759" w:type="dxa"/>
            <w:tcBorders>
              <w:top w:val="single" w:sz="6" w:space="0" w:color="2F5496"/>
              <w:left w:val="single" w:sz="6" w:space="0" w:color="2F5496"/>
              <w:bottom w:val="single" w:sz="6" w:space="0" w:color="2F5496"/>
              <w:right w:val="single" w:sz="6" w:space="0" w:color="2F5496"/>
            </w:tcBorders>
          </w:tcPr>
          <w:p w14:paraId="205C6826" w14:textId="2835BBE6" w:rsidR="001456A3" w:rsidRPr="00AB7B1E" w:rsidRDefault="001456A3" w:rsidP="001456A3">
            <w:pPr>
              <w:pStyle w:val="TableText"/>
              <w:rPr>
                <w:rFonts w:ascii="Franklin Gothic Book" w:hAnsi="Franklin Gothic Book" w:cs="Arial"/>
              </w:rPr>
            </w:pPr>
            <w:r w:rsidRPr="00AB7B1E">
              <w:rPr>
                <w:rFonts w:ascii="Franklin Gothic Book" w:hAnsi="Franklin Gothic Book" w:cs="Arial"/>
                <w:color w:val="000000" w:themeColor="text1"/>
              </w:rPr>
              <w:t>A free, online, searchable list of vetted professional development providers who have expertise in specific sets of high-quality instructional materials. Schools and districts can use this guide to easily find PD providers to support the launch or implementation of high-quality instructional materials.</w:t>
            </w:r>
          </w:p>
        </w:tc>
      </w:tr>
      <w:tr w:rsidR="009A5BB2" w:rsidRPr="00AB7B1E" w14:paraId="64A4DCC1"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3DD4C740" w14:textId="23B5D7A5" w:rsidR="009A5BB2" w:rsidRDefault="009A5BB2" w:rsidP="009A5BB2">
            <w:pPr>
              <w:pStyle w:val="TableText"/>
            </w:pPr>
            <w:hyperlink r:id="rId70" w:history="1">
              <w:r w:rsidRPr="00AB7B1E">
                <w:rPr>
                  <w:rStyle w:val="Hyperlink"/>
                  <w:rFonts w:ascii="Franklin Gothic Book" w:eastAsiaTheme="majorEastAsia" w:hAnsi="Franklin Gothic Book" w:cs="Arial"/>
                </w:rPr>
                <w:t>WIDA Professional Development</w:t>
              </w:r>
            </w:hyperlink>
          </w:p>
        </w:tc>
        <w:tc>
          <w:tcPr>
            <w:tcW w:w="5759" w:type="dxa"/>
            <w:tcBorders>
              <w:top w:val="single" w:sz="6" w:space="0" w:color="2F5496"/>
              <w:left w:val="single" w:sz="6" w:space="0" w:color="2F5496"/>
              <w:bottom w:val="single" w:sz="6" w:space="0" w:color="2F5496"/>
              <w:right w:val="single" w:sz="6" w:space="0" w:color="2F5496"/>
            </w:tcBorders>
          </w:tcPr>
          <w:p w14:paraId="26ECC741" w14:textId="121E8E44" w:rsidR="009A5BB2" w:rsidRPr="00AB7B1E" w:rsidRDefault="009A5BB2" w:rsidP="009A5BB2">
            <w:pPr>
              <w:pStyle w:val="TableText"/>
              <w:rPr>
                <w:rFonts w:ascii="Franklin Gothic Book" w:hAnsi="Franklin Gothic Book" w:cs="Arial"/>
                <w:color w:val="000000"/>
              </w:rPr>
            </w:pPr>
            <w:r w:rsidRPr="00AB7B1E">
              <w:rPr>
                <w:rFonts w:ascii="Franklin Gothic Book" w:hAnsi="Franklin Gothic Book" w:cs="Arial"/>
                <w:color w:val="000000"/>
              </w:rPr>
              <w:t>WIDA professional development provides information and strategies to support multilingual learners in Massachusetts public schools, and WIDA PDPs satisfy educator licensure renewal requirements. These DESE-sponsored courses are available at no cost to participants and are perfect for teams of teachers seeking impactful collaboration to support students’ access to rigorous course content.</w:t>
            </w:r>
          </w:p>
        </w:tc>
      </w:tr>
    </w:tbl>
    <w:p w14:paraId="6654DC2B" w14:textId="22A883EB" w:rsidR="0089266A" w:rsidRPr="0079770B" w:rsidRDefault="0089266A" w:rsidP="0089266A">
      <w:pPr>
        <w:pStyle w:val="TableTitle0"/>
        <w:rPr>
          <w:rFonts w:ascii="Franklin Gothic Book" w:hAnsi="Franklin Gothic Book" w:cs="Arial"/>
          <w:b/>
        </w:rPr>
      </w:pPr>
      <w:r w:rsidRPr="0079770B">
        <w:rPr>
          <w:rFonts w:ascii="Franklin Gothic Book" w:hAnsi="Franklin Gothic Book" w:cs="Arial"/>
          <w:b/>
        </w:rPr>
        <w:t>Table C4. Resources to Support Student Support</w:t>
      </w:r>
    </w:p>
    <w:tbl>
      <w:tblPr>
        <w:tblStyle w:val="MSVTable1"/>
        <w:tblW w:w="5000" w:type="pct"/>
        <w:tblLook w:val="0620" w:firstRow="1" w:lastRow="0" w:firstColumn="0" w:lastColumn="0" w:noHBand="1" w:noVBand="1"/>
      </w:tblPr>
      <w:tblGrid>
        <w:gridCol w:w="3592"/>
        <w:gridCol w:w="5752"/>
      </w:tblGrid>
      <w:tr w:rsidR="0089266A" w:rsidRPr="00AB7B1E" w14:paraId="4FF26D2B" w14:textId="77777777">
        <w:trPr>
          <w:cnfStyle w:val="100000000000" w:firstRow="1" w:lastRow="0" w:firstColumn="0" w:lastColumn="0" w:oddVBand="0" w:evenVBand="0" w:oddHBand="0" w:evenHBand="0" w:firstRowFirstColumn="0" w:firstRowLastColumn="0" w:lastRowFirstColumn="0" w:lastRowLastColumn="0"/>
          <w:cantSplit/>
          <w:tblHeader/>
        </w:trPr>
        <w:tc>
          <w:tcPr>
            <w:tcW w:w="3592" w:type="dxa"/>
            <w:tcBorders>
              <w:top w:val="single" w:sz="6" w:space="0" w:color="2F5496"/>
              <w:left w:val="single" w:sz="6" w:space="0" w:color="2F5496"/>
              <w:bottom w:val="single" w:sz="6" w:space="0" w:color="2F5496"/>
            </w:tcBorders>
            <w:hideMark/>
          </w:tcPr>
          <w:p w14:paraId="608F44B9" w14:textId="77777777" w:rsidR="0089266A" w:rsidRPr="00AB7B1E" w:rsidRDefault="0089266A">
            <w:pPr>
              <w:pStyle w:val="TableColHeadingLeft"/>
              <w:rPr>
                <w:rFonts w:ascii="Franklin Gothic Book" w:hAnsi="Franklin Gothic Book" w:cs="Arial"/>
              </w:rPr>
            </w:pPr>
            <w:r w:rsidRPr="00AB7B1E">
              <w:rPr>
                <w:rFonts w:ascii="Franklin Gothic Book" w:hAnsi="Franklin Gothic Book" w:cs="Arial"/>
              </w:rPr>
              <w:t xml:space="preserve">Resource </w:t>
            </w:r>
          </w:p>
        </w:tc>
        <w:tc>
          <w:tcPr>
            <w:tcW w:w="5752" w:type="dxa"/>
            <w:tcBorders>
              <w:top w:val="single" w:sz="6" w:space="0" w:color="2F5496"/>
              <w:bottom w:val="single" w:sz="6" w:space="0" w:color="2F5496"/>
              <w:right w:val="single" w:sz="6" w:space="0" w:color="2F5496"/>
            </w:tcBorders>
            <w:hideMark/>
          </w:tcPr>
          <w:p w14:paraId="734C44A5" w14:textId="77777777" w:rsidR="0089266A" w:rsidRPr="00AB7B1E" w:rsidRDefault="0089266A">
            <w:pPr>
              <w:pStyle w:val="TableColHeadingLeft"/>
              <w:rPr>
                <w:rFonts w:ascii="Franklin Gothic Book" w:hAnsi="Franklin Gothic Book" w:cs="Arial"/>
              </w:rPr>
            </w:pPr>
            <w:r w:rsidRPr="00AB7B1E">
              <w:rPr>
                <w:rFonts w:ascii="Franklin Gothic Book" w:hAnsi="Franklin Gothic Book" w:cs="Arial"/>
              </w:rPr>
              <w:t>Description</w:t>
            </w:r>
          </w:p>
        </w:tc>
      </w:tr>
      <w:tr w:rsidR="0089266A" w:rsidRPr="00AB7B1E" w14:paraId="2251BADE"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79F5B4AA" w14:textId="77777777" w:rsidR="0089266A" w:rsidRPr="00AB7B1E" w:rsidRDefault="0089266A">
            <w:pPr>
              <w:pStyle w:val="TableText"/>
              <w:rPr>
                <w:rFonts w:ascii="Franklin Gothic Book" w:hAnsi="Franklin Gothic Book" w:cs="Arial"/>
              </w:rPr>
            </w:pPr>
            <w:r w:rsidRPr="00AB7B1E">
              <w:rPr>
                <w:rFonts w:ascii="Franklin Gothic Book" w:hAnsi="Franklin Gothic Book" w:cs="Arial"/>
              </w:rPr>
              <w:t>Educational Stability Resources</w:t>
            </w:r>
          </w:p>
          <w:p w14:paraId="6220D20B" w14:textId="77777777" w:rsidR="0089266A" w:rsidRPr="00AB7B1E" w:rsidRDefault="0089266A" w:rsidP="0089266A">
            <w:pPr>
              <w:pStyle w:val="TableBullet1"/>
              <w:rPr>
                <w:rStyle w:val="Hyperlink"/>
                <w:rFonts w:ascii="Franklin Gothic Book" w:eastAsia="Times New Roman" w:hAnsi="Franklin Gothic Book" w:cs="Arial"/>
                <w:color w:val="000000"/>
                <w:szCs w:val="20"/>
                <w:u w:val="none"/>
              </w:rPr>
            </w:pPr>
            <w:hyperlink r:id="rId71" w:history="1">
              <w:r w:rsidRPr="00AB7B1E">
                <w:rPr>
                  <w:rStyle w:val="Hyperlink"/>
                  <w:rFonts w:ascii="Franklin Gothic Book" w:hAnsi="Franklin Gothic Book" w:cs="Arial"/>
                  <w:szCs w:val="20"/>
                </w:rPr>
                <w:t>Educational Stability for Highly Mobile Students</w:t>
              </w:r>
            </w:hyperlink>
          </w:p>
          <w:p w14:paraId="2026EC9B" w14:textId="77777777" w:rsidR="0089266A" w:rsidRPr="00AB7B1E" w:rsidRDefault="0089266A" w:rsidP="0089266A">
            <w:pPr>
              <w:pStyle w:val="TableBullet1"/>
              <w:rPr>
                <w:rFonts w:ascii="Franklin Gothic Book" w:eastAsia="Times New Roman" w:hAnsi="Franklin Gothic Book" w:cs="Arial"/>
                <w:color w:val="000000"/>
                <w:szCs w:val="20"/>
              </w:rPr>
            </w:pPr>
            <w:hyperlink r:id="rId72" w:history="1">
              <w:r w:rsidRPr="00AB7B1E">
                <w:rPr>
                  <w:rStyle w:val="Hyperlink"/>
                  <w:rFonts w:ascii="Franklin Gothic Book" w:hAnsi="Franklin Gothic Book" w:cs="Arial"/>
                  <w:szCs w:val="20"/>
                </w:rPr>
                <w:t>SLIFE Guidance and Toolkit</w:t>
              </w:r>
            </w:hyperlink>
          </w:p>
          <w:p w14:paraId="104FAC69" w14:textId="77777777" w:rsidR="0089266A" w:rsidRPr="00AB7B1E" w:rsidRDefault="0089266A" w:rsidP="0089266A">
            <w:pPr>
              <w:pStyle w:val="TableBullet1"/>
              <w:rPr>
                <w:rFonts w:ascii="Franklin Gothic Book" w:eastAsia="Times New Roman" w:hAnsi="Franklin Gothic Book" w:cs="Arial"/>
                <w:color w:val="000000"/>
                <w:szCs w:val="20"/>
              </w:rPr>
            </w:pPr>
            <w:hyperlink r:id="rId73" w:history="1">
              <w:r w:rsidRPr="00AB7B1E">
                <w:rPr>
                  <w:rStyle w:val="Hyperlink"/>
                  <w:rFonts w:ascii="Franklin Gothic Book" w:hAnsi="Franklin Gothic Book" w:cs="Arial"/>
                  <w:szCs w:val="20"/>
                </w:rPr>
                <w:t>Resources for Supporting Immigrant and Refugee Students</w:t>
              </w:r>
            </w:hyperlink>
          </w:p>
        </w:tc>
        <w:tc>
          <w:tcPr>
            <w:tcW w:w="5752" w:type="dxa"/>
            <w:tcBorders>
              <w:top w:val="single" w:sz="6" w:space="0" w:color="2F5496"/>
              <w:left w:val="single" w:sz="6" w:space="0" w:color="2F5496"/>
              <w:bottom w:val="single" w:sz="6" w:space="0" w:color="2F5496"/>
              <w:right w:val="single" w:sz="6" w:space="0" w:color="2F5496"/>
            </w:tcBorders>
          </w:tcPr>
          <w:p w14:paraId="5B95F12A" w14:textId="77777777" w:rsidR="0089266A" w:rsidRPr="00AB7B1E" w:rsidRDefault="0089266A">
            <w:pPr>
              <w:pStyle w:val="TableText"/>
              <w:rPr>
                <w:rFonts w:ascii="Franklin Gothic Book" w:hAnsi="Franklin Gothic Book" w:cs="Arial"/>
              </w:rPr>
            </w:pPr>
            <w:r w:rsidRPr="00AB7B1E">
              <w:rPr>
                <w:rFonts w:ascii="Franklin Gothic Book" w:hAnsi="Franklin Gothic Book" w:cs="Arial"/>
              </w:rPr>
              <w:t xml:space="preserve">The linked resources provide guidance, technical assistance, professional learning opportunities, grants, and other supports to ensure that students experiencing homelessness, those in foster care, migrant and refugee students, those with limited or interrupted formal education, and students in military families have access to a consistent and high-quality public education. </w:t>
            </w:r>
          </w:p>
        </w:tc>
      </w:tr>
      <w:tr w:rsidR="0089266A" w:rsidRPr="00AB7B1E" w14:paraId="20089682"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19FA8EC3" w14:textId="77777777" w:rsidR="0089266A" w:rsidRPr="00AB7B1E" w:rsidRDefault="0089266A">
            <w:pPr>
              <w:pStyle w:val="TableText"/>
              <w:rPr>
                <w:rFonts w:ascii="Franklin Gothic Book" w:hAnsi="Franklin Gothic Book" w:cs="Arial"/>
                <w:shd w:val="clear" w:color="auto" w:fill="FFFFFF"/>
              </w:rPr>
            </w:pPr>
            <w:hyperlink r:id="rId74" w:history="1">
              <w:r w:rsidRPr="00604641">
                <w:rPr>
                  <w:rStyle w:val="Hyperlink"/>
                  <w:rFonts w:ascii="Franklin Gothic Book" w:hAnsi="Franklin Gothic Book" w:cs="Arial"/>
                  <w:shd w:val="clear" w:color="auto" w:fill="FFFFFF"/>
                </w:rPr>
                <w:t>Family Engagement Initiatives and Resources</w:t>
              </w:r>
            </w:hyperlink>
          </w:p>
          <w:p w14:paraId="3C438876" w14:textId="77777777" w:rsidR="0089266A" w:rsidRPr="00AB7B1E" w:rsidRDefault="0089266A">
            <w:pPr>
              <w:pStyle w:val="TableBullet1"/>
              <w:numPr>
                <w:ilvl w:val="0"/>
                <w:numId w:val="0"/>
              </w:numPr>
              <w:rPr>
                <w:rFonts w:ascii="Franklin Gothic Book" w:hAnsi="Franklin Gothic Book" w:cs="Arial"/>
                <w:color w:val="0563C1" w:themeColor="hyperlink"/>
                <w:szCs w:val="20"/>
                <w:u w:val="single"/>
              </w:rPr>
            </w:pPr>
          </w:p>
        </w:tc>
        <w:tc>
          <w:tcPr>
            <w:tcW w:w="5752" w:type="dxa"/>
            <w:tcBorders>
              <w:top w:val="single" w:sz="6" w:space="0" w:color="2F5496"/>
              <w:left w:val="single" w:sz="6" w:space="0" w:color="2F5496"/>
              <w:bottom w:val="single" w:sz="6" w:space="0" w:color="2F5496"/>
              <w:right w:val="single" w:sz="6" w:space="0" w:color="2F5496"/>
            </w:tcBorders>
            <w:hideMark/>
          </w:tcPr>
          <w:p w14:paraId="05D6E47F" w14:textId="77777777" w:rsidR="0089266A" w:rsidRPr="00AB7B1E" w:rsidRDefault="0089266A">
            <w:pPr>
              <w:pStyle w:val="TableText"/>
              <w:rPr>
                <w:rFonts w:ascii="Franklin Gothic Book" w:hAnsi="Franklin Gothic Book" w:cs="Arial"/>
                <w:color w:val="000000" w:themeColor="text1"/>
              </w:rPr>
            </w:pPr>
            <w:r w:rsidRPr="008F6E5B">
              <w:rPr>
                <w:rFonts w:ascii="Franklin Gothic Book" w:eastAsia="Franklin Gothic Book" w:hAnsi="Franklin Gothic Book" w:cs="Arial"/>
                <w:shd w:val="clear" w:color="auto" w:fill="FFFFFF"/>
              </w:rPr>
              <w:t xml:space="preserve">The Family Engagement Program is designed to strengthen partnerships between families, schools, and communities to foster student success. This </w:t>
            </w:r>
            <w:r>
              <w:rPr>
                <w:rFonts w:ascii="Franklin Gothic Book" w:eastAsia="Franklin Gothic Book" w:hAnsi="Franklin Gothic Book" w:cs="Arial"/>
                <w:shd w:val="clear" w:color="auto" w:fill="FFFFFF"/>
              </w:rPr>
              <w:t>webpage</w:t>
            </w:r>
            <w:r w:rsidRPr="008F6E5B">
              <w:rPr>
                <w:rFonts w:ascii="Franklin Gothic Book" w:eastAsia="Franklin Gothic Book" w:hAnsi="Franklin Gothic Book" w:cs="Arial"/>
                <w:shd w:val="clear" w:color="auto" w:fill="FFFFFF"/>
              </w:rPr>
              <w:t xml:space="preserve"> provide</w:t>
            </w:r>
            <w:r>
              <w:rPr>
                <w:rFonts w:ascii="Franklin Gothic Book" w:eastAsia="Franklin Gothic Book" w:hAnsi="Franklin Gothic Book" w:cs="Arial"/>
                <w:shd w:val="clear" w:color="auto" w:fill="FFFFFF"/>
              </w:rPr>
              <w:t>s</w:t>
            </w:r>
            <w:r w:rsidRPr="008F6E5B">
              <w:rPr>
                <w:rFonts w:ascii="Franklin Gothic Book" w:eastAsia="Franklin Gothic Book" w:hAnsi="Franklin Gothic Book" w:cs="Arial"/>
                <w:shd w:val="clear" w:color="auto" w:fill="FFFFFF"/>
              </w:rPr>
              <w:t xml:space="preserve"> resources, training, and collaborative opportunities that create an inclusive educational environment where every family feels valued and empowered. </w:t>
            </w:r>
          </w:p>
        </w:tc>
      </w:tr>
      <w:tr w:rsidR="0089266A" w:rsidRPr="00AB7B1E" w14:paraId="105E8453"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0482BFD0" w14:textId="77777777" w:rsidR="0089266A" w:rsidRPr="00AB7B1E" w:rsidRDefault="0089266A">
            <w:pPr>
              <w:pStyle w:val="TableText"/>
              <w:rPr>
                <w:rFonts w:ascii="Franklin Gothic Book" w:hAnsi="Franklin Gothic Book" w:cs="Arial"/>
              </w:rPr>
            </w:pPr>
            <w:hyperlink r:id="rId75" w:history="1">
              <w:r w:rsidRPr="00C63455">
                <w:rPr>
                  <w:rStyle w:val="Hyperlink"/>
                  <w:rFonts w:ascii="Franklin Gothic Book" w:hAnsi="Franklin Gothic Book" w:cs="Arial"/>
                </w:rPr>
                <w:t>Language Access and Interpretation</w:t>
              </w:r>
            </w:hyperlink>
          </w:p>
        </w:tc>
        <w:tc>
          <w:tcPr>
            <w:tcW w:w="5752" w:type="dxa"/>
            <w:tcBorders>
              <w:top w:val="single" w:sz="6" w:space="0" w:color="2F5496"/>
              <w:left w:val="single" w:sz="6" w:space="0" w:color="2F5496"/>
              <w:bottom w:val="single" w:sz="6" w:space="0" w:color="2F5496"/>
              <w:right w:val="single" w:sz="6" w:space="0" w:color="2F5496"/>
            </w:tcBorders>
          </w:tcPr>
          <w:p w14:paraId="27054616" w14:textId="77777777" w:rsidR="0089266A" w:rsidRPr="00AB7B1E" w:rsidRDefault="0089266A">
            <w:pPr>
              <w:pStyle w:val="TableText"/>
              <w:rPr>
                <w:rFonts w:ascii="Franklin Gothic Book" w:hAnsi="Franklin Gothic Book" w:cs="Arial"/>
              </w:rPr>
            </w:pPr>
            <w:r>
              <w:rPr>
                <w:rFonts w:ascii="Franklin Gothic Book" w:hAnsi="Franklin Gothic Book" w:cs="Arial"/>
              </w:rPr>
              <w:t>This webpage links to guidance around schools’ and districts’ responsibility to provide language interpretation for families with limited English proficiency (LEP) and includes training recommendations and a database of trained interpreters in the state.</w:t>
            </w:r>
          </w:p>
        </w:tc>
      </w:tr>
      <w:tr w:rsidR="00755D7F" w:rsidRPr="00AB7B1E" w14:paraId="0ECE59FF"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15E4E767" w14:textId="77777777" w:rsidR="00755D7F" w:rsidRPr="00AB7B1E" w:rsidRDefault="00755D7F" w:rsidP="00755D7F">
            <w:pPr>
              <w:pStyle w:val="TableText"/>
              <w:rPr>
                <w:rFonts w:ascii="Franklin Gothic Book" w:hAnsi="Franklin Gothic Book" w:cs="Arial"/>
                <w14:ligatures w14:val="standardContextual"/>
              </w:rPr>
            </w:pPr>
            <w:r w:rsidRPr="00AB7B1E">
              <w:rPr>
                <w:rFonts w:ascii="Franklin Gothic Book" w:hAnsi="Franklin Gothic Book" w:cs="Arial"/>
              </w:rPr>
              <w:t xml:space="preserve">MTSS Resources: </w:t>
            </w:r>
          </w:p>
          <w:p w14:paraId="098E09DA" w14:textId="77777777" w:rsidR="00755D7F" w:rsidRPr="00AB7B1E" w:rsidRDefault="00755D7F" w:rsidP="00755D7F">
            <w:pPr>
              <w:pStyle w:val="TableBullet1"/>
              <w:rPr>
                <w:rStyle w:val="Hyperlink"/>
                <w:rFonts w:ascii="Franklin Gothic Book" w:eastAsia="Franklin Gothic Book" w:hAnsi="Franklin Gothic Book" w:cs="Arial"/>
                <w:szCs w:val="20"/>
                <w:shd w:val="clear" w:color="auto" w:fill="FFFFFF"/>
              </w:rPr>
            </w:pPr>
            <w:hyperlink r:id="rId76" w:history="1">
              <w:r w:rsidRPr="00AB7B1E">
                <w:rPr>
                  <w:rStyle w:val="Hyperlink"/>
                  <w:rFonts w:ascii="Franklin Gothic Book" w:hAnsi="Franklin Gothic Book" w:cs="Arial"/>
                  <w:szCs w:val="20"/>
                </w:rPr>
                <w:t>MTSS Blueprint, Self-Assessment, and Resources</w:t>
              </w:r>
            </w:hyperlink>
          </w:p>
          <w:p w14:paraId="01E09C88" w14:textId="291CA2D9" w:rsidR="00755D7F" w:rsidRDefault="00755D7F" w:rsidP="00755D7F">
            <w:pPr>
              <w:pStyle w:val="TableText"/>
            </w:pPr>
            <w:hyperlink r:id="rId77" w:history="1">
              <w:r w:rsidRPr="00AB7B1E">
                <w:rPr>
                  <w:rStyle w:val="Hyperlink"/>
                  <w:rFonts w:ascii="Franklin Gothic Book" w:hAnsi="Franklin Gothic Book" w:cs="Arial"/>
                  <w:szCs w:val="20"/>
                </w:rPr>
                <w:t>Massachusetts Tools for Schools</w:t>
              </w:r>
            </w:hyperlink>
          </w:p>
        </w:tc>
        <w:tc>
          <w:tcPr>
            <w:tcW w:w="5752" w:type="dxa"/>
            <w:tcBorders>
              <w:top w:val="single" w:sz="6" w:space="0" w:color="2F5496"/>
              <w:left w:val="single" w:sz="6" w:space="0" w:color="2F5496"/>
              <w:bottom w:val="single" w:sz="6" w:space="0" w:color="2F5496"/>
              <w:right w:val="single" w:sz="6" w:space="0" w:color="2F5496"/>
            </w:tcBorders>
          </w:tcPr>
          <w:p w14:paraId="20E1BAF7" w14:textId="4AA03094" w:rsidR="00755D7F" w:rsidRDefault="00755D7F" w:rsidP="00755D7F">
            <w:pPr>
              <w:pStyle w:val="TableText"/>
              <w:rPr>
                <w:rFonts w:ascii="Franklin Gothic Book" w:hAnsi="Franklin Gothic Book" w:cs="Arial"/>
              </w:rPr>
            </w:pPr>
            <w:r w:rsidRPr="00AB7B1E">
              <w:rPr>
                <w:rFonts w:ascii="Franklin Gothic Book" w:hAnsi="Franklin Gothic Book" w:cs="Arial"/>
              </w:rPr>
              <w:t>MTSS is a framework for how school districts can build the necessary systems to ensure that every student receives a high-quality educational experience.</w:t>
            </w:r>
          </w:p>
        </w:tc>
      </w:tr>
      <w:tr w:rsidR="00755D7F" w:rsidRPr="00AB7B1E" w14:paraId="3158EC3C"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3B6B9090" w14:textId="77777777" w:rsidR="00755D7F" w:rsidRPr="00AB7B1E" w:rsidRDefault="00755D7F" w:rsidP="00755D7F">
            <w:pPr>
              <w:pStyle w:val="TableText"/>
              <w:rPr>
                <w:rFonts w:ascii="Franklin Gothic Book" w:hAnsi="Franklin Gothic Book" w:cs="Arial"/>
              </w:rPr>
            </w:pPr>
            <w:r w:rsidRPr="00AB7B1E">
              <w:rPr>
                <w:rFonts w:ascii="Franklin Gothic Book" w:hAnsi="Franklin Gothic Book" w:cs="Arial"/>
              </w:rPr>
              <w:t xml:space="preserve">Safe and Supportive Schools: </w:t>
            </w:r>
          </w:p>
          <w:p w14:paraId="2895CB31" w14:textId="77777777" w:rsidR="00755D7F" w:rsidRPr="0007783C" w:rsidRDefault="00755D7F" w:rsidP="00755D7F">
            <w:pPr>
              <w:pStyle w:val="TableBullet1"/>
              <w:rPr>
                <w:rStyle w:val="Hyperlink"/>
                <w:rFonts w:ascii="Franklin Gothic Book" w:hAnsi="Franklin Gothic Book" w:cs="Arial"/>
                <w:szCs w:val="20"/>
              </w:rPr>
            </w:pPr>
            <w:hyperlink r:id="rId78" w:history="1">
              <w:r w:rsidRPr="0007783C">
                <w:rPr>
                  <w:rStyle w:val="Hyperlink"/>
                  <w:rFonts w:ascii="Franklin Gothic Book" w:hAnsi="Franklin Gothic Book" w:cs="Arial"/>
                  <w:szCs w:val="20"/>
                </w:rPr>
                <w:t>Safe and Supportive Schools Framework and Self-Reflection Tool</w:t>
              </w:r>
            </w:hyperlink>
          </w:p>
          <w:p w14:paraId="15A0D957" w14:textId="77777777" w:rsidR="00755D7F" w:rsidRPr="0007783C" w:rsidRDefault="00755D7F" w:rsidP="00755D7F">
            <w:pPr>
              <w:pStyle w:val="TableBullet1"/>
              <w:rPr>
                <w:rStyle w:val="Hyperlink"/>
                <w:szCs w:val="20"/>
              </w:rPr>
            </w:pPr>
            <w:hyperlink r:id="rId79" w:history="1">
              <w:r w:rsidRPr="00AB7B1E">
                <w:rPr>
                  <w:rStyle w:val="Hyperlink"/>
                  <w:rFonts w:ascii="Franklin Gothic Book" w:hAnsi="Franklin Gothic Book" w:cs="Arial"/>
                  <w:szCs w:val="20"/>
                </w:rPr>
                <w:t>Safe Schools Program for LGBTQ Students</w:t>
              </w:r>
            </w:hyperlink>
          </w:p>
          <w:p w14:paraId="56BE9D78" w14:textId="77777777" w:rsidR="00B47C3A" w:rsidRPr="00B47C3A" w:rsidRDefault="00755D7F" w:rsidP="00B47C3A">
            <w:pPr>
              <w:pStyle w:val="TableBullet1"/>
              <w:rPr>
                <w:color w:val="0563C1" w:themeColor="hyperlink"/>
                <w:szCs w:val="20"/>
                <w:u w:val="single"/>
              </w:rPr>
            </w:pPr>
            <w:hyperlink r:id="rId80" w:history="1">
              <w:r w:rsidRPr="0007783C">
                <w:rPr>
                  <w:rStyle w:val="Hyperlink"/>
                  <w:rFonts w:ascii="Franklin Gothic Book" w:hAnsi="Franklin Gothic Book" w:cs="Arial"/>
                  <w:szCs w:val="20"/>
                </w:rPr>
                <w:t>Bullying Prevention and Intervention</w:t>
              </w:r>
            </w:hyperlink>
          </w:p>
          <w:p w14:paraId="5926E122" w14:textId="69ABEDA4" w:rsidR="00755D7F" w:rsidRPr="00B47C3A" w:rsidRDefault="00755D7F" w:rsidP="00B47C3A">
            <w:pPr>
              <w:pStyle w:val="TableBullet1"/>
              <w:rPr>
                <w:color w:val="0563C1" w:themeColor="hyperlink"/>
                <w:szCs w:val="20"/>
                <w:u w:val="single"/>
              </w:rPr>
            </w:pPr>
            <w:hyperlink r:id="rId81" w:history="1">
              <w:r w:rsidRPr="00B47C3A">
                <w:rPr>
                  <w:rStyle w:val="Hyperlink"/>
                  <w:rFonts w:ascii="Franklin Gothic Book" w:hAnsi="Franklin Gothic Book" w:cs="Arial"/>
                  <w:szCs w:val="20"/>
                </w:rPr>
                <w:t>Rethinking Discipline Initiative</w:t>
              </w:r>
            </w:hyperlink>
          </w:p>
        </w:tc>
        <w:tc>
          <w:tcPr>
            <w:tcW w:w="5752" w:type="dxa"/>
            <w:tcBorders>
              <w:top w:val="single" w:sz="6" w:space="0" w:color="2F5496"/>
              <w:left w:val="single" w:sz="6" w:space="0" w:color="2F5496"/>
              <w:bottom w:val="single" w:sz="6" w:space="0" w:color="2F5496"/>
              <w:right w:val="single" w:sz="6" w:space="0" w:color="2F5496"/>
            </w:tcBorders>
          </w:tcPr>
          <w:p w14:paraId="4397CB24" w14:textId="03C89FBF" w:rsidR="00755D7F" w:rsidRPr="00AB7B1E" w:rsidRDefault="00755D7F" w:rsidP="00755D7F">
            <w:pPr>
              <w:pStyle w:val="TableText"/>
              <w:rPr>
                <w:rFonts w:ascii="Franklin Gothic Book" w:hAnsi="Franklin Gothic Book" w:cs="Arial"/>
              </w:rPr>
            </w:pPr>
            <w:r w:rsidRPr="00AB7B1E">
              <w:rPr>
                <w:rFonts w:ascii="Franklin Gothic Book" w:hAnsi="Franklin Gothic Book" w:cs="Arial"/>
                <w:color w:val="000000"/>
              </w:rPr>
              <w:t xml:space="preserve">These resources can help guide school- and district-based teams to create safer and more supportive school climates and cultures that allow all students to thrive.  </w:t>
            </w:r>
          </w:p>
        </w:tc>
      </w:tr>
      <w:tr w:rsidR="00B47C3A" w:rsidRPr="00AB7B1E" w14:paraId="689509F9"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53814173" w14:textId="363B9A7E" w:rsidR="00B47C3A" w:rsidRPr="00AB7B1E" w:rsidRDefault="00B47C3A" w:rsidP="00B47C3A">
            <w:pPr>
              <w:pStyle w:val="TableText"/>
              <w:rPr>
                <w:rFonts w:ascii="Franklin Gothic Book" w:hAnsi="Franklin Gothic Book" w:cs="Arial"/>
              </w:rPr>
            </w:pPr>
            <w:hyperlink r:id="rId82" w:history="1">
              <w:r w:rsidRPr="00020DB3">
                <w:rPr>
                  <w:rStyle w:val="Hyperlink"/>
                  <w:rFonts w:ascii="Franklin Gothic Book" w:hAnsi="Franklin Gothic Book" w:cs="Arial"/>
                </w:rPr>
                <w:t>State Student Advisory Council</w:t>
              </w:r>
            </w:hyperlink>
            <w:r w:rsidRPr="00020DB3">
              <w:rPr>
                <w:rFonts w:ascii="Franklin Gothic Book" w:hAnsi="Franklin Gothic Book" w:cs="Arial"/>
              </w:rPr>
              <w:t xml:space="preserve"> (SSAC)</w:t>
            </w:r>
          </w:p>
        </w:tc>
        <w:tc>
          <w:tcPr>
            <w:tcW w:w="5752" w:type="dxa"/>
            <w:tcBorders>
              <w:top w:val="single" w:sz="6" w:space="0" w:color="2F5496"/>
              <w:left w:val="single" w:sz="6" w:space="0" w:color="2F5496"/>
              <w:bottom w:val="single" w:sz="6" w:space="0" w:color="2F5496"/>
              <w:right w:val="single" w:sz="6" w:space="0" w:color="2F5496"/>
            </w:tcBorders>
          </w:tcPr>
          <w:p w14:paraId="20B8B218" w14:textId="27A29D81" w:rsidR="00B47C3A" w:rsidRPr="00AB7B1E" w:rsidRDefault="00B47C3A" w:rsidP="00B47C3A">
            <w:pPr>
              <w:pStyle w:val="TableText"/>
              <w:rPr>
                <w:rFonts w:ascii="Franklin Gothic Book" w:hAnsi="Franklin Gothic Book" w:cs="Arial"/>
                <w:color w:val="000000"/>
              </w:rPr>
            </w:pPr>
            <w:r w:rsidRPr="00020DB3">
              <w:rPr>
                <w:rFonts w:ascii="Franklin Gothic Book" w:hAnsi="Franklin Gothic Book" w:cs="Arial"/>
              </w:rPr>
              <w:t xml:space="preserve">The SSAC is a council of student leaders who advise the Board of Elementary and Secondary Education (BESE) on issues of education policy. The state council is comprised of five regional councils in which students across the Commonwealth identify and take action to solve complex problems in education. </w:t>
            </w:r>
            <w:r>
              <w:rPr>
                <w:rFonts w:ascii="Franklin Gothic Book" w:hAnsi="Franklin Gothic Book" w:cs="Arial"/>
              </w:rPr>
              <w:t xml:space="preserve">All secondary schools are invited to send two representatives to their regional council, which is an impactful opportunity for elevating student voice and leadership. </w:t>
            </w:r>
          </w:p>
        </w:tc>
      </w:tr>
    </w:tbl>
    <w:p w14:paraId="427EA5E8" w14:textId="77777777" w:rsidR="0089266A" w:rsidRPr="00560E52" w:rsidRDefault="0089266A" w:rsidP="00560E52">
      <w:pPr>
        <w:pStyle w:val="BodyTextposthead"/>
        <w:sectPr w:rsidR="0089266A" w:rsidRPr="00560E52" w:rsidSect="00D67AD2">
          <w:headerReference w:type="even" r:id="rId83"/>
          <w:headerReference w:type="default" r:id="rId84"/>
          <w:footerReference w:type="default" r:id="rId85"/>
          <w:headerReference w:type="first" r:id="rId86"/>
          <w:footerReference w:type="first" r:id="rId87"/>
          <w:pgSz w:w="12240" w:h="15840"/>
          <w:pgMar w:top="1440" w:right="1440" w:bottom="1440" w:left="1440" w:header="720" w:footer="720" w:gutter="0"/>
          <w:pgNumType w:start="1"/>
          <w:cols w:space="720"/>
          <w:docGrid w:linePitch="360"/>
        </w:sectPr>
      </w:pPr>
    </w:p>
    <w:p w14:paraId="46A7012E" w14:textId="37C9C8D6" w:rsidR="002F1EBE" w:rsidRPr="00CB0607" w:rsidRDefault="002F1EBE" w:rsidP="009B3BF7">
      <w:pPr>
        <w:pStyle w:val="Heading2"/>
      </w:pPr>
      <w:bookmarkStart w:id="205" w:name="_Toc235104384"/>
      <w:bookmarkStart w:id="206" w:name="_Toc235104459"/>
      <w:r w:rsidRPr="00CB0607">
        <w:t xml:space="preserve">Appendix </w:t>
      </w:r>
      <w:r w:rsidR="00486B55">
        <w:t>D</w:t>
      </w:r>
      <w:r w:rsidR="006A3A0E" w:rsidRPr="00CB0607">
        <w:t>.</w:t>
      </w:r>
      <w:r w:rsidRPr="00CB0607">
        <w:t xml:space="preserve"> Enrollment, </w:t>
      </w:r>
      <w:r w:rsidR="00FE2534" w:rsidRPr="009B3BF7">
        <w:t>Attendance</w:t>
      </w:r>
      <w:r w:rsidRPr="00CB0607">
        <w:t>, Expenditures</w:t>
      </w:r>
      <w:bookmarkStart w:id="207" w:name="_Toc337817151"/>
      <w:bookmarkEnd w:id="86"/>
      <w:bookmarkEnd w:id="205"/>
      <w:bookmarkEnd w:id="206"/>
    </w:p>
    <w:p w14:paraId="15E91529" w14:textId="77777777" w:rsidR="00EC56C8" w:rsidRPr="00CB0607" w:rsidRDefault="00EC56C8" w:rsidP="00E37559">
      <w:pPr>
        <w:pStyle w:val="TableTitle0"/>
      </w:pPr>
      <w:bookmarkStart w:id="208" w:name="AppendixE"/>
      <w:bookmarkEnd w:id="207"/>
      <w:r w:rsidRPr="00CB0607">
        <w:t xml:space="preserve">Table </w:t>
      </w:r>
      <w:r>
        <w:t>D</w:t>
      </w:r>
      <w:r w:rsidRPr="00CB0607">
        <w:t>1</w:t>
      </w:r>
      <w:r>
        <w:t>.</w:t>
      </w:r>
      <w:r w:rsidRPr="00CB0607">
        <w:t xml:space="preserve"> Student Enrollment by Race/</w:t>
      </w:r>
      <w:r w:rsidRPr="00E37559">
        <w:t>Ethnicity</w:t>
      </w:r>
      <w:r w:rsidRPr="00CB0607">
        <w:t>, 202</w:t>
      </w:r>
      <w:r>
        <w:t>5-</w:t>
      </w:r>
      <w:r w:rsidRPr="00CB0607">
        <w:t>202</w:t>
      </w:r>
      <w:r>
        <w:t>6</w:t>
      </w:r>
    </w:p>
    <w:tbl>
      <w:tblPr>
        <w:tblStyle w:val="MSVTable1"/>
        <w:tblW w:w="5000" w:type="pct"/>
        <w:tblLook w:val="04A0" w:firstRow="1" w:lastRow="0" w:firstColumn="1" w:lastColumn="0" w:noHBand="0" w:noVBand="1"/>
        <w:tblCaption w:val="Table D1. Student Enrollment by Race/Ethnicity, 2025-2026"/>
        <w:tblDescription w:val="Student Enrollment by Race/Ethnicity, 2025-2026"/>
      </w:tblPr>
      <w:tblGrid>
        <w:gridCol w:w="3052"/>
        <w:gridCol w:w="1573"/>
        <w:gridCol w:w="1573"/>
        <w:gridCol w:w="1573"/>
        <w:gridCol w:w="1573"/>
      </w:tblGrid>
      <w:tr w:rsidR="00EC56C8" w:rsidRPr="00CB0607" w14:paraId="5F8CB251" w14:textId="77777777" w:rsidTr="00E548A6">
        <w:trPr>
          <w:cnfStyle w:val="100000000000" w:firstRow="1" w:lastRow="0" w:firstColumn="0" w:lastColumn="0" w:oddVBand="0" w:evenVBand="0" w:oddHBand="0" w:evenHBand="0" w:firstRowFirstColumn="0" w:firstRowLastColumn="0" w:lastRowFirstColumn="0" w:lastRowLastColumn="0"/>
          <w:tblHeader/>
        </w:trPr>
        <w:tc>
          <w:tcPr>
            <w:tcW w:w="3052" w:type="dxa"/>
            <w:vAlign w:val="center"/>
          </w:tcPr>
          <w:p w14:paraId="29DD8DE7" w14:textId="77777777" w:rsidR="00EC56C8" w:rsidRPr="00DC5B29" w:rsidRDefault="00EC56C8" w:rsidP="00E548A6">
            <w:pPr>
              <w:pStyle w:val="TableColHeadingCenter"/>
            </w:pPr>
            <w:r w:rsidRPr="00DC5B29">
              <w:t>Group</w:t>
            </w:r>
          </w:p>
        </w:tc>
        <w:tc>
          <w:tcPr>
            <w:tcW w:w="1573" w:type="dxa"/>
            <w:vAlign w:val="center"/>
          </w:tcPr>
          <w:p w14:paraId="33999FC0" w14:textId="77777777" w:rsidR="00EC56C8" w:rsidRPr="00DC5B29" w:rsidRDefault="00EC56C8" w:rsidP="00E548A6">
            <w:pPr>
              <w:pStyle w:val="TableColHeadingCenter"/>
            </w:pPr>
            <w:r w:rsidRPr="00DC5B29">
              <w:t>District</w:t>
            </w:r>
          </w:p>
        </w:tc>
        <w:tc>
          <w:tcPr>
            <w:tcW w:w="1573" w:type="dxa"/>
            <w:vAlign w:val="center"/>
          </w:tcPr>
          <w:p w14:paraId="27925182" w14:textId="77777777" w:rsidR="00EC56C8" w:rsidRPr="00DC5B29" w:rsidRDefault="00EC56C8" w:rsidP="00E548A6">
            <w:pPr>
              <w:pStyle w:val="TableColHeadingCenter"/>
            </w:pPr>
            <w:r w:rsidRPr="00DC5B29">
              <w:t>Percentage of District</w:t>
            </w:r>
          </w:p>
        </w:tc>
        <w:tc>
          <w:tcPr>
            <w:tcW w:w="1573" w:type="dxa"/>
            <w:vAlign w:val="center"/>
          </w:tcPr>
          <w:p w14:paraId="334DAA04" w14:textId="77777777" w:rsidR="00EC56C8" w:rsidRPr="00DC5B29" w:rsidRDefault="00EC56C8" w:rsidP="00E548A6">
            <w:pPr>
              <w:pStyle w:val="TableColHeadingCenter"/>
            </w:pPr>
            <w:r w:rsidRPr="00DC5B29">
              <w:t>State</w:t>
            </w:r>
          </w:p>
        </w:tc>
        <w:tc>
          <w:tcPr>
            <w:tcW w:w="1573" w:type="dxa"/>
            <w:vAlign w:val="center"/>
          </w:tcPr>
          <w:p w14:paraId="4580215C" w14:textId="77777777" w:rsidR="00EC56C8" w:rsidRPr="00DC5B29" w:rsidRDefault="00EC56C8" w:rsidP="00E548A6">
            <w:pPr>
              <w:pStyle w:val="TableColHeadingCenter"/>
            </w:pPr>
            <w:r w:rsidRPr="00DC5B29">
              <w:t>Percentage of State</w:t>
            </w:r>
          </w:p>
        </w:tc>
      </w:tr>
      <w:tr w:rsidR="00EC56C8" w:rsidRPr="00CB0607" w14:paraId="481D0403" w14:textId="77777777" w:rsidTr="00E548A6">
        <w:trPr>
          <w:cnfStyle w:val="000000100000" w:firstRow="0" w:lastRow="0" w:firstColumn="0" w:lastColumn="0" w:oddVBand="0" w:evenVBand="0" w:oddHBand="1" w:evenHBand="0" w:firstRowFirstColumn="0" w:firstRowLastColumn="0" w:lastRowFirstColumn="0" w:lastRowLastColumn="0"/>
        </w:trPr>
        <w:tc>
          <w:tcPr>
            <w:tcW w:w="3052" w:type="dxa"/>
          </w:tcPr>
          <w:p w14:paraId="33A1BCD8" w14:textId="77777777" w:rsidR="00EC56C8" w:rsidRPr="00DC5B29" w:rsidRDefault="00EC56C8" w:rsidP="00DC5B29">
            <w:pPr>
              <w:pStyle w:val="TableText"/>
            </w:pPr>
            <w:r w:rsidRPr="00DC5B29">
              <w:t>All Students</w:t>
            </w:r>
          </w:p>
        </w:tc>
        <w:tc>
          <w:tcPr>
            <w:tcW w:w="1573" w:type="dxa"/>
            <w:vAlign w:val="center"/>
          </w:tcPr>
          <w:p w14:paraId="5ED68821" w14:textId="77777777" w:rsidR="00EC56C8" w:rsidRPr="00CB0607" w:rsidRDefault="00EC56C8" w:rsidP="00E548A6">
            <w:pPr>
              <w:pStyle w:val="TableTextCentered"/>
            </w:pPr>
            <w:r>
              <w:t>14,642</w:t>
            </w:r>
          </w:p>
        </w:tc>
        <w:tc>
          <w:tcPr>
            <w:tcW w:w="1573" w:type="dxa"/>
            <w:vAlign w:val="center"/>
          </w:tcPr>
          <w:p w14:paraId="673135C6" w14:textId="77777777" w:rsidR="00EC56C8" w:rsidRPr="00CB0607" w:rsidRDefault="00EC56C8" w:rsidP="00E548A6">
            <w:pPr>
              <w:pStyle w:val="TableTextCentered"/>
            </w:pPr>
            <w:r>
              <w:t>100.0%</w:t>
            </w:r>
          </w:p>
        </w:tc>
        <w:tc>
          <w:tcPr>
            <w:tcW w:w="1573" w:type="dxa"/>
            <w:vAlign w:val="center"/>
          </w:tcPr>
          <w:p w14:paraId="65E8DA53" w14:textId="77777777" w:rsidR="00EC56C8" w:rsidRPr="00CB0607" w:rsidRDefault="00EC56C8" w:rsidP="00E548A6">
            <w:pPr>
              <w:pStyle w:val="TableTextCentered"/>
            </w:pPr>
            <w:r>
              <w:t>900,490</w:t>
            </w:r>
          </w:p>
        </w:tc>
        <w:tc>
          <w:tcPr>
            <w:tcW w:w="1573" w:type="dxa"/>
            <w:vAlign w:val="center"/>
          </w:tcPr>
          <w:p w14:paraId="310C837C" w14:textId="77777777" w:rsidR="00EC56C8" w:rsidRPr="00CB0607" w:rsidRDefault="00EC56C8" w:rsidP="00E548A6">
            <w:pPr>
              <w:pStyle w:val="TableTextCentered"/>
            </w:pPr>
            <w:r>
              <w:t>100.0%</w:t>
            </w:r>
          </w:p>
        </w:tc>
      </w:tr>
      <w:tr w:rsidR="00EC56C8" w:rsidRPr="00CB0607" w14:paraId="279FB198" w14:textId="77777777" w:rsidTr="00E548A6">
        <w:tc>
          <w:tcPr>
            <w:tcW w:w="3052" w:type="dxa"/>
          </w:tcPr>
          <w:p w14:paraId="1C2FCA5F" w14:textId="77777777" w:rsidR="00EC56C8" w:rsidRPr="00DC5B29" w:rsidRDefault="00EC56C8" w:rsidP="00DC5B29">
            <w:pPr>
              <w:pStyle w:val="TableText"/>
            </w:pPr>
            <w:r w:rsidRPr="00DC5B29">
              <w:t>American Indian or Alaska Native</w:t>
            </w:r>
          </w:p>
        </w:tc>
        <w:tc>
          <w:tcPr>
            <w:tcW w:w="1573" w:type="dxa"/>
            <w:vAlign w:val="center"/>
          </w:tcPr>
          <w:p w14:paraId="70736BD6" w14:textId="77777777" w:rsidR="00EC56C8" w:rsidRPr="00CB0607" w:rsidRDefault="00EC56C8" w:rsidP="00E548A6">
            <w:pPr>
              <w:pStyle w:val="TableTextCentered"/>
            </w:pPr>
            <w:r>
              <w:t>47</w:t>
            </w:r>
          </w:p>
        </w:tc>
        <w:tc>
          <w:tcPr>
            <w:tcW w:w="1573" w:type="dxa"/>
            <w:vAlign w:val="center"/>
          </w:tcPr>
          <w:p w14:paraId="16FCDBF8" w14:textId="77777777" w:rsidR="00EC56C8" w:rsidRPr="00CB0607" w:rsidRDefault="00EC56C8" w:rsidP="00E548A6">
            <w:pPr>
              <w:pStyle w:val="TableTextCentered"/>
            </w:pPr>
            <w:r>
              <w:t>0.3%</w:t>
            </w:r>
          </w:p>
        </w:tc>
        <w:tc>
          <w:tcPr>
            <w:tcW w:w="1573" w:type="dxa"/>
            <w:vAlign w:val="center"/>
          </w:tcPr>
          <w:p w14:paraId="7D8F69DE" w14:textId="77777777" w:rsidR="00EC56C8" w:rsidRPr="00CB0607" w:rsidRDefault="00EC56C8" w:rsidP="00E548A6">
            <w:pPr>
              <w:pStyle w:val="TableTextCentered"/>
            </w:pPr>
            <w:r>
              <w:t>2,188</w:t>
            </w:r>
          </w:p>
        </w:tc>
        <w:tc>
          <w:tcPr>
            <w:tcW w:w="1573" w:type="dxa"/>
            <w:vAlign w:val="center"/>
          </w:tcPr>
          <w:p w14:paraId="01DD735F" w14:textId="77777777" w:rsidR="00EC56C8" w:rsidRPr="00CB0607" w:rsidRDefault="00EC56C8" w:rsidP="00E548A6">
            <w:pPr>
              <w:pStyle w:val="TableTextCentered"/>
            </w:pPr>
            <w:r>
              <w:t>0.2%</w:t>
            </w:r>
          </w:p>
        </w:tc>
      </w:tr>
      <w:tr w:rsidR="00EC56C8" w:rsidRPr="00CB0607" w14:paraId="5196B21D" w14:textId="77777777" w:rsidTr="00E548A6">
        <w:trPr>
          <w:cnfStyle w:val="000000100000" w:firstRow="0" w:lastRow="0" w:firstColumn="0" w:lastColumn="0" w:oddVBand="0" w:evenVBand="0" w:oddHBand="1" w:evenHBand="0" w:firstRowFirstColumn="0" w:firstRowLastColumn="0" w:lastRowFirstColumn="0" w:lastRowLastColumn="0"/>
        </w:trPr>
        <w:tc>
          <w:tcPr>
            <w:tcW w:w="3052" w:type="dxa"/>
          </w:tcPr>
          <w:p w14:paraId="346CE2E6" w14:textId="77777777" w:rsidR="00EC56C8" w:rsidRPr="00DC5B29" w:rsidRDefault="00EC56C8" w:rsidP="00DC5B29">
            <w:pPr>
              <w:pStyle w:val="TableText"/>
            </w:pPr>
            <w:r w:rsidRPr="00DC5B29">
              <w:t>Asian</w:t>
            </w:r>
          </w:p>
        </w:tc>
        <w:tc>
          <w:tcPr>
            <w:tcW w:w="1573" w:type="dxa"/>
            <w:vAlign w:val="center"/>
          </w:tcPr>
          <w:p w14:paraId="50495165" w14:textId="77777777" w:rsidR="00EC56C8" w:rsidRPr="00CB0607" w:rsidRDefault="00EC56C8" w:rsidP="00E548A6">
            <w:pPr>
              <w:pStyle w:val="TableTextCentered"/>
            </w:pPr>
            <w:r>
              <w:t>187</w:t>
            </w:r>
          </w:p>
        </w:tc>
        <w:tc>
          <w:tcPr>
            <w:tcW w:w="1573" w:type="dxa"/>
            <w:vAlign w:val="center"/>
          </w:tcPr>
          <w:p w14:paraId="27C4603E" w14:textId="77777777" w:rsidR="00EC56C8" w:rsidRPr="00CB0607" w:rsidRDefault="00EC56C8" w:rsidP="00E548A6">
            <w:pPr>
              <w:pStyle w:val="TableTextCentered"/>
            </w:pPr>
            <w:r>
              <w:t>1.3%</w:t>
            </w:r>
          </w:p>
        </w:tc>
        <w:tc>
          <w:tcPr>
            <w:tcW w:w="1573" w:type="dxa"/>
            <w:vAlign w:val="center"/>
          </w:tcPr>
          <w:p w14:paraId="33ACE81E" w14:textId="77777777" w:rsidR="00EC56C8" w:rsidRPr="00CB0607" w:rsidRDefault="00EC56C8" w:rsidP="00E548A6">
            <w:pPr>
              <w:pStyle w:val="TableTextCentered"/>
            </w:pPr>
            <w:r>
              <w:t>68,002</w:t>
            </w:r>
          </w:p>
        </w:tc>
        <w:tc>
          <w:tcPr>
            <w:tcW w:w="1573" w:type="dxa"/>
            <w:vAlign w:val="center"/>
          </w:tcPr>
          <w:p w14:paraId="0B518637" w14:textId="77777777" w:rsidR="00EC56C8" w:rsidRPr="00CB0607" w:rsidRDefault="00EC56C8" w:rsidP="00E548A6">
            <w:pPr>
              <w:pStyle w:val="TableTextCentered"/>
            </w:pPr>
            <w:r>
              <w:t>7.6%</w:t>
            </w:r>
          </w:p>
        </w:tc>
      </w:tr>
      <w:tr w:rsidR="00EC56C8" w:rsidRPr="00CB0607" w14:paraId="500F9121" w14:textId="77777777" w:rsidTr="00E548A6">
        <w:tc>
          <w:tcPr>
            <w:tcW w:w="3052" w:type="dxa"/>
          </w:tcPr>
          <w:p w14:paraId="1D3BDCFA" w14:textId="77777777" w:rsidR="00EC56C8" w:rsidRPr="00DC5B29" w:rsidRDefault="00EC56C8" w:rsidP="00DC5B29">
            <w:pPr>
              <w:pStyle w:val="TableText"/>
            </w:pPr>
            <w:r w:rsidRPr="00DC5B29">
              <w:t>Black or African American</w:t>
            </w:r>
          </w:p>
        </w:tc>
        <w:tc>
          <w:tcPr>
            <w:tcW w:w="1573" w:type="dxa"/>
            <w:vAlign w:val="center"/>
          </w:tcPr>
          <w:p w14:paraId="1C991F84" w14:textId="77777777" w:rsidR="00EC56C8" w:rsidRPr="00CB0607" w:rsidRDefault="00EC56C8" w:rsidP="00E548A6">
            <w:pPr>
              <w:pStyle w:val="TableTextCentered"/>
            </w:pPr>
            <w:r>
              <w:t>9,082</w:t>
            </w:r>
          </w:p>
        </w:tc>
        <w:tc>
          <w:tcPr>
            <w:tcW w:w="1573" w:type="dxa"/>
            <w:vAlign w:val="center"/>
          </w:tcPr>
          <w:p w14:paraId="395AC360" w14:textId="77777777" w:rsidR="00EC56C8" w:rsidRPr="00CB0607" w:rsidRDefault="00EC56C8" w:rsidP="00E548A6">
            <w:pPr>
              <w:pStyle w:val="TableTextCentered"/>
            </w:pPr>
            <w:r>
              <w:t>62.0%</w:t>
            </w:r>
          </w:p>
        </w:tc>
        <w:tc>
          <w:tcPr>
            <w:tcW w:w="1573" w:type="dxa"/>
            <w:vAlign w:val="center"/>
          </w:tcPr>
          <w:p w14:paraId="6A060B18" w14:textId="77777777" w:rsidR="00EC56C8" w:rsidRPr="00CB0607" w:rsidRDefault="00EC56C8" w:rsidP="00E548A6">
            <w:pPr>
              <w:pStyle w:val="TableTextCentered"/>
            </w:pPr>
            <w:r>
              <w:t>93,528</w:t>
            </w:r>
          </w:p>
        </w:tc>
        <w:tc>
          <w:tcPr>
            <w:tcW w:w="1573" w:type="dxa"/>
            <w:vAlign w:val="center"/>
          </w:tcPr>
          <w:p w14:paraId="04E49407" w14:textId="77777777" w:rsidR="00EC56C8" w:rsidRPr="00CB0607" w:rsidRDefault="00EC56C8" w:rsidP="00E548A6">
            <w:pPr>
              <w:pStyle w:val="TableTextCentered"/>
            </w:pPr>
            <w:r>
              <w:t>10.4%</w:t>
            </w:r>
          </w:p>
        </w:tc>
      </w:tr>
      <w:tr w:rsidR="00EC56C8" w:rsidRPr="00CB0607" w14:paraId="0332C2C6" w14:textId="77777777" w:rsidTr="00E548A6">
        <w:trPr>
          <w:cnfStyle w:val="000000100000" w:firstRow="0" w:lastRow="0" w:firstColumn="0" w:lastColumn="0" w:oddVBand="0" w:evenVBand="0" w:oddHBand="1" w:evenHBand="0" w:firstRowFirstColumn="0" w:firstRowLastColumn="0" w:lastRowFirstColumn="0" w:lastRowLastColumn="0"/>
        </w:trPr>
        <w:tc>
          <w:tcPr>
            <w:tcW w:w="3052" w:type="dxa"/>
          </w:tcPr>
          <w:p w14:paraId="003F8EDC" w14:textId="77777777" w:rsidR="00EC56C8" w:rsidRPr="00DC5B29" w:rsidRDefault="00EC56C8" w:rsidP="00DC5B29">
            <w:pPr>
              <w:pStyle w:val="TableText"/>
            </w:pPr>
            <w:r w:rsidRPr="00DC5B29">
              <w:t>Hispanic or Latino</w:t>
            </w:r>
          </w:p>
        </w:tc>
        <w:tc>
          <w:tcPr>
            <w:tcW w:w="1573" w:type="dxa"/>
            <w:vAlign w:val="center"/>
          </w:tcPr>
          <w:p w14:paraId="215848AB" w14:textId="77777777" w:rsidR="00EC56C8" w:rsidRPr="00CB0607" w:rsidRDefault="00EC56C8" w:rsidP="00E548A6">
            <w:pPr>
              <w:pStyle w:val="TableTextCentered"/>
            </w:pPr>
            <w:r>
              <w:t>3,195</w:t>
            </w:r>
          </w:p>
        </w:tc>
        <w:tc>
          <w:tcPr>
            <w:tcW w:w="1573" w:type="dxa"/>
            <w:vAlign w:val="center"/>
          </w:tcPr>
          <w:p w14:paraId="52E88B2F" w14:textId="77777777" w:rsidR="00EC56C8" w:rsidRPr="00CB0607" w:rsidRDefault="00EC56C8" w:rsidP="00E548A6">
            <w:pPr>
              <w:pStyle w:val="TableTextCentered"/>
            </w:pPr>
            <w:r>
              <w:t>21.8%</w:t>
            </w:r>
          </w:p>
        </w:tc>
        <w:tc>
          <w:tcPr>
            <w:tcW w:w="1573" w:type="dxa"/>
            <w:vAlign w:val="center"/>
          </w:tcPr>
          <w:p w14:paraId="3E3061BE" w14:textId="77777777" w:rsidR="00EC56C8" w:rsidRPr="00CB0607" w:rsidRDefault="00EC56C8" w:rsidP="00E548A6">
            <w:pPr>
              <w:pStyle w:val="TableTextCentered"/>
            </w:pPr>
            <w:r>
              <w:t>235,969</w:t>
            </w:r>
          </w:p>
        </w:tc>
        <w:tc>
          <w:tcPr>
            <w:tcW w:w="1573" w:type="dxa"/>
            <w:vAlign w:val="center"/>
          </w:tcPr>
          <w:p w14:paraId="61227D6E" w14:textId="77777777" w:rsidR="00EC56C8" w:rsidRPr="00CB0607" w:rsidRDefault="00EC56C8" w:rsidP="00E548A6">
            <w:pPr>
              <w:pStyle w:val="TableTextCentered"/>
            </w:pPr>
            <w:r>
              <w:t>26.2%</w:t>
            </w:r>
          </w:p>
        </w:tc>
      </w:tr>
      <w:tr w:rsidR="00EC56C8" w:rsidRPr="00CB0607" w14:paraId="252B1123" w14:textId="77777777" w:rsidTr="00E548A6">
        <w:tc>
          <w:tcPr>
            <w:tcW w:w="3052" w:type="dxa"/>
          </w:tcPr>
          <w:p w14:paraId="4D66E94A" w14:textId="77777777" w:rsidR="00EC56C8" w:rsidRPr="00DC5B29" w:rsidRDefault="00EC56C8" w:rsidP="00DC5B29">
            <w:pPr>
              <w:pStyle w:val="TableText"/>
            </w:pPr>
            <w:r w:rsidRPr="00DC5B29">
              <w:t>Multi-Race, Not Hispanic or Latino</w:t>
            </w:r>
          </w:p>
        </w:tc>
        <w:tc>
          <w:tcPr>
            <w:tcW w:w="1573" w:type="dxa"/>
            <w:vAlign w:val="center"/>
          </w:tcPr>
          <w:p w14:paraId="0010A10B" w14:textId="77777777" w:rsidR="00EC56C8" w:rsidRPr="00CB0607" w:rsidRDefault="00EC56C8" w:rsidP="00E548A6">
            <w:pPr>
              <w:pStyle w:val="TableTextCentered"/>
            </w:pPr>
            <w:r>
              <w:t>640</w:t>
            </w:r>
          </w:p>
        </w:tc>
        <w:tc>
          <w:tcPr>
            <w:tcW w:w="1573" w:type="dxa"/>
            <w:vAlign w:val="center"/>
          </w:tcPr>
          <w:p w14:paraId="18FECF5B" w14:textId="77777777" w:rsidR="00EC56C8" w:rsidRPr="00CB0607" w:rsidRDefault="00EC56C8" w:rsidP="00E548A6">
            <w:pPr>
              <w:pStyle w:val="TableTextCentered"/>
            </w:pPr>
            <w:r>
              <w:t>4.4%</w:t>
            </w:r>
          </w:p>
        </w:tc>
        <w:tc>
          <w:tcPr>
            <w:tcW w:w="1573" w:type="dxa"/>
            <w:vAlign w:val="center"/>
          </w:tcPr>
          <w:p w14:paraId="02659DEC" w14:textId="77777777" w:rsidR="00EC56C8" w:rsidRPr="00CB0607" w:rsidRDefault="00EC56C8" w:rsidP="00E548A6">
            <w:pPr>
              <w:pStyle w:val="TableTextCentered"/>
            </w:pPr>
            <w:r>
              <w:t>42,988</w:t>
            </w:r>
          </w:p>
        </w:tc>
        <w:tc>
          <w:tcPr>
            <w:tcW w:w="1573" w:type="dxa"/>
            <w:vAlign w:val="center"/>
          </w:tcPr>
          <w:p w14:paraId="0F6808EC" w14:textId="77777777" w:rsidR="00EC56C8" w:rsidRPr="00CB0607" w:rsidRDefault="00EC56C8" w:rsidP="00E548A6">
            <w:pPr>
              <w:pStyle w:val="TableTextCentered"/>
            </w:pPr>
            <w:r>
              <w:t>4.8%</w:t>
            </w:r>
          </w:p>
        </w:tc>
      </w:tr>
      <w:tr w:rsidR="00EC56C8" w:rsidRPr="00CB0607" w14:paraId="7BF9516B" w14:textId="77777777" w:rsidTr="00E548A6">
        <w:trPr>
          <w:cnfStyle w:val="000000100000" w:firstRow="0" w:lastRow="0" w:firstColumn="0" w:lastColumn="0" w:oddVBand="0" w:evenVBand="0" w:oddHBand="1" w:evenHBand="0" w:firstRowFirstColumn="0" w:firstRowLastColumn="0" w:lastRowFirstColumn="0" w:lastRowLastColumn="0"/>
        </w:trPr>
        <w:tc>
          <w:tcPr>
            <w:tcW w:w="3052" w:type="dxa"/>
          </w:tcPr>
          <w:p w14:paraId="003D2402" w14:textId="77777777" w:rsidR="00EC56C8" w:rsidRPr="00DC5B29" w:rsidRDefault="00EC56C8" w:rsidP="00DC5B29">
            <w:pPr>
              <w:pStyle w:val="TableText"/>
            </w:pPr>
            <w:r w:rsidRPr="00DC5B29">
              <w:t>Native Hawaiian or Other Pacific Islander</w:t>
            </w:r>
          </w:p>
        </w:tc>
        <w:tc>
          <w:tcPr>
            <w:tcW w:w="1573" w:type="dxa"/>
            <w:vAlign w:val="center"/>
          </w:tcPr>
          <w:p w14:paraId="449B1C25" w14:textId="77777777" w:rsidR="00EC56C8" w:rsidRPr="00CB0607" w:rsidRDefault="00EC56C8" w:rsidP="00E548A6">
            <w:pPr>
              <w:pStyle w:val="TableTextCentered"/>
            </w:pPr>
            <w:r>
              <w:t>30</w:t>
            </w:r>
          </w:p>
        </w:tc>
        <w:tc>
          <w:tcPr>
            <w:tcW w:w="1573" w:type="dxa"/>
            <w:vAlign w:val="center"/>
          </w:tcPr>
          <w:p w14:paraId="0D9392DC" w14:textId="77777777" w:rsidR="00EC56C8" w:rsidRPr="00CB0607" w:rsidRDefault="00EC56C8" w:rsidP="00E548A6">
            <w:pPr>
              <w:pStyle w:val="TableTextCentered"/>
            </w:pPr>
            <w:r>
              <w:t>0.2%</w:t>
            </w:r>
          </w:p>
        </w:tc>
        <w:tc>
          <w:tcPr>
            <w:tcW w:w="1573" w:type="dxa"/>
            <w:vAlign w:val="center"/>
          </w:tcPr>
          <w:p w14:paraId="7175B47F" w14:textId="77777777" w:rsidR="00EC56C8" w:rsidRPr="00CB0607" w:rsidRDefault="00EC56C8" w:rsidP="00E548A6">
            <w:pPr>
              <w:pStyle w:val="TableTextCentered"/>
            </w:pPr>
            <w:r>
              <w:t>754</w:t>
            </w:r>
          </w:p>
        </w:tc>
        <w:tc>
          <w:tcPr>
            <w:tcW w:w="1573" w:type="dxa"/>
            <w:vAlign w:val="center"/>
          </w:tcPr>
          <w:p w14:paraId="4B9A5D47" w14:textId="77777777" w:rsidR="00EC56C8" w:rsidRPr="00CB0607" w:rsidRDefault="00EC56C8" w:rsidP="00E548A6">
            <w:pPr>
              <w:pStyle w:val="TableTextCentered"/>
            </w:pPr>
            <w:r>
              <w:t>0.1%</w:t>
            </w:r>
          </w:p>
        </w:tc>
      </w:tr>
      <w:tr w:rsidR="00EC56C8" w:rsidRPr="00CB0607" w14:paraId="63A6530B" w14:textId="77777777" w:rsidTr="00E548A6">
        <w:tc>
          <w:tcPr>
            <w:tcW w:w="3052" w:type="dxa"/>
          </w:tcPr>
          <w:p w14:paraId="26B573E7" w14:textId="77777777" w:rsidR="00EC56C8" w:rsidRPr="00DC5B29" w:rsidRDefault="00EC56C8" w:rsidP="00DC5B29">
            <w:pPr>
              <w:pStyle w:val="TableText"/>
            </w:pPr>
            <w:r w:rsidRPr="00DC5B29">
              <w:t>White</w:t>
            </w:r>
          </w:p>
        </w:tc>
        <w:tc>
          <w:tcPr>
            <w:tcW w:w="1573" w:type="dxa"/>
            <w:vAlign w:val="center"/>
          </w:tcPr>
          <w:p w14:paraId="1A2C2C7A" w14:textId="77777777" w:rsidR="00EC56C8" w:rsidRPr="00CB0607" w:rsidRDefault="00EC56C8" w:rsidP="00E548A6">
            <w:pPr>
              <w:pStyle w:val="TableTextCentered"/>
            </w:pPr>
            <w:r>
              <w:t>1,461</w:t>
            </w:r>
          </w:p>
        </w:tc>
        <w:tc>
          <w:tcPr>
            <w:tcW w:w="1573" w:type="dxa"/>
            <w:vAlign w:val="center"/>
          </w:tcPr>
          <w:p w14:paraId="2BB309B5" w14:textId="77777777" w:rsidR="00EC56C8" w:rsidRPr="00CB0607" w:rsidRDefault="00EC56C8" w:rsidP="00E548A6">
            <w:pPr>
              <w:pStyle w:val="TableTextCentered"/>
            </w:pPr>
            <w:r>
              <w:t>10.0%</w:t>
            </w:r>
          </w:p>
        </w:tc>
        <w:tc>
          <w:tcPr>
            <w:tcW w:w="1573" w:type="dxa"/>
            <w:vAlign w:val="center"/>
          </w:tcPr>
          <w:p w14:paraId="0E881FE0" w14:textId="77777777" w:rsidR="00EC56C8" w:rsidRPr="00CB0607" w:rsidRDefault="00EC56C8" w:rsidP="00E548A6">
            <w:pPr>
              <w:pStyle w:val="TableTextCentered"/>
            </w:pPr>
            <w:r>
              <w:t>457,061</w:t>
            </w:r>
          </w:p>
        </w:tc>
        <w:tc>
          <w:tcPr>
            <w:tcW w:w="1573" w:type="dxa"/>
            <w:vAlign w:val="center"/>
          </w:tcPr>
          <w:p w14:paraId="173B93EB" w14:textId="77777777" w:rsidR="00EC56C8" w:rsidRPr="00CB0607" w:rsidRDefault="00EC56C8" w:rsidP="00E548A6">
            <w:pPr>
              <w:pStyle w:val="TableTextCentered"/>
            </w:pPr>
            <w:r>
              <w:t>50.8%</w:t>
            </w:r>
          </w:p>
        </w:tc>
      </w:tr>
    </w:tbl>
    <w:p w14:paraId="7ECCC16E" w14:textId="77777777" w:rsidR="00EC56C8" w:rsidRPr="0064523F" w:rsidRDefault="00EC56C8" w:rsidP="00E37559">
      <w:pPr>
        <w:pStyle w:val="TableNote"/>
      </w:pPr>
      <w:r w:rsidRPr="0064523F">
        <w:rPr>
          <w:i/>
          <w:iCs/>
        </w:rPr>
        <w:t>Note</w:t>
      </w:r>
      <w:r w:rsidRPr="0064523F">
        <w:t xml:space="preserve">. As of October 1, </w:t>
      </w:r>
      <w:r w:rsidRPr="00E37559">
        <w:t>2025</w:t>
      </w:r>
      <w:r w:rsidRPr="0064523F">
        <w:t>.</w:t>
      </w:r>
    </w:p>
    <w:p w14:paraId="0EFE6029" w14:textId="77777777" w:rsidR="00EC56C8" w:rsidRPr="00CB0607" w:rsidRDefault="00EC56C8" w:rsidP="00E37559">
      <w:pPr>
        <w:pStyle w:val="TableTitle0"/>
      </w:pPr>
      <w:r w:rsidRPr="00CB0607">
        <w:t xml:space="preserve">Table </w:t>
      </w:r>
      <w:r>
        <w:t>D</w:t>
      </w:r>
      <w:r w:rsidRPr="00CB0607">
        <w:t>2</w:t>
      </w:r>
      <w:r>
        <w:t>.</w:t>
      </w:r>
      <w:r w:rsidRPr="00CB0607">
        <w:t xml:space="preserve"> 202</w:t>
      </w:r>
      <w:r>
        <w:t>5-</w:t>
      </w:r>
      <w:r w:rsidRPr="00CB0607">
        <w:t>202</w:t>
      </w:r>
      <w:r>
        <w:t>6</w:t>
      </w:r>
      <w:r w:rsidRPr="00CB0607">
        <w:t xml:space="preserve"> Student Enrollment by High-Need </w:t>
      </w:r>
      <w:r w:rsidRPr="00E37559">
        <w:t>Populations</w:t>
      </w:r>
    </w:p>
    <w:tbl>
      <w:tblPr>
        <w:tblStyle w:val="MSVTable1"/>
        <w:tblW w:w="5000" w:type="pct"/>
        <w:tblLayout w:type="fixed"/>
        <w:tblLook w:val="0420" w:firstRow="1" w:lastRow="0" w:firstColumn="0" w:lastColumn="0" w:noHBand="0" w:noVBand="1"/>
        <w:tblCaption w:val="Table D2. 2025-2026 Student Enrollment by High-Need Populations"/>
        <w:tblDescription w:val="2025-2026 Student Enrollment by High-Need Populations"/>
      </w:tblPr>
      <w:tblGrid>
        <w:gridCol w:w="2287"/>
        <w:gridCol w:w="1176"/>
        <w:gridCol w:w="1176"/>
        <w:gridCol w:w="1176"/>
        <w:gridCol w:w="1176"/>
        <w:gridCol w:w="1176"/>
        <w:gridCol w:w="1177"/>
      </w:tblGrid>
      <w:tr w:rsidR="00EC56C8" w:rsidRPr="00CB0607" w14:paraId="73251DBD" w14:textId="77777777" w:rsidTr="00E548A6">
        <w:trPr>
          <w:cnfStyle w:val="100000000000" w:firstRow="1" w:lastRow="0" w:firstColumn="0" w:lastColumn="0" w:oddVBand="0" w:evenVBand="0" w:oddHBand="0" w:evenHBand="0" w:firstRowFirstColumn="0" w:firstRowLastColumn="0" w:lastRowFirstColumn="0" w:lastRowLastColumn="0"/>
        </w:trPr>
        <w:tc>
          <w:tcPr>
            <w:tcW w:w="2287" w:type="dxa"/>
            <w:vAlign w:val="center"/>
          </w:tcPr>
          <w:p w14:paraId="4FBBC5A2" w14:textId="77777777" w:rsidR="00EC56C8" w:rsidRPr="00DC5B29" w:rsidRDefault="00EC56C8" w:rsidP="00E548A6">
            <w:pPr>
              <w:pStyle w:val="TableColHeadingCenter"/>
            </w:pPr>
            <w:r w:rsidRPr="00DC5B29">
              <w:t>Group</w:t>
            </w:r>
          </w:p>
        </w:tc>
        <w:tc>
          <w:tcPr>
            <w:tcW w:w="1176" w:type="dxa"/>
            <w:vAlign w:val="center"/>
          </w:tcPr>
          <w:p w14:paraId="2FE6A91D" w14:textId="7116CF23" w:rsidR="00EC56C8" w:rsidRPr="00DC5B29" w:rsidRDefault="00EC56C8" w:rsidP="00E548A6">
            <w:pPr>
              <w:pStyle w:val="TableColHeadingCenter"/>
            </w:pPr>
            <w:r w:rsidRPr="00DC5B29">
              <w:rPr>
                <w:i/>
                <w:iCs/>
              </w:rPr>
              <w:t>N</w:t>
            </w:r>
            <w:r w:rsidR="00DC5B29">
              <w:br/>
            </w:r>
            <w:r w:rsidRPr="00DC5B29">
              <w:t>(District)</w:t>
            </w:r>
          </w:p>
        </w:tc>
        <w:tc>
          <w:tcPr>
            <w:tcW w:w="1176" w:type="dxa"/>
            <w:vAlign w:val="center"/>
          </w:tcPr>
          <w:p w14:paraId="785EB54F" w14:textId="0171D392" w:rsidR="00EC56C8" w:rsidRPr="00DC5B29" w:rsidRDefault="00EC56C8" w:rsidP="00E548A6">
            <w:pPr>
              <w:pStyle w:val="TableColHeadingCenter"/>
            </w:pPr>
            <w:r w:rsidRPr="00DC5B29">
              <w:t>Percentage of High Needs</w:t>
            </w:r>
            <w:r w:rsidR="00DC5B29">
              <w:br/>
            </w:r>
            <w:r w:rsidRPr="00DC5B29">
              <w:t>(District)</w:t>
            </w:r>
          </w:p>
        </w:tc>
        <w:tc>
          <w:tcPr>
            <w:tcW w:w="1176" w:type="dxa"/>
            <w:vAlign w:val="center"/>
          </w:tcPr>
          <w:p w14:paraId="645E7F2C" w14:textId="77777777" w:rsidR="00EC56C8" w:rsidRPr="00DC5B29" w:rsidRDefault="00EC56C8" w:rsidP="00E548A6">
            <w:pPr>
              <w:pStyle w:val="TableColHeadingCenter"/>
            </w:pPr>
            <w:r w:rsidRPr="00DC5B29">
              <w:t>Percentage of District</w:t>
            </w:r>
          </w:p>
        </w:tc>
        <w:tc>
          <w:tcPr>
            <w:tcW w:w="1176" w:type="dxa"/>
            <w:vAlign w:val="center"/>
          </w:tcPr>
          <w:p w14:paraId="2BD6BC33" w14:textId="7FD39AB1" w:rsidR="00EC56C8" w:rsidRPr="00DC5B29" w:rsidRDefault="00EC56C8" w:rsidP="00E548A6">
            <w:pPr>
              <w:pStyle w:val="TableColHeadingCenter"/>
            </w:pPr>
            <w:r w:rsidRPr="00DC5B29">
              <w:rPr>
                <w:i/>
                <w:iCs/>
              </w:rPr>
              <w:t>N</w:t>
            </w:r>
            <w:r w:rsidR="00DC5B29">
              <w:br/>
            </w:r>
            <w:r w:rsidRPr="00DC5B29">
              <w:t>(State)</w:t>
            </w:r>
          </w:p>
        </w:tc>
        <w:tc>
          <w:tcPr>
            <w:tcW w:w="1176" w:type="dxa"/>
            <w:vAlign w:val="center"/>
          </w:tcPr>
          <w:p w14:paraId="3102F3B9" w14:textId="479BD809" w:rsidR="00EC56C8" w:rsidRPr="00DC5B29" w:rsidRDefault="00EC56C8" w:rsidP="00E548A6">
            <w:pPr>
              <w:pStyle w:val="TableColHeadingCenter"/>
            </w:pPr>
            <w:r w:rsidRPr="00DC5B29">
              <w:t>Percentage of High Needs</w:t>
            </w:r>
            <w:r w:rsidR="00DC5B29">
              <w:br/>
            </w:r>
            <w:r w:rsidRPr="00DC5B29">
              <w:t>(State)</w:t>
            </w:r>
          </w:p>
        </w:tc>
        <w:tc>
          <w:tcPr>
            <w:tcW w:w="1177" w:type="dxa"/>
            <w:vAlign w:val="center"/>
          </w:tcPr>
          <w:p w14:paraId="594CD21A" w14:textId="77777777" w:rsidR="00EC56C8" w:rsidRPr="00DC5B29" w:rsidRDefault="00EC56C8" w:rsidP="00E548A6">
            <w:pPr>
              <w:pStyle w:val="TableColHeadingCenter"/>
            </w:pPr>
            <w:r w:rsidRPr="00DC5B29">
              <w:t>Percentage of State</w:t>
            </w:r>
          </w:p>
        </w:tc>
      </w:tr>
      <w:tr w:rsidR="00EC56C8" w:rsidRPr="00CB0607" w14:paraId="68184533" w14:textId="77777777" w:rsidTr="00E548A6">
        <w:trPr>
          <w:cnfStyle w:val="000000100000" w:firstRow="0" w:lastRow="0" w:firstColumn="0" w:lastColumn="0" w:oddVBand="0" w:evenVBand="0" w:oddHBand="1" w:evenHBand="0" w:firstRowFirstColumn="0" w:firstRowLastColumn="0" w:lastRowFirstColumn="0" w:lastRowLastColumn="0"/>
        </w:trPr>
        <w:tc>
          <w:tcPr>
            <w:tcW w:w="2287" w:type="dxa"/>
          </w:tcPr>
          <w:p w14:paraId="71F2C3E2" w14:textId="77777777" w:rsidR="00EC56C8" w:rsidRPr="00DC5B29" w:rsidRDefault="00EC56C8" w:rsidP="00DC5B29">
            <w:pPr>
              <w:pStyle w:val="TableText"/>
            </w:pPr>
            <w:r w:rsidRPr="00DC5B29">
              <w:t>All Students with High Needs</w:t>
            </w:r>
          </w:p>
        </w:tc>
        <w:tc>
          <w:tcPr>
            <w:tcW w:w="1176" w:type="dxa"/>
            <w:vAlign w:val="center"/>
          </w:tcPr>
          <w:p w14:paraId="0951A86B" w14:textId="77777777" w:rsidR="00EC56C8" w:rsidRPr="00813BB9" w:rsidRDefault="00EC56C8" w:rsidP="00E548A6">
            <w:pPr>
              <w:pStyle w:val="TableTextCentered"/>
            </w:pPr>
            <w:r w:rsidRPr="00813BB9">
              <w:t>12,315</w:t>
            </w:r>
          </w:p>
        </w:tc>
        <w:tc>
          <w:tcPr>
            <w:tcW w:w="1176" w:type="dxa"/>
            <w:vAlign w:val="center"/>
          </w:tcPr>
          <w:p w14:paraId="1CB6D954" w14:textId="77777777" w:rsidR="00EC56C8" w:rsidRPr="00813BB9" w:rsidRDefault="00EC56C8" w:rsidP="00E548A6">
            <w:pPr>
              <w:pStyle w:val="TableTextCentered"/>
            </w:pPr>
            <w:r w:rsidRPr="00813BB9">
              <w:t>100.0%</w:t>
            </w:r>
          </w:p>
        </w:tc>
        <w:tc>
          <w:tcPr>
            <w:tcW w:w="1176" w:type="dxa"/>
            <w:vAlign w:val="center"/>
          </w:tcPr>
          <w:p w14:paraId="2DBC37CB" w14:textId="77777777" w:rsidR="00EC56C8" w:rsidRPr="00813BB9" w:rsidRDefault="00EC56C8" w:rsidP="00E548A6">
            <w:pPr>
              <w:pStyle w:val="TableTextCentered"/>
            </w:pPr>
            <w:r w:rsidRPr="00813BB9">
              <w:t>83.6%</w:t>
            </w:r>
          </w:p>
        </w:tc>
        <w:tc>
          <w:tcPr>
            <w:tcW w:w="1176" w:type="dxa"/>
            <w:vAlign w:val="center"/>
          </w:tcPr>
          <w:p w14:paraId="28B53D24" w14:textId="77777777" w:rsidR="00EC56C8" w:rsidRPr="00813BB9" w:rsidRDefault="00EC56C8" w:rsidP="00E548A6">
            <w:pPr>
              <w:pStyle w:val="TableTextCentered"/>
            </w:pPr>
            <w:r w:rsidRPr="00813BB9">
              <w:t>504,445</w:t>
            </w:r>
          </w:p>
        </w:tc>
        <w:tc>
          <w:tcPr>
            <w:tcW w:w="1176" w:type="dxa"/>
            <w:vAlign w:val="center"/>
          </w:tcPr>
          <w:p w14:paraId="4BF7521D" w14:textId="77777777" w:rsidR="00EC56C8" w:rsidRPr="00813BB9" w:rsidRDefault="00EC56C8" w:rsidP="00E548A6">
            <w:pPr>
              <w:pStyle w:val="TableTextCentered"/>
            </w:pPr>
            <w:r w:rsidRPr="00813BB9">
              <w:t>100.0%</w:t>
            </w:r>
          </w:p>
        </w:tc>
        <w:tc>
          <w:tcPr>
            <w:tcW w:w="1177" w:type="dxa"/>
            <w:vAlign w:val="center"/>
          </w:tcPr>
          <w:p w14:paraId="6A15F9AD" w14:textId="77777777" w:rsidR="00EC56C8" w:rsidRPr="00813BB9" w:rsidRDefault="00EC56C8" w:rsidP="00E548A6">
            <w:pPr>
              <w:pStyle w:val="TableTextCentered"/>
            </w:pPr>
            <w:r w:rsidRPr="00813BB9">
              <w:t>55.4%</w:t>
            </w:r>
          </w:p>
        </w:tc>
      </w:tr>
      <w:tr w:rsidR="00EC56C8" w:rsidRPr="00CB0607" w14:paraId="6C313853" w14:textId="77777777" w:rsidTr="00E548A6">
        <w:tc>
          <w:tcPr>
            <w:tcW w:w="2287" w:type="dxa"/>
          </w:tcPr>
          <w:p w14:paraId="0623B030" w14:textId="77777777" w:rsidR="00EC56C8" w:rsidRPr="00DC5B29" w:rsidRDefault="00EC56C8" w:rsidP="00DC5B29">
            <w:pPr>
              <w:pStyle w:val="TableText"/>
            </w:pPr>
            <w:r w:rsidRPr="00DC5B29">
              <w:t>English Learners</w:t>
            </w:r>
          </w:p>
        </w:tc>
        <w:tc>
          <w:tcPr>
            <w:tcW w:w="1176" w:type="dxa"/>
            <w:vAlign w:val="center"/>
          </w:tcPr>
          <w:p w14:paraId="222AE22D" w14:textId="77777777" w:rsidR="00EC56C8" w:rsidRPr="00813BB9" w:rsidRDefault="00EC56C8" w:rsidP="00E548A6">
            <w:pPr>
              <w:pStyle w:val="TableTextCentered"/>
            </w:pPr>
            <w:r w:rsidRPr="00813BB9">
              <w:t>5,013</w:t>
            </w:r>
          </w:p>
        </w:tc>
        <w:tc>
          <w:tcPr>
            <w:tcW w:w="1176" w:type="dxa"/>
            <w:vAlign w:val="center"/>
          </w:tcPr>
          <w:p w14:paraId="6233AFCA" w14:textId="77777777" w:rsidR="00EC56C8" w:rsidRPr="00813BB9" w:rsidRDefault="00EC56C8" w:rsidP="00E548A6">
            <w:pPr>
              <w:pStyle w:val="TableTextCentered"/>
            </w:pPr>
            <w:r w:rsidRPr="00813BB9">
              <w:t>40.7%</w:t>
            </w:r>
          </w:p>
        </w:tc>
        <w:tc>
          <w:tcPr>
            <w:tcW w:w="1176" w:type="dxa"/>
            <w:vAlign w:val="center"/>
          </w:tcPr>
          <w:p w14:paraId="73EBB13F" w14:textId="77777777" w:rsidR="00EC56C8" w:rsidRPr="00813BB9" w:rsidRDefault="00EC56C8" w:rsidP="00E548A6">
            <w:pPr>
              <w:pStyle w:val="TableTextCentered"/>
            </w:pPr>
            <w:r w:rsidRPr="00813BB9">
              <w:t>34.2%</w:t>
            </w:r>
          </w:p>
        </w:tc>
        <w:tc>
          <w:tcPr>
            <w:tcW w:w="1176" w:type="dxa"/>
            <w:vAlign w:val="center"/>
          </w:tcPr>
          <w:p w14:paraId="33FBA810" w14:textId="77777777" w:rsidR="00EC56C8" w:rsidRPr="00813BB9" w:rsidRDefault="00EC56C8" w:rsidP="00E548A6">
            <w:pPr>
              <w:pStyle w:val="TableTextCentered"/>
            </w:pPr>
            <w:r w:rsidRPr="00813BB9">
              <w:t>120,784</w:t>
            </w:r>
          </w:p>
        </w:tc>
        <w:tc>
          <w:tcPr>
            <w:tcW w:w="1176" w:type="dxa"/>
            <w:vAlign w:val="center"/>
          </w:tcPr>
          <w:p w14:paraId="586B301F" w14:textId="77777777" w:rsidR="00EC56C8" w:rsidRPr="00813BB9" w:rsidRDefault="00EC56C8" w:rsidP="00E548A6">
            <w:pPr>
              <w:pStyle w:val="TableTextCentered"/>
            </w:pPr>
            <w:r w:rsidRPr="00813BB9">
              <w:t>23.9%</w:t>
            </w:r>
          </w:p>
        </w:tc>
        <w:tc>
          <w:tcPr>
            <w:tcW w:w="1177" w:type="dxa"/>
            <w:vAlign w:val="center"/>
          </w:tcPr>
          <w:p w14:paraId="23220BF3" w14:textId="77777777" w:rsidR="00EC56C8" w:rsidRPr="00813BB9" w:rsidRDefault="00EC56C8" w:rsidP="00E548A6">
            <w:pPr>
              <w:pStyle w:val="TableTextCentered"/>
            </w:pPr>
            <w:r w:rsidRPr="00813BB9">
              <w:t>13.4%</w:t>
            </w:r>
          </w:p>
        </w:tc>
      </w:tr>
      <w:tr w:rsidR="00EC56C8" w:rsidRPr="00CB0607" w14:paraId="42FD87B7" w14:textId="77777777" w:rsidTr="00E548A6">
        <w:trPr>
          <w:cnfStyle w:val="000000100000" w:firstRow="0" w:lastRow="0" w:firstColumn="0" w:lastColumn="0" w:oddVBand="0" w:evenVBand="0" w:oddHBand="1" w:evenHBand="0" w:firstRowFirstColumn="0" w:firstRowLastColumn="0" w:lastRowFirstColumn="0" w:lastRowLastColumn="0"/>
        </w:trPr>
        <w:tc>
          <w:tcPr>
            <w:tcW w:w="2287" w:type="dxa"/>
          </w:tcPr>
          <w:p w14:paraId="374ABA32" w14:textId="77777777" w:rsidR="00EC56C8" w:rsidRPr="00DC5B29" w:rsidRDefault="00EC56C8" w:rsidP="00DC5B29">
            <w:pPr>
              <w:pStyle w:val="TableText"/>
            </w:pPr>
            <w:r w:rsidRPr="00DC5B29">
              <w:t>Low Income</w:t>
            </w:r>
          </w:p>
        </w:tc>
        <w:tc>
          <w:tcPr>
            <w:tcW w:w="1176" w:type="dxa"/>
            <w:vAlign w:val="center"/>
          </w:tcPr>
          <w:p w14:paraId="48D5D553" w14:textId="77777777" w:rsidR="00EC56C8" w:rsidRPr="00813BB9" w:rsidRDefault="00EC56C8" w:rsidP="00E548A6">
            <w:pPr>
              <w:pStyle w:val="TableTextCentered"/>
            </w:pPr>
            <w:r w:rsidRPr="00813BB9">
              <w:t>10,586</w:t>
            </w:r>
          </w:p>
        </w:tc>
        <w:tc>
          <w:tcPr>
            <w:tcW w:w="1176" w:type="dxa"/>
            <w:vAlign w:val="center"/>
          </w:tcPr>
          <w:p w14:paraId="4E659DBA" w14:textId="77777777" w:rsidR="00EC56C8" w:rsidRPr="00813BB9" w:rsidRDefault="00EC56C8" w:rsidP="00E548A6">
            <w:pPr>
              <w:pStyle w:val="TableTextCentered"/>
            </w:pPr>
            <w:r w:rsidRPr="00813BB9">
              <w:t>86.0%</w:t>
            </w:r>
          </w:p>
        </w:tc>
        <w:tc>
          <w:tcPr>
            <w:tcW w:w="1176" w:type="dxa"/>
            <w:vAlign w:val="center"/>
          </w:tcPr>
          <w:p w14:paraId="2B60DAD6" w14:textId="77777777" w:rsidR="00EC56C8" w:rsidRPr="00813BB9" w:rsidRDefault="00EC56C8" w:rsidP="00E548A6">
            <w:pPr>
              <w:pStyle w:val="TableTextCentered"/>
            </w:pPr>
            <w:r w:rsidRPr="00813BB9">
              <w:t>72.3%</w:t>
            </w:r>
          </w:p>
        </w:tc>
        <w:tc>
          <w:tcPr>
            <w:tcW w:w="1176" w:type="dxa"/>
            <w:vAlign w:val="center"/>
          </w:tcPr>
          <w:p w14:paraId="3DB81DA8" w14:textId="77777777" w:rsidR="00EC56C8" w:rsidRPr="00813BB9" w:rsidRDefault="00EC56C8" w:rsidP="00E548A6">
            <w:pPr>
              <w:pStyle w:val="TableTextCentered"/>
            </w:pPr>
            <w:r w:rsidRPr="00813BB9">
              <w:t>369,909</w:t>
            </w:r>
          </w:p>
        </w:tc>
        <w:tc>
          <w:tcPr>
            <w:tcW w:w="1176" w:type="dxa"/>
            <w:vAlign w:val="center"/>
          </w:tcPr>
          <w:p w14:paraId="5B568EAC" w14:textId="77777777" w:rsidR="00EC56C8" w:rsidRPr="00813BB9" w:rsidRDefault="00EC56C8" w:rsidP="00E548A6">
            <w:pPr>
              <w:pStyle w:val="TableTextCentered"/>
            </w:pPr>
            <w:r w:rsidRPr="00813BB9">
              <w:t>73.3%</w:t>
            </w:r>
          </w:p>
        </w:tc>
        <w:tc>
          <w:tcPr>
            <w:tcW w:w="1177" w:type="dxa"/>
            <w:vAlign w:val="center"/>
          </w:tcPr>
          <w:p w14:paraId="22AC31C1" w14:textId="77777777" w:rsidR="00EC56C8" w:rsidRPr="00813BB9" w:rsidRDefault="00EC56C8" w:rsidP="00E548A6">
            <w:pPr>
              <w:pStyle w:val="TableTextCentered"/>
            </w:pPr>
            <w:r w:rsidRPr="00813BB9">
              <w:t>41.1%</w:t>
            </w:r>
          </w:p>
        </w:tc>
      </w:tr>
      <w:tr w:rsidR="00EC56C8" w:rsidRPr="00CB0607" w14:paraId="6D2918F0" w14:textId="77777777" w:rsidTr="00E548A6">
        <w:tc>
          <w:tcPr>
            <w:tcW w:w="2287" w:type="dxa"/>
          </w:tcPr>
          <w:p w14:paraId="134C3FB7" w14:textId="77777777" w:rsidR="00EC56C8" w:rsidRPr="00DC5B29" w:rsidRDefault="00EC56C8" w:rsidP="00DC5B29">
            <w:pPr>
              <w:pStyle w:val="TableText"/>
            </w:pPr>
            <w:r w:rsidRPr="00DC5B29">
              <w:t>Students with Disabilities</w:t>
            </w:r>
          </w:p>
        </w:tc>
        <w:tc>
          <w:tcPr>
            <w:tcW w:w="1176" w:type="dxa"/>
            <w:vAlign w:val="center"/>
          </w:tcPr>
          <w:p w14:paraId="6F3506DA" w14:textId="77777777" w:rsidR="00EC56C8" w:rsidRPr="00813BB9" w:rsidRDefault="00EC56C8" w:rsidP="00E548A6">
            <w:pPr>
              <w:pStyle w:val="TableTextCentered"/>
            </w:pPr>
            <w:r w:rsidRPr="00813BB9">
              <w:t>3,235</w:t>
            </w:r>
          </w:p>
        </w:tc>
        <w:tc>
          <w:tcPr>
            <w:tcW w:w="1176" w:type="dxa"/>
            <w:vAlign w:val="center"/>
          </w:tcPr>
          <w:p w14:paraId="6054BBF3" w14:textId="77777777" w:rsidR="00EC56C8" w:rsidRPr="00813BB9" w:rsidRDefault="00EC56C8" w:rsidP="00E548A6">
            <w:pPr>
              <w:pStyle w:val="TableTextCentered"/>
            </w:pPr>
            <w:r w:rsidRPr="00813BB9">
              <w:t>26.3%</w:t>
            </w:r>
          </w:p>
        </w:tc>
        <w:tc>
          <w:tcPr>
            <w:tcW w:w="1176" w:type="dxa"/>
            <w:vAlign w:val="center"/>
          </w:tcPr>
          <w:p w14:paraId="2DBB42B4" w14:textId="77777777" w:rsidR="00EC56C8" w:rsidRPr="00813BB9" w:rsidRDefault="00EC56C8" w:rsidP="00E548A6">
            <w:pPr>
              <w:pStyle w:val="TableTextCentered"/>
            </w:pPr>
            <w:r w:rsidRPr="00813BB9">
              <w:t>22.0%</w:t>
            </w:r>
          </w:p>
        </w:tc>
        <w:tc>
          <w:tcPr>
            <w:tcW w:w="1176" w:type="dxa"/>
            <w:vAlign w:val="center"/>
          </w:tcPr>
          <w:p w14:paraId="03FABCAD" w14:textId="77777777" w:rsidR="00EC56C8" w:rsidRPr="00813BB9" w:rsidRDefault="00EC56C8" w:rsidP="00E548A6">
            <w:pPr>
              <w:pStyle w:val="TableTextCentered"/>
            </w:pPr>
            <w:r w:rsidRPr="00813BB9">
              <w:t>192,218</w:t>
            </w:r>
          </w:p>
        </w:tc>
        <w:tc>
          <w:tcPr>
            <w:tcW w:w="1176" w:type="dxa"/>
            <w:vAlign w:val="center"/>
          </w:tcPr>
          <w:p w14:paraId="4524DEB0" w14:textId="77777777" w:rsidR="00EC56C8" w:rsidRPr="00813BB9" w:rsidRDefault="00EC56C8" w:rsidP="00E548A6">
            <w:pPr>
              <w:pStyle w:val="TableTextCentered"/>
            </w:pPr>
            <w:r w:rsidRPr="00813BB9">
              <w:t>38.1%</w:t>
            </w:r>
          </w:p>
        </w:tc>
        <w:tc>
          <w:tcPr>
            <w:tcW w:w="1177" w:type="dxa"/>
            <w:vAlign w:val="center"/>
          </w:tcPr>
          <w:p w14:paraId="327FD55D" w14:textId="77777777" w:rsidR="00EC56C8" w:rsidRPr="00813BB9" w:rsidRDefault="00EC56C8" w:rsidP="00E548A6">
            <w:pPr>
              <w:pStyle w:val="TableTextCentered"/>
            </w:pPr>
            <w:r w:rsidRPr="00813BB9">
              <w:t>21.1%</w:t>
            </w:r>
          </w:p>
        </w:tc>
      </w:tr>
    </w:tbl>
    <w:p w14:paraId="38D3E09D" w14:textId="44E49680" w:rsidR="00EC56C8" w:rsidRDefault="00EC56C8" w:rsidP="00E37559">
      <w:pPr>
        <w:pStyle w:val="TableNote"/>
        <w:rPr>
          <w:rFonts w:ascii="Franklin Gothic Demi" w:hAnsi="Franklin Gothic Demi"/>
        </w:rPr>
      </w:pPr>
      <w:r w:rsidRPr="009B23E3">
        <w:rPr>
          <w:rFonts w:eastAsia="Calibri"/>
          <w:i/>
          <w:iCs/>
        </w:rPr>
        <w:t>Note</w:t>
      </w:r>
      <w:r w:rsidRPr="009B23E3">
        <w:rPr>
          <w:rFonts w:eastAsia="Calibri"/>
        </w:rPr>
        <w:t>. As of October 1, 2025. District and state numbers and percentages for students with disabilities and high needs are calculated including students in out-of-district placements. Total district enrollment including students in out-of-district placement is 14,727; total state enrollment including students in out-of-district placement is 910,659.</w:t>
      </w:r>
      <w:r>
        <w:br w:type="page"/>
      </w:r>
    </w:p>
    <w:p w14:paraId="335CC406" w14:textId="77777777" w:rsidR="00EC56C8" w:rsidRPr="005C4DC5" w:rsidRDefault="00EC56C8" w:rsidP="00E37559">
      <w:pPr>
        <w:pStyle w:val="TableTitle0"/>
        <w:rPr>
          <w:spacing w:val="-4"/>
        </w:rPr>
      </w:pPr>
      <w:r w:rsidRPr="00805341">
        <w:t xml:space="preserve">Table D3. </w:t>
      </w:r>
      <w:r w:rsidRPr="00CB0607">
        <w:t>Chronic Absence</w:t>
      </w:r>
      <w:r w:rsidRPr="00CB0607">
        <w:rPr>
          <w:vertAlign w:val="superscript"/>
        </w:rPr>
        <w:t>a</w:t>
      </w:r>
      <w:r w:rsidRPr="00CB0607">
        <w:t xml:space="preserve"> Rates by Student Group, 20</w:t>
      </w:r>
      <w:r>
        <w:t>23</w:t>
      </w:r>
      <w:r w:rsidRPr="00CB0607">
        <w:t>-202</w:t>
      </w:r>
      <w:r>
        <w:t>5</w:t>
      </w:r>
    </w:p>
    <w:tbl>
      <w:tblPr>
        <w:tblStyle w:val="MSVTable1"/>
        <w:tblW w:w="5000" w:type="pct"/>
        <w:tblLook w:val="0420" w:firstRow="1" w:lastRow="0" w:firstColumn="0" w:lastColumn="0" w:noHBand="0" w:noVBand="1"/>
        <w:tblCaption w:val="Table D3. Chronic Absencea Rates by Student Group, 2023-2025"/>
        <w:tblDescription w:val="Chronic Absencea Rates by Student Group, 2023-2025"/>
      </w:tblPr>
      <w:tblGrid>
        <w:gridCol w:w="2872"/>
        <w:gridCol w:w="1160"/>
        <w:gridCol w:w="1325"/>
        <w:gridCol w:w="1326"/>
        <w:gridCol w:w="1325"/>
        <w:gridCol w:w="1336"/>
      </w:tblGrid>
      <w:tr w:rsidR="00EC56C8" w:rsidRPr="005C4DC5" w14:paraId="0F1491FE" w14:textId="77777777" w:rsidTr="00B64FE7">
        <w:trPr>
          <w:cnfStyle w:val="100000000000" w:firstRow="1" w:lastRow="0" w:firstColumn="0" w:lastColumn="0" w:oddVBand="0" w:evenVBand="0" w:oddHBand="0" w:evenHBand="0" w:firstRowFirstColumn="0" w:firstRowLastColumn="0" w:lastRowFirstColumn="0" w:lastRowLastColumn="0"/>
        </w:trPr>
        <w:tc>
          <w:tcPr>
            <w:tcW w:w="2872" w:type="dxa"/>
            <w:vAlign w:val="bottom"/>
          </w:tcPr>
          <w:p w14:paraId="08D8DD9E" w14:textId="77777777" w:rsidR="00EC56C8" w:rsidRPr="005C4DC5" w:rsidRDefault="00EC56C8" w:rsidP="00B64FE7">
            <w:pPr>
              <w:pStyle w:val="TableColHeadingCenter"/>
            </w:pPr>
            <w:r w:rsidRPr="005C4DC5">
              <w:t>Group</w:t>
            </w:r>
          </w:p>
        </w:tc>
        <w:tc>
          <w:tcPr>
            <w:tcW w:w="1160" w:type="dxa"/>
            <w:vAlign w:val="bottom"/>
          </w:tcPr>
          <w:p w14:paraId="02BABC29" w14:textId="77777777" w:rsidR="00EC56C8" w:rsidRPr="005C4DC5" w:rsidRDefault="00EC56C8" w:rsidP="00B64FE7">
            <w:pPr>
              <w:pStyle w:val="TableColHeadingCenter"/>
            </w:pPr>
            <w:r w:rsidRPr="005C4DC5">
              <w:rPr>
                <w:i/>
                <w:iCs/>
              </w:rPr>
              <w:t>N</w:t>
            </w:r>
            <w:r w:rsidRPr="005C4DC5">
              <w:t xml:space="preserve"> (202</w:t>
            </w:r>
            <w:r>
              <w:t>5</w:t>
            </w:r>
            <w:r w:rsidRPr="005C4DC5">
              <w:t>)</w:t>
            </w:r>
          </w:p>
        </w:tc>
        <w:tc>
          <w:tcPr>
            <w:tcW w:w="1325" w:type="dxa"/>
            <w:vAlign w:val="bottom"/>
          </w:tcPr>
          <w:p w14:paraId="50D1287E" w14:textId="77777777" w:rsidR="00EC56C8" w:rsidRPr="005C4DC5" w:rsidRDefault="00EC56C8" w:rsidP="00B64FE7">
            <w:pPr>
              <w:pStyle w:val="TableColHeadingCenter"/>
            </w:pPr>
            <w:r w:rsidRPr="005C4DC5">
              <w:t>20</w:t>
            </w:r>
            <w:r>
              <w:t>23</w:t>
            </w:r>
          </w:p>
        </w:tc>
        <w:tc>
          <w:tcPr>
            <w:tcW w:w="1326" w:type="dxa"/>
            <w:vAlign w:val="bottom"/>
          </w:tcPr>
          <w:p w14:paraId="030B3B14" w14:textId="77777777" w:rsidR="00EC56C8" w:rsidRPr="005C4DC5" w:rsidRDefault="00EC56C8" w:rsidP="00B64FE7">
            <w:pPr>
              <w:pStyle w:val="TableColHeadingCenter"/>
            </w:pPr>
            <w:r w:rsidRPr="005C4DC5">
              <w:t>202</w:t>
            </w:r>
            <w:r>
              <w:t>4</w:t>
            </w:r>
          </w:p>
        </w:tc>
        <w:tc>
          <w:tcPr>
            <w:tcW w:w="1325" w:type="dxa"/>
            <w:vAlign w:val="bottom"/>
          </w:tcPr>
          <w:p w14:paraId="60E61574" w14:textId="77777777" w:rsidR="00EC56C8" w:rsidRPr="005C4DC5" w:rsidRDefault="00EC56C8" w:rsidP="00B64FE7">
            <w:pPr>
              <w:pStyle w:val="TableColHeadingCenter"/>
            </w:pPr>
            <w:r w:rsidRPr="005C4DC5">
              <w:t>202</w:t>
            </w:r>
            <w:r>
              <w:t>5</w:t>
            </w:r>
          </w:p>
        </w:tc>
        <w:tc>
          <w:tcPr>
            <w:tcW w:w="1336" w:type="dxa"/>
            <w:vAlign w:val="bottom"/>
          </w:tcPr>
          <w:p w14:paraId="75D1DCE7" w14:textId="77777777" w:rsidR="00EC56C8" w:rsidRPr="005C4DC5" w:rsidRDefault="00EC56C8" w:rsidP="00B64FE7">
            <w:pPr>
              <w:pStyle w:val="TableColHeadingCenter"/>
            </w:pPr>
            <w:r w:rsidRPr="005C4DC5">
              <w:t>State (202</w:t>
            </w:r>
            <w:r>
              <w:t>5</w:t>
            </w:r>
            <w:r w:rsidRPr="005C4DC5">
              <w:t>)</w:t>
            </w:r>
          </w:p>
        </w:tc>
      </w:tr>
      <w:tr w:rsidR="00EC56C8" w:rsidRPr="005C4DC5" w14:paraId="3D2CFFE0" w14:textId="77777777" w:rsidTr="00E548A6">
        <w:trPr>
          <w:cnfStyle w:val="000000100000" w:firstRow="0" w:lastRow="0" w:firstColumn="0" w:lastColumn="0" w:oddVBand="0" w:evenVBand="0" w:oddHBand="1" w:evenHBand="0" w:firstRowFirstColumn="0" w:firstRowLastColumn="0" w:lastRowFirstColumn="0" w:lastRowLastColumn="0"/>
        </w:trPr>
        <w:tc>
          <w:tcPr>
            <w:tcW w:w="2872" w:type="dxa"/>
          </w:tcPr>
          <w:p w14:paraId="23316B5B" w14:textId="77777777" w:rsidR="00EC56C8" w:rsidRPr="00DC5B29" w:rsidRDefault="00EC56C8" w:rsidP="00DC5B29">
            <w:pPr>
              <w:pStyle w:val="TableText"/>
            </w:pPr>
            <w:r w:rsidRPr="00DC5B29">
              <w:t>All Students</w:t>
            </w:r>
          </w:p>
        </w:tc>
        <w:tc>
          <w:tcPr>
            <w:tcW w:w="1160" w:type="dxa"/>
            <w:vAlign w:val="center"/>
          </w:tcPr>
          <w:p w14:paraId="39F050BC" w14:textId="77777777" w:rsidR="00EC56C8" w:rsidRPr="00DC5B29" w:rsidRDefault="00EC56C8" w:rsidP="00E548A6">
            <w:pPr>
              <w:pStyle w:val="TableTextCentered"/>
            </w:pPr>
            <w:r w:rsidRPr="00DC5B29">
              <w:t>16,320</w:t>
            </w:r>
          </w:p>
        </w:tc>
        <w:tc>
          <w:tcPr>
            <w:tcW w:w="1325" w:type="dxa"/>
            <w:vAlign w:val="center"/>
          </w:tcPr>
          <w:p w14:paraId="53560B7F" w14:textId="77777777" w:rsidR="00EC56C8" w:rsidRPr="00DC5B29" w:rsidRDefault="00EC56C8" w:rsidP="00E548A6">
            <w:pPr>
              <w:pStyle w:val="TableTextCentered"/>
            </w:pPr>
            <w:r w:rsidRPr="00DC5B29">
              <w:t>29.8</w:t>
            </w:r>
          </w:p>
        </w:tc>
        <w:tc>
          <w:tcPr>
            <w:tcW w:w="1326" w:type="dxa"/>
            <w:vAlign w:val="center"/>
          </w:tcPr>
          <w:p w14:paraId="2703E0C1" w14:textId="77777777" w:rsidR="00EC56C8" w:rsidRPr="00DC5B29" w:rsidRDefault="00EC56C8" w:rsidP="00E548A6">
            <w:pPr>
              <w:pStyle w:val="TableTextCentered"/>
            </w:pPr>
            <w:r w:rsidRPr="00DC5B29">
              <w:t>29.1</w:t>
            </w:r>
          </w:p>
        </w:tc>
        <w:tc>
          <w:tcPr>
            <w:tcW w:w="1325" w:type="dxa"/>
            <w:vAlign w:val="center"/>
          </w:tcPr>
          <w:p w14:paraId="5AD208E1" w14:textId="77777777" w:rsidR="00EC56C8" w:rsidRPr="00DC5B29" w:rsidRDefault="00EC56C8" w:rsidP="00E548A6">
            <w:pPr>
              <w:pStyle w:val="TableTextCentered"/>
            </w:pPr>
            <w:r w:rsidRPr="00DC5B29">
              <w:t>26.9</w:t>
            </w:r>
          </w:p>
        </w:tc>
        <w:tc>
          <w:tcPr>
            <w:tcW w:w="1336" w:type="dxa"/>
            <w:vAlign w:val="center"/>
          </w:tcPr>
          <w:p w14:paraId="46AB857E" w14:textId="77777777" w:rsidR="00EC56C8" w:rsidRPr="00DC5B29" w:rsidRDefault="00EC56C8" w:rsidP="00E548A6">
            <w:pPr>
              <w:pStyle w:val="TableTextCentered"/>
            </w:pPr>
            <w:r w:rsidRPr="00DC5B29">
              <w:t>18.8</w:t>
            </w:r>
          </w:p>
        </w:tc>
      </w:tr>
      <w:tr w:rsidR="00EC56C8" w:rsidRPr="005C4DC5" w14:paraId="552202C1" w14:textId="77777777" w:rsidTr="00E548A6">
        <w:tc>
          <w:tcPr>
            <w:tcW w:w="2872" w:type="dxa"/>
          </w:tcPr>
          <w:p w14:paraId="02610AB2" w14:textId="77777777" w:rsidR="00EC56C8" w:rsidRPr="00DC5B29" w:rsidRDefault="00EC56C8" w:rsidP="00DC5B29">
            <w:pPr>
              <w:pStyle w:val="TableText"/>
            </w:pPr>
            <w:r w:rsidRPr="00DC5B29">
              <w:t>American Indian or Alaskan Native</w:t>
            </w:r>
          </w:p>
        </w:tc>
        <w:tc>
          <w:tcPr>
            <w:tcW w:w="1160" w:type="dxa"/>
            <w:vAlign w:val="center"/>
          </w:tcPr>
          <w:p w14:paraId="5FE40BBB" w14:textId="77777777" w:rsidR="00EC56C8" w:rsidRPr="00DC5B29" w:rsidRDefault="00EC56C8" w:rsidP="00E548A6">
            <w:pPr>
              <w:pStyle w:val="TableTextCentered"/>
            </w:pPr>
            <w:r w:rsidRPr="00DC5B29">
              <w:t>61</w:t>
            </w:r>
          </w:p>
        </w:tc>
        <w:tc>
          <w:tcPr>
            <w:tcW w:w="1325" w:type="dxa"/>
            <w:vAlign w:val="center"/>
          </w:tcPr>
          <w:p w14:paraId="4AA2E033" w14:textId="77777777" w:rsidR="00EC56C8" w:rsidRPr="00DC5B29" w:rsidRDefault="00EC56C8" w:rsidP="00E548A6">
            <w:pPr>
              <w:pStyle w:val="TableTextCentered"/>
            </w:pPr>
            <w:r w:rsidRPr="00DC5B29">
              <w:t>39.1</w:t>
            </w:r>
          </w:p>
        </w:tc>
        <w:tc>
          <w:tcPr>
            <w:tcW w:w="1326" w:type="dxa"/>
            <w:vAlign w:val="center"/>
          </w:tcPr>
          <w:p w14:paraId="657FD825" w14:textId="77777777" w:rsidR="00EC56C8" w:rsidRPr="00DC5B29" w:rsidRDefault="00EC56C8" w:rsidP="00E548A6">
            <w:pPr>
              <w:pStyle w:val="TableTextCentered"/>
            </w:pPr>
            <w:r w:rsidRPr="00DC5B29">
              <w:t>37.5</w:t>
            </w:r>
          </w:p>
        </w:tc>
        <w:tc>
          <w:tcPr>
            <w:tcW w:w="1325" w:type="dxa"/>
            <w:vAlign w:val="center"/>
          </w:tcPr>
          <w:p w14:paraId="7493F88D" w14:textId="77777777" w:rsidR="00EC56C8" w:rsidRPr="00DC5B29" w:rsidRDefault="00EC56C8" w:rsidP="00E548A6">
            <w:pPr>
              <w:pStyle w:val="TableTextCentered"/>
            </w:pPr>
            <w:r w:rsidRPr="00DC5B29">
              <w:t>24.6</w:t>
            </w:r>
          </w:p>
        </w:tc>
        <w:tc>
          <w:tcPr>
            <w:tcW w:w="1336" w:type="dxa"/>
            <w:vAlign w:val="center"/>
          </w:tcPr>
          <w:p w14:paraId="6BB335C0" w14:textId="77777777" w:rsidR="00EC56C8" w:rsidRPr="00DC5B29" w:rsidRDefault="00EC56C8" w:rsidP="00E548A6">
            <w:pPr>
              <w:pStyle w:val="TableTextCentered"/>
            </w:pPr>
            <w:r w:rsidRPr="00DC5B29">
              <w:t>27.3</w:t>
            </w:r>
          </w:p>
        </w:tc>
      </w:tr>
      <w:tr w:rsidR="00EC56C8" w:rsidRPr="005C4DC5" w14:paraId="7386F7E1" w14:textId="77777777" w:rsidTr="00E548A6">
        <w:trPr>
          <w:cnfStyle w:val="000000100000" w:firstRow="0" w:lastRow="0" w:firstColumn="0" w:lastColumn="0" w:oddVBand="0" w:evenVBand="0" w:oddHBand="1" w:evenHBand="0" w:firstRowFirstColumn="0" w:firstRowLastColumn="0" w:lastRowFirstColumn="0" w:lastRowLastColumn="0"/>
        </w:trPr>
        <w:tc>
          <w:tcPr>
            <w:tcW w:w="2872" w:type="dxa"/>
          </w:tcPr>
          <w:p w14:paraId="14D097A2" w14:textId="77777777" w:rsidR="00EC56C8" w:rsidRPr="00DC5B29" w:rsidRDefault="00EC56C8" w:rsidP="00DC5B29">
            <w:pPr>
              <w:pStyle w:val="TableText"/>
            </w:pPr>
            <w:r w:rsidRPr="00DC5B29">
              <w:t>Asian</w:t>
            </w:r>
          </w:p>
        </w:tc>
        <w:tc>
          <w:tcPr>
            <w:tcW w:w="1160" w:type="dxa"/>
            <w:vAlign w:val="center"/>
          </w:tcPr>
          <w:p w14:paraId="2155DC73" w14:textId="77777777" w:rsidR="00EC56C8" w:rsidRPr="00DC5B29" w:rsidRDefault="00EC56C8" w:rsidP="00E548A6">
            <w:pPr>
              <w:pStyle w:val="TableTextCentered"/>
            </w:pPr>
            <w:r w:rsidRPr="00DC5B29">
              <w:t>214</w:t>
            </w:r>
          </w:p>
        </w:tc>
        <w:tc>
          <w:tcPr>
            <w:tcW w:w="1325" w:type="dxa"/>
            <w:vAlign w:val="center"/>
          </w:tcPr>
          <w:p w14:paraId="75F6DCE6" w14:textId="77777777" w:rsidR="00EC56C8" w:rsidRPr="00DC5B29" w:rsidRDefault="00EC56C8" w:rsidP="00E548A6">
            <w:pPr>
              <w:pStyle w:val="TableTextCentered"/>
            </w:pPr>
            <w:r w:rsidRPr="00DC5B29">
              <w:t>18.8</w:t>
            </w:r>
          </w:p>
        </w:tc>
        <w:tc>
          <w:tcPr>
            <w:tcW w:w="1326" w:type="dxa"/>
            <w:vAlign w:val="center"/>
          </w:tcPr>
          <w:p w14:paraId="1A855B71" w14:textId="77777777" w:rsidR="00EC56C8" w:rsidRPr="00DC5B29" w:rsidRDefault="00EC56C8" w:rsidP="00E548A6">
            <w:pPr>
              <w:pStyle w:val="TableTextCentered"/>
            </w:pPr>
            <w:r w:rsidRPr="00DC5B29">
              <w:t>16.5</w:t>
            </w:r>
          </w:p>
        </w:tc>
        <w:tc>
          <w:tcPr>
            <w:tcW w:w="1325" w:type="dxa"/>
            <w:vAlign w:val="center"/>
          </w:tcPr>
          <w:p w14:paraId="0911C982" w14:textId="77777777" w:rsidR="00EC56C8" w:rsidRPr="00DC5B29" w:rsidRDefault="00EC56C8" w:rsidP="00E548A6">
            <w:pPr>
              <w:pStyle w:val="TableTextCentered"/>
            </w:pPr>
            <w:r w:rsidRPr="00DC5B29">
              <w:t>14.5</w:t>
            </w:r>
          </w:p>
        </w:tc>
        <w:tc>
          <w:tcPr>
            <w:tcW w:w="1336" w:type="dxa"/>
            <w:vAlign w:val="center"/>
          </w:tcPr>
          <w:p w14:paraId="0A6C3056" w14:textId="77777777" w:rsidR="00EC56C8" w:rsidRPr="00DC5B29" w:rsidRDefault="00EC56C8" w:rsidP="00E548A6">
            <w:pPr>
              <w:pStyle w:val="TableTextCentered"/>
            </w:pPr>
            <w:r w:rsidRPr="00DC5B29">
              <w:t>10.9</w:t>
            </w:r>
          </w:p>
        </w:tc>
      </w:tr>
      <w:tr w:rsidR="00EC56C8" w:rsidRPr="005C4DC5" w14:paraId="44F6C3BA" w14:textId="77777777" w:rsidTr="00E548A6">
        <w:tc>
          <w:tcPr>
            <w:tcW w:w="2872" w:type="dxa"/>
          </w:tcPr>
          <w:p w14:paraId="1BE06C20" w14:textId="77777777" w:rsidR="00EC56C8" w:rsidRPr="00DC5B29" w:rsidRDefault="00EC56C8" w:rsidP="00DC5B29">
            <w:pPr>
              <w:pStyle w:val="TableText"/>
            </w:pPr>
            <w:r w:rsidRPr="00DC5B29">
              <w:t>Black or African American</w:t>
            </w:r>
          </w:p>
        </w:tc>
        <w:tc>
          <w:tcPr>
            <w:tcW w:w="1160" w:type="dxa"/>
            <w:vAlign w:val="center"/>
          </w:tcPr>
          <w:p w14:paraId="0BA0C4FF" w14:textId="77777777" w:rsidR="00EC56C8" w:rsidRPr="00DC5B29" w:rsidRDefault="00EC56C8" w:rsidP="00E548A6">
            <w:pPr>
              <w:pStyle w:val="TableTextCentered"/>
            </w:pPr>
            <w:r w:rsidRPr="00DC5B29">
              <w:t>10,113</w:t>
            </w:r>
          </w:p>
        </w:tc>
        <w:tc>
          <w:tcPr>
            <w:tcW w:w="1325" w:type="dxa"/>
            <w:vAlign w:val="center"/>
          </w:tcPr>
          <w:p w14:paraId="31B2150C" w14:textId="77777777" w:rsidR="00EC56C8" w:rsidRPr="00DC5B29" w:rsidRDefault="00EC56C8" w:rsidP="00E548A6">
            <w:pPr>
              <w:pStyle w:val="TableTextCentered"/>
            </w:pPr>
            <w:r w:rsidRPr="00DC5B29">
              <w:t>24.8</w:t>
            </w:r>
          </w:p>
        </w:tc>
        <w:tc>
          <w:tcPr>
            <w:tcW w:w="1326" w:type="dxa"/>
            <w:vAlign w:val="center"/>
          </w:tcPr>
          <w:p w14:paraId="17DE3FDC" w14:textId="77777777" w:rsidR="00EC56C8" w:rsidRPr="00DC5B29" w:rsidRDefault="00EC56C8" w:rsidP="00E548A6">
            <w:pPr>
              <w:pStyle w:val="TableTextCentered"/>
            </w:pPr>
            <w:r w:rsidRPr="00DC5B29">
              <w:t>24.8</w:t>
            </w:r>
          </w:p>
        </w:tc>
        <w:tc>
          <w:tcPr>
            <w:tcW w:w="1325" w:type="dxa"/>
            <w:vAlign w:val="center"/>
          </w:tcPr>
          <w:p w14:paraId="44448DE0" w14:textId="77777777" w:rsidR="00EC56C8" w:rsidRPr="00DC5B29" w:rsidRDefault="00EC56C8" w:rsidP="00E548A6">
            <w:pPr>
              <w:pStyle w:val="TableTextCentered"/>
            </w:pPr>
            <w:r w:rsidRPr="00DC5B29">
              <w:t>22.0</w:t>
            </w:r>
          </w:p>
        </w:tc>
        <w:tc>
          <w:tcPr>
            <w:tcW w:w="1336" w:type="dxa"/>
            <w:vAlign w:val="center"/>
          </w:tcPr>
          <w:p w14:paraId="150391A2" w14:textId="77777777" w:rsidR="00EC56C8" w:rsidRPr="00DC5B29" w:rsidRDefault="00EC56C8" w:rsidP="00E548A6">
            <w:pPr>
              <w:pStyle w:val="TableTextCentered"/>
            </w:pPr>
            <w:r w:rsidRPr="00DC5B29">
              <w:t>20.7</w:t>
            </w:r>
          </w:p>
        </w:tc>
      </w:tr>
      <w:tr w:rsidR="00EC56C8" w:rsidRPr="005C4DC5" w14:paraId="5E06B506" w14:textId="77777777" w:rsidTr="00E548A6">
        <w:trPr>
          <w:cnfStyle w:val="000000100000" w:firstRow="0" w:lastRow="0" w:firstColumn="0" w:lastColumn="0" w:oddVBand="0" w:evenVBand="0" w:oddHBand="1" w:evenHBand="0" w:firstRowFirstColumn="0" w:firstRowLastColumn="0" w:lastRowFirstColumn="0" w:lastRowLastColumn="0"/>
        </w:trPr>
        <w:tc>
          <w:tcPr>
            <w:tcW w:w="2872" w:type="dxa"/>
          </w:tcPr>
          <w:p w14:paraId="49BF822C" w14:textId="77777777" w:rsidR="00EC56C8" w:rsidRPr="00DC5B29" w:rsidRDefault="00EC56C8" w:rsidP="00DC5B29">
            <w:pPr>
              <w:pStyle w:val="TableText"/>
            </w:pPr>
            <w:r w:rsidRPr="00DC5B29">
              <w:t>Hispanic or Latino</w:t>
            </w:r>
          </w:p>
        </w:tc>
        <w:tc>
          <w:tcPr>
            <w:tcW w:w="1160" w:type="dxa"/>
            <w:vAlign w:val="center"/>
          </w:tcPr>
          <w:p w14:paraId="52F1B663" w14:textId="77777777" w:rsidR="00EC56C8" w:rsidRPr="00DC5B29" w:rsidRDefault="00EC56C8" w:rsidP="00E548A6">
            <w:pPr>
              <w:pStyle w:val="TableTextCentered"/>
            </w:pPr>
            <w:r w:rsidRPr="00DC5B29">
              <w:t>3,556</w:t>
            </w:r>
          </w:p>
        </w:tc>
        <w:tc>
          <w:tcPr>
            <w:tcW w:w="1325" w:type="dxa"/>
            <w:vAlign w:val="center"/>
          </w:tcPr>
          <w:p w14:paraId="1DEEDD17" w14:textId="77777777" w:rsidR="00EC56C8" w:rsidRPr="00DC5B29" w:rsidRDefault="00EC56C8" w:rsidP="00E548A6">
            <w:pPr>
              <w:pStyle w:val="TableTextCentered"/>
            </w:pPr>
            <w:r w:rsidRPr="00DC5B29">
              <w:t>36.5</w:t>
            </w:r>
          </w:p>
        </w:tc>
        <w:tc>
          <w:tcPr>
            <w:tcW w:w="1326" w:type="dxa"/>
            <w:vAlign w:val="center"/>
          </w:tcPr>
          <w:p w14:paraId="6FA48F1F" w14:textId="77777777" w:rsidR="00EC56C8" w:rsidRPr="00DC5B29" w:rsidRDefault="00EC56C8" w:rsidP="00E548A6">
            <w:pPr>
              <w:pStyle w:val="TableTextCentered"/>
            </w:pPr>
            <w:r w:rsidRPr="00DC5B29">
              <w:t>35.6</w:t>
            </w:r>
          </w:p>
        </w:tc>
        <w:tc>
          <w:tcPr>
            <w:tcW w:w="1325" w:type="dxa"/>
            <w:vAlign w:val="center"/>
          </w:tcPr>
          <w:p w14:paraId="17139B50" w14:textId="77777777" w:rsidR="00EC56C8" w:rsidRPr="00DC5B29" w:rsidRDefault="00EC56C8" w:rsidP="00E548A6">
            <w:pPr>
              <w:pStyle w:val="TableTextCentered"/>
            </w:pPr>
            <w:r w:rsidRPr="00DC5B29">
              <w:t>35.9</w:t>
            </w:r>
          </w:p>
        </w:tc>
        <w:tc>
          <w:tcPr>
            <w:tcW w:w="1336" w:type="dxa"/>
            <w:vAlign w:val="center"/>
          </w:tcPr>
          <w:p w14:paraId="663A1A10" w14:textId="77777777" w:rsidR="00EC56C8" w:rsidRPr="00DC5B29" w:rsidRDefault="00EC56C8" w:rsidP="00E548A6">
            <w:pPr>
              <w:pStyle w:val="TableTextCentered"/>
            </w:pPr>
            <w:r w:rsidRPr="00DC5B29">
              <w:t>29.5</w:t>
            </w:r>
          </w:p>
        </w:tc>
      </w:tr>
      <w:tr w:rsidR="00EC56C8" w:rsidRPr="005C4DC5" w14:paraId="65938E83" w14:textId="77777777" w:rsidTr="00E548A6">
        <w:tc>
          <w:tcPr>
            <w:tcW w:w="2872" w:type="dxa"/>
          </w:tcPr>
          <w:p w14:paraId="425B7F85" w14:textId="77777777" w:rsidR="00EC56C8" w:rsidRPr="00DC5B29" w:rsidRDefault="00EC56C8" w:rsidP="00DC5B29">
            <w:pPr>
              <w:pStyle w:val="TableText"/>
            </w:pPr>
            <w:r w:rsidRPr="00DC5B29">
              <w:t>Multi-Race, Not Hispanic or Latino</w:t>
            </w:r>
          </w:p>
        </w:tc>
        <w:tc>
          <w:tcPr>
            <w:tcW w:w="1160" w:type="dxa"/>
            <w:vAlign w:val="center"/>
          </w:tcPr>
          <w:p w14:paraId="4B37F113" w14:textId="77777777" w:rsidR="00EC56C8" w:rsidRPr="00DC5B29" w:rsidRDefault="00EC56C8" w:rsidP="00E548A6">
            <w:pPr>
              <w:pStyle w:val="TableTextCentered"/>
            </w:pPr>
            <w:r w:rsidRPr="00DC5B29">
              <w:t>680</w:t>
            </w:r>
          </w:p>
        </w:tc>
        <w:tc>
          <w:tcPr>
            <w:tcW w:w="1325" w:type="dxa"/>
            <w:vAlign w:val="center"/>
          </w:tcPr>
          <w:p w14:paraId="3C2844FD" w14:textId="77777777" w:rsidR="00EC56C8" w:rsidRPr="00DC5B29" w:rsidRDefault="00EC56C8" w:rsidP="00E548A6">
            <w:pPr>
              <w:pStyle w:val="TableTextCentered"/>
            </w:pPr>
            <w:r w:rsidRPr="00DC5B29">
              <w:t>45.2</w:t>
            </w:r>
          </w:p>
        </w:tc>
        <w:tc>
          <w:tcPr>
            <w:tcW w:w="1326" w:type="dxa"/>
            <w:vAlign w:val="center"/>
          </w:tcPr>
          <w:p w14:paraId="6FEB64A4" w14:textId="77777777" w:rsidR="00EC56C8" w:rsidRPr="00DC5B29" w:rsidRDefault="00EC56C8" w:rsidP="00E548A6">
            <w:pPr>
              <w:pStyle w:val="TableTextCentered"/>
            </w:pPr>
            <w:r w:rsidRPr="00DC5B29">
              <w:t>42.3</w:t>
            </w:r>
          </w:p>
        </w:tc>
        <w:tc>
          <w:tcPr>
            <w:tcW w:w="1325" w:type="dxa"/>
            <w:vAlign w:val="center"/>
          </w:tcPr>
          <w:p w14:paraId="3480D367" w14:textId="77777777" w:rsidR="00EC56C8" w:rsidRPr="00DC5B29" w:rsidRDefault="00EC56C8" w:rsidP="00E548A6">
            <w:pPr>
              <w:pStyle w:val="TableTextCentered"/>
            </w:pPr>
            <w:r w:rsidRPr="00DC5B29">
              <w:t>36.2</w:t>
            </w:r>
          </w:p>
        </w:tc>
        <w:tc>
          <w:tcPr>
            <w:tcW w:w="1336" w:type="dxa"/>
            <w:vAlign w:val="center"/>
          </w:tcPr>
          <w:p w14:paraId="4D3AD894" w14:textId="77777777" w:rsidR="00EC56C8" w:rsidRPr="00DC5B29" w:rsidRDefault="00EC56C8" w:rsidP="00E548A6">
            <w:pPr>
              <w:pStyle w:val="TableTextCentered"/>
            </w:pPr>
            <w:r w:rsidRPr="00DC5B29">
              <w:t>19.3</w:t>
            </w:r>
          </w:p>
        </w:tc>
      </w:tr>
      <w:tr w:rsidR="00EC56C8" w:rsidRPr="005C4DC5" w14:paraId="30663606" w14:textId="77777777" w:rsidTr="00E548A6">
        <w:trPr>
          <w:cnfStyle w:val="000000100000" w:firstRow="0" w:lastRow="0" w:firstColumn="0" w:lastColumn="0" w:oddVBand="0" w:evenVBand="0" w:oddHBand="1" w:evenHBand="0" w:firstRowFirstColumn="0" w:firstRowLastColumn="0" w:lastRowFirstColumn="0" w:lastRowLastColumn="0"/>
        </w:trPr>
        <w:tc>
          <w:tcPr>
            <w:tcW w:w="2872" w:type="dxa"/>
          </w:tcPr>
          <w:p w14:paraId="68CF353E" w14:textId="77777777" w:rsidR="00EC56C8" w:rsidRPr="00DC5B29" w:rsidRDefault="00EC56C8" w:rsidP="00DC5B29">
            <w:pPr>
              <w:pStyle w:val="TableText"/>
            </w:pPr>
            <w:r w:rsidRPr="00DC5B29">
              <w:t>Native Hawaiian or Other Pacific Islander</w:t>
            </w:r>
          </w:p>
        </w:tc>
        <w:tc>
          <w:tcPr>
            <w:tcW w:w="1160" w:type="dxa"/>
            <w:vAlign w:val="center"/>
          </w:tcPr>
          <w:p w14:paraId="703A7CD0" w14:textId="77777777" w:rsidR="00EC56C8" w:rsidRPr="00DC5B29" w:rsidRDefault="00EC56C8" w:rsidP="00E548A6">
            <w:pPr>
              <w:pStyle w:val="TableTextCentered"/>
            </w:pPr>
            <w:r w:rsidRPr="00DC5B29">
              <w:t>31</w:t>
            </w:r>
          </w:p>
        </w:tc>
        <w:tc>
          <w:tcPr>
            <w:tcW w:w="1325" w:type="dxa"/>
            <w:vAlign w:val="center"/>
          </w:tcPr>
          <w:p w14:paraId="0ED329FB" w14:textId="77777777" w:rsidR="00EC56C8" w:rsidRPr="00DC5B29" w:rsidRDefault="00EC56C8" w:rsidP="00E548A6">
            <w:pPr>
              <w:pStyle w:val="TableTextCentered"/>
            </w:pPr>
            <w:r w:rsidRPr="00DC5B29">
              <w:t>30.0</w:t>
            </w:r>
          </w:p>
        </w:tc>
        <w:tc>
          <w:tcPr>
            <w:tcW w:w="1326" w:type="dxa"/>
            <w:vAlign w:val="center"/>
          </w:tcPr>
          <w:p w14:paraId="55FE43BF" w14:textId="77777777" w:rsidR="00EC56C8" w:rsidRPr="00DC5B29" w:rsidRDefault="00EC56C8" w:rsidP="00E548A6">
            <w:pPr>
              <w:pStyle w:val="TableTextCentered"/>
            </w:pPr>
            <w:r w:rsidRPr="00DC5B29">
              <w:t>30.8</w:t>
            </w:r>
          </w:p>
        </w:tc>
        <w:tc>
          <w:tcPr>
            <w:tcW w:w="1325" w:type="dxa"/>
            <w:vAlign w:val="center"/>
          </w:tcPr>
          <w:p w14:paraId="1679CDC2" w14:textId="77777777" w:rsidR="00EC56C8" w:rsidRPr="00DC5B29" w:rsidRDefault="00EC56C8" w:rsidP="00E548A6">
            <w:pPr>
              <w:pStyle w:val="TableTextCentered"/>
            </w:pPr>
            <w:r w:rsidRPr="00DC5B29">
              <w:t>35.5</w:t>
            </w:r>
          </w:p>
        </w:tc>
        <w:tc>
          <w:tcPr>
            <w:tcW w:w="1336" w:type="dxa"/>
            <w:vAlign w:val="center"/>
          </w:tcPr>
          <w:p w14:paraId="59D73702" w14:textId="77777777" w:rsidR="00EC56C8" w:rsidRPr="00DC5B29" w:rsidRDefault="00EC56C8" w:rsidP="00E548A6">
            <w:pPr>
              <w:pStyle w:val="TableTextCentered"/>
            </w:pPr>
            <w:r w:rsidRPr="00DC5B29">
              <w:t>22.7</w:t>
            </w:r>
          </w:p>
        </w:tc>
      </w:tr>
      <w:tr w:rsidR="00EC56C8" w:rsidRPr="005C4DC5" w14:paraId="63E4154F" w14:textId="77777777" w:rsidTr="00E548A6">
        <w:tc>
          <w:tcPr>
            <w:tcW w:w="2872" w:type="dxa"/>
          </w:tcPr>
          <w:p w14:paraId="5C33460A" w14:textId="77777777" w:rsidR="00EC56C8" w:rsidRPr="00DC5B29" w:rsidRDefault="00EC56C8" w:rsidP="00DC5B29">
            <w:pPr>
              <w:pStyle w:val="TableText"/>
            </w:pPr>
            <w:r w:rsidRPr="00DC5B29">
              <w:t>White</w:t>
            </w:r>
          </w:p>
        </w:tc>
        <w:tc>
          <w:tcPr>
            <w:tcW w:w="1160" w:type="dxa"/>
            <w:vAlign w:val="center"/>
          </w:tcPr>
          <w:p w14:paraId="3612E0E0" w14:textId="77777777" w:rsidR="00EC56C8" w:rsidRPr="00DC5B29" w:rsidRDefault="00EC56C8" w:rsidP="00E548A6">
            <w:pPr>
              <w:pStyle w:val="TableTextCentered"/>
            </w:pPr>
            <w:r w:rsidRPr="00DC5B29">
              <w:t>1,665</w:t>
            </w:r>
          </w:p>
        </w:tc>
        <w:tc>
          <w:tcPr>
            <w:tcW w:w="1325" w:type="dxa"/>
            <w:vAlign w:val="center"/>
          </w:tcPr>
          <w:p w14:paraId="0D49B2CA" w14:textId="77777777" w:rsidR="00EC56C8" w:rsidRPr="00DC5B29" w:rsidRDefault="00EC56C8" w:rsidP="00E548A6">
            <w:pPr>
              <w:pStyle w:val="TableTextCentered"/>
            </w:pPr>
            <w:r w:rsidRPr="00DC5B29">
              <w:t>37.5</w:t>
            </w:r>
          </w:p>
        </w:tc>
        <w:tc>
          <w:tcPr>
            <w:tcW w:w="1326" w:type="dxa"/>
            <w:vAlign w:val="center"/>
          </w:tcPr>
          <w:p w14:paraId="5F5CB8D0" w14:textId="77777777" w:rsidR="00EC56C8" w:rsidRPr="00DC5B29" w:rsidRDefault="00EC56C8" w:rsidP="00E548A6">
            <w:pPr>
              <w:pStyle w:val="TableTextCentered"/>
            </w:pPr>
            <w:r w:rsidRPr="00DC5B29">
              <w:t>35.4</w:t>
            </w:r>
          </w:p>
        </w:tc>
        <w:tc>
          <w:tcPr>
            <w:tcW w:w="1325" w:type="dxa"/>
            <w:vAlign w:val="center"/>
          </w:tcPr>
          <w:p w14:paraId="032ADDB5" w14:textId="77777777" w:rsidR="00EC56C8" w:rsidRPr="00DC5B29" w:rsidRDefault="00EC56C8" w:rsidP="00E548A6">
            <w:pPr>
              <w:pStyle w:val="TableTextCentered"/>
            </w:pPr>
            <w:r w:rsidRPr="00DC5B29">
              <w:t>34.9</w:t>
            </w:r>
          </w:p>
        </w:tc>
        <w:tc>
          <w:tcPr>
            <w:tcW w:w="1336" w:type="dxa"/>
            <w:vAlign w:val="center"/>
          </w:tcPr>
          <w:p w14:paraId="1E880993" w14:textId="77777777" w:rsidR="00EC56C8" w:rsidRPr="00DC5B29" w:rsidRDefault="00EC56C8" w:rsidP="00E548A6">
            <w:pPr>
              <w:pStyle w:val="TableTextCentered"/>
            </w:pPr>
            <w:r w:rsidRPr="00DC5B29">
              <w:t>13.9</w:t>
            </w:r>
          </w:p>
        </w:tc>
      </w:tr>
      <w:tr w:rsidR="00EC56C8" w:rsidRPr="005C4DC5" w14:paraId="5680394A" w14:textId="77777777" w:rsidTr="00E548A6">
        <w:trPr>
          <w:cnfStyle w:val="000000100000" w:firstRow="0" w:lastRow="0" w:firstColumn="0" w:lastColumn="0" w:oddVBand="0" w:evenVBand="0" w:oddHBand="1" w:evenHBand="0" w:firstRowFirstColumn="0" w:firstRowLastColumn="0" w:lastRowFirstColumn="0" w:lastRowLastColumn="0"/>
        </w:trPr>
        <w:tc>
          <w:tcPr>
            <w:tcW w:w="2872" w:type="dxa"/>
          </w:tcPr>
          <w:p w14:paraId="40125E6D" w14:textId="77777777" w:rsidR="00EC56C8" w:rsidRPr="00DC5B29" w:rsidRDefault="00EC56C8" w:rsidP="00DC5B29">
            <w:pPr>
              <w:pStyle w:val="TableText"/>
            </w:pPr>
            <w:r w:rsidRPr="00DC5B29">
              <w:t>High Needs</w:t>
            </w:r>
          </w:p>
        </w:tc>
        <w:tc>
          <w:tcPr>
            <w:tcW w:w="1160" w:type="dxa"/>
            <w:vAlign w:val="center"/>
          </w:tcPr>
          <w:p w14:paraId="1BBD5690" w14:textId="77777777" w:rsidR="00EC56C8" w:rsidRPr="00DC5B29" w:rsidRDefault="00EC56C8" w:rsidP="00E548A6">
            <w:pPr>
              <w:pStyle w:val="TableTextCentered"/>
            </w:pPr>
            <w:r w:rsidRPr="00DC5B29">
              <w:t>14,072</w:t>
            </w:r>
          </w:p>
        </w:tc>
        <w:tc>
          <w:tcPr>
            <w:tcW w:w="1325" w:type="dxa"/>
            <w:vAlign w:val="center"/>
          </w:tcPr>
          <w:p w14:paraId="49AE996B" w14:textId="77777777" w:rsidR="00EC56C8" w:rsidRPr="00DC5B29" w:rsidRDefault="00EC56C8" w:rsidP="00E548A6">
            <w:pPr>
              <w:pStyle w:val="TableTextCentered"/>
            </w:pPr>
            <w:r w:rsidRPr="00DC5B29">
              <w:t>31.3</w:t>
            </w:r>
          </w:p>
        </w:tc>
        <w:tc>
          <w:tcPr>
            <w:tcW w:w="1326" w:type="dxa"/>
            <w:vAlign w:val="center"/>
          </w:tcPr>
          <w:p w14:paraId="4A40862C" w14:textId="77777777" w:rsidR="00EC56C8" w:rsidRPr="00DC5B29" w:rsidRDefault="00EC56C8" w:rsidP="00E548A6">
            <w:pPr>
              <w:pStyle w:val="TableTextCentered"/>
            </w:pPr>
            <w:r w:rsidRPr="00DC5B29">
              <w:t>30.2</w:t>
            </w:r>
          </w:p>
        </w:tc>
        <w:tc>
          <w:tcPr>
            <w:tcW w:w="1325" w:type="dxa"/>
            <w:vAlign w:val="center"/>
          </w:tcPr>
          <w:p w14:paraId="286819D5" w14:textId="77777777" w:rsidR="00EC56C8" w:rsidRPr="00DC5B29" w:rsidRDefault="00EC56C8" w:rsidP="00E548A6">
            <w:pPr>
              <w:pStyle w:val="TableTextCentered"/>
            </w:pPr>
            <w:r w:rsidRPr="00DC5B29">
              <w:t>28.0</w:t>
            </w:r>
          </w:p>
        </w:tc>
        <w:tc>
          <w:tcPr>
            <w:tcW w:w="1336" w:type="dxa"/>
            <w:vAlign w:val="center"/>
          </w:tcPr>
          <w:p w14:paraId="3CB3BDAC" w14:textId="77777777" w:rsidR="00EC56C8" w:rsidRPr="00DC5B29" w:rsidRDefault="00EC56C8" w:rsidP="00E548A6">
            <w:pPr>
              <w:pStyle w:val="TableTextCentered"/>
            </w:pPr>
            <w:r w:rsidRPr="00DC5B29">
              <w:t>25.9</w:t>
            </w:r>
          </w:p>
        </w:tc>
      </w:tr>
      <w:tr w:rsidR="00EC56C8" w:rsidRPr="005C4DC5" w14:paraId="3E7C40AC" w14:textId="77777777" w:rsidTr="00E548A6">
        <w:tc>
          <w:tcPr>
            <w:tcW w:w="2872" w:type="dxa"/>
          </w:tcPr>
          <w:p w14:paraId="1022A281" w14:textId="77777777" w:rsidR="00EC56C8" w:rsidRPr="00DC5B29" w:rsidRDefault="00EC56C8" w:rsidP="00DC5B29">
            <w:pPr>
              <w:pStyle w:val="TableText"/>
            </w:pPr>
            <w:r w:rsidRPr="00DC5B29">
              <w:t>English Learners</w:t>
            </w:r>
          </w:p>
        </w:tc>
        <w:tc>
          <w:tcPr>
            <w:tcW w:w="1160" w:type="dxa"/>
            <w:vAlign w:val="center"/>
          </w:tcPr>
          <w:p w14:paraId="1BC0E171" w14:textId="77777777" w:rsidR="00EC56C8" w:rsidRPr="00DC5B29" w:rsidRDefault="00EC56C8" w:rsidP="00E548A6">
            <w:pPr>
              <w:pStyle w:val="TableTextCentered"/>
            </w:pPr>
            <w:r w:rsidRPr="00DC5B29">
              <w:t>5,950</w:t>
            </w:r>
          </w:p>
        </w:tc>
        <w:tc>
          <w:tcPr>
            <w:tcW w:w="1325" w:type="dxa"/>
            <w:vAlign w:val="center"/>
          </w:tcPr>
          <w:p w14:paraId="519576D4" w14:textId="77777777" w:rsidR="00EC56C8" w:rsidRPr="00DC5B29" w:rsidRDefault="00EC56C8" w:rsidP="00E548A6">
            <w:pPr>
              <w:pStyle w:val="TableTextCentered"/>
            </w:pPr>
            <w:r w:rsidRPr="00DC5B29">
              <w:t>24.5</w:t>
            </w:r>
          </w:p>
        </w:tc>
        <w:tc>
          <w:tcPr>
            <w:tcW w:w="1326" w:type="dxa"/>
            <w:vAlign w:val="center"/>
          </w:tcPr>
          <w:p w14:paraId="6DFC877E" w14:textId="77777777" w:rsidR="00EC56C8" w:rsidRPr="00DC5B29" w:rsidRDefault="00EC56C8" w:rsidP="00E548A6">
            <w:pPr>
              <w:pStyle w:val="TableTextCentered"/>
            </w:pPr>
            <w:r w:rsidRPr="00DC5B29">
              <w:t>24.3</w:t>
            </w:r>
          </w:p>
        </w:tc>
        <w:tc>
          <w:tcPr>
            <w:tcW w:w="1325" w:type="dxa"/>
            <w:vAlign w:val="center"/>
          </w:tcPr>
          <w:p w14:paraId="0BE6DCDF" w14:textId="77777777" w:rsidR="00EC56C8" w:rsidRPr="00DC5B29" w:rsidRDefault="00EC56C8" w:rsidP="00E548A6">
            <w:pPr>
              <w:pStyle w:val="TableTextCentered"/>
            </w:pPr>
            <w:r w:rsidRPr="00DC5B29">
              <w:t>24.1</w:t>
            </w:r>
          </w:p>
        </w:tc>
        <w:tc>
          <w:tcPr>
            <w:tcW w:w="1336" w:type="dxa"/>
            <w:vAlign w:val="center"/>
          </w:tcPr>
          <w:p w14:paraId="32B4004C" w14:textId="77777777" w:rsidR="00EC56C8" w:rsidRPr="00DC5B29" w:rsidRDefault="00EC56C8" w:rsidP="00E548A6">
            <w:pPr>
              <w:pStyle w:val="TableTextCentered"/>
            </w:pPr>
            <w:r w:rsidRPr="00DC5B29">
              <w:t>27.8</w:t>
            </w:r>
          </w:p>
        </w:tc>
      </w:tr>
      <w:tr w:rsidR="00EC56C8" w:rsidRPr="005C4DC5" w14:paraId="113CA068" w14:textId="77777777" w:rsidTr="00E548A6">
        <w:trPr>
          <w:cnfStyle w:val="000000100000" w:firstRow="0" w:lastRow="0" w:firstColumn="0" w:lastColumn="0" w:oddVBand="0" w:evenVBand="0" w:oddHBand="1" w:evenHBand="0" w:firstRowFirstColumn="0" w:firstRowLastColumn="0" w:lastRowFirstColumn="0" w:lastRowLastColumn="0"/>
        </w:trPr>
        <w:tc>
          <w:tcPr>
            <w:tcW w:w="2872" w:type="dxa"/>
          </w:tcPr>
          <w:p w14:paraId="3FC9D0E3" w14:textId="77777777" w:rsidR="00EC56C8" w:rsidRPr="00DC5B29" w:rsidRDefault="00EC56C8" w:rsidP="00DC5B29">
            <w:pPr>
              <w:pStyle w:val="TableText"/>
            </w:pPr>
            <w:r w:rsidRPr="00DC5B29">
              <w:t>Low Income</w:t>
            </w:r>
          </w:p>
        </w:tc>
        <w:tc>
          <w:tcPr>
            <w:tcW w:w="1160" w:type="dxa"/>
            <w:vAlign w:val="center"/>
          </w:tcPr>
          <w:p w14:paraId="3C5F7C77" w14:textId="77777777" w:rsidR="00EC56C8" w:rsidRPr="00DC5B29" w:rsidRDefault="00EC56C8" w:rsidP="00E548A6">
            <w:pPr>
              <w:pStyle w:val="TableTextCentered"/>
            </w:pPr>
            <w:r w:rsidRPr="00DC5B29">
              <w:t>12,716</w:t>
            </w:r>
          </w:p>
        </w:tc>
        <w:tc>
          <w:tcPr>
            <w:tcW w:w="1325" w:type="dxa"/>
            <w:vAlign w:val="center"/>
          </w:tcPr>
          <w:p w14:paraId="3636BF91" w14:textId="77777777" w:rsidR="00EC56C8" w:rsidRPr="00DC5B29" w:rsidRDefault="00EC56C8" w:rsidP="00E548A6">
            <w:pPr>
              <w:pStyle w:val="TableTextCentered"/>
            </w:pPr>
            <w:r w:rsidRPr="00DC5B29">
              <w:t>32.5</w:t>
            </w:r>
          </w:p>
        </w:tc>
        <w:tc>
          <w:tcPr>
            <w:tcW w:w="1326" w:type="dxa"/>
            <w:vAlign w:val="center"/>
          </w:tcPr>
          <w:p w14:paraId="6D5FEB73" w14:textId="77777777" w:rsidR="00EC56C8" w:rsidRPr="00DC5B29" w:rsidRDefault="00EC56C8" w:rsidP="00E548A6">
            <w:pPr>
              <w:pStyle w:val="TableTextCentered"/>
            </w:pPr>
            <w:r w:rsidRPr="00DC5B29">
              <w:t>31.1</w:t>
            </w:r>
          </w:p>
        </w:tc>
        <w:tc>
          <w:tcPr>
            <w:tcW w:w="1325" w:type="dxa"/>
            <w:vAlign w:val="center"/>
          </w:tcPr>
          <w:p w14:paraId="13D88973" w14:textId="77777777" w:rsidR="00EC56C8" w:rsidRPr="00DC5B29" w:rsidRDefault="00EC56C8" w:rsidP="00E548A6">
            <w:pPr>
              <w:pStyle w:val="TableTextCentered"/>
            </w:pPr>
            <w:r w:rsidRPr="00DC5B29">
              <w:t>28.8</w:t>
            </w:r>
          </w:p>
        </w:tc>
        <w:tc>
          <w:tcPr>
            <w:tcW w:w="1336" w:type="dxa"/>
            <w:vAlign w:val="center"/>
          </w:tcPr>
          <w:p w14:paraId="751DBF31" w14:textId="77777777" w:rsidR="00EC56C8" w:rsidRPr="00DC5B29" w:rsidRDefault="00EC56C8" w:rsidP="00E548A6">
            <w:pPr>
              <w:pStyle w:val="TableTextCentered"/>
            </w:pPr>
            <w:r w:rsidRPr="00DC5B29">
              <w:t>28.9</w:t>
            </w:r>
          </w:p>
        </w:tc>
      </w:tr>
      <w:tr w:rsidR="00EC56C8" w:rsidRPr="005C4DC5" w14:paraId="146407CA" w14:textId="77777777" w:rsidTr="00E548A6">
        <w:tc>
          <w:tcPr>
            <w:tcW w:w="2872" w:type="dxa"/>
          </w:tcPr>
          <w:p w14:paraId="5DE274F2" w14:textId="77777777" w:rsidR="00EC56C8" w:rsidRPr="00DC5B29" w:rsidRDefault="00EC56C8" w:rsidP="00DC5B29">
            <w:pPr>
              <w:pStyle w:val="TableText"/>
            </w:pPr>
            <w:r w:rsidRPr="00DC5B29">
              <w:t>Students with Disabilities</w:t>
            </w:r>
          </w:p>
        </w:tc>
        <w:tc>
          <w:tcPr>
            <w:tcW w:w="1160" w:type="dxa"/>
            <w:vAlign w:val="center"/>
          </w:tcPr>
          <w:p w14:paraId="53AD4679" w14:textId="77777777" w:rsidR="00EC56C8" w:rsidRPr="00DC5B29" w:rsidRDefault="00EC56C8" w:rsidP="00E548A6">
            <w:pPr>
              <w:pStyle w:val="TableTextCentered"/>
            </w:pPr>
            <w:r w:rsidRPr="00DC5B29">
              <w:t>3,457</w:t>
            </w:r>
          </w:p>
        </w:tc>
        <w:tc>
          <w:tcPr>
            <w:tcW w:w="1325" w:type="dxa"/>
            <w:vAlign w:val="center"/>
          </w:tcPr>
          <w:p w14:paraId="397572A3" w14:textId="77777777" w:rsidR="00EC56C8" w:rsidRPr="00DC5B29" w:rsidRDefault="00EC56C8" w:rsidP="00E548A6">
            <w:pPr>
              <w:pStyle w:val="TableTextCentered"/>
            </w:pPr>
            <w:r w:rsidRPr="00DC5B29">
              <w:t>35.6</w:t>
            </w:r>
          </w:p>
        </w:tc>
        <w:tc>
          <w:tcPr>
            <w:tcW w:w="1326" w:type="dxa"/>
            <w:vAlign w:val="center"/>
          </w:tcPr>
          <w:p w14:paraId="69BBB985" w14:textId="77777777" w:rsidR="00EC56C8" w:rsidRPr="00DC5B29" w:rsidRDefault="00EC56C8" w:rsidP="00E548A6">
            <w:pPr>
              <w:pStyle w:val="TableTextCentered"/>
            </w:pPr>
            <w:r w:rsidRPr="00DC5B29">
              <w:t>33.6</w:t>
            </w:r>
          </w:p>
        </w:tc>
        <w:tc>
          <w:tcPr>
            <w:tcW w:w="1325" w:type="dxa"/>
            <w:vAlign w:val="center"/>
          </w:tcPr>
          <w:p w14:paraId="61C90924" w14:textId="77777777" w:rsidR="00EC56C8" w:rsidRPr="00DC5B29" w:rsidRDefault="00EC56C8" w:rsidP="00E548A6">
            <w:pPr>
              <w:pStyle w:val="TableTextCentered"/>
            </w:pPr>
            <w:r w:rsidRPr="00DC5B29">
              <w:t>32.5</w:t>
            </w:r>
          </w:p>
        </w:tc>
        <w:tc>
          <w:tcPr>
            <w:tcW w:w="1336" w:type="dxa"/>
            <w:vAlign w:val="center"/>
          </w:tcPr>
          <w:p w14:paraId="7870A482" w14:textId="77777777" w:rsidR="00EC56C8" w:rsidRPr="00DC5B29" w:rsidRDefault="00EC56C8" w:rsidP="00E548A6">
            <w:pPr>
              <w:pStyle w:val="TableTextCentered"/>
            </w:pPr>
            <w:r w:rsidRPr="00DC5B29">
              <w:t>26.5</w:t>
            </w:r>
          </w:p>
        </w:tc>
      </w:tr>
    </w:tbl>
    <w:p w14:paraId="5C8B8DE6" w14:textId="77777777" w:rsidR="00EC56C8" w:rsidRPr="005C4DC5" w:rsidRDefault="00EC56C8" w:rsidP="00E37559">
      <w:pPr>
        <w:pStyle w:val="TableNote"/>
        <w:rPr>
          <w:rFonts w:ascii="Calibri" w:eastAsia="Calibri" w:hAnsi="Calibri"/>
          <w:szCs w:val="20"/>
        </w:rPr>
      </w:pPr>
      <w:r w:rsidRPr="005C4DC5">
        <w:rPr>
          <w:vertAlign w:val="superscript"/>
        </w:rPr>
        <w:t>a</w:t>
      </w:r>
      <w:r w:rsidRPr="005C4DC5" w:rsidDel="00305C73">
        <w:t xml:space="preserve"> </w:t>
      </w:r>
      <w:r w:rsidRPr="00CB0607">
        <w:rPr>
          <w:shd w:val="clear" w:color="auto" w:fill="FFFFFF" w:themeFill="background1"/>
        </w:rPr>
        <w:t xml:space="preserve">The percentage of students absent 10 </w:t>
      </w:r>
      <w:r w:rsidRPr="00E37559">
        <w:t>percent</w:t>
      </w:r>
      <w:r w:rsidRPr="00CB0607">
        <w:rPr>
          <w:shd w:val="clear" w:color="auto" w:fill="FFFFFF" w:themeFill="background1"/>
        </w:rPr>
        <w:t xml:space="preserve"> or more of their total number of student days of membership in a school</w:t>
      </w:r>
      <w:r w:rsidRPr="005C4DC5">
        <w:t>.</w:t>
      </w:r>
    </w:p>
    <w:p w14:paraId="65B7EDF5" w14:textId="5CCC55E5" w:rsidR="00EC56C8" w:rsidRDefault="00EC56C8" w:rsidP="00E37559">
      <w:pPr>
        <w:pStyle w:val="TableTitle0"/>
        <w:rPr>
          <w:szCs w:val="20"/>
        </w:rPr>
      </w:pPr>
      <w:r w:rsidRPr="00CB0607">
        <w:t xml:space="preserve">Table </w:t>
      </w:r>
      <w:r>
        <w:t>D</w:t>
      </w:r>
      <w:r w:rsidRPr="00CB0607">
        <w:t xml:space="preserve">4. </w:t>
      </w:r>
      <w:r>
        <w:t>Total Expenditures</w:t>
      </w:r>
      <w:r w:rsidRPr="00CB0607">
        <w:t xml:space="preserve"> Fiscal Years, 20</w:t>
      </w:r>
      <w:r>
        <w:t>22</w:t>
      </w:r>
      <w:r w:rsidRPr="00CB0607">
        <w:t>-202</w:t>
      </w:r>
      <w:r>
        <w:t>4</w:t>
      </w:r>
    </w:p>
    <w:tbl>
      <w:tblPr>
        <w:tblStyle w:val="MSVTable1"/>
        <w:tblW w:w="5000" w:type="pct"/>
        <w:tblLook w:val="04A0" w:firstRow="1" w:lastRow="0" w:firstColumn="1" w:lastColumn="0" w:noHBand="0" w:noVBand="1"/>
        <w:tblCaption w:val="Table D4. Total Expenditures Fiscal Years, 2022-2024"/>
        <w:tblDescription w:val="Total Expenditures Fiscal Years, 2022-2024"/>
      </w:tblPr>
      <w:tblGrid>
        <w:gridCol w:w="2782"/>
        <w:gridCol w:w="2187"/>
        <w:gridCol w:w="2187"/>
        <w:gridCol w:w="2188"/>
      </w:tblGrid>
      <w:tr w:rsidR="00EC56C8" w14:paraId="79E83D84" w14:textId="77777777" w:rsidTr="00B64FE7">
        <w:trPr>
          <w:cnfStyle w:val="100000000000" w:firstRow="1" w:lastRow="0" w:firstColumn="0" w:lastColumn="0" w:oddVBand="0" w:evenVBand="0" w:oddHBand="0" w:evenHBand="0" w:firstRowFirstColumn="0" w:firstRowLastColumn="0" w:lastRowFirstColumn="0" w:lastRowLastColumn="0"/>
        </w:trPr>
        <w:tc>
          <w:tcPr>
            <w:tcW w:w="2782" w:type="dxa"/>
            <w:vAlign w:val="bottom"/>
          </w:tcPr>
          <w:p w14:paraId="5C30AA24" w14:textId="77777777" w:rsidR="00EC56C8" w:rsidRPr="005C02B7" w:rsidRDefault="00EC56C8" w:rsidP="00B64FE7">
            <w:pPr>
              <w:pStyle w:val="TableColHeadingCenter"/>
            </w:pPr>
            <w:r w:rsidRPr="005C02B7">
              <w:t>Expenditures</w:t>
            </w:r>
          </w:p>
        </w:tc>
        <w:tc>
          <w:tcPr>
            <w:tcW w:w="2187" w:type="dxa"/>
            <w:vAlign w:val="bottom"/>
          </w:tcPr>
          <w:p w14:paraId="51FC149F" w14:textId="77777777" w:rsidR="00EC56C8" w:rsidRPr="005C02B7" w:rsidRDefault="00EC56C8" w:rsidP="00B64FE7">
            <w:pPr>
              <w:pStyle w:val="TableColHeadingCenter"/>
            </w:pPr>
            <w:r>
              <w:t>FY 2022</w:t>
            </w:r>
          </w:p>
        </w:tc>
        <w:tc>
          <w:tcPr>
            <w:tcW w:w="2187" w:type="dxa"/>
            <w:vAlign w:val="bottom"/>
          </w:tcPr>
          <w:p w14:paraId="4EB00708" w14:textId="77777777" w:rsidR="00EC56C8" w:rsidRPr="005C02B7" w:rsidRDefault="00EC56C8" w:rsidP="00B64FE7">
            <w:pPr>
              <w:pStyle w:val="TableColHeadingCenter"/>
            </w:pPr>
            <w:r>
              <w:t>FY 2023</w:t>
            </w:r>
          </w:p>
        </w:tc>
        <w:tc>
          <w:tcPr>
            <w:tcW w:w="2188" w:type="dxa"/>
            <w:vAlign w:val="bottom"/>
          </w:tcPr>
          <w:p w14:paraId="520A8DA1" w14:textId="77777777" w:rsidR="00EC56C8" w:rsidRPr="005C02B7" w:rsidRDefault="00EC56C8" w:rsidP="00B64FE7">
            <w:pPr>
              <w:pStyle w:val="TableColHeadingCenter"/>
            </w:pPr>
            <w:r>
              <w:t>FY 2024</w:t>
            </w:r>
          </w:p>
        </w:tc>
      </w:tr>
      <w:tr w:rsidR="00EC56C8" w14:paraId="730963D6" w14:textId="77777777" w:rsidTr="00E548A6">
        <w:trPr>
          <w:cnfStyle w:val="000000100000" w:firstRow="0" w:lastRow="0" w:firstColumn="0" w:lastColumn="0" w:oddVBand="0" w:evenVBand="0" w:oddHBand="1" w:evenHBand="0" w:firstRowFirstColumn="0" w:firstRowLastColumn="0" w:lastRowFirstColumn="0" w:lastRowLastColumn="0"/>
        </w:trPr>
        <w:tc>
          <w:tcPr>
            <w:tcW w:w="2782" w:type="dxa"/>
          </w:tcPr>
          <w:p w14:paraId="5D8CDD99" w14:textId="77777777" w:rsidR="00EC56C8" w:rsidRDefault="00EC56C8" w:rsidP="00DC5B29">
            <w:pPr>
              <w:pStyle w:val="TableText"/>
            </w:pPr>
            <w:r>
              <w:t>By school committee</w:t>
            </w:r>
          </w:p>
        </w:tc>
        <w:tc>
          <w:tcPr>
            <w:tcW w:w="2187" w:type="dxa"/>
            <w:vAlign w:val="center"/>
          </w:tcPr>
          <w:p w14:paraId="001E1F1C" w14:textId="77777777" w:rsidR="00EC56C8" w:rsidRPr="00740878" w:rsidRDefault="00EC56C8" w:rsidP="00E548A6">
            <w:pPr>
              <w:pStyle w:val="TableTextCentered"/>
            </w:pPr>
            <w:r w:rsidRPr="00740878">
              <w:t>$208,568,586</w:t>
            </w:r>
          </w:p>
        </w:tc>
        <w:tc>
          <w:tcPr>
            <w:tcW w:w="2187" w:type="dxa"/>
            <w:vAlign w:val="center"/>
          </w:tcPr>
          <w:p w14:paraId="1E9C3790" w14:textId="77777777" w:rsidR="00EC56C8" w:rsidRPr="00740878" w:rsidRDefault="00EC56C8" w:rsidP="00E548A6">
            <w:pPr>
              <w:pStyle w:val="TableTextCentered"/>
            </w:pPr>
            <w:r w:rsidRPr="00740878">
              <w:t>$233,936,423</w:t>
            </w:r>
          </w:p>
        </w:tc>
        <w:tc>
          <w:tcPr>
            <w:tcW w:w="2188" w:type="dxa"/>
            <w:vAlign w:val="center"/>
          </w:tcPr>
          <w:p w14:paraId="6A0C403D" w14:textId="77777777" w:rsidR="00EC56C8" w:rsidRPr="00740878" w:rsidRDefault="00EC56C8" w:rsidP="00E548A6">
            <w:pPr>
              <w:pStyle w:val="TableTextCentered"/>
            </w:pPr>
            <w:r w:rsidRPr="00740878">
              <w:t>$226,256,152</w:t>
            </w:r>
          </w:p>
        </w:tc>
      </w:tr>
      <w:tr w:rsidR="00EC56C8" w14:paraId="1F78A6F6" w14:textId="77777777" w:rsidTr="00E548A6">
        <w:tc>
          <w:tcPr>
            <w:tcW w:w="2782" w:type="dxa"/>
          </w:tcPr>
          <w:p w14:paraId="4A47F65D" w14:textId="77777777" w:rsidR="00EC56C8" w:rsidRDefault="00EC56C8" w:rsidP="00DC5B29">
            <w:pPr>
              <w:pStyle w:val="TableText"/>
            </w:pPr>
            <w:r>
              <w:t>By Municipality</w:t>
            </w:r>
          </w:p>
        </w:tc>
        <w:tc>
          <w:tcPr>
            <w:tcW w:w="2187" w:type="dxa"/>
            <w:vAlign w:val="center"/>
          </w:tcPr>
          <w:p w14:paraId="45C31DBC" w14:textId="77777777" w:rsidR="00EC56C8" w:rsidRPr="00740878" w:rsidRDefault="00EC56C8" w:rsidP="00E548A6">
            <w:pPr>
              <w:pStyle w:val="TableTextCentered"/>
            </w:pPr>
            <w:r w:rsidRPr="00740878">
              <w:t>$75,857,724</w:t>
            </w:r>
          </w:p>
        </w:tc>
        <w:tc>
          <w:tcPr>
            <w:tcW w:w="2187" w:type="dxa"/>
            <w:vAlign w:val="center"/>
          </w:tcPr>
          <w:p w14:paraId="695887DE" w14:textId="77777777" w:rsidR="00EC56C8" w:rsidRPr="00740878" w:rsidRDefault="00EC56C8" w:rsidP="00E548A6">
            <w:pPr>
              <w:pStyle w:val="TableTextCentered"/>
            </w:pPr>
            <w:r w:rsidRPr="00740878">
              <w:t>$101,095,190</w:t>
            </w:r>
          </w:p>
        </w:tc>
        <w:tc>
          <w:tcPr>
            <w:tcW w:w="2188" w:type="dxa"/>
            <w:vAlign w:val="center"/>
          </w:tcPr>
          <w:p w14:paraId="04612FEF" w14:textId="77777777" w:rsidR="00EC56C8" w:rsidRPr="00740878" w:rsidRDefault="00EC56C8" w:rsidP="00E548A6">
            <w:pPr>
              <w:pStyle w:val="TableTextCentered"/>
            </w:pPr>
            <w:r w:rsidRPr="00740878">
              <w:t>$86,187,816</w:t>
            </w:r>
          </w:p>
        </w:tc>
      </w:tr>
      <w:tr w:rsidR="00EC56C8" w14:paraId="6A7EE663" w14:textId="77777777" w:rsidTr="00E548A6">
        <w:trPr>
          <w:cnfStyle w:val="000000100000" w:firstRow="0" w:lastRow="0" w:firstColumn="0" w:lastColumn="0" w:oddVBand="0" w:evenVBand="0" w:oddHBand="1" w:evenHBand="0" w:firstRowFirstColumn="0" w:firstRowLastColumn="0" w:lastRowFirstColumn="0" w:lastRowLastColumn="0"/>
        </w:trPr>
        <w:tc>
          <w:tcPr>
            <w:tcW w:w="2782" w:type="dxa"/>
          </w:tcPr>
          <w:p w14:paraId="72A9FB9D" w14:textId="77777777" w:rsidR="00EC56C8" w:rsidRDefault="00EC56C8" w:rsidP="00DC5B29">
            <w:pPr>
              <w:pStyle w:val="TableText"/>
            </w:pPr>
            <w:r>
              <w:t>Total from local appropriations</w:t>
            </w:r>
          </w:p>
        </w:tc>
        <w:tc>
          <w:tcPr>
            <w:tcW w:w="2187" w:type="dxa"/>
            <w:vAlign w:val="center"/>
          </w:tcPr>
          <w:p w14:paraId="7E26A47A" w14:textId="77777777" w:rsidR="00EC56C8" w:rsidRPr="00740878" w:rsidRDefault="00EC56C8" w:rsidP="00E548A6">
            <w:pPr>
              <w:pStyle w:val="TableTextCentered"/>
            </w:pPr>
            <w:r w:rsidRPr="00740878">
              <w:t>$284,426,310</w:t>
            </w:r>
          </w:p>
        </w:tc>
        <w:tc>
          <w:tcPr>
            <w:tcW w:w="2187" w:type="dxa"/>
            <w:vAlign w:val="center"/>
          </w:tcPr>
          <w:p w14:paraId="2B80D2A2" w14:textId="77777777" w:rsidR="00EC56C8" w:rsidRPr="00740878" w:rsidRDefault="00EC56C8" w:rsidP="00E548A6">
            <w:pPr>
              <w:pStyle w:val="TableTextCentered"/>
            </w:pPr>
            <w:r w:rsidRPr="00740878">
              <w:t>$335,031,613</w:t>
            </w:r>
          </w:p>
        </w:tc>
        <w:tc>
          <w:tcPr>
            <w:tcW w:w="2188" w:type="dxa"/>
            <w:vAlign w:val="center"/>
          </w:tcPr>
          <w:p w14:paraId="081D6380" w14:textId="77777777" w:rsidR="00EC56C8" w:rsidRPr="00740878" w:rsidRDefault="00EC56C8" w:rsidP="00E548A6">
            <w:pPr>
              <w:pStyle w:val="TableTextCentered"/>
            </w:pPr>
            <w:r>
              <w:t>$308,007,239</w:t>
            </w:r>
          </w:p>
        </w:tc>
      </w:tr>
      <w:tr w:rsidR="00EC56C8" w14:paraId="2F921493" w14:textId="77777777" w:rsidTr="00E548A6">
        <w:tc>
          <w:tcPr>
            <w:tcW w:w="2782" w:type="dxa"/>
          </w:tcPr>
          <w:p w14:paraId="21594958" w14:textId="77777777" w:rsidR="00EC56C8" w:rsidRDefault="00EC56C8" w:rsidP="00DC5B29">
            <w:pPr>
              <w:pStyle w:val="TableText"/>
            </w:pPr>
            <w:r>
              <w:t>From revolving funds and grants</w:t>
            </w:r>
          </w:p>
        </w:tc>
        <w:tc>
          <w:tcPr>
            <w:tcW w:w="2187" w:type="dxa"/>
            <w:vAlign w:val="center"/>
          </w:tcPr>
          <w:p w14:paraId="795F8597" w14:textId="77777777" w:rsidR="00EC56C8" w:rsidRPr="00740878" w:rsidRDefault="00EC56C8" w:rsidP="00E548A6">
            <w:pPr>
              <w:pStyle w:val="TableTextCentered"/>
            </w:pPr>
            <w:r w:rsidRPr="00740878">
              <w:t>$62,073,998</w:t>
            </w:r>
          </w:p>
        </w:tc>
        <w:tc>
          <w:tcPr>
            <w:tcW w:w="2187" w:type="dxa"/>
            <w:vAlign w:val="center"/>
          </w:tcPr>
          <w:p w14:paraId="6094DCC7" w14:textId="77777777" w:rsidR="00EC56C8" w:rsidRPr="00740878" w:rsidRDefault="00EC56C8" w:rsidP="00E548A6">
            <w:pPr>
              <w:pStyle w:val="TableTextCentered"/>
            </w:pPr>
            <w:r w:rsidRPr="00740878">
              <w:t>$48,612,973</w:t>
            </w:r>
          </w:p>
        </w:tc>
        <w:tc>
          <w:tcPr>
            <w:tcW w:w="2188" w:type="dxa"/>
            <w:vAlign w:val="center"/>
          </w:tcPr>
          <w:p w14:paraId="49E69FED" w14:textId="77777777" w:rsidR="00EC56C8" w:rsidRPr="00740878" w:rsidRDefault="00EC56C8" w:rsidP="00E548A6">
            <w:pPr>
              <w:pStyle w:val="TableTextCentered"/>
            </w:pPr>
            <w:r>
              <w:t>$43,814,804</w:t>
            </w:r>
          </w:p>
        </w:tc>
      </w:tr>
      <w:tr w:rsidR="00EC56C8" w14:paraId="610B93A1" w14:textId="77777777" w:rsidTr="00E548A6">
        <w:trPr>
          <w:cnfStyle w:val="000000100000" w:firstRow="0" w:lastRow="0" w:firstColumn="0" w:lastColumn="0" w:oddVBand="0" w:evenVBand="0" w:oddHBand="1" w:evenHBand="0" w:firstRowFirstColumn="0" w:firstRowLastColumn="0" w:lastRowFirstColumn="0" w:lastRowLastColumn="0"/>
        </w:trPr>
        <w:tc>
          <w:tcPr>
            <w:tcW w:w="2782" w:type="dxa"/>
          </w:tcPr>
          <w:p w14:paraId="122C1E34" w14:textId="77777777" w:rsidR="00EC56C8" w:rsidRDefault="00EC56C8" w:rsidP="00DC5B29">
            <w:pPr>
              <w:pStyle w:val="TableText"/>
            </w:pPr>
            <w:r>
              <w:t>Total expenditures</w:t>
            </w:r>
          </w:p>
        </w:tc>
        <w:tc>
          <w:tcPr>
            <w:tcW w:w="2187" w:type="dxa"/>
            <w:vAlign w:val="center"/>
          </w:tcPr>
          <w:p w14:paraId="418F595A" w14:textId="77777777" w:rsidR="00EC56C8" w:rsidRPr="00740878" w:rsidRDefault="00EC56C8" w:rsidP="00E548A6">
            <w:pPr>
              <w:pStyle w:val="TableTextCentered"/>
            </w:pPr>
            <w:r w:rsidRPr="00740878">
              <w:t>$346,500,308</w:t>
            </w:r>
          </w:p>
        </w:tc>
        <w:tc>
          <w:tcPr>
            <w:tcW w:w="2187" w:type="dxa"/>
            <w:vAlign w:val="center"/>
          </w:tcPr>
          <w:p w14:paraId="3363AED5" w14:textId="77777777" w:rsidR="00EC56C8" w:rsidRPr="00740878" w:rsidRDefault="00EC56C8" w:rsidP="00E548A6">
            <w:pPr>
              <w:pStyle w:val="TableTextCentered"/>
            </w:pPr>
            <w:r w:rsidRPr="00740878">
              <w:t>$383,644,586</w:t>
            </w:r>
          </w:p>
        </w:tc>
        <w:tc>
          <w:tcPr>
            <w:tcW w:w="2188" w:type="dxa"/>
            <w:vAlign w:val="center"/>
          </w:tcPr>
          <w:p w14:paraId="1236F2C1" w14:textId="77777777" w:rsidR="00EC56C8" w:rsidRPr="00740878" w:rsidRDefault="00EC56C8" w:rsidP="00E548A6">
            <w:pPr>
              <w:pStyle w:val="TableTextCentered"/>
            </w:pPr>
            <w:r>
              <w:t>$351,822,042</w:t>
            </w:r>
          </w:p>
        </w:tc>
      </w:tr>
    </w:tbl>
    <w:p w14:paraId="142B6633" w14:textId="0A1CACC1" w:rsidR="00E37559" w:rsidRDefault="00EC56C8" w:rsidP="00E37559">
      <w:pPr>
        <w:pStyle w:val="TableNote"/>
      </w:pPr>
      <w:r w:rsidRPr="00CB0607">
        <w:rPr>
          <w:i/>
          <w:iCs/>
        </w:rPr>
        <w:t>Note</w:t>
      </w:r>
      <w:r w:rsidRPr="00CB0607">
        <w:t xml:space="preserve">. </w:t>
      </w:r>
      <w:r>
        <w:t xml:space="preserve">Expenditures from the School </w:t>
      </w:r>
      <w:r w:rsidRPr="00E37559">
        <w:t>Finance</w:t>
      </w:r>
      <w:r>
        <w:t xml:space="preserve"> Dashboard sourced from </w:t>
      </w:r>
      <w:hyperlink r:id="rId88" w:history="1">
        <w:r>
          <w:rPr>
            <w:rStyle w:val="Hyperlink"/>
          </w:rPr>
          <w:t>Resource Allocation and District Action Reports (RADAR)</w:t>
        </w:r>
      </w:hyperlink>
      <w:r>
        <w:t xml:space="preserve"> last updated April 2025.</w:t>
      </w:r>
      <w:r w:rsidR="00E37559">
        <w:br w:type="page"/>
      </w:r>
    </w:p>
    <w:p w14:paraId="744BDEB8" w14:textId="12B5A01E" w:rsidR="00EC56C8" w:rsidRDefault="00EC56C8" w:rsidP="00E37559">
      <w:pPr>
        <w:pStyle w:val="TableTitle0"/>
        <w:rPr>
          <w:szCs w:val="20"/>
        </w:rPr>
      </w:pPr>
      <w:r w:rsidRPr="00CB0607">
        <w:t xml:space="preserve">Table </w:t>
      </w:r>
      <w:r>
        <w:t>D5</w:t>
      </w:r>
      <w:r w:rsidRPr="00CB0607">
        <w:t xml:space="preserve">. Chapter 70 State Aid, and Net School Spending </w:t>
      </w:r>
      <w:r w:rsidRPr="00E37559">
        <w:t>Fiscal</w:t>
      </w:r>
      <w:r w:rsidRPr="00CB0607">
        <w:t xml:space="preserve"> Years, 20</w:t>
      </w:r>
      <w:r>
        <w:t>22</w:t>
      </w:r>
      <w:r w:rsidRPr="00CB0607">
        <w:t>-202</w:t>
      </w:r>
      <w:r>
        <w:t>4</w:t>
      </w:r>
    </w:p>
    <w:tbl>
      <w:tblPr>
        <w:tblStyle w:val="MSVTable1"/>
        <w:tblW w:w="5000" w:type="pct"/>
        <w:tblLook w:val="04A0" w:firstRow="1" w:lastRow="0" w:firstColumn="1" w:lastColumn="0" w:noHBand="0" w:noVBand="1"/>
        <w:tblCaption w:val="Table D5. Chapter 70 State Aid, and Net School Spending Fiscal Years, 2022-2024"/>
        <w:tblDescription w:val="Chapter 70 State Aid, and Net School Spending Fiscal Years, 2022-2024"/>
      </w:tblPr>
      <w:tblGrid>
        <w:gridCol w:w="2692"/>
        <w:gridCol w:w="2217"/>
        <w:gridCol w:w="2217"/>
        <w:gridCol w:w="2218"/>
      </w:tblGrid>
      <w:tr w:rsidR="00EC56C8" w14:paraId="14CF4D81" w14:textId="77777777" w:rsidTr="00E548A6">
        <w:trPr>
          <w:cnfStyle w:val="100000000000" w:firstRow="1" w:lastRow="0" w:firstColumn="0" w:lastColumn="0" w:oddVBand="0" w:evenVBand="0" w:oddHBand="0" w:evenHBand="0" w:firstRowFirstColumn="0" w:firstRowLastColumn="0" w:lastRowFirstColumn="0" w:lastRowLastColumn="0"/>
        </w:trPr>
        <w:tc>
          <w:tcPr>
            <w:tcW w:w="2692" w:type="dxa"/>
            <w:vAlign w:val="center"/>
          </w:tcPr>
          <w:p w14:paraId="1DAC1F6C" w14:textId="77777777" w:rsidR="00EC56C8" w:rsidRPr="002B270B" w:rsidRDefault="00EC56C8" w:rsidP="00E548A6">
            <w:pPr>
              <w:pStyle w:val="TableColHeadingCenter"/>
            </w:pPr>
            <w:r w:rsidRPr="002B270B">
              <w:t>Chapter 70 aid to education program</w:t>
            </w:r>
          </w:p>
        </w:tc>
        <w:tc>
          <w:tcPr>
            <w:tcW w:w="2217" w:type="dxa"/>
            <w:vAlign w:val="center"/>
          </w:tcPr>
          <w:p w14:paraId="6F3E3F55" w14:textId="77777777" w:rsidR="00EC56C8" w:rsidRPr="002B270B" w:rsidRDefault="00EC56C8" w:rsidP="00E548A6">
            <w:pPr>
              <w:pStyle w:val="TableColHeadingCenter"/>
            </w:pPr>
            <w:r w:rsidRPr="002B270B">
              <w:t>FY 202</w:t>
            </w:r>
            <w:r>
              <w:t>2</w:t>
            </w:r>
          </w:p>
        </w:tc>
        <w:tc>
          <w:tcPr>
            <w:tcW w:w="2217" w:type="dxa"/>
            <w:vAlign w:val="center"/>
          </w:tcPr>
          <w:p w14:paraId="42109C8F" w14:textId="77777777" w:rsidR="00EC56C8" w:rsidRPr="002B270B" w:rsidRDefault="00EC56C8" w:rsidP="00E548A6">
            <w:pPr>
              <w:pStyle w:val="TableColHeadingCenter"/>
            </w:pPr>
            <w:r w:rsidRPr="002B270B">
              <w:t>FY 202</w:t>
            </w:r>
            <w:r>
              <w:t>3</w:t>
            </w:r>
          </w:p>
        </w:tc>
        <w:tc>
          <w:tcPr>
            <w:tcW w:w="2218" w:type="dxa"/>
            <w:vAlign w:val="center"/>
          </w:tcPr>
          <w:p w14:paraId="1252FD62" w14:textId="77777777" w:rsidR="00EC56C8" w:rsidRPr="002B270B" w:rsidRDefault="00EC56C8" w:rsidP="00E548A6">
            <w:pPr>
              <w:pStyle w:val="TableColHeadingCenter"/>
            </w:pPr>
            <w:r w:rsidRPr="002B270B">
              <w:t>FY 202</w:t>
            </w:r>
            <w:r>
              <w:t>4</w:t>
            </w:r>
          </w:p>
        </w:tc>
      </w:tr>
      <w:tr w:rsidR="00EC56C8" w14:paraId="06530ABF" w14:textId="77777777" w:rsidTr="00E548A6">
        <w:trPr>
          <w:cnfStyle w:val="000000100000" w:firstRow="0" w:lastRow="0" w:firstColumn="0" w:lastColumn="0" w:oddVBand="0" w:evenVBand="0" w:oddHBand="1" w:evenHBand="0" w:firstRowFirstColumn="0" w:firstRowLastColumn="0" w:lastRowFirstColumn="0" w:lastRowLastColumn="0"/>
        </w:trPr>
        <w:tc>
          <w:tcPr>
            <w:tcW w:w="2692" w:type="dxa"/>
          </w:tcPr>
          <w:p w14:paraId="6FDD0A7A" w14:textId="77777777" w:rsidR="00EC56C8" w:rsidRDefault="00EC56C8" w:rsidP="00B64FE7">
            <w:pPr>
              <w:pStyle w:val="TableText"/>
            </w:pPr>
            <w:r w:rsidRPr="00CB0607">
              <w:t>Chapter 70 state aid</w:t>
            </w:r>
            <w:r w:rsidRPr="00CB0607">
              <w:rPr>
                <w:vertAlign w:val="superscript"/>
              </w:rPr>
              <w:t>a</w:t>
            </w:r>
          </w:p>
        </w:tc>
        <w:tc>
          <w:tcPr>
            <w:tcW w:w="2217" w:type="dxa"/>
            <w:vAlign w:val="center"/>
          </w:tcPr>
          <w:p w14:paraId="0DE7E881" w14:textId="77777777" w:rsidR="00EC56C8" w:rsidRPr="00035150" w:rsidRDefault="00EC56C8" w:rsidP="00E548A6">
            <w:pPr>
              <w:pStyle w:val="TableTextCentered"/>
            </w:pPr>
            <w:r w:rsidRPr="00035150">
              <w:t>$212,385,531</w:t>
            </w:r>
          </w:p>
        </w:tc>
        <w:tc>
          <w:tcPr>
            <w:tcW w:w="2217" w:type="dxa"/>
            <w:vAlign w:val="center"/>
          </w:tcPr>
          <w:p w14:paraId="14CF4BD9" w14:textId="77777777" w:rsidR="00EC56C8" w:rsidRPr="00035150" w:rsidRDefault="00EC56C8" w:rsidP="00E548A6">
            <w:pPr>
              <w:pStyle w:val="TableTextCentered"/>
            </w:pPr>
            <w:r w:rsidRPr="00035150">
              <w:t>$224,060,353</w:t>
            </w:r>
          </w:p>
        </w:tc>
        <w:tc>
          <w:tcPr>
            <w:tcW w:w="2218" w:type="dxa"/>
            <w:vAlign w:val="center"/>
          </w:tcPr>
          <w:p w14:paraId="6F9D7309" w14:textId="77777777" w:rsidR="00EC56C8" w:rsidRPr="00035150" w:rsidRDefault="00EC56C8" w:rsidP="00E548A6">
            <w:pPr>
              <w:pStyle w:val="TableTextCentered"/>
            </w:pPr>
            <w:r w:rsidRPr="00035150">
              <w:t>$241,067,581</w:t>
            </w:r>
          </w:p>
        </w:tc>
      </w:tr>
      <w:tr w:rsidR="00EC56C8" w14:paraId="1230ED87" w14:textId="77777777" w:rsidTr="00E548A6">
        <w:tc>
          <w:tcPr>
            <w:tcW w:w="2692" w:type="dxa"/>
          </w:tcPr>
          <w:p w14:paraId="3ACFF935" w14:textId="77777777" w:rsidR="00EC56C8" w:rsidRDefault="00EC56C8" w:rsidP="00B64FE7">
            <w:pPr>
              <w:pStyle w:val="TableText"/>
            </w:pPr>
            <w:r w:rsidRPr="00CB0607">
              <w:t>Required local contribution</w:t>
            </w:r>
          </w:p>
        </w:tc>
        <w:tc>
          <w:tcPr>
            <w:tcW w:w="2217" w:type="dxa"/>
            <w:vAlign w:val="center"/>
          </w:tcPr>
          <w:p w14:paraId="57984C74" w14:textId="77777777" w:rsidR="00EC56C8" w:rsidRPr="00035150" w:rsidRDefault="00EC56C8" w:rsidP="00E548A6">
            <w:pPr>
              <w:pStyle w:val="TableTextCentered"/>
            </w:pPr>
            <w:r w:rsidRPr="00035150">
              <w:t>$49,559,396</w:t>
            </w:r>
          </w:p>
        </w:tc>
        <w:tc>
          <w:tcPr>
            <w:tcW w:w="2217" w:type="dxa"/>
            <w:vAlign w:val="center"/>
          </w:tcPr>
          <w:p w14:paraId="08B9F50E" w14:textId="77777777" w:rsidR="00EC56C8" w:rsidRPr="00035150" w:rsidRDefault="00EC56C8" w:rsidP="00E548A6">
            <w:pPr>
              <w:pStyle w:val="TableTextCentered"/>
            </w:pPr>
            <w:r w:rsidRPr="00035150">
              <w:t>$52,190,600</w:t>
            </w:r>
          </w:p>
        </w:tc>
        <w:tc>
          <w:tcPr>
            <w:tcW w:w="2218" w:type="dxa"/>
            <w:vAlign w:val="center"/>
          </w:tcPr>
          <w:p w14:paraId="60FAD7AD" w14:textId="77777777" w:rsidR="00EC56C8" w:rsidRPr="00035150" w:rsidRDefault="00EC56C8" w:rsidP="00E548A6">
            <w:pPr>
              <w:pStyle w:val="TableTextCentered"/>
            </w:pPr>
            <w:r w:rsidRPr="00035150">
              <w:t>$54,579,267</w:t>
            </w:r>
          </w:p>
        </w:tc>
      </w:tr>
      <w:tr w:rsidR="00EC56C8" w14:paraId="4D5DDA0D" w14:textId="77777777" w:rsidTr="00E548A6">
        <w:trPr>
          <w:cnfStyle w:val="000000100000" w:firstRow="0" w:lastRow="0" w:firstColumn="0" w:lastColumn="0" w:oddVBand="0" w:evenVBand="0" w:oddHBand="1" w:evenHBand="0" w:firstRowFirstColumn="0" w:firstRowLastColumn="0" w:lastRowFirstColumn="0" w:lastRowLastColumn="0"/>
        </w:trPr>
        <w:tc>
          <w:tcPr>
            <w:tcW w:w="2692" w:type="dxa"/>
          </w:tcPr>
          <w:p w14:paraId="7A151A2C" w14:textId="77777777" w:rsidR="00EC56C8" w:rsidRDefault="00EC56C8" w:rsidP="00B64FE7">
            <w:pPr>
              <w:pStyle w:val="TableText"/>
            </w:pPr>
            <w:r w:rsidRPr="00CB0607">
              <w:t>Required net school spending</w:t>
            </w:r>
            <w:r w:rsidRPr="00CB0607">
              <w:rPr>
                <w:vertAlign w:val="superscript"/>
              </w:rPr>
              <w:t>b</w:t>
            </w:r>
          </w:p>
        </w:tc>
        <w:tc>
          <w:tcPr>
            <w:tcW w:w="2217" w:type="dxa"/>
            <w:vAlign w:val="center"/>
          </w:tcPr>
          <w:p w14:paraId="169A0ACA" w14:textId="77777777" w:rsidR="00EC56C8" w:rsidRPr="00035150" w:rsidRDefault="00EC56C8" w:rsidP="00E548A6">
            <w:pPr>
              <w:pStyle w:val="TableTextCentered"/>
            </w:pPr>
            <w:r w:rsidRPr="00035150">
              <w:t>$261,944,927</w:t>
            </w:r>
          </w:p>
        </w:tc>
        <w:tc>
          <w:tcPr>
            <w:tcW w:w="2217" w:type="dxa"/>
            <w:vAlign w:val="center"/>
          </w:tcPr>
          <w:p w14:paraId="2E9CA427" w14:textId="77777777" w:rsidR="00EC56C8" w:rsidRPr="00035150" w:rsidRDefault="00EC56C8" w:rsidP="00E548A6">
            <w:pPr>
              <w:pStyle w:val="TableTextCentered"/>
            </w:pPr>
            <w:r w:rsidRPr="00035150">
              <w:t>$276,250,953</w:t>
            </w:r>
          </w:p>
        </w:tc>
        <w:tc>
          <w:tcPr>
            <w:tcW w:w="2218" w:type="dxa"/>
            <w:vAlign w:val="center"/>
          </w:tcPr>
          <w:p w14:paraId="4A522B8F" w14:textId="77777777" w:rsidR="00EC56C8" w:rsidRPr="00035150" w:rsidRDefault="00EC56C8" w:rsidP="00E548A6">
            <w:pPr>
              <w:pStyle w:val="TableTextCentered"/>
            </w:pPr>
            <w:r w:rsidRPr="00035150">
              <w:t>$295,646,848</w:t>
            </w:r>
          </w:p>
        </w:tc>
      </w:tr>
      <w:tr w:rsidR="00EC56C8" w14:paraId="062A87EC" w14:textId="77777777" w:rsidTr="00E548A6">
        <w:tc>
          <w:tcPr>
            <w:tcW w:w="2692" w:type="dxa"/>
          </w:tcPr>
          <w:p w14:paraId="2482FB0B" w14:textId="77777777" w:rsidR="00EC56C8" w:rsidRDefault="00EC56C8" w:rsidP="00B64FE7">
            <w:pPr>
              <w:pStyle w:val="TableText"/>
            </w:pPr>
            <w:r w:rsidRPr="00CB0607">
              <w:t>Actual net school spending</w:t>
            </w:r>
          </w:p>
        </w:tc>
        <w:tc>
          <w:tcPr>
            <w:tcW w:w="2217" w:type="dxa"/>
            <w:vAlign w:val="center"/>
          </w:tcPr>
          <w:p w14:paraId="4FE59210" w14:textId="77777777" w:rsidR="00EC56C8" w:rsidRPr="00035150" w:rsidRDefault="00EC56C8" w:rsidP="00E548A6">
            <w:pPr>
              <w:pStyle w:val="TableTextCentered"/>
            </w:pPr>
            <w:r w:rsidRPr="00035150">
              <w:t>$265,007,695</w:t>
            </w:r>
          </w:p>
        </w:tc>
        <w:tc>
          <w:tcPr>
            <w:tcW w:w="2217" w:type="dxa"/>
            <w:vAlign w:val="center"/>
          </w:tcPr>
          <w:p w14:paraId="35214B13" w14:textId="77777777" w:rsidR="00EC56C8" w:rsidRPr="00035150" w:rsidRDefault="00EC56C8" w:rsidP="00E548A6">
            <w:pPr>
              <w:pStyle w:val="TableTextCentered"/>
            </w:pPr>
            <w:r w:rsidRPr="00035150">
              <w:t>$311,655,471</w:t>
            </w:r>
          </w:p>
        </w:tc>
        <w:tc>
          <w:tcPr>
            <w:tcW w:w="2218" w:type="dxa"/>
            <w:vAlign w:val="center"/>
          </w:tcPr>
          <w:p w14:paraId="5949FAE2" w14:textId="324F97E1" w:rsidR="00EC56C8" w:rsidRPr="00035150" w:rsidRDefault="00EC56C8" w:rsidP="00E548A6">
            <w:pPr>
              <w:pStyle w:val="TableTextCentered"/>
            </w:pPr>
            <w:r w:rsidRPr="00035150">
              <w:t>$</w:t>
            </w:r>
            <w:r w:rsidR="00E22AFE">
              <w:t>289</w:t>
            </w:r>
            <w:r w:rsidR="008A7EB4">
              <w:t>,073,973</w:t>
            </w:r>
          </w:p>
        </w:tc>
      </w:tr>
      <w:tr w:rsidR="00EC56C8" w14:paraId="200F96A5" w14:textId="77777777" w:rsidTr="00E548A6">
        <w:trPr>
          <w:cnfStyle w:val="000000100000" w:firstRow="0" w:lastRow="0" w:firstColumn="0" w:lastColumn="0" w:oddVBand="0" w:evenVBand="0" w:oddHBand="1" w:evenHBand="0" w:firstRowFirstColumn="0" w:firstRowLastColumn="0" w:lastRowFirstColumn="0" w:lastRowLastColumn="0"/>
        </w:trPr>
        <w:tc>
          <w:tcPr>
            <w:tcW w:w="2692" w:type="dxa"/>
          </w:tcPr>
          <w:p w14:paraId="28AD17B7" w14:textId="77777777" w:rsidR="00EC56C8" w:rsidRDefault="00EC56C8" w:rsidP="00B64FE7">
            <w:pPr>
              <w:pStyle w:val="TableText"/>
            </w:pPr>
            <w:r w:rsidRPr="00CB0607">
              <w:t>Over/under required ($)</w:t>
            </w:r>
          </w:p>
        </w:tc>
        <w:tc>
          <w:tcPr>
            <w:tcW w:w="2217" w:type="dxa"/>
            <w:vAlign w:val="center"/>
          </w:tcPr>
          <w:p w14:paraId="13739D0D" w14:textId="77777777" w:rsidR="00EC56C8" w:rsidRPr="00035150" w:rsidRDefault="00EC56C8" w:rsidP="00E548A6">
            <w:pPr>
              <w:pStyle w:val="TableTextCentered"/>
            </w:pPr>
            <w:r w:rsidRPr="00035150">
              <w:t>$3,062,768</w:t>
            </w:r>
          </w:p>
        </w:tc>
        <w:tc>
          <w:tcPr>
            <w:tcW w:w="2217" w:type="dxa"/>
            <w:vAlign w:val="center"/>
          </w:tcPr>
          <w:p w14:paraId="555CBFD5" w14:textId="77777777" w:rsidR="00EC56C8" w:rsidRPr="00035150" w:rsidRDefault="00EC56C8" w:rsidP="00E548A6">
            <w:pPr>
              <w:pStyle w:val="TableTextCentered"/>
            </w:pPr>
            <w:r w:rsidRPr="00035150">
              <w:t>$35,404,518</w:t>
            </w:r>
          </w:p>
        </w:tc>
        <w:tc>
          <w:tcPr>
            <w:tcW w:w="2218" w:type="dxa"/>
            <w:vAlign w:val="center"/>
          </w:tcPr>
          <w:p w14:paraId="62382C7D" w14:textId="3126CFCE" w:rsidR="00EC56C8" w:rsidRPr="00035150" w:rsidRDefault="00EC56C8" w:rsidP="00E548A6">
            <w:pPr>
              <w:pStyle w:val="TableTextCentered"/>
            </w:pPr>
            <w:r w:rsidRPr="00035150">
              <w:t>-$</w:t>
            </w:r>
            <w:r w:rsidR="00F100DB">
              <w:t>6,572,875</w:t>
            </w:r>
          </w:p>
        </w:tc>
      </w:tr>
      <w:tr w:rsidR="00EC56C8" w14:paraId="50B33E85" w14:textId="77777777" w:rsidTr="00E548A6">
        <w:tc>
          <w:tcPr>
            <w:tcW w:w="2692" w:type="dxa"/>
          </w:tcPr>
          <w:p w14:paraId="11130C9D" w14:textId="77777777" w:rsidR="00EC56C8" w:rsidRDefault="00EC56C8" w:rsidP="00B64FE7">
            <w:pPr>
              <w:pStyle w:val="TableText"/>
            </w:pPr>
            <w:r w:rsidRPr="00CB0607">
              <w:t>Over/under required (%)</w:t>
            </w:r>
          </w:p>
        </w:tc>
        <w:tc>
          <w:tcPr>
            <w:tcW w:w="2217" w:type="dxa"/>
            <w:vAlign w:val="center"/>
          </w:tcPr>
          <w:p w14:paraId="22D7A041" w14:textId="77777777" w:rsidR="00EC56C8" w:rsidRPr="00035150" w:rsidRDefault="00EC56C8" w:rsidP="00E548A6">
            <w:pPr>
              <w:pStyle w:val="TableTextCentered"/>
            </w:pPr>
            <w:r w:rsidRPr="00035150">
              <w:t>1.2%</w:t>
            </w:r>
          </w:p>
        </w:tc>
        <w:tc>
          <w:tcPr>
            <w:tcW w:w="2217" w:type="dxa"/>
            <w:vAlign w:val="center"/>
          </w:tcPr>
          <w:p w14:paraId="452BA073" w14:textId="77777777" w:rsidR="00EC56C8" w:rsidRPr="00035150" w:rsidRDefault="00EC56C8" w:rsidP="00E548A6">
            <w:pPr>
              <w:pStyle w:val="TableTextCentered"/>
            </w:pPr>
            <w:r w:rsidRPr="00035150">
              <w:t>12.8%</w:t>
            </w:r>
          </w:p>
        </w:tc>
        <w:tc>
          <w:tcPr>
            <w:tcW w:w="2218" w:type="dxa"/>
            <w:vAlign w:val="center"/>
          </w:tcPr>
          <w:p w14:paraId="35B73684" w14:textId="6F2904B6" w:rsidR="00EC56C8" w:rsidRPr="00035150" w:rsidRDefault="00EC56C8" w:rsidP="00E548A6">
            <w:pPr>
              <w:pStyle w:val="TableTextCentered"/>
            </w:pPr>
            <w:r w:rsidRPr="00035150">
              <w:t>-</w:t>
            </w:r>
            <w:r w:rsidR="00E0410D">
              <w:t>2.2</w:t>
            </w:r>
            <w:r w:rsidRPr="00035150">
              <w:t>%</w:t>
            </w:r>
          </w:p>
        </w:tc>
      </w:tr>
    </w:tbl>
    <w:p w14:paraId="0772429F" w14:textId="77777777" w:rsidR="00EC56C8" w:rsidRPr="000C18F4" w:rsidRDefault="00EC56C8" w:rsidP="00E37559">
      <w:pPr>
        <w:pStyle w:val="TableNote"/>
      </w:pPr>
      <w:r w:rsidRPr="00CB0607">
        <w:rPr>
          <w:i/>
          <w:iCs/>
        </w:rPr>
        <w:t>Note</w:t>
      </w:r>
      <w:r w:rsidRPr="00CB0607">
        <w:t xml:space="preserve">. </w:t>
      </w:r>
      <w:r>
        <w:t xml:space="preserve">Chapter 70 aid to education from Chapter 70 </w:t>
      </w:r>
      <w:r w:rsidRPr="00E37559">
        <w:t>District</w:t>
      </w:r>
      <w:r>
        <w:t xml:space="preserve"> Profiles sourced from</w:t>
      </w:r>
      <w:r w:rsidRPr="00712A31">
        <w:rPr>
          <w:rFonts w:eastAsiaTheme="minorHAnsi" w:cstheme="minorBidi"/>
          <w:sz w:val="22"/>
          <w:szCs w:val="22"/>
        </w:rPr>
        <w:t xml:space="preserve"> </w:t>
      </w:r>
      <w:hyperlink r:id="rId89" w:history="1">
        <w:r w:rsidRPr="00712A31">
          <w:rPr>
            <w:rStyle w:val="Hyperlink"/>
          </w:rPr>
          <w:t>Chapter 70 Program - School Finance</w:t>
        </w:r>
      </w:hyperlink>
      <w:r>
        <w:t xml:space="preserve"> </w:t>
      </w:r>
      <w:r w:rsidRPr="000C18F4">
        <w:t>last updated April 11, 2025.</w:t>
      </w:r>
    </w:p>
    <w:p w14:paraId="14A59864" w14:textId="77777777" w:rsidR="00E37559" w:rsidRDefault="00EC56C8" w:rsidP="00E37559">
      <w:pPr>
        <w:pStyle w:val="TableNote"/>
      </w:pPr>
      <w:r w:rsidRPr="00CB0607">
        <w:rPr>
          <w:vertAlign w:val="superscript"/>
        </w:rPr>
        <w:t xml:space="preserve">a </w:t>
      </w:r>
      <w:r w:rsidRPr="00CB0607">
        <w:t>Chapter 70 state aid funds are deposited in the local general fund and spent as local appropriations.</w:t>
      </w:r>
    </w:p>
    <w:p w14:paraId="45727A1F" w14:textId="0547BA69" w:rsidR="00EC56C8" w:rsidRDefault="00EC56C8" w:rsidP="00E37559">
      <w:pPr>
        <w:pStyle w:val="TableNote"/>
      </w:pPr>
      <w:r w:rsidRPr="00CB0607">
        <w:rPr>
          <w:vertAlign w:val="superscript"/>
        </w:rPr>
        <w:t xml:space="preserve">b </w:t>
      </w:r>
      <w:r w:rsidRPr="00CB0607">
        <w:t xml:space="preserve">Required net school spending is the total of Chapter 70 aid and required local contribution. Net school spending includes only expenditures from local appropriations, </w:t>
      </w:r>
      <w:r w:rsidRPr="00E37559">
        <w:t>not</w:t>
      </w:r>
      <w:r w:rsidRPr="00CB0607">
        <w:t xml:space="preserve"> revolving funds, and grants. It includes expenditures for most administration, instruction, operations, and out-of-district tuitions. It does not include transportation, school lunches, debt, or capital.</w:t>
      </w:r>
    </w:p>
    <w:p w14:paraId="1787C328" w14:textId="77777777" w:rsidR="00EC56C8" w:rsidRPr="00CB0607" w:rsidRDefault="00EC56C8" w:rsidP="00E37559">
      <w:pPr>
        <w:pStyle w:val="TableTitle0"/>
      </w:pPr>
      <w:r w:rsidRPr="00CB0607">
        <w:t xml:space="preserve">Table </w:t>
      </w:r>
      <w:r>
        <w:t>D6</w:t>
      </w:r>
      <w:r w:rsidRPr="00CB0607">
        <w:t xml:space="preserve">. Expenditures Per In-District Pupil, </w:t>
      </w:r>
      <w:r w:rsidRPr="00E37559">
        <w:t>Fiscal</w:t>
      </w:r>
      <w:r w:rsidRPr="00CB0607">
        <w:t xml:space="preserve"> Years 20</w:t>
      </w:r>
      <w:r>
        <w:t>22</w:t>
      </w:r>
      <w:r w:rsidRPr="00CB0607">
        <w:t>-202</w:t>
      </w:r>
      <w:r>
        <w:t>4</w:t>
      </w:r>
    </w:p>
    <w:tbl>
      <w:tblPr>
        <w:tblStyle w:val="MSVTable1"/>
        <w:tblW w:w="5000" w:type="pct"/>
        <w:tblLayout w:type="fixed"/>
        <w:tblLook w:val="0420" w:firstRow="1" w:lastRow="0" w:firstColumn="0" w:lastColumn="0" w:noHBand="0" w:noVBand="1"/>
        <w:tblCaption w:val="Expenditures Per In-District Pupil, Fiscal Years 2022-2024"/>
        <w:tblDescription w:val="Table D6. Expenditures Per In-District Pupil, Fiscal Years 2022-2024"/>
      </w:tblPr>
      <w:tblGrid>
        <w:gridCol w:w="5246"/>
        <w:gridCol w:w="1366"/>
        <w:gridCol w:w="1366"/>
        <w:gridCol w:w="1366"/>
      </w:tblGrid>
      <w:tr w:rsidR="00EC56C8" w:rsidRPr="00CB0607" w14:paraId="6AE84E95" w14:textId="77777777" w:rsidTr="00B64FE7">
        <w:trPr>
          <w:cnfStyle w:val="100000000000" w:firstRow="1" w:lastRow="0" w:firstColumn="0" w:lastColumn="0" w:oddVBand="0" w:evenVBand="0" w:oddHBand="0" w:evenHBand="0" w:firstRowFirstColumn="0" w:firstRowLastColumn="0" w:lastRowFirstColumn="0" w:lastRowLastColumn="0"/>
        </w:trPr>
        <w:tc>
          <w:tcPr>
            <w:tcW w:w="5246" w:type="dxa"/>
            <w:vAlign w:val="bottom"/>
          </w:tcPr>
          <w:p w14:paraId="4E56A687" w14:textId="77777777" w:rsidR="00EC56C8" w:rsidRPr="00CB0607" w:rsidRDefault="00EC56C8" w:rsidP="00B64FE7">
            <w:pPr>
              <w:pStyle w:val="TableColHeadingCenter"/>
            </w:pPr>
            <w:r w:rsidRPr="00CB0607">
              <w:t>Expenditure category</w:t>
            </w:r>
          </w:p>
        </w:tc>
        <w:tc>
          <w:tcPr>
            <w:tcW w:w="1366" w:type="dxa"/>
            <w:vAlign w:val="bottom"/>
          </w:tcPr>
          <w:p w14:paraId="6D3F7071" w14:textId="77777777" w:rsidR="00EC56C8" w:rsidRPr="00CB0607" w:rsidRDefault="00EC56C8" w:rsidP="00B64FE7">
            <w:pPr>
              <w:pStyle w:val="TableColHeadingCenter"/>
            </w:pPr>
            <w:r>
              <w:t xml:space="preserve">FY </w:t>
            </w:r>
            <w:r w:rsidRPr="00CB0607">
              <w:t>20</w:t>
            </w:r>
            <w:r>
              <w:t>22</w:t>
            </w:r>
          </w:p>
        </w:tc>
        <w:tc>
          <w:tcPr>
            <w:tcW w:w="1366" w:type="dxa"/>
            <w:vAlign w:val="bottom"/>
          </w:tcPr>
          <w:p w14:paraId="35C9925E" w14:textId="77777777" w:rsidR="00EC56C8" w:rsidRPr="00CB0607" w:rsidRDefault="00EC56C8" w:rsidP="00B64FE7">
            <w:pPr>
              <w:pStyle w:val="TableColHeadingCenter"/>
            </w:pPr>
            <w:r>
              <w:t xml:space="preserve">FY </w:t>
            </w:r>
            <w:r w:rsidRPr="00CB0607">
              <w:t>202</w:t>
            </w:r>
            <w:r>
              <w:t>3</w:t>
            </w:r>
          </w:p>
        </w:tc>
        <w:tc>
          <w:tcPr>
            <w:tcW w:w="1366" w:type="dxa"/>
            <w:vAlign w:val="bottom"/>
          </w:tcPr>
          <w:p w14:paraId="1100E89B" w14:textId="77777777" w:rsidR="00EC56C8" w:rsidRPr="00CB0607" w:rsidRDefault="00EC56C8" w:rsidP="00B64FE7">
            <w:pPr>
              <w:pStyle w:val="TableColHeadingCenter"/>
            </w:pPr>
            <w:r>
              <w:t xml:space="preserve">FY </w:t>
            </w:r>
            <w:r w:rsidRPr="00CB0607">
              <w:t>202</w:t>
            </w:r>
            <w:r>
              <w:t>4</w:t>
            </w:r>
          </w:p>
        </w:tc>
      </w:tr>
      <w:tr w:rsidR="00EC56C8" w:rsidRPr="00CB0607" w14:paraId="033E9837" w14:textId="77777777" w:rsidTr="00B64FE7">
        <w:trPr>
          <w:cnfStyle w:val="000000100000" w:firstRow="0" w:lastRow="0" w:firstColumn="0" w:lastColumn="0" w:oddVBand="0" w:evenVBand="0" w:oddHBand="1" w:evenHBand="0" w:firstRowFirstColumn="0" w:firstRowLastColumn="0" w:lastRowFirstColumn="0" w:lastRowLastColumn="0"/>
        </w:trPr>
        <w:tc>
          <w:tcPr>
            <w:tcW w:w="5246" w:type="dxa"/>
          </w:tcPr>
          <w:p w14:paraId="6D1BA6E2" w14:textId="77777777" w:rsidR="00EC56C8" w:rsidRPr="00B64FE7" w:rsidRDefault="00EC56C8" w:rsidP="00B64FE7">
            <w:pPr>
              <w:pStyle w:val="TableText"/>
            </w:pPr>
            <w:r w:rsidRPr="00B64FE7">
              <w:t>Administration</w:t>
            </w:r>
          </w:p>
        </w:tc>
        <w:tc>
          <w:tcPr>
            <w:tcW w:w="1366" w:type="dxa"/>
          </w:tcPr>
          <w:p w14:paraId="58DE1693" w14:textId="77777777" w:rsidR="00EC56C8" w:rsidRPr="00B64FE7" w:rsidRDefault="00EC56C8" w:rsidP="00B64FE7">
            <w:pPr>
              <w:pStyle w:val="TableTextCentered"/>
            </w:pPr>
            <w:r w:rsidRPr="00B64FE7">
              <w:t>$1,112</w:t>
            </w:r>
          </w:p>
        </w:tc>
        <w:tc>
          <w:tcPr>
            <w:tcW w:w="1366" w:type="dxa"/>
          </w:tcPr>
          <w:p w14:paraId="5B14E396" w14:textId="77777777" w:rsidR="00EC56C8" w:rsidRPr="00B64FE7" w:rsidRDefault="00EC56C8" w:rsidP="00B64FE7">
            <w:pPr>
              <w:pStyle w:val="TableTextCentered"/>
            </w:pPr>
            <w:r w:rsidRPr="00B64FE7">
              <w:t>$910</w:t>
            </w:r>
          </w:p>
        </w:tc>
        <w:tc>
          <w:tcPr>
            <w:tcW w:w="1366" w:type="dxa"/>
          </w:tcPr>
          <w:p w14:paraId="4B6BD7B2" w14:textId="77777777" w:rsidR="00EC56C8" w:rsidRPr="00B64FE7" w:rsidRDefault="00EC56C8" w:rsidP="00B64FE7">
            <w:pPr>
              <w:pStyle w:val="TableTextCentered"/>
            </w:pPr>
            <w:r w:rsidRPr="00B64FE7">
              <w:t>$762</w:t>
            </w:r>
          </w:p>
        </w:tc>
      </w:tr>
      <w:tr w:rsidR="00EC56C8" w:rsidRPr="00CB0607" w14:paraId="1088C978" w14:textId="77777777" w:rsidTr="00B64FE7">
        <w:tc>
          <w:tcPr>
            <w:tcW w:w="5246" w:type="dxa"/>
          </w:tcPr>
          <w:p w14:paraId="13623393" w14:textId="77777777" w:rsidR="00EC56C8" w:rsidRPr="00B64FE7" w:rsidRDefault="00EC56C8" w:rsidP="00B64FE7">
            <w:pPr>
              <w:pStyle w:val="TableText"/>
            </w:pPr>
            <w:r w:rsidRPr="00B64FE7">
              <w:t>Instructional leadership (district and school)</w:t>
            </w:r>
          </w:p>
        </w:tc>
        <w:tc>
          <w:tcPr>
            <w:tcW w:w="1366" w:type="dxa"/>
          </w:tcPr>
          <w:p w14:paraId="39614DB8" w14:textId="77777777" w:rsidR="00EC56C8" w:rsidRPr="00B64FE7" w:rsidRDefault="00EC56C8" w:rsidP="00B64FE7">
            <w:pPr>
              <w:pStyle w:val="TableTextCentered"/>
            </w:pPr>
            <w:r w:rsidRPr="00B64FE7">
              <w:t>$1,325</w:t>
            </w:r>
          </w:p>
        </w:tc>
        <w:tc>
          <w:tcPr>
            <w:tcW w:w="1366" w:type="dxa"/>
          </w:tcPr>
          <w:p w14:paraId="64EF68FA" w14:textId="77777777" w:rsidR="00EC56C8" w:rsidRPr="00B64FE7" w:rsidRDefault="00EC56C8" w:rsidP="00B64FE7">
            <w:pPr>
              <w:pStyle w:val="TableTextCentered"/>
            </w:pPr>
            <w:r w:rsidRPr="00B64FE7">
              <w:t>$1,899</w:t>
            </w:r>
          </w:p>
        </w:tc>
        <w:tc>
          <w:tcPr>
            <w:tcW w:w="1366" w:type="dxa"/>
          </w:tcPr>
          <w:p w14:paraId="4F9B368E" w14:textId="77777777" w:rsidR="00EC56C8" w:rsidRPr="00B64FE7" w:rsidRDefault="00EC56C8" w:rsidP="00B64FE7">
            <w:pPr>
              <w:pStyle w:val="TableTextCentered"/>
            </w:pPr>
            <w:r w:rsidRPr="00B64FE7">
              <w:t>$1,801</w:t>
            </w:r>
          </w:p>
        </w:tc>
      </w:tr>
      <w:tr w:rsidR="00EC56C8" w:rsidRPr="00CB0607" w14:paraId="472BFE1E" w14:textId="77777777" w:rsidTr="00B64FE7">
        <w:trPr>
          <w:cnfStyle w:val="000000100000" w:firstRow="0" w:lastRow="0" w:firstColumn="0" w:lastColumn="0" w:oddVBand="0" w:evenVBand="0" w:oddHBand="1" w:evenHBand="0" w:firstRowFirstColumn="0" w:firstRowLastColumn="0" w:lastRowFirstColumn="0" w:lastRowLastColumn="0"/>
        </w:trPr>
        <w:tc>
          <w:tcPr>
            <w:tcW w:w="5246" w:type="dxa"/>
          </w:tcPr>
          <w:p w14:paraId="6AA5B8F0" w14:textId="77777777" w:rsidR="00EC56C8" w:rsidRPr="00B64FE7" w:rsidRDefault="00EC56C8" w:rsidP="00B64FE7">
            <w:pPr>
              <w:pStyle w:val="TableText"/>
            </w:pPr>
            <w:r w:rsidRPr="00B64FE7">
              <w:t>Teachers</w:t>
            </w:r>
          </w:p>
        </w:tc>
        <w:tc>
          <w:tcPr>
            <w:tcW w:w="1366" w:type="dxa"/>
          </w:tcPr>
          <w:p w14:paraId="72B4BFCD" w14:textId="77777777" w:rsidR="00EC56C8" w:rsidRPr="00B64FE7" w:rsidRDefault="00EC56C8" w:rsidP="00B64FE7">
            <w:pPr>
              <w:pStyle w:val="TableTextCentered"/>
            </w:pPr>
            <w:r w:rsidRPr="00B64FE7">
              <w:t>$7,432</w:t>
            </w:r>
          </w:p>
        </w:tc>
        <w:tc>
          <w:tcPr>
            <w:tcW w:w="1366" w:type="dxa"/>
          </w:tcPr>
          <w:p w14:paraId="1B2F1BE7" w14:textId="77777777" w:rsidR="00EC56C8" w:rsidRPr="00B64FE7" w:rsidRDefault="00EC56C8" w:rsidP="00B64FE7">
            <w:pPr>
              <w:pStyle w:val="TableTextCentered"/>
            </w:pPr>
            <w:r w:rsidRPr="00B64FE7">
              <w:t>$7,622</w:t>
            </w:r>
          </w:p>
        </w:tc>
        <w:tc>
          <w:tcPr>
            <w:tcW w:w="1366" w:type="dxa"/>
          </w:tcPr>
          <w:p w14:paraId="794E2D47" w14:textId="77777777" w:rsidR="00EC56C8" w:rsidRPr="00B64FE7" w:rsidRDefault="00EC56C8" w:rsidP="00B64FE7">
            <w:pPr>
              <w:pStyle w:val="TableTextCentered"/>
            </w:pPr>
            <w:r w:rsidRPr="00B64FE7">
              <w:t>$6,703</w:t>
            </w:r>
          </w:p>
        </w:tc>
      </w:tr>
      <w:tr w:rsidR="00EC56C8" w:rsidRPr="00CB0607" w14:paraId="6AFEDF31" w14:textId="77777777" w:rsidTr="00B64FE7">
        <w:tc>
          <w:tcPr>
            <w:tcW w:w="5246" w:type="dxa"/>
          </w:tcPr>
          <w:p w14:paraId="7DC0B284" w14:textId="77777777" w:rsidR="00EC56C8" w:rsidRPr="00B64FE7" w:rsidDel="00DB21D5" w:rsidRDefault="00EC56C8" w:rsidP="00B64FE7">
            <w:pPr>
              <w:pStyle w:val="TableText"/>
            </w:pPr>
            <w:r w:rsidRPr="00B64FE7">
              <w:t>Other teaching services</w:t>
            </w:r>
          </w:p>
        </w:tc>
        <w:tc>
          <w:tcPr>
            <w:tcW w:w="1366" w:type="dxa"/>
          </w:tcPr>
          <w:p w14:paraId="648D6830" w14:textId="77777777" w:rsidR="00EC56C8" w:rsidRPr="00B64FE7" w:rsidRDefault="00EC56C8" w:rsidP="00B64FE7">
            <w:pPr>
              <w:pStyle w:val="TableTextCentered"/>
            </w:pPr>
            <w:r w:rsidRPr="00B64FE7">
              <w:t>$1,372</w:t>
            </w:r>
          </w:p>
        </w:tc>
        <w:tc>
          <w:tcPr>
            <w:tcW w:w="1366" w:type="dxa"/>
          </w:tcPr>
          <w:p w14:paraId="1FE2EB8E" w14:textId="77777777" w:rsidR="00EC56C8" w:rsidRPr="00B64FE7" w:rsidRDefault="00EC56C8" w:rsidP="00B64FE7">
            <w:pPr>
              <w:pStyle w:val="TableTextCentered"/>
            </w:pPr>
            <w:r w:rsidRPr="00B64FE7">
              <w:t>$1,358</w:t>
            </w:r>
          </w:p>
        </w:tc>
        <w:tc>
          <w:tcPr>
            <w:tcW w:w="1366" w:type="dxa"/>
          </w:tcPr>
          <w:p w14:paraId="5F737290" w14:textId="77777777" w:rsidR="00EC56C8" w:rsidRPr="00B64FE7" w:rsidRDefault="00EC56C8" w:rsidP="00B64FE7">
            <w:pPr>
              <w:pStyle w:val="TableTextCentered"/>
            </w:pPr>
            <w:r w:rsidRPr="00B64FE7">
              <w:t>$1,593</w:t>
            </w:r>
          </w:p>
        </w:tc>
      </w:tr>
      <w:tr w:rsidR="00EC56C8" w:rsidRPr="00CB0607" w14:paraId="79154650" w14:textId="77777777" w:rsidTr="00B64FE7">
        <w:trPr>
          <w:cnfStyle w:val="000000100000" w:firstRow="0" w:lastRow="0" w:firstColumn="0" w:lastColumn="0" w:oddVBand="0" w:evenVBand="0" w:oddHBand="1" w:evenHBand="0" w:firstRowFirstColumn="0" w:firstRowLastColumn="0" w:lastRowFirstColumn="0" w:lastRowLastColumn="0"/>
        </w:trPr>
        <w:tc>
          <w:tcPr>
            <w:tcW w:w="5246" w:type="dxa"/>
          </w:tcPr>
          <w:p w14:paraId="4EC555AF" w14:textId="77777777" w:rsidR="00EC56C8" w:rsidRPr="00B64FE7" w:rsidRDefault="00EC56C8" w:rsidP="00B64FE7">
            <w:pPr>
              <w:pStyle w:val="TableText"/>
            </w:pPr>
            <w:r w:rsidRPr="00B64FE7">
              <w:t>Professional development</w:t>
            </w:r>
          </w:p>
        </w:tc>
        <w:tc>
          <w:tcPr>
            <w:tcW w:w="1366" w:type="dxa"/>
          </w:tcPr>
          <w:p w14:paraId="0374F039" w14:textId="77777777" w:rsidR="00EC56C8" w:rsidRPr="00B64FE7" w:rsidRDefault="00EC56C8" w:rsidP="00B64FE7">
            <w:pPr>
              <w:pStyle w:val="TableTextCentered"/>
            </w:pPr>
            <w:r w:rsidRPr="00B64FE7">
              <w:t>$59</w:t>
            </w:r>
          </w:p>
        </w:tc>
        <w:tc>
          <w:tcPr>
            <w:tcW w:w="1366" w:type="dxa"/>
          </w:tcPr>
          <w:p w14:paraId="38305F6C" w14:textId="77777777" w:rsidR="00EC56C8" w:rsidRPr="00B64FE7" w:rsidRDefault="00EC56C8" w:rsidP="00B64FE7">
            <w:pPr>
              <w:pStyle w:val="TableTextCentered"/>
            </w:pPr>
            <w:r w:rsidRPr="00B64FE7">
              <w:t>$134</w:t>
            </w:r>
          </w:p>
        </w:tc>
        <w:tc>
          <w:tcPr>
            <w:tcW w:w="1366" w:type="dxa"/>
          </w:tcPr>
          <w:p w14:paraId="32C98C39" w14:textId="77777777" w:rsidR="00EC56C8" w:rsidRPr="00B64FE7" w:rsidRDefault="00EC56C8" w:rsidP="00B64FE7">
            <w:pPr>
              <w:pStyle w:val="TableTextCentered"/>
            </w:pPr>
            <w:r w:rsidRPr="00B64FE7">
              <w:t>$239</w:t>
            </w:r>
          </w:p>
        </w:tc>
      </w:tr>
      <w:tr w:rsidR="00EC56C8" w:rsidRPr="00CB0607" w14:paraId="46A5F69D" w14:textId="77777777" w:rsidTr="00B64FE7">
        <w:tc>
          <w:tcPr>
            <w:tcW w:w="5246" w:type="dxa"/>
          </w:tcPr>
          <w:p w14:paraId="40376293" w14:textId="77777777" w:rsidR="00EC56C8" w:rsidRPr="00B64FE7" w:rsidRDefault="00EC56C8" w:rsidP="00B64FE7">
            <w:pPr>
              <w:pStyle w:val="TableText"/>
            </w:pPr>
            <w:r w:rsidRPr="00B64FE7">
              <w:t>Instructional materials, equipment, and technology</w:t>
            </w:r>
          </w:p>
        </w:tc>
        <w:tc>
          <w:tcPr>
            <w:tcW w:w="1366" w:type="dxa"/>
          </w:tcPr>
          <w:p w14:paraId="27CD7074" w14:textId="77777777" w:rsidR="00EC56C8" w:rsidRPr="00B64FE7" w:rsidRDefault="00EC56C8" w:rsidP="00B64FE7">
            <w:pPr>
              <w:pStyle w:val="TableTextCentered"/>
            </w:pPr>
            <w:r w:rsidRPr="00B64FE7">
              <w:t>$1,014</w:t>
            </w:r>
          </w:p>
        </w:tc>
        <w:tc>
          <w:tcPr>
            <w:tcW w:w="1366" w:type="dxa"/>
          </w:tcPr>
          <w:p w14:paraId="0F5FDDD2" w14:textId="77777777" w:rsidR="00EC56C8" w:rsidRPr="00B64FE7" w:rsidRDefault="00EC56C8" w:rsidP="00B64FE7">
            <w:pPr>
              <w:pStyle w:val="TableTextCentered"/>
            </w:pPr>
            <w:r w:rsidRPr="00B64FE7">
              <w:t>$737</w:t>
            </w:r>
          </w:p>
        </w:tc>
        <w:tc>
          <w:tcPr>
            <w:tcW w:w="1366" w:type="dxa"/>
          </w:tcPr>
          <w:p w14:paraId="6BCD864C" w14:textId="77777777" w:rsidR="00EC56C8" w:rsidRPr="00B64FE7" w:rsidRDefault="00EC56C8" w:rsidP="00B64FE7">
            <w:pPr>
              <w:pStyle w:val="TableTextCentered"/>
            </w:pPr>
            <w:r w:rsidRPr="00B64FE7">
              <w:t>$267</w:t>
            </w:r>
          </w:p>
        </w:tc>
      </w:tr>
      <w:tr w:rsidR="00EC56C8" w:rsidRPr="00CB0607" w14:paraId="7C8E5387" w14:textId="77777777" w:rsidTr="00B64FE7">
        <w:trPr>
          <w:cnfStyle w:val="000000100000" w:firstRow="0" w:lastRow="0" w:firstColumn="0" w:lastColumn="0" w:oddVBand="0" w:evenVBand="0" w:oddHBand="1" w:evenHBand="0" w:firstRowFirstColumn="0" w:firstRowLastColumn="0" w:lastRowFirstColumn="0" w:lastRowLastColumn="0"/>
        </w:trPr>
        <w:tc>
          <w:tcPr>
            <w:tcW w:w="5246" w:type="dxa"/>
          </w:tcPr>
          <w:p w14:paraId="67F2B92D" w14:textId="77777777" w:rsidR="00EC56C8" w:rsidRPr="00B64FE7" w:rsidRDefault="00EC56C8" w:rsidP="00B64FE7">
            <w:pPr>
              <w:pStyle w:val="TableText"/>
            </w:pPr>
            <w:r w:rsidRPr="00B64FE7">
              <w:t>Guidance, counseling, and testing services</w:t>
            </w:r>
          </w:p>
        </w:tc>
        <w:tc>
          <w:tcPr>
            <w:tcW w:w="1366" w:type="dxa"/>
          </w:tcPr>
          <w:p w14:paraId="65B6F2E0" w14:textId="77777777" w:rsidR="00EC56C8" w:rsidRPr="00B64FE7" w:rsidRDefault="00EC56C8" w:rsidP="00B64FE7">
            <w:pPr>
              <w:pStyle w:val="TableTextCentered"/>
            </w:pPr>
            <w:r w:rsidRPr="00B64FE7">
              <w:t>$907</w:t>
            </w:r>
          </w:p>
        </w:tc>
        <w:tc>
          <w:tcPr>
            <w:tcW w:w="1366" w:type="dxa"/>
          </w:tcPr>
          <w:p w14:paraId="36905B0F" w14:textId="77777777" w:rsidR="00EC56C8" w:rsidRPr="00B64FE7" w:rsidRDefault="00EC56C8" w:rsidP="00B64FE7">
            <w:pPr>
              <w:pStyle w:val="TableTextCentered"/>
            </w:pPr>
            <w:r w:rsidRPr="00B64FE7">
              <w:t>$860</w:t>
            </w:r>
          </w:p>
        </w:tc>
        <w:tc>
          <w:tcPr>
            <w:tcW w:w="1366" w:type="dxa"/>
          </w:tcPr>
          <w:p w14:paraId="5B022690" w14:textId="77777777" w:rsidR="00EC56C8" w:rsidRPr="00B64FE7" w:rsidRDefault="00EC56C8" w:rsidP="00B64FE7">
            <w:pPr>
              <w:pStyle w:val="TableTextCentered"/>
            </w:pPr>
            <w:r w:rsidRPr="00B64FE7">
              <w:t>$739</w:t>
            </w:r>
          </w:p>
        </w:tc>
      </w:tr>
      <w:tr w:rsidR="00EC56C8" w:rsidRPr="00CB0607" w14:paraId="1C38DE38" w14:textId="77777777" w:rsidTr="00B64FE7">
        <w:tc>
          <w:tcPr>
            <w:tcW w:w="5246" w:type="dxa"/>
          </w:tcPr>
          <w:p w14:paraId="7B274D7D" w14:textId="77777777" w:rsidR="00EC56C8" w:rsidRPr="00B64FE7" w:rsidRDefault="00EC56C8" w:rsidP="00B64FE7">
            <w:pPr>
              <w:pStyle w:val="TableText"/>
            </w:pPr>
            <w:r w:rsidRPr="00B64FE7">
              <w:t>Pupil services</w:t>
            </w:r>
          </w:p>
        </w:tc>
        <w:tc>
          <w:tcPr>
            <w:tcW w:w="1366" w:type="dxa"/>
          </w:tcPr>
          <w:p w14:paraId="2DD4A088" w14:textId="77777777" w:rsidR="00EC56C8" w:rsidRPr="00B64FE7" w:rsidRDefault="00EC56C8" w:rsidP="00B64FE7">
            <w:pPr>
              <w:pStyle w:val="TableTextCentered"/>
            </w:pPr>
            <w:r w:rsidRPr="00B64FE7">
              <w:t>$2,545</w:t>
            </w:r>
          </w:p>
        </w:tc>
        <w:tc>
          <w:tcPr>
            <w:tcW w:w="1366" w:type="dxa"/>
          </w:tcPr>
          <w:p w14:paraId="511F5F71" w14:textId="77777777" w:rsidR="00EC56C8" w:rsidRPr="00B64FE7" w:rsidRDefault="00EC56C8" w:rsidP="00B64FE7">
            <w:pPr>
              <w:pStyle w:val="TableTextCentered"/>
            </w:pPr>
            <w:r w:rsidRPr="00B64FE7">
              <w:t>$2,162</w:t>
            </w:r>
          </w:p>
        </w:tc>
        <w:tc>
          <w:tcPr>
            <w:tcW w:w="1366" w:type="dxa"/>
          </w:tcPr>
          <w:p w14:paraId="3B9D4A51" w14:textId="77777777" w:rsidR="00EC56C8" w:rsidRPr="00B64FE7" w:rsidRDefault="00EC56C8" w:rsidP="00B64FE7">
            <w:pPr>
              <w:pStyle w:val="TableTextCentered"/>
            </w:pPr>
            <w:r w:rsidRPr="00B64FE7">
              <w:t>$3,014</w:t>
            </w:r>
          </w:p>
        </w:tc>
      </w:tr>
      <w:tr w:rsidR="00EC56C8" w:rsidRPr="00CB0607" w14:paraId="5098EE44" w14:textId="77777777" w:rsidTr="00B64FE7">
        <w:trPr>
          <w:cnfStyle w:val="000000100000" w:firstRow="0" w:lastRow="0" w:firstColumn="0" w:lastColumn="0" w:oddVBand="0" w:evenVBand="0" w:oddHBand="1" w:evenHBand="0" w:firstRowFirstColumn="0" w:firstRowLastColumn="0" w:lastRowFirstColumn="0" w:lastRowLastColumn="0"/>
        </w:trPr>
        <w:tc>
          <w:tcPr>
            <w:tcW w:w="5246" w:type="dxa"/>
          </w:tcPr>
          <w:p w14:paraId="4CB1C72F" w14:textId="77777777" w:rsidR="00EC56C8" w:rsidRPr="00B64FE7" w:rsidRDefault="00EC56C8" w:rsidP="00B64FE7">
            <w:pPr>
              <w:pStyle w:val="TableText"/>
            </w:pPr>
            <w:r w:rsidRPr="00B64FE7">
              <w:t>Operations and maintenance</w:t>
            </w:r>
          </w:p>
        </w:tc>
        <w:tc>
          <w:tcPr>
            <w:tcW w:w="1366" w:type="dxa"/>
          </w:tcPr>
          <w:p w14:paraId="5B3342CB" w14:textId="77777777" w:rsidR="00EC56C8" w:rsidRPr="00B64FE7" w:rsidRDefault="00EC56C8" w:rsidP="00B64FE7">
            <w:pPr>
              <w:pStyle w:val="TableTextCentered"/>
            </w:pPr>
            <w:r w:rsidRPr="00B64FE7">
              <w:t>$1,383</w:t>
            </w:r>
          </w:p>
        </w:tc>
        <w:tc>
          <w:tcPr>
            <w:tcW w:w="1366" w:type="dxa"/>
          </w:tcPr>
          <w:p w14:paraId="58965517" w14:textId="77777777" w:rsidR="00EC56C8" w:rsidRPr="00B64FE7" w:rsidRDefault="00EC56C8" w:rsidP="00B64FE7">
            <w:pPr>
              <w:pStyle w:val="TableTextCentered"/>
            </w:pPr>
            <w:r w:rsidRPr="00B64FE7">
              <w:t>$1,870</w:t>
            </w:r>
          </w:p>
        </w:tc>
        <w:tc>
          <w:tcPr>
            <w:tcW w:w="1366" w:type="dxa"/>
          </w:tcPr>
          <w:p w14:paraId="1A4B2A0D" w14:textId="77777777" w:rsidR="00EC56C8" w:rsidRPr="00B64FE7" w:rsidRDefault="00EC56C8" w:rsidP="00B64FE7">
            <w:pPr>
              <w:pStyle w:val="TableTextCentered"/>
            </w:pPr>
            <w:r w:rsidRPr="00B64FE7">
              <w:t>$1,639</w:t>
            </w:r>
          </w:p>
        </w:tc>
      </w:tr>
      <w:tr w:rsidR="00EC56C8" w:rsidRPr="00CB0607" w14:paraId="73758BA3" w14:textId="77777777" w:rsidTr="00B64FE7">
        <w:tc>
          <w:tcPr>
            <w:tcW w:w="5246" w:type="dxa"/>
          </w:tcPr>
          <w:p w14:paraId="15F993BA" w14:textId="77777777" w:rsidR="00EC56C8" w:rsidRPr="00B64FE7" w:rsidRDefault="00EC56C8" w:rsidP="00B64FE7">
            <w:pPr>
              <w:pStyle w:val="TableText"/>
            </w:pPr>
            <w:r w:rsidRPr="00B64FE7">
              <w:t>Insurance, retirement, and other fixed costs</w:t>
            </w:r>
          </w:p>
        </w:tc>
        <w:tc>
          <w:tcPr>
            <w:tcW w:w="1366" w:type="dxa"/>
          </w:tcPr>
          <w:p w14:paraId="22A50510" w14:textId="77777777" w:rsidR="00EC56C8" w:rsidRPr="00B64FE7" w:rsidRDefault="00EC56C8" w:rsidP="00B64FE7">
            <w:pPr>
              <w:pStyle w:val="TableTextCentered"/>
            </w:pPr>
            <w:r w:rsidRPr="00B64FE7">
              <w:t>$3,245</w:t>
            </w:r>
          </w:p>
        </w:tc>
        <w:tc>
          <w:tcPr>
            <w:tcW w:w="1366" w:type="dxa"/>
          </w:tcPr>
          <w:p w14:paraId="2FBFFD06" w14:textId="77777777" w:rsidR="00EC56C8" w:rsidRPr="00B64FE7" w:rsidRDefault="00EC56C8" w:rsidP="00B64FE7">
            <w:pPr>
              <w:pStyle w:val="TableTextCentered"/>
            </w:pPr>
            <w:r w:rsidRPr="00B64FE7">
              <w:t>$4,648</w:t>
            </w:r>
          </w:p>
        </w:tc>
        <w:tc>
          <w:tcPr>
            <w:tcW w:w="1366" w:type="dxa"/>
          </w:tcPr>
          <w:p w14:paraId="735A8A38" w14:textId="77777777" w:rsidR="00EC56C8" w:rsidRPr="00B64FE7" w:rsidRDefault="00EC56C8" w:rsidP="00B64FE7">
            <w:pPr>
              <w:pStyle w:val="TableTextCentered"/>
            </w:pPr>
            <w:r w:rsidRPr="00B64FE7">
              <w:t>$3,307</w:t>
            </w:r>
          </w:p>
        </w:tc>
      </w:tr>
      <w:tr w:rsidR="00EC56C8" w:rsidRPr="00CB0607" w14:paraId="427DABB7" w14:textId="77777777" w:rsidTr="00B64FE7">
        <w:trPr>
          <w:cnfStyle w:val="000000100000" w:firstRow="0" w:lastRow="0" w:firstColumn="0" w:lastColumn="0" w:oddVBand="0" w:evenVBand="0" w:oddHBand="1" w:evenHBand="0" w:firstRowFirstColumn="0" w:firstRowLastColumn="0" w:lastRowFirstColumn="0" w:lastRowLastColumn="0"/>
        </w:trPr>
        <w:tc>
          <w:tcPr>
            <w:tcW w:w="5246" w:type="dxa"/>
          </w:tcPr>
          <w:p w14:paraId="7F7AF1CF" w14:textId="77777777" w:rsidR="00EC56C8" w:rsidRPr="00B64FE7" w:rsidRDefault="00EC56C8" w:rsidP="00B64FE7">
            <w:pPr>
              <w:pStyle w:val="TableText"/>
            </w:pPr>
            <w:r w:rsidRPr="00B64FE7">
              <w:t>Total expenditures per in-district pupil</w:t>
            </w:r>
          </w:p>
        </w:tc>
        <w:tc>
          <w:tcPr>
            <w:tcW w:w="1366" w:type="dxa"/>
          </w:tcPr>
          <w:p w14:paraId="2A9B8D4F" w14:textId="77777777" w:rsidR="00EC56C8" w:rsidRPr="00B64FE7" w:rsidRDefault="00EC56C8" w:rsidP="00B64FE7">
            <w:pPr>
              <w:pStyle w:val="TableTextCentered"/>
            </w:pPr>
            <w:r w:rsidRPr="00B64FE7">
              <w:t>$20,394</w:t>
            </w:r>
          </w:p>
        </w:tc>
        <w:tc>
          <w:tcPr>
            <w:tcW w:w="1366" w:type="dxa"/>
          </w:tcPr>
          <w:p w14:paraId="2C88D3F6" w14:textId="77777777" w:rsidR="00EC56C8" w:rsidRPr="00B64FE7" w:rsidRDefault="00EC56C8" w:rsidP="00B64FE7">
            <w:pPr>
              <w:pStyle w:val="TableTextCentered"/>
            </w:pPr>
            <w:r w:rsidRPr="00B64FE7">
              <w:t>$22,201</w:t>
            </w:r>
          </w:p>
        </w:tc>
        <w:tc>
          <w:tcPr>
            <w:tcW w:w="1366" w:type="dxa"/>
          </w:tcPr>
          <w:p w14:paraId="18384A0E" w14:textId="4D067D7E" w:rsidR="00EC56C8" w:rsidRPr="00B64FE7" w:rsidRDefault="00EC56C8" w:rsidP="00B64FE7">
            <w:pPr>
              <w:pStyle w:val="TableTextCentered"/>
            </w:pPr>
            <w:r w:rsidRPr="00B64FE7">
              <w:t>$20,064</w:t>
            </w:r>
          </w:p>
        </w:tc>
      </w:tr>
    </w:tbl>
    <w:p w14:paraId="2F68A6A6" w14:textId="621EA08D" w:rsidR="006A41AF" w:rsidRDefault="00EC56C8" w:rsidP="00E37559">
      <w:pPr>
        <w:pStyle w:val="TableNote"/>
      </w:pPr>
      <w:r w:rsidRPr="00CB0607">
        <w:rPr>
          <w:i/>
          <w:iCs/>
          <w:szCs w:val="20"/>
        </w:rPr>
        <w:t>Note</w:t>
      </w:r>
      <w:r w:rsidRPr="00CB0607">
        <w:rPr>
          <w:szCs w:val="20"/>
        </w:rPr>
        <w:t xml:space="preserve">. Any discrepancy between expenditures and total is because of rounding. Data are </w:t>
      </w:r>
      <w:r>
        <w:t xml:space="preserve">from the School Finance </w:t>
      </w:r>
      <w:r w:rsidRPr="00E37559">
        <w:t>Dashboard</w:t>
      </w:r>
      <w:r>
        <w:t xml:space="preserve"> sourced from </w:t>
      </w:r>
      <w:hyperlink r:id="rId90" w:history="1">
        <w:r>
          <w:rPr>
            <w:rStyle w:val="Hyperlink"/>
          </w:rPr>
          <w:t>Resource Allocation and District Action Reports (RADAR)</w:t>
        </w:r>
      </w:hyperlink>
      <w:r>
        <w:t xml:space="preserve"> </w:t>
      </w:r>
      <w:r w:rsidRPr="003C6B4E">
        <w:t>last updated April 2025.</w:t>
      </w:r>
    </w:p>
    <w:p w14:paraId="47E28A7D" w14:textId="77777777" w:rsidR="00B678B5" w:rsidRPr="00B678B5" w:rsidRDefault="00B678B5" w:rsidP="00E37559">
      <w:pPr>
        <w:pStyle w:val="TableNote"/>
        <w:sectPr w:rsidR="00B678B5" w:rsidRPr="00B678B5" w:rsidSect="00D67AD2">
          <w:headerReference w:type="even" r:id="rId91"/>
          <w:headerReference w:type="default" r:id="rId92"/>
          <w:footerReference w:type="default" r:id="rId93"/>
          <w:headerReference w:type="first" r:id="rId94"/>
          <w:pgSz w:w="12240" w:h="15840"/>
          <w:pgMar w:top="1440" w:right="1440" w:bottom="1440" w:left="1440" w:header="720" w:footer="720" w:gutter="0"/>
          <w:pgNumType w:start="1"/>
          <w:cols w:space="720"/>
          <w:docGrid w:linePitch="360"/>
        </w:sectPr>
      </w:pPr>
    </w:p>
    <w:p w14:paraId="6B76FC8C" w14:textId="18814A9C" w:rsidR="000A1B38" w:rsidRPr="00C75B66" w:rsidRDefault="000A1B38" w:rsidP="0042477D">
      <w:pPr>
        <w:pStyle w:val="Heading2"/>
        <w:rPr>
          <w:rFonts w:ascii="Franklin Gothic Book" w:eastAsia="Calibri" w:hAnsi="Franklin Gothic Book" w:cs="Times New Roman"/>
          <w:color w:val="2F5496"/>
          <w:szCs w:val="32"/>
        </w:rPr>
      </w:pPr>
      <w:bookmarkStart w:id="209" w:name="_Toc118728213"/>
      <w:bookmarkStart w:id="210" w:name="_Toc235104385"/>
      <w:bookmarkStart w:id="211" w:name="_Toc235104460"/>
      <w:bookmarkStart w:id="212" w:name="_Hlk138316045"/>
      <w:bookmarkEnd w:id="208"/>
      <w:r w:rsidRPr="0042477D">
        <w:t>Appendix E. Brockton Public Schools: Student Performance Data</w:t>
      </w:r>
      <w:bookmarkEnd w:id="209"/>
      <w:bookmarkEnd w:id="210"/>
      <w:r>
        <w:rPr>
          <w:rStyle w:val="FootnoteReference"/>
          <w:rFonts w:ascii="Franklin Gothic Medium" w:eastAsia="Franklin Gothic Book" w:hAnsi="Franklin Gothic Medium" w:cs="Tahoma"/>
          <w:color w:val="2E74B5" w:themeColor="accent1" w:themeShade="BF"/>
          <w:sz w:val="32"/>
          <w:szCs w:val="32"/>
        </w:rPr>
        <w:footnoteReference w:id="6"/>
      </w:r>
      <w:bookmarkEnd w:id="211"/>
    </w:p>
    <w:bookmarkStart w:id="213" w:name="_Toc211930031"/>
    <w:bookmarkStart w:id="214" w:name="_Hlk204603145"/>
    <w:bookmarkEnd w:id="212"/>
    <w:p w14:paraId="2D5FAFE1" w14:textId="759825FE" w:rsidR="0082637F" w:rsidRDefault="0082637F" w:rsidP="0082637F">
      <w:pPr>
        <w:pStyle w:val="TOC1"/>
        <w:tabs>
          <w:tab w:val="right" w:leader="dot" w:pos="12950"/>
        </w:tabs>
        <w:spacing w:after="80"/>
        <w:rPr>
          <w:rFonts w:eastAsiaTheme="minorEastAsia"/>
          <w:noProof/>
          <w:kern w:val="2"/>
          <w:sz w:val="24"/>
          <w:szCs w:val="24"/>
          <w14:ligatures w14:val="standardContextual"/>
        </w:rPr>
      </w:pPr>
      <w:r>
        <w:fldChar w:fldCharType="begin"/>
      </w:r>
      <w:r>
        <w:instrText xml:space="preserve"> TOC \h \z \t "Table E Title,1" </w:instrText>
      </w:r>
      <w:r>
        <w:fldChar w:fldCharType="separate"/>
      </w:r>
      <w:hyperlink w:anchor="_Toc230970161" w:history="1">
        <w:r w:rsidRPr="00BC6FD7">
          <w:rPr>
            <w:rStyle w:val="Hyperlink"/>
            <w:noProof/>
          </w:rPr>
          <w:t>Table E1. MCAS ELA Achievement by Student Group, Grades 3-8, 2023-2025</w:t>
        </w:r>
        <w:r>
          <w:rPr>
            <w:noProof/>
            <w:webHidden/>
          </w:rPr>
          <w:tab/>
        </w:r>
        <w:r w:rsidR="00325CAF">
          <w:rPr>
            <w:noProof/>
            <w:webHidden/>
          </w:rPr>
          <w:t>E-</w:t>
        </w:r>
        <w:r>
          <w:rPr>
            <w:noProof/>
            <w:webHidden/>
          </w:rPr>
          <w:fldChar w:fldCharType="begin"/>
        </w:r>
        <w:r>
          <w:rPr>
            <w:noProof/>
            <w:webHidden/>
          </w:rPr>
          <w:instrText xml:space="preserve"> PAGEREF _Toc230970161 \h </w:instrText>
        </w:r>
        <w:r>
          <w:rPr>
            <w:noProof/>
            <w:webHidden/>
          </w:rPr>
        </w:r>
        <w:r>
          <w:rPr>
            <w:noProof/>
            <w:webHidden/>
          </w:rPr>
          <w:fldChar w:fldCharType="separate"/>
        </w:r>
        <w:r w:rsidR="00B13DC7">
          <w:rPr>
            <w:noProof/>
            <w:webHidden/>
          </w:rPr>
          <w:t>2</w:t>
        </w:r>
        <w:r>
          <w:rPr>
            <w:noProof/>
            <w:webHidden/>
          </w:rPr>
          <w:fldChar w:fldCharType="end"/>
        </w:r>
      </w:hyperlink>
    </w:p>
    <w:p w14:paraId="4AEB0362" w14:textId="03404BF3"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62" w:history="1">
        <w:r w:rsidRPr="00BC6FD7">
          <w:rPr>
            <w:rStyle w:val="Hyperlink"/>
            <w:noProof/>
          </w:rPr>
          <w:t>Table E2. MCAS ELA Achievement by Student Group, Grade 10, 2023-2025</w:t>
        </w:r>
        <w:r>
          <w:rPr>
            <w:noProof/>
            <w:webHidden/>
          </w:rPr>
          <w:tab/>
        </w:r>
        <w:r w:rsidR="00325CAF">
          <w:rPr>
            <w:noProof/>
            <w:webHidden/>
          </w:rPr>
          <w:t>E-</w:t>
        </w:r>
        <w:r>
          <w:rPr>
            <w:noProof/>
            <w:webHidden/>
          </w:rPr>
          <w:fldChar w:fldCharType="begin"/>
        </w:r>
        <w:r>
          <w:rPr>
            <w:noProof/>
            <w:webHidden/>
          </w:rPr>
          <w:instrText xml:space="preserve"> PAGEREF _Toc230970162 \h </w:instrText>
        </w:r>
        <w:r>
          <w:rPr>
            <w:noProof/>
            <w:webHidden/>
          </w:rPr>
        </w:r>
        <w:r>
          <w:rPr>
            <w:noProof/>
            <w:webHidden/>
          </w:rPr>
          <w:fldChar w:fldCharType="separate"/>
        </w:r>
        <w:r w:rsidR="00B13DC7">
          <w:rPr>
            <w:noProof/>
            <w:webHidden/>
          </w:rPr>
          <w:t>2</w:t>
        </w:r>
        <w:r>
          <w:rPr>
            <w:noProof/>
            <w:webHidden/>
          </w:rPr>
          <w:fldChar w:fldCharType="end"/>
        </w:r>
      </w:hyperlink>
    </w:p>
    <w:p w14:paraId="34EDACBB" w14:textId="17212A66"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63" w:history="1">
        <w:r w:rsidRPr="00BC6FD7">
          <w:rPr>
            <w:rStyle w:val="Hyperlink"/>
            <w:noProof/>
          </w:rPr>
          <w:t>Table E3. MCAS Mathematics Achievement by Student Group, Grades 3-8, 2023-2025</w:t>
        </w:r>
        <w:r>
          <w:rPr>
            <w:noProof/>
            <w:webHidden/>
          </w:rPr>
          <w:tab/>
        </w:r>
        <w:r w:rsidR="00325CAF">
          <w:rPr>
            <w:noProof/>
            <w:webHidden/>
          </w:rPr>
          <w:t>E-</w:t>
        </w:r>
        <w:r>
          <w:rPr>
            <w:noProof/>
            <w:webHidden/>
          </w:rPr>
          <w:fldChar w:fldCharType="begin"/>
        </w:r>
        <w:r>
          <w:rPr>
            <w:noProof/>
            <w:webHidden/>
          </w:rPr>
          <w:instrText xml:space="preserve"> PAGEREF _Toc230970163 \h </w:instrText>
        </w:r>
        <w:r>
          <w:rPr>
            <w:noProof/>
            <w:webHidden/>
          </w:rPr>
        </w:r>
        <w:r>
          <w:rPr>
            <w:noProof/>
            <w:webHidden/>
          </w:rPr>
          <w:fldChar w:fldCharType="separate"/>
        </w:r>
        <w:r w:rsidR="00B13DC7">
          <w:rPr>
            <w:noProof/>
            <w:webHidden/>
          </w:rPr>
          <w:t>3</w:t>
        </w:r>
        <w:r>
          <w:rPr>
            <w:noProof/>
            <w:webHidden/>
          </w:rPr>
          <w:fldChar w:fldCharType="end"/>
        </w:r>
      </w:hyperlink>
    </w:p>
    <w:p w14:paraId="1D084B84" w14:textId="77242FF0"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64" w:history="1">
        <w:r w:rsidRPr="00BC6FD7">
          <w:rPr>
            <w:rStyle w:val="Hyperlink"/>
            <w:noProof/>
          </w:rPr>
          <w:t>Table E4. MCAS Mathematics Achievement by Student Group, Grade 10, 2023-2025</w:t>
        </w:r>
        <w:r>
          <w:rPr>
            <w:noProof/>
            <w:webHidden/>
          </w:rPr>
          <w:tab/>
        </w:r>
        <w:r w:rsidR="00325CAF">
          <w:rPr>
            <w:noProof/>
            <w:webHidden/>
          </w:rPr>
          <w:t>E-</w:t>
        </w:r>
        <w:r>
          <w:rPr>
            <w:noProof/>
            <w:webHidden/>
          </w:rPr>
          <w:fldChar w:fldCharType="begin"/>
        </w:r>
        <w:r>
          <w:rPr>
            <w:noProof/>
            <w:webHidden/>
          </w:rPr>
          <w:instrText xml:space="preserve"> PAGEREF _Toc230970164 \h </w:instrText>
        </w:r>
        <w:r>
          <w:rPr>
            <w:noProof/>
            <w:webHidden/>
          </w:rPr>
        </w:r>
        <w:r>
          <w:rPr>
            <w:noProof/>
            <w:webHidden/>
          </w:rPr>
          <w:fldChar w:fldCharType="separate"/>
        </w:r>
        <w:r w:rsidR="00B13DC7">
          <w:rPr>
            <w:noProof/>
            <w:webHidden/>
          </w:rPr>
          <w:t>3</w:t>
        </w:r>
        <w:r>
          <w:rPr>
            <w:noProof/>
            <w:webHidden/>
          </w:rPr>
          <w:fldChar w:fldCharType="end"/>
        </w:r>
      </w:hyperlink>
    </w:p>
    <w:p w14:paraId="6245C8AA" w14:textId="054EB3CF"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65" w:history="1">
        <w:r w:rsidRPr="00BC6FD7">
          <w:rPr>
            <w:rStyle w:val="Hyperlink"/>
            <w:noProof/>
          </w:rPr>
          <w:t>Table E5. MCAS Science Achievement by Student Group, Grades 5 and 8, 2023-2025</w:t>
        </w:r>
        <w:r>
          <w:rPr>
            <w:noProof/>
            <w:webHidden/>
          </w:rPr>
          <w:tab/>
        </w:r>
        <w:r w:rsidR="00325CAF">
          <w:rPr>
            <w:noProof/>
            <w:webHidden/>
          </w:rPr>
          <w:t>E-</w:t>
        </w:r>
        <w:r>
          <w:rPr>
            <w:noProof/>
            <w:webHidden/>
          </w:rPr>
          <w:fldChar w:fldCharType="begin"/>
        </w:r>
        <w:r>
          <w:rPr>
            <w:noProof/>
            <w:webHidden/>
          </w:rPr>
          <w:instrText xml:space="preserve"> PAGEREF _Toc230970165 \h </w:instrText>
        </w:r>
        <w:r>
          <w:rPr>
            <w:noProof/>
            <w:webHidden/>
          </w:rPr>
        </w:r>
        <w:r>
          <w:rPr>
            <w:noProof/>
            <w:webHidden/>
          </w:rPr>
          <w:fldChar w:fldCharType="separate"/>
        </w:r>
        <w:r w:rsidR="00B13DC7">
          <w:rPr>
            <w:noProof/>
            <w:webHidden/>
          </w:rPr>
          <w:t>4</w:t>
        </w:r>
        <w:r>
          <w:rPr>
            <w:noProof/>
            <w:webHidden/>
          </w:rPr>
          <w:fldChar w:fldCharType="end"/>
        </w:r>
      </w:hyperlink>
    </w:p>
    <w:p w14:paraId="2A300710" w14:textId="4CC073C4"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66" w:history="1">
        <w:r w:rsidRPr="00BC6FD7">
          <w:rPr>
            <w:rStyle w:val="Hyperlink"/>
            <w:noProof/>
          </w:rPr>
          <w:t>Table E6. MCAS Science Achievement by Student Group, Grade 10, 2023-2025</w:t>
        </w:r>
        <w:r>
          <w:rPr>
            <w:noProof/>
            <w:webHidden/>
          </w:rPr>
          <w:tab/>
        </w:r>
        <w:r w:rsidR="00325CAF">
          <w:rPr>
            <w:noProof/>
            <w:webHidden/>
          </w:rPr>
          <w:t>E-</w:t>
        </w:r>
        <w:r>
          <w:rPr>
            <w:noProof/>
            <w:webHidden/>
          </w:rPr>
          <w:fldChar w:fldCharType="begin"/>
        </w:r>
        <w:r>
          <w:rPr>
            <w:noProof/>
            <w:webHidden/>
          </w:rPr>
          <w:instrText xml:space="preserve"> PAGEREF _Toc230970166 \h </w:instrText>
        </w:r>
        <w:r>
          <w:rPr>
            <w:noProof/>
            <w:webHidden/>
          </w:rPr>
        </w:r>
        <w:r>
          <w:rPr>
            <w:noProof/>
            <w:webHidden/>
          </w:rPr>
          <w:fldChar w:fldCharType="separate"/>
        </w:r>
        <w:r w:rsidR="00B13DC7">
          <w:rPr>
            <w:noProof/>
            <w:webHidden/>
          </w:rPr>
          <w:t>4</w:t>
        </w:r>
        <w:r>
          <w:rPr>
            <w:noProof/>
            <w:webHidden/>
          </w:rPr>
          <w:fldChar w:fldCharType="end"/>
        </w:r>
      </w:hyperlink>
    </w:p>
    <w:p w14:paraId="0F8BBA78" w14:textId="666AA40E"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67" w:history="1">
        <w:r w:rsidRPr="00BC6FD7">
          <w:rPr>
            <w:rStyle w:val="Hyperlink"/>
            <w:noProof/>
          </w:rPr>
          <w:t>Table E7. MCAS ELA Achievement by Grade, 2023-2025</w:t>
        </w:r>
        <w:r>
          <w:rPr>
            <w:noProof/>
            <w:webHidden/>
          </w:rPr>
          <w:tab/>
        </w:r>
        <w:r w:rsidR="00325CAF">
          <w:rPr>
            <w:noProof/>
            <w:webHidden/>
          </w:rPr>
          <w:t>E-</w:t>
        </w:r>
        <w:r>
          <w:rPr>
            <w:noProof/>
            <w:webHidden/>
          </w:rPr>
          <w:fldChar w:fldCharType="begin"/>
        </w:r>
        <w:r>
          <w:rPr>
            <w:noProof/>
            <w:webHidden/>
          </w:rPr>
          <w:instrText xml:space="preserve"> PAGEREF _Toc230970167 \h </w:instrText>
        </w:r>
        <w:r>
          <w:rPr>
            <w:noProof/>
            <w:webHidden/>
          </w:rPr>
        </w:r>
        <w:r>
          <w:rPr>
            <w:noProof/>
            <w:webHidden/>
          </w:rPr>
          <w:fldChar w:fldCharType="separate"/>
        </w:r>
        <w:r w:rsidR="00B13DC7">
          <w:rPr>
            <w:noProof/>
            <w:webHidden/>
          </w:rPr>
          <w:t>5</w:t>
        </w:r>
        <w:r>
          <w:rPr>
            <w:noProof/>
            <w:webHidden/>
          </w:rPr>
          <w:fldChar w:fldCharType="end"/>
        </w:r>
      </w:hyperlink>
    </w:p>
    <w:p w14:paraId="7E7D5645" w14:textId="244DFA15"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68" w:history="1">
        <w:r w:rsidRPr="00BC6FD7">
          <w:rPr>
            <w:rStyle w:val="Hyperlink"/>
            <w:noProof/>
          </w:rPr>
          <w:t>Table E8. MCAS Mathematics Achievement by Grade, 2023-2025</w:t>
        </w:r>
        <w:r>
          <w:rPr>
            <w:noProof/>
            <w:webHidden/>
          </w:rPr>
          <w:tab/>
        </w:r>
        <w:r w:rsidR="00325CAF">
          <w:rPr>
            <w:noProof/>
            <w:webHidden/>
          </w:rPr>
          <w:t>E-</w:t>
        </w:r>
        <w:r>
          <w:rPr>
            <w:noProof/>
            <w:webHidden/>
          </w:rPr>
          <w:fldChar w:fldCharType="begin"/>
        </w:r>
        <w:r>
          <w:rPr>
            <w:noProof/>
            <w:webHidden/>
          </w:rPr>
          <w:instrText xml:space="preserve"> PAGEREF _Toc230970168 \h </w:instrText>
        </w:r>
        <w:r>
          <w:rPr>
            <w:noProof/>
            <w:webHidden/>
          </w:rPr>
        </w:r>
        <w:r>
          <w:rPr>
            <w:noProof/>
            <w:webHidden/>
          </w:rPr>
          <w:fldChar w:fldCharType="separate"/>
        </w:r>
        <w:r w:rsidR="00B13DC7">
          <w:rPr>
            <w:noProof/>
            <w:webHidden/>
          </w:rPr>
          <w:t>5</w:t>
        </w:r>
        <w:r>
          <w:rPr>
            <w:noProof/>
            <w:webHidden/>
          </w:rPr>
          <w:fldChar w:fldCharType="end"/>
        </w:r>
      </w:hyperlink>
    </w:p>
    <w:p w14:paraId="29639C9D" w14:textId="143C3764"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69" w:history="1">
        <w:r w:rsidRPr="00BC6FD7">
          <w:rPr>
            <w:rStyle w:val="Hyperlink"/>
            <w:noProof/>
          </w:rPr>
          <w:t>Table E9. MCAS Science Achievement by Grade, 2023-2025</w:t>
        </w:r>
        <w:r>
          <w:rPr>
            <w:noProof/>
            <w:webHidden/>
          </w:rPr>
          <w:tab/>
        </w:r>
        <w:r w:rsidR="00325CAF">
          <w:rPr>
            <w:noProof/>
            <w:webHidden/>
          </w:rPr>
          <w:t>E-</w:t>
        </w:r>
        <w:r>
          <w:rPr>
            <w:noProof/>
            <w:webHidden/>
          </w:rPr>
          <w:fldChar w:fldCharType="begin"/>
        </w:r>
        <w:r>
          <w:rPr>
            <w:noProof/>
            <w:webHidden/>
          </w:rPr>
          <w:instrText xml:space="preserve"> PAGEREF _Toc230970169 \h </w:instrText>
        </w:r>
        <w:r>
          <w:rPr>
            <w:noProof/>
            <w:webHidden/>
          </w:rPr>
        </w:r>
        <w:r>
          <w:rPr>
            <w:noProof/>
            <w:webHidden/>
          </w:rPr>
          <w:fldChar w:fldCharType="separate"/>
        </w:r>
        <w:r w:rsidR="00B13DC7">
          <w:rPr>
            <w:noProof/>
            <w:webHidden/>
          </w:rPr>
          <w:t>5</w:t>
        </w:r>
        <w:r>
          <w:rPr>
            <w:noProof/>
            <w:webHidden/>
          </w:rPr>
          <w:fldChar w:fldCharType="end"/>
        </w:r>
      </w:hyperlink>
    </w:p>
    <w:p w14:paraId="6D7BFD23" w14:textId="4CDF33E9"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0" w:history="1">
        <w:r w:rsidRPr="00BC6FD7">
          <w:rPr>
            <w:rStyle w:val="Hyperlink"/>
            <w:noProof/>
          </w:rPr>
          <w:t>Table E10. MCAS ELA Mean Student Growth Percentile by Student Group, Grades 3-8, 2023</w:t>
        </w:r>
        <w:r w:rsidRPr="00BC6FD7">
          <w:rPr>
            <w:rStyle w:val="Hyperlink"/>
            <w:noProof/>
          </w:rPr>
          <w:noBreakHyphen/>
          <w:t>2025</w:t>
        </w:r>
        <w:r>
          <w:rPr>
            <w:noProof/>
            <w:webHidden/>
          </w:rPr>
          <w:tab/>
        </w:r>
        <w:r w:rsidR="00325CAF">
          <w:rPr>
            <w:noProof/>
            <w:webHidden/>
          </w:rPr>
          <w:t>E-</w:t>
        </w:r>
        <w:r>
          <w:rPr>
            <w:noProof/>
            <w:webHidden/>
          </w:rPr>
          <w:fldChar w:fldCharType="begin"/>
        </w:r>
        <w:r>
          <w:rPr>
            <w:noProof/>
            <w:webHidden/>
          </w:rPr>
          <w:instrText xml:space="preserve"> PAGEREF _Toc230970170 \h </w:instrText>
        </w:r>
        <w:r>
          <w:rPr>
            <w:noProof/>
            <w:webHidden/>
          </w:rPr>
        </w:r>
        <w:r>
          <w:rPr>
            <w:noProof/>
            <w:webHidden/>
          </w:rPr>
          <w:fldChar w:fldCharType="separate"/>
        </w:r>
        <w:r w:rsidR="00B13DC7">
          <w:rPr>
            <w:noProof/>
            <w:webHidden/>
          </w:rPr>
          <w:t>6</w:t>
        </w:r>
        <w:r>
          <w:rPr>
            <w:noProof/>
            <w:webHidden/>
          </w:rPr>
          <w:fldChar w:fldCharType="end"/>
        </w:r>
      </w:hyperlink>
    </w:p>
    <w:p w14:paraId="48AB1A34" w14:textId="4133AAE7"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1" w:history="1">
        <w:r w:rsidRPr="00BC6FD7">
          <w:rPr>
            <w:rStyle w:val="Hyperlink"/>
            <w:noProof/>
          </w:rPr>
          <w:t>Table E11. MCAS ELA Mean Student Growth Percentile by Student Group, Grade 10, 2023-2025</w:t>
        </w:r>
        <w:r>
          <w:rPr>
            <w:noProof/>
            <w:webHidden/>
          </w:rPr>
          <w:tab/>
        </w:r>
        <w:r w:rsidR="00325CAF">
          <w:rPr>
            <w:noProof/>
            <w:webHidden/>
          </w:rPr>
          <w:t>E-</w:t>
        </w:r>
        <w:r>
          <w:rPr>
            <w:noProof/>
            <w:webHidden/>
          </w:rPr>
          <w:fldChar w:fldCharType="begin"/>
        </w:r>
        <w:r>
          <w:rPr>
            <w:noProof/>
            <w:webHidden/>
          </w:rPr>
          <w:instrText xml:space="preserve"> PAGEREF _Toc230970171 \h </w:instrText>
        </w:r>
        <w:r>
          <w:rPr>
            <w:noProof/>
            <w:webHidden/>
          </w:rPr>
        </w:r>
        <w:r>
          <w:rPr>
            <w:noProof/>
            <w:webHidden/>
          </w:rPr>
          <w:fldChar w:fldCharType="separate"/>
        </w:r>
        <w:r w:rsidR="00B13DC7">
          <w:rPr>
            <w:noProof/>
            <w:webHidden/>
          </w:rPr>
          <w:t>6</w:t>
        </w:r>
        <w:r>
          <w:rPr>
            <w:noProof/>
            <w:webHidden/>
          </w:rPr>
          <w:fldChar w:fldCharType="end"/>
        </w:r>
      </w:hyperlink>
    </w:p>
    <w:p w14:paraId="67192BB5" w14:textId="53AE1938"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2" w:history="1">
        <w:r w:rsidRPr="00BC6FD7">
          <w:rPr>
            <w:rStyle w:val="Hyperlink"/>
            <w:noProof/>
          </w:rPr>
          <w:t>Table E12. MCAS Mathematics Mean Student Growth Percentile by Student Group, Grades 3-8, 2023-2025</w:t>
        </w:r>
        <w:r>
          <w:rPr>
            <w:noProof/>
            <w:webHidden/>
          </w:rPr>
          <w:tab/>
        </w:r>
        <w:r w:rsidR="00325CAF">
          <w:rPr>
            <w:noProof/>
            <w:webHidden/>
          </w:rPr>
          <w:t>E-</w:t>
        </w:r>
        <w:r>
          <w:rPr>
            <w:noProof/>
            <w:webHidden/>
          </w:rPr>
          <w:fldChar w:fldCharType="begin"/>
        </w:r>
        <w:r>
          <w:rPr>
            <w:noProof/>
            <w:webHidden/>
          </w:rPr>
          <w:instrText xml:space="preserve"> PAGEREF _Toc230970172 \h </w:instrText>
        </w:r>
        <w:r>
          <w:rPr>
            <w:noProof/>
            <w:webHidden/>
          </w:rPr>
        </w:r>
        <w:r>
          <w:rPr>
            <w:noProof/>
            <w:webHidden/>
          </w:rPr>
          <w:fldChar w:fldCharType="separate"/>
        </w:r>
        <w:r w:rsidR="00B13DC7">
          <w:rPr>
            <w:noProof/>
            <w:webHidden/>
          </w:rPr>
          <w:t>7</w:t>
        </w:r>
        <w:r>
          <w:rPr>
            <w:noProof/>
            <w:webHidden/>
          </w:rPr>
          <w:fldChar w:fldCharType="end"/>
        </w:r>
      </w:hyperlink>
    </w:p>
    <w:p w14:paraId="4BAEB165" w14:textId="4332E974"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3" w:history="1">
        <w:r w:rsidRPr="00BC6FD7">
          <w:rPr>
            <w:rStyle w:val="Hyperlink"/>
            <w:noProof/>
          </w:rPr>
          <w:t>Table E13. MCAS Mathematics Mean Student Growth Percentile by Student Group, Grade 10, 2023-2025</w:t>
        </w:r>
        <w:r>
          <w:rPr>
            <w:noProof/>
            <w:webHidden/>
          </w:rPr>
          <w:tab/>
        </w:r>
        <w:r w:rsidR="00325CAF">
          <w:rPr>
            <w:noProof/>
            <w:webHidden/>
          </w:rPr>
          <w:t>E-</w:t>
        </w:r>
        <w:r>
          <w:rPr>
            <w:noProof/>
            <w:webHidden/>
          </w:rPr>
          <w:fldChar w:fldCharType="begin"/>
        </w:r>
        <w:r>
          <w:rPr>
            <w:noProof/>
            <w:webHidden/>
          </w:rPr>
          <w:instrText xml:space="preserve"> PAGEREF _Toc230970173 \h </w:instrText>
        </w:r>
        <w:r>
          <w:rPr>
            <w:noProof/>
            <w:webHidden/>
          </w:rPr>
        </w:r>
        <w:r>
          <w:rPr>
            <w:noProof/>
            <w:webHidden/>
          </w:rPr>
          <w:fldChar w:fldCharType="separate"/>
        </w:r>
        <w:r w:rsidR="00B13DC7">
          <w:rPr>
            <w:noProof/>
            <w:webHidden/>
          </w:rPr>
          <w:t>7</w:t>
        </w:r>
        <w:r>
          <w:rPr>
            <w:noProof/>
            <w:webHidden/>
          </w:rPr>
          <w:fldChar w:fldCharType="end"/>
        </w:r>
      </w:hyperlink>
    </w:p>
    <w:p w14:paraId="07D84616" w14:textId="53859279"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4" w:history="1">
        <w:r w:rsidRPr="00BC6FD7">
          <w:rPr>
            <w:rStyle w:val="Hyperlink"/>
            <w:noProof/>
          </w:rPr>
          <w:t>Table E14. MCAS ELA Mean Student Growth Percentile by Grade, 2023-2025</w:t>
        </w:r>
        <w:r>
          <w:rPr>
            <w:noProof/>
            <w:webHidden/>
          </w:rPr>
          <w:tab/>
        </w:r>
        <w:r w:rsidR="0000686A">
          <w:rPr>
            <w:noProof/>
            <w:webHidden/>
          </w:rPr>
          <w:t>E-</w:t>
        </w:r>
        <w:r>
          <w:rPr>
            <w:noProof/>
            <w:webHidden/>
          </w:rPr>
          <w:fldChar w:fldCharType="begin"/>
        </w:r>
        <w:r>
          <w:rPr>
            <w:noProof/>
            <w:webHidden/>
          </w:rPr>
          <w:instrText xml:space="preserve"> PAGEREF _Toc230970174 \h </w:instrText>
        </w:r>
        <w:r>
          <w:rPr>
            <w:noProof/>
            <w:webHidden/>
          </w:rPr>
        </w:r>
        <w:r>
          <w:rPr>
            <w:noProof/>
            <w:webHidden/>
          </w:rPr>
          <w:fldChar w:fldCharType="separate"/>
        </w:r>
        <w:r w:rsidR="00B13DC7">
          <w:rPr>
            <w:noProof/>
            <w:webHidden/>
          </w:rPr>
          <w:t>8</w:t>
        </w:r>
        <w:r>
          <w:rPr>
            <w:noProof/>
            <w:webHidden/>
          </w:rPr>
          <w:fldChar w:fldCharType="end"/>
        </w:r>
      </w:hyperlink>
    </w:p>
    <w:p w14:paraId="0F057E08" w14:textId="02B6EA15"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5" w:history="1">
        <w:r w:rsidRPr="00BC6FD7">
          <w:rPr>
            <w:rStyle w:val="Hyperlink"/>
            <w:noProof/>
          </w:rPr>
          <w:t>Table E15. MCAS Mathematics Mean Student Growth Percentile by Grade, 2023-2025</w:t>
        </w:r>
        <w:r>
          <w:rPr>
            <w:noProof/>
            <w:webHidden/>
          </w:rPr>
          <w:tab/>
        </w:r>
        <w:r w:rsidR="0000686A">
          <w:rPr>
            <w:noProof/>
            <w:webHidden/>
          </w:rPr>
          <w:t>E-</w:t>
        </w:r>
        <w:r>
          <w:rPr>
            <w:noProof/>
            <w:webHidden/>
          </w:rPr>
          <w:fldChar w:fldCharType="begin"/>
        </w:r>
        <w:r>
          <w:rPr>
            <w:noProof/>
            <w:webHidden/>
          </w:rPr>
          <w:instrText xml:space="preserve"> PAGEREF _Toc230970175 \h </w:instrText>
        </w:r>
        <w:r>
          <w:rPr>
            <w:noProof/>
            <w:webHidden/>
          </w:rPr>
        </w:r>
        <w:r>
          <w:rPr>
            <w:noProof/>
            <w:webHidden/>
          </w:rPr>
          <w:fldChar w:fldCharType="separate"/>
        </w:r>
        <w:r w:rsidR="00B13DC7">
          <w:rPr>
            <w:noProof/>
            <w:webHidden/>
          </w:rPr>
          <w:t>8</w:t>
        </w:r>
        <w:r>
          <w:rPr>
            <w:noProof/>
            <w:webHidden/>
          </w:rPr>
          <w:fldChar w:fldCharType="end"/>
        </w:r>
      </w:hyperlink>
    </w:p>
    <w:p w14:paraId="60C0A9AF" w14:textId="69994199"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6" w:history="1">
        <w:r w:rsidRPr="00BC6FD7">
          <w:rPr>
            <w:rStyle w:val="Hyperlink"/>
            <w:noProof/>
          </w:rPr>
          <w:t>Table E16. Four-Year Cohort Graduation Rates by Student Group, 2022-2024</w:t>
        </w:r>
        <w:r>
          <w:rPr>
            <w:noProof/>
            <w:webHidden/>
          </w:rPr>
          <w:tab/>
        </w:r>
        <w:r w:rsidR="0000686A">
          <w:rPr>
            <w:noProof/>
            <w:webHidden/>
          </w:rPr>
          <w:t>E-</w:t>
        </w:r>
        <w:r>
          <w:rPr>
            <w:noProof/>
            <w:webHidden/>
          </w:rPr>
          <w:fldChar w:fldCharType="begin"/>
        </w:r>
        <w:r>
          <w:rPr>
            <w:noProof/>
            <w:webHidden/>
          </w:rPr>
          <w:instrText xml:space="preserve"> PAGEREF _Toc230970176 \h </w:instrText>
        </w:r>
        <w:r>
          <w:rPr>
            <w:noProof/>
            <w:webHidden/>
          </w:rPr>
        </w:r>
        <w:r>
          <w:rPr>
            <w:noProof/>
            <w:webHidden/>
          </w:rPr>
          <w:fldChar w:fldCharType="separate"/>
        </w:r>
        <w:r w:rsidR="00B13DC7">
          <w:rPr>
            <w:noProof/>
            <w:webHidden/>
          </w:rPr>
          <w:t>8</w:t>
        </w:r>
        <w:r>
          <w:rPr>
            <w:noProof/>
            <w:webHidden/>
          </w:rPr>
          <w:fldChar w:fldCharType="end"/>
        </w:r>
      </w:hyperlink>
    </w:p>
    <w:p w14:paraId="5A3A81EE" w14:textId="6A4AA396"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7" w:history="1">
        <w:r w:rsidRPr="00BC6FD7">
          <w:rPr>
            <w:rStyle w:val="Hyperlink"/>
            <w:noProof/>
          </w:rPr>
          <w:t>Table E17. Five-Year Cohort Graduation Rates by Student Group, 2021-2023</w:t>
        </w:r>
        <w:r>
          <w:rPr>
            <w:noProof/>
            <w:webHidden/>
          </w:rPr>
          <w:tab/>
        </w:r>
        <w:r w:rsidR="0000686A">
          <w:rPr>
            <w:noProof/>
            <w:webHidden/>
          </w:rPr>
          <w:t>E-</w:t>
        </w:r>
        <w:r>
          <w:rPr>
            <w:noProof/>
            <w:webHidden/>
          </w:rPr>
          <w:fldChar w:fldCharType="begin"/>
        </w:r>
        <w:r>
          <w:rPr>
            <w:noProof/>
            <w:webHidden/>
          </w:rPr>
          <w:instrText xml:space="preserve"> PAGEREF _Toc230970177 \h </w:instrText>
        </w:r>
        <w:r>
          <w:rPr>
            <w:noProof/>
            <w:webHidden/>
          </w:rPr>
        </w:r>
        <w:r>
          <w:rPr>
            <w:noProof/>
            <w:webHidden/>
          </w:rPr>
          <w:fldChar w:fldCharType="separate"/>
        </w:r>
        <w:r w:rsidR="00B13DC7">
          <w:rPr>
            <w:noProof/>
            <w:webHidden/>
          </w:rPr>
          <w:t>9</w:t>
        </w:r>
        <w:r>
          <w:rPr>
            <w:noProof/>
            <w:webHidden/>
          </w:rPr>
          <w:fldChar w:fldCharType="end"/>
        </w:r>
      </w:hyperlink>
    </w:p>
    <w:p w14:paraId="11975BC2" w14:textId="12B3E95A"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8" w:history="1">
        <w:r w:rsidRPr="00BC6FD7">
          <w:rPr>
            <w:rStyle w:val="Hyperlink"/>
            <w:noProof/>
          </w:rPr>
          <w:t>Table E18. Annual Dropout Rates by Student Group, 2022-2024</w:t>
        </w:r>
        <w:r>
          <w:rPr>
            <w:noProof/>
            <w:webHidden/>
          </w:rPr>
          <w:tab/>
        </w:r>
        <w:r w:rsidR="0000686A">
          <w:rPr>
            <w:noProof/>
            <w:webHidden/>
          </w:rPr>
          <w:t>E-</w:t>
        </w:r>
        <w:r>
          <w:rPr>
            <w:noProof/>
            <w:webHidden/>
          </w:rPr>
          <w:fldChar w:fldCharType="begin"/>
        </w:r>
        <w:r>
          <w:rPr>
            <w:noProof/>
            <w:webHidden/>
          </w:rPr>
          <w:instrText xml:space="preserve"> PAGEREF _Toc230970178 \h </w:instrText>
        </w:r>
        <w:r>
          <w:rPr>
            <w:noProof/>
            <w:webHidden/>
          </w:rPr>
        </w:r>
        <w:r>
          <w:rPr>
            <w:noProof/>
            <w:webHidden/>
          </w:rPr>
          <w:fldChar w:fldCharType="separate"/>
        </w:r>
        <w:r w:rsidR="00B13DC7">
          <w:rPr>
            <w:noProof/>
            <w:webHidden/>
          </w:rPr>
          <w:t>9</w:t>
        </w:r>
        <w:r>
          <w:rPr>
            <w:noProof/>
            <w:webHidden/>
          </w:rPr>
          <w:fldChar w:fldCharType="end"/>
        </w:r>
      </w:hyperlink>
    </w:p>
    <w:p w14:paraId="76A7E236" w14:textId="7EC63F01"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79" w:history="1">
        <w:r w:rsidRPr="00BC6FD7">
          <w:rPr>
            <w:rStyle w:val="Hyperlink"/>
            <w:noProof/>
          </w:rPr>
          <w:t>Table E19. In-School Suspension Rates by Student Group, 2022-2024</w:t>
        </w:r>
        <w:r>
          <w:rPr>
            <w:noProof/>
            <w:webHidden/>
          </w:rPr>
          <w:tab/>
        </w:r>
        <w:r w:rsidR="0000686A">
          <w:rPr>
            <w:noProof/>
            <w:webHidden/>
          </w:rPr>
          <w:t>E-</w:t>
        </w:r>
        <w:r>
          <w:rPr>
            <w:noProof/>
            <w:webHidden/>
          </w:rPr>
          <w:fldChar w:fldCharType="begin"/>
        </w:r>
        <w:r>
          <w:rPr>
            <w:noProof/>
            <w:webHidden/>
          </w:rPr>
          <w:instrText xml:space="preserve"> PAGEREF _Toc230970179 \h </w:instrText>
        </w:r>
        <w:r>
          <w:rPr>
            <w:noProof/>
            <w:webHidden/>
          </w:rPr>
        </w:r>
        <w:r>
          <w:rPr>
            <w:noProof/>
            <w:webHidden/>
          </w:rPr>
          <w:fldChar w:fldCharType="separate"/>
        </w:r>
        <w:r w:rsidR="00B13DC7">
          <w:rPr>
            <w:noProof/>
            <w:webHidden/>
          </w:rPr>
          <w:t>10</w:t>
        </w:r>
        <w:r>
          <w:rPr>
            <w:noProof/>
            <w:webHidden/>
          </w:rPr>
          <w:fldChar w:fldCharType="end"/>
        </w:r>
      </w:hyperlink>
    </w:p>
    <w:p w14:paraId="219E2F6D" w14:textId="4147649F"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80" w:history="1">
        <w:r w:rsidRPr="00BC6FD7">
          <w:rPr>
            <w:rStyle w:val="Hyperlink"/>
            <w:noProof/>
          </w:rPr>
          <w:t>Table E20. Out-of-School Suspension Rates by Student Group, 2022-2024</w:t>
        </w:r>
        <w:r>
          <w:rPr>
            <w:noProof/>
            <w:webHidden/>
          </w:rPr>
          <w:tab/>
        </w:r>
        <w:r w:rsidR="0000686A">
          <w:rPr>
            <w:noProof/>
            <w:webHidden/>
          </w:rPr>
          <w:t>E-</w:t>
        </w:r>
        <w:r>
          <w:rPr>
            <w:noProof/>
            <w:webHidden/>
          </w:rPr>
          <w:fldChar w:fldCharType="begin"/>
        </w:r>
        <w:r>
          <w:rPr>
            <w:noProof/>
            <w:webHidden/>
          </w:rPr>
          <w:instrText xml:space="preserve"> PAGEREF _Toc230970180 \h </w:instrText>
        </w:r>
        <w:r>
          <w:rPr>
            <w:noProof/>
            <w:webHidden/>
          </w:rPr>
        </w:r>
        <w:r>
          <w:rPr>
            <w:noProof/>
            <w:webHidden/>
          </w:rPr>
          <w:fldChar w:fldCharType="separate"/>
        </w:r>
        <w:r w:rsidR="00B13DC7">
          <w:rPr>
            <w:noProof/>
            <w:webHidden/>
          </w:rPr>
          <w:t>10</w:t>
        </w:r>
        <w:r>
          <w:rPr>
            <w:noProof/>
            <w:webHidden/>
          </w:rPr>
          <w:fldChar w:fldCharType="end"/>
        </w:r>
      </w:hyperlink>
    </w:p>
    <w:p w14:paraId="4C8E1B2C" w14:textId="128CA6A3" w:rsidR="0082637F" w:rsidRDefault="0082637F" w:rsidP="0082637F">
      <w:pPr>
        <w:pStyle w:val="TOC1"/>
        <w:tabs>
          <w:tab w:val="right" w:leader="dot" w:pos="12950"/>
        </w:tabs>
        <w:spacing w:after="80"/>
        <w:rPr>
          <w:rFonts w:eastAsiaTheme="minorEastAsia"/>
          <w:noProof/>
          <w:kern w:val="2"/>
          <w:sz w:val="24"/>
          <w:szCs w:val="24"/>
          <w14:ligatures w14:val="standardContextual"/>
        </w:rPr>
      </w:pPr>
      <w:hyperlink w:anchor="_Toc230970181" w:history="1">
        <w:r w:rsidRPr="00BC6FD7">
          <w:rPr>
            <w:rStyle w:val="Hyperlink"/>
            <w:noProof/>
          </w:rPr>
          <w:t>Table E21. Advanced Coursework Completion Rates by Student Group, 2023-2025</w:t>
        </w:r>
        <w:r>
          <w:rPr>
            <w:noProof/>
            <w:webHidden/>
          </w:rPr>
          <w:tab/>
        </w:r>
        <w:r w:rsidR="0000686A">
          <w:rPr>
            <w:noProof/>
            <w:webHidden/>
          </w:rPr>
          <w:t>E-</w:t>
        </w:r>
        <w:r>
          <w:rPr>
            <w:noProof/>
            <w:webHidden/>
          </w:rPr>
          <w:fldChar w:fldCharType="begin"/>
        </w:r>
        <w:r>
          <w:rPr>
            <w:noProof/>
            <w:webHidden/>
          </w:rPr>
          <w:instrText xml:space="preserve"> PAGEREF _Toc230970181 \h </w:instrText>
        </w:r>
        <w:r>
          <w:rPr>
            <w:noProof/>
            <w:webHidden/>
          </w:rPr>
        </w:r>
        <w:r>
          <w:rPr>
            <w:noProof/>
            <w:webHidden/>
          </w:rPr>
          <w:fldChar w:fldCharType="separate"/>
        </w:r>
        <w:r w:rsidR="00B13DC7">
          <w:rPr>
            <w:noProof/>
            <w:webHidden/>
          </w:rPr>
          <w:t>11</w:t>
        </w:r>
        <w:r>
          <w:rPr>
            <w:noProof/>
            <w:webHidden/>
          </w:rPr>
          <w:fldChar w:fldCharType="end"/>
        </w:r>
      </w:hyperlink>
    </w:p>
    <w:p w14:paraId="7417D32C" w14:textId="7369CB02" w:rsidR="0082637F" w:rsidRDefault="0082637F" w:rsidP="0082637F">
      <w:pPr>
        <w:pStyle w:val="TOC1"/>
        <w:tabs>
          <w:tab w:val="right" w:leader="dot" w:pos="12950"/>
        </w:tabs>
        <w:spacing w:after="80"/>
      </w:pPr>
      <w:hyperlink w:anchor="_Toc230970182" w:history="1">
        <w:r w:rsidRPr="00BC6FD7">
          <w:rPr>
            <w:rStyle w:val="Hyperlink"/>
            <w:noProof/>
          </w:rPr>
          <w:t>Table E22. Accountability Results, 2025</w:t>
        </w:r>
        <w:r>
          <w:rPr>
            <w:noProof/>
            <w:webHidden/>
          </w:rPr>
          <w:tab/>
        </w:r>
        <w:r w:rsidR="0000686A">
          <w:rPr>
            <w:noProof/>
            <w:webHidden/>
          </w:rPr>
          <w:t>E-</w:t>
        </w:r>
        <w:r>
          <w:rPr>
            <w:noProof/>
            <w:webHidden/>
          </w:rPr>
          <w:fldChar w:fldCharType="begin"/>
        </w:r>
        <w:r>
          <w:rPr>
            <w:noProof/>
            <w:webHidden/>
          </w:rPr>
          <w:instrText xml:space="preserve"> PAGEREF _Toc230970182 \h </w:instrText>
        </w:r>
        <w:r>
          <w:rPr>
            <w:noProof/>
            <w:webHidden/>
          </w:rPr>
        </w:r>
        <w:r>
          <w:rPr>
            <w:noProof/>
            <w:webHidden/>
          </w:rPr>
          <w:fldChar w:fldCharType="separate"/>
        </w:r>
        <w:r w:rsidR="00B13DC7">
          <w:rPr>
            <w:noProof/>
            <w:webHidden/>
          </w:rPr>
          <w:t>11</w:t>
        </w:r>
        <w:r>
          <w:rPr>
            <w:noProof/>
            <w:webHidden/>
          </w:rPr>
          <w:fldChar w:fldCharType="end"/>
        </w:r>
      </w:hyperlink>
      <w:r>
        <w:fldChar w:fldCharType="end"/>
      </w:r>
      <w:r>
        <w:br w:type="page"/>
      </w:r>
    </w:p>
    <w:p w14:paraId="2A4A5277" w14:textId="61BB9389" w:rsidR="000A1B38" w:rsidRDefault="000A1B38" w:rsidP="0082637F">
      <w:pPr>
        <w:pStyle w:val="TableETitle"/>
      </w:pPr>
      <w:bookmarkStart w:id="215" w:name="_Toc230970161"/>
      <w:r w:rsidRPr="003979D4">
        <w:t>Table E1. MCAS ELA Achievement</w:t>
      </w:r>
      <w:r>
        <w:t xml:space="preserve"> </w:t>
      </w:r>
      <w:r w:rsidRPr="003979D4">
        <w:t>by Student Group, Grades 3-8, 202</w:t>
      </w:r>
      <w:r>
        <w:t>3</w:t>
      </w:r>
      <w:r w:rsidRPr="003979D4">
        <w:t>-</w:t>
      </w:r>
      <w:r w:rsidRPr="00A160AD">
        <w:t>202</w:t>
      </w:r>
      <w:r>
        <w:t>5</w:t>
      </w:r>
      <w:bookmarkEnd w:id="213"/>
      <w:bookmarkEnd w:id="215"/>
    </w:p>
    <w:tbl>
      <w:tblPr>
        <w:tblStyle w:val="MSVTable1"/>
        <w:tblW w:w="5107" w:type="pct"/>
        <w:jc w:val="center"/>
        <w:tblLayout w:type="fixed"/>
        <w:tblLook w:val="0420" w:firstRow="1" w:lastRow="0" w:firstColumn="0" w:lastColumn="0" w:noHBand="0" w:noVBand="1"/>
        <w:tblCaption w:val="Table E1. MCAS ELA Achievement by Student Group, Grades 3-8, 2023-2025"/>
        <w:tblDescription w:val="MCAS ELA Achievement by Student Group, Grades 3-8, 2023-2025"/>
      </w:tblPr>
      <w:tblGrid>
        <w:gridCol w:w="3411"/>
        <w:gridCol w:w="902"/>
        <w:gridCol w:w="743"/>
        <w:gridCol w:w="743"/>
        <w:gridCol w:w="743"/>
        <w:gridCol w:w="743"/>
        <w:gridCol w:w="743"/>
        <w:gridCol w:w="743"/>
        <w:gridCol w:w="743"/>
        <w:gridCol w:w="743"/>
        <w:gridCol w:w="743"/>
        <w:gridCol w:w="743"/>
        <w:gridCol w:w="743"/>
        <w:gridCol w:w="735"/>
      </w:tblGrid>
      <w:tr w:rsidR="000A1B38" w:rsidRPr="003979D4" w14:paraId="7F493982"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004A6B40" w14:textId="77777777" w:rsidR="000A1B38" w:rsidRPr="00EA0A36" w:rsidRDefault="000A1B38">
            <w:pPr>
              <w:pStyle w:val="TableColHeadingCenter"/>
              <w:spacing w:before="20" w:after="20"/>
            </w:pPr>
            <w:r w:rsidRPr="002F03E2">
              <w:t>Group</w:t>
            </w:r>
          </w:p>
        </w:tc>
        <w:tc>
          <w:tcPr>
            <w:tcW w:w="341" w:type="pct"/>
            <w:vAlign w:val="center"/>
          </w:tcPr>
          <w:p w14:paraId="42012112" w14:textId="77777777" w:rsidR="000A1B38" w:rsidRPr="00EA0A36" w:rsidRDefault="000A1B38">
            <w:pPr>
              <w:pStyle w:val="TableColHeadingCenter"/>
              <w:spacing w:before="20" w:after="20"/>
            </w:pPr>
            <w:r w:rsidRPr="002F03E2">
              <w:t># Included (202</w:t>
            </w:r>
            <w:r>
              <w:t>5</w:t>
            </w:r>
            <w:r w:rsidRPr="002F03E2">
              <w:t>)</w:t>
            </w:r>
          </w:p>
        </w:tc>
        <w:tc>
          <w:tcPr>
            <w:tcW w:w="281" w:type="pct"/>
            <w:vAlign w:val="center"/>
          </w:tcPr>
          <w:p w14:paraId="405E952E" w14:textId="77777777" w:rsidR="000A1B38" w:rsidRPr="00EA0A36" w:rsidRDefault="000A1B38">
            <w:pPr>
              <w:pStyle w:val="TableColHeadingCenter"/>
              <w:spacing w:before="20" w:after="20"/>
            </w:pPr>
            <w:r>
              <w:t xml:space="preserve">% M/E </w:t>
            </w:r>
            <w:r w:rsidRPr="00EA0A36">
              <w:t>202</w:t>
            </w:r>
            <w:r>
              <w:t>3</w:t>
            </w:r>
          </w:p>
        </w:tc>
        <w:tc>
          <w:tcPr>
            <w:tcW w:w="281" w:type="pct"/>
            <w:vAlign w:val="center"/>
          </w:tcPr>
          <w:p w14:paraId="078DE9E5" w14:textId="77777777" w:rsidR="000A1B38" w:rsidRPr="00EA0A36" w:rsidRDefault="000A1B38">
            <w:pPr>
              <w:pStyle w:val="TableColHeadingCenter"/>
              <w:spacing w:before="20" w:after="20"/>
            </w:pPr>
            <w:r>
              <w:t xml:space="preserve">% M/E </w:t>
            </w:r>
            <w:r w:rsidRPr="00EA0A36">
              <w:t>202</w:t>
            </w:r>
            <w:r>
              <w:t>4</w:t>
            </w:r>
          </w:p>
        </w:tc>
        <w:tc>
          <w:tcPr>
            <w:tcW w:w="281" w:type="pct"/>
            <w:vAlign w:val="center"/>
          </w:tcPr>
          <w:p w14:paraId="6A52A40C" w14:textId="77777777" w:rsidR="000A1B38" w:rsidRPr="00EA0A36" w:rsidRDefault="000A1B38">
            <w:pPr>
              <w:pStyle w:val="TableColHeadingCenter"/>
              <w:spacing w:before="20" w:after="20"/>
            </w:pPr>
            <w:r>
              <w:t>% M/E 2025</w:t>
            </w:r>
          </w:p>
        </w:tc>
        <w:tc>
          <w:tcPr>
            <w:tcW w:w="281" w:type="pct"/>
            <w:vAlign w:val="center"/>
          </w:tcPr>
          <w:p w14:paraId="7F6C407D" w14:textId="77777777" w:rsidR="000A1B38" w:rsidRPr="00EA0A36" w:rsidRDefault="000A1B38">
            <w:pPr>
              <w:pStyle w:val="TableColHeadingCenter"/>
              <w:spacing w:before="20" w:after="20"/>
            </w:pPr>
            <w:r>
              <w:t>% M/E 2025 S</w:t>
            </w:r>
            <w:r w:rsidRPr="00EA0A36">
              <w:t>tate</w:t>
            </w:r>
          </w:p>
        </w:tc>
        <w:tc>
          <w:tcPr>
            <w:tcW w:w="281" w:type="pct"/>
            <w:vAlign w:val="center"/>
          </w:tcPr>
          <w:p w14:paraId="76F2FD55" w14:textId="77777777" w:rsidR="000A1B38" w:rsidRPr="00EA0A36" w:rsidRDefault="000A1B38">
            <w:pPr>
              <w:pStyle w:val="TableColHeadingCenter"/>
              <w:spacing w:before="20" w:after="20"/>
            </w:pPr>
            <w:r>
              <w:t xml:space="preserve">% PME </w:t>
            </w:r>
            <w:r w:rsidRPr="00EA0A36">
              <w:t>202</w:t>
            </w:r>
            <w:r>
              <w:t>3</w:t>
            </w:r>
          </w:p>
        </w:tc>
        <w:tc>
          <w:tcPr>
            <w:tcW w:w="281" w:type="pct"/>
            <w:vAlign w:val="center"/>
          </w:tcPr>
          <w:p w14:paraId="62EDA4E1" w14:textId="77777777" w:rsidR="000A1B38" w:rsidRPr="00EA0A36" w:rsidRDefault="000A1B38">
            <w:pPr>
              <w:pStyle w:val="TableColHeadingCenter"/>
              <w:spacing w:before="20" w:after="20"/>
            </w:pPr>
            <w:r>
              <w:t xml:space="preserve">% PME </w:t>
            </w:r>
            <w:r w:rsidRPr="00EA0A36">
              <w:t>202</w:t>
            </w:r>
            <w:r>
              <w:t>4</w:t>
            </w:r>
          </w:p>
        </w:tc>
        <w:tc>
          <w:tcPr>
            <w:tcW w:w="281" w:type="pct"/>
            <w:vAlign w:val="center"/>
          </w:tcPr>
          <w:p w14:paraId="51DB4772" w14:textId="77777777" w:rsidR="000A1B38" w:rsidRPr="00EA0A36" w:rsidRDefault="000A1B38">
            <w:pPr>
              <w:pStyle w:val="TableColHeadingCenter"/>
              <w:spacing w:before="20" w:after="20"/>
            </w:pPr>
            <w:r>
              <w:t>% PME 2025</w:t>
            </w:r>
          </w:p>
        </w:tc>
        <w:tc>
          <w:tcPr>
            <w:tcW w:w="281" w:type="pct"/>
            <w:vAlign w:val="center"/>
          </w:tcPr>
          <w:p w14:paraId="6450B5FB" w14:textId="77777777" w:rsidR="000A1B38" w:rsidRPr="00EA0A36" w:rsidRDefault="000A1B38">
            <w:pPr>
              <w:pStyle w:val="TableColHeadingCenter"/>
              <w:spacing w:before="20" w:after="20"/>
            </w:pPr>
            <w:r>
              <w:t xml:space="preserve">% PME 2025 </w:t>
            </w:r>
            <w:r w:rsidRPr="00EA0A36">
              <w:t>State</w:t>
            </w:r>
          </w:p>
        </w:tc>
        <w:tc>
          <w:tcPr>
            <w:tcW w:w="281" w:type="pct"/>
            <w:vAlign w:val="center"/>
          </w:tcPr>
          <w:p w14:paraId="076248A9" w14:textId="77777777" w:rsidR="000A1B38" w:rsidRPr="00EA0A36" w:rsidRDefault="000A1B38">
            <w:pPr>
              <w:pStyle w:val="TableColHeadingCenter"/>
              <w:spacing w:before="20" w:after="20"/>
            </w:pPr>
            <w:r>
              <w:t xml:space="preserve">% NM </w:t>
            </w:r>
            <w:r w:rsidRPr="00EA0A36">
              <w:t>202</w:t>
            </w:r>
            <w:r>
              <w:t>3</w:t>
            </w:r>
          </w:p>
        </w:tc>
        <w:tc>
          <w:tcPr>
            <w:tcW w:w="281" w:type="pct"/>
            <w:vAlign w:val="center"/>
          </w:tcPr>
          <w:p w14:paraId="608A3324" w14:textId="77777777" w:rsidR="000A1B38" w:rsidRPr="00EA0A36" w:rsidRDefault="000A1B38">
            <w:pPr>
              <w:pStyle w:val="TableColHeadingCenter"/>
              <w:spacing w:before="20" w:after="20"/>
            </w:pPr>
            <w:r>
              <w:t xml:space="preserve">% NM </w:t>
            </w:r>
            <w:r w:rsidRPr="00EA0A36">
              <w:t>202</w:t>
            </w:r>
            <w:r>
              <w:t>4</w:t>
            </w:r>
          </w:p>
        </w:tc>
        <w:tc>
          <w:tcPr>
            <w:tcW w:w="281" w:type="pct"/>
            <w:vAlign w:val="center"/>
          </w:tcPr>
          <w:p w14:paraId="30D8CB50" w14:textId="77777777" w:rsidR="000A1B38" w:rsidRPr="00EA0A36" w:rsidRDefault="000A1B38">
            <w:pPr>
              <w:pStyle w:val="TableColHeadingCenter"/>
              <w:spacing w:before="20" w:after="20"/>
            </w:pPr>
            <w:r>
              <w:t>% NM 2025</w:t>
            </w:r>
          </w:p>
        </w:tc>
        <w:tc>
          <w:tcPr>
            <w:tcW w:w="278" w:type="pct"/>
            <w:vAlign w:val="center"/>
          </w:tcPr>
          <w:p w14:paraId="07FC90BC" w14:textId="77777777" w:rsidR="000A1B38" w:rsidRPr="00EA0A36" w:rsidRDefault="000A1B38">
            <w:pPr>
              <w:pStyle w:val="TableColHeadingCenter"/>
              <w:spacing w:before="20" w:after="20"/>
            </w:pPr>
            <w:r>
              <w:t xml:space="preserve">% NM 2025 </w:t>
            </w:r>
            <w:r w:rsidRPr="00EA0A36">
              <w:t>State</w:t>
            </w:r>
          </w:p>
        </w:tc>
      </w:tr>
      <w:tr w:rsidR="000A1B38" w:rsidRPr="003979D4" w14:paraId="20ED28F2"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7303FCA" w14:textId="77777777" w:rsidR="000A1B38" w:rsidRPr="00A73A0A" w:rsidRDefault="000A1B38" w:rsidP="00875BBA">
            <w:pPr>
              <w:pStyle w:val="TableText"/>
              <w:spacing w:before="0" w:after="0"/>
              <w:rPr>
                <w:rFonts w:ascii="Franklin Gothic Book" w:hAnsi="Franklin Gothic Book"/>
              </w:rPr>
            </w:pPr>
            <w:bookmarkStart w:id="216" w:name="_Hlk204602703"/>
            <w:r w:rsidRPr="00A73A0A">
              <w:rPr>
                <w:rFonts w:ascii="Franklin Gothic Book" w:hAnsi="Franklin Gothic Book"/>
              </w:rPr>
              <w:t>All Students</w:t>
            </w:r>
          </w:p>
        </w:tc>
        <w:tc>
          <w:tcPr>
            <w:tcW w:w="341" w:type="pct"/>
            <w:vAlign w:val="center"/>
          </w:tcPr>
          <w:p w14:paraId="510C031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6,381</w:t>
            </w:r>
          </w:p>
        </w:tc>
        <w:tc>
          <w:tcPr>
            <w:tcW w:w="281" w:type="pct"/>
            <w:vAlign w:val="center"/>
          </w:tcPr>
          <w:p w14:paraId="54E094D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46BA575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75B4912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2B3126A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17A502B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3066718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651E780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5CF0580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0B6EAF9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3052BE3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7157608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78" w:type="pct"/>
            <w:vAlign w:val="bottom"/>
          </w:tcPr>
          <w:p w14:paraId="401FD9A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r>
      <w:tr w:rsidR="000A1B38" w:rsidRPr="003979D4" w14:paraId="0A3862C8" w14:textId="77777777">
        <w:trPr>
          <w:jc w:val="center"/>
        </w:trPr>
        <w:tc>
          <w:tcPr>
            <w:tcW w:w="1290" w:type="pct"/>
          </w:tcPr>
          <w:p w14:paraId="45488084"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09770F1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37899AC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35028B9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3DB229E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76FD402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6C93FB5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041D9E7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0</w:t>
            </w:r>
          </w:p>
        </w:tc>
        <w:tc>
          <w:tcPr>
            <w:tcW w:w="281" w:type="pct"/>
            <w:vAlign w:val="center"/>
          </w:tcPr>
          <w:p w14:paraId="7F54B95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7057C38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71F417F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81" w:type="pct"/>
            <w:vAlign w:val="center"/>
          </w:tcPr>
          <w:p w14:paraId="3C48FC9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77</w:t>
            </w:r>
          </w:p>
        </w:tc>
        <w:tc>
          <w:tcPr>
            <w:tcW w:w="281" w:type="pct"/>
            <w:vAlign w:val="center"/>
          </w:tcPr>
          <w:p w14:paraId="570EB87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56</w:t>
            </w:r>
          </w:p>
        </w:tc>
        <w:tc>
          <w:tcPr>
            <w:tcW w:w="278" w:type="pct"/>
            <w:vAlign w:val="bottom"/>
          </w:tcPr>
          <w:p w14:paraId="6AC7B35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r>
      <w:tr w:rsidR="000A1B38" w:rsidRPr="003979D4" w14:paraId="5FCE4020"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0325977"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Asian</w:t>
            </w:r>
          </w:p>
        </w:tc>
        <w:tc>
          <w:tcPr>
            <w:tcW w:w="341" w:type="pct"/>
            <w:vAlign w:val="center"/>
          </w:tcPr>
          <w:p w14:paraId="169EF6A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78</w:t>
            </w:r>
          </w:p>
        </w:tc>
        <w:tc>
          <w:tcPr>
            <w:tcW w:w="281" w:type="pct"/>
            <w:vAlign w:val="center"/>
          </w:tcPr>
          <w:p w14:paraId="6B696F5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46E1FE9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66F04BC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2B99081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64</w:t>
            </w:r>
          </w:p>
        </w:tc>
        <w:tc>
          <w:tcPr>
            <w:tcW w:w="281" w:type="pct"/>
            <w:vAlign w:val="center"/>
          </w:tcPr>
          <w:p w14:paraId="28D7FD3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011952C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4388D66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73955BB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43ED942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c>
          <w:tcPr>
            <w:tcW w:w="281" w:type="pct"/>
            <w:vAlign w:val="center"/>
          </w:tcPr>
          <w:p w14:paraId="0C58F65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4BEED8C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78" w:type="pct"/>
            <w:vAlign w:val="bottom"/>
          </w:tcPr>
          <w:p w14:paraId="24FED8C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r>
      <w:tr w:rsidR="000A1B38" w:rsidRPr="003979D4" w14:paraId="66893036" w14:textId="77777777">
        <w:trPr>
          <w:jc w:val="center"/>
        </w:trPr>
        <w:tc>
          <w:tcPr>
            <w:tcW w:w="1290" w:type="pct"/>
          </w:tcPr>
          <w:p w14:paraId="067EE791"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Black or African American</w:t>
            </w:r>
          </w:p>
        </w:tc>
        <w:tc>
          <w:tcPr>
            <w:tcW w:w="341" w:type="pct"/>
            <w:vAlign w:val="center"/>
          </w:tcPr>
          <w:p w14:paraId="4D86544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3,818</w:t>
            </w:r>
          </w:p>
        </w:tc>
        <w:tc>
          <w:tcPr>
            <w:tcW w:w="281" w:type="pct"/>
            <w:vAlign w:val="center"/>
          </w:tcPr>
          <w:p w14:paraId="355C273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2B5A749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4838142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2A6B198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69C0253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0B5FA30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6EFD9E9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12BA651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13C519F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0B82072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165A192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78" w:type="pct"/>
            <w:vAlign w:val="bottom"/>
          </w:tcPr>
          <w:p w14:paraId="19838B7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r>
      <w:tr w:rsidR="000A1B38" w:rsidRPr="003979D4" w14:paraId="37FB6D71"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80B705E"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Hispanic or Latino</w:t>
            </w:r>
          </w:p>
        </w:tc>
        <w:tc>
          <w:tcPr>
            <w:tcW w:w="341" w:type="pct"/>
            <w:vAlign w:val="center"/>
          </w:tcPr>
          <w:p w14:paraId="29E29D7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1,391</w:t>
            </w:r>
          </w:p>
        </w:tc>
        <w:tc>
          <w:tcPr>
            <w:tcW w:w="281" w:type="pct"/>
            <w:vAlign w:val="center"/>
          </w:tcPr>
          <w:p w14:paraId="75BEC2F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324AE33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7DFC5CB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557DFC9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5D4F657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49F3C2A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277F13E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12C38B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2888F1F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28B6712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7A1F033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78" w:type="pct"/>
            <w:vAlign w:val="bottom"/>
          </w:tcPr>
          <w:p w14:paraId="12CC057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r>
      <w:tr w:rsidR="000A1B38" w:rsidRPr="003979D4" w14:paraId="5D71D8E1" w14:textId="77777777">
        <w:trPr>
          <w:jc w:val="center"/>
        </w:trPr>
        <w:tc>
          <w:tcPr>
            <w:tcW w:w="1290" w:type="pct"/>
          </w:tcPr>
          <w:p w14:paraId="43A26A82"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48DCCAA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285</w:t>
            </w:r>
          </w:p>
        </w:tc>
        <w:tc>
          <w:tcPr>
            <w:tcW w:w="281" w:type="pct"/>
            <w:vAlign w:val="center"/>
          </w:tcPr>
          <w:p w14:paraId="59564E5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5F074C5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3609B54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2D7C135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0BFE294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30823F4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FC1EF9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1E105BA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7499D90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4D28ECC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81" w:type="pct"/>
            <w:vAlign w:val="center"/>
          </w:tcPr>
          <w:p w14:paraId="3610E13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78" w:type="pct"/>
            <w:vAlign w:val="bottom"/>
          </w:tcPr>
          <w:p w14:paraId="409CE10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r>
      <w:tr w:rsidR="000A1B38" w:rsidRPr="003979D4" w14:paraId="1484F0FF"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39A1BEF"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7A2E84C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65A7AD5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6CB2AD1D" w14:textId="6216CCB1"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DA813B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c>
          <w:tcPr>
            <w:tcW w:w="281" w:type="pct"/>
            <w:vAlign w:val="center"/>
          </w:tcPr>
          <w:p w14:paraId="5408455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C5904D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55</w:t>
            </w:r>
          </w:p>
        </w:tc>
        <w:tc>
          <w:tcPr>
            <w:tcW w:w="281" w:type="pct"/>
            <w:vAlign w:val="center"/>
          </w:tcPr>
          <w:p w14:paraId="5E1C0EC3" w14:textId="6177D0D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56F3A6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55</w:t>
            </w:r>
          </w:p>
        </w:tc>
        <w:tc>
          <w:tcPr>
            <w:tcW w:w="281" w:type="pct"/>
            <w:vAlign w:val="center"/>
          </w:tcPr>
          <w:p w14:paraId="4721AE3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7225FBA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c>
          <w:tcPr>
            <w:tcW w:w="281" w:type="pct"/>
            <w:vAlign w:val="center"/>
          </w:tcPr>
          <w:p w14:paraId="363416ED" w14:textId="487BB692"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760534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78" w:type="pct"/>
            <w:vAlign w:val="bottom"/>
          </w:tcPr>
          <w:p w14:paraId="156666D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r>
      <w:tr w:rsidR="000A1B38" w:rsidRPr="003979D4" w14:paraId="3F293EAD" w14:textId="77777777">
        <w:trPr>
          <w:jc w:val="center"/>
        </w:trPr>
        <w:tc>
          <w:tcPr>
            <w:tcW w:w="1290" w:type="pct"/>
          </w:tcPr>
          <w:p w14:paraId="4B1E2FC4"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White</w:t>
            </w:r>
          </w:p>
        </w:tc>
        <w:tc>
          <w:tcPr>
            <w:tcW w:w="341" w:type="pct"/>
            <w:vAlign w:val="center"/>
          </w:tcPr>
          <w:p w14:paraId="601B56D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772</w:t>
            </w:r>
          </w:p>
        </w:tc>
        <w:tc>
          <w:tcPr>
            <w:tcW w:w="281" w:type="pct"/>
            <w:vAlign w:val="center"/>
          </w:tcPr>
          <w:p w14:paraId="13DF010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6D37F0C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161C6D0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5B8EF5D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81" w:type="pct"/>
            <w:vAlign w:val="center"/>
          </w:tcPr>
          <w:p w14:paraId="167911B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3DA97B9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29F6143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6073223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3BF5028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416DFD3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3398AFA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78" w:type="pct"/>
            <w:vAlign w:val="bottom"/>
          </w:tcPr>
          <w:p w14:paraId="03967C3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r>
      <w:tr w:rsidR="000A1B38" w:rsidRPr="003979D4" w14:paraId="4B55C423"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C5638C2"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High Needs</w:t>
            </w:r>
          </w:p>
        </w:tc>
        <w:tc>
          <w:tcPr>
            <w:tcW w:w="341" w:type="pct"/>
            <w:vAlign w:val="center"/>
          </w:tcPr>
          <w:p w14:paraId="02CC300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5,449</w:t>
            </w:r>
          </w:p>
        </w:tc>
        <w:tc>
          <w:tcPr>
            <w:tcW w:w="281" w:type="pct"/>
            <w:vAlign w:val="center"/>
          </w:tcPr>
          <w:p w14:paraId="6E5AAC2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278AE51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1684095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626606F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7F2742A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203598C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4331D6B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6A060F1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57D56C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3475A71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2098F98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78" w:type="pct"/>
            <w:vAlign w:val="bottom"/>
          </w:tcPr>
          <w:p w14:paraId="27AA4CE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r>
      <w:tr w:rsidR="000A1B38" w:rsidRPr="003979D4" w14:paraId="58CB6B09" w14:textId="77777777">
        <w:trPr>
          <w:jc w:val="center"/>
        </w:trPr>
        <w:tc>
          <w:tcPr>
            <w:tcW w:w="1290" w:type="pct"/>
          </w:tcPr>
          <w:p w14:paraId="34525AB7"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English Learners</w:t>
            </w:r>
          </w:p>
        </w:tc>
        <w:tc>
          <w:tcPr>
            <w:tcW w:w="341" w:type="pct"/>
            <w:vAlign w:val="center"/>
          </w:tcPr>
          <w:p w14:paraId="566EFCD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2,681</w:t>
            </w:r>
          </w:p>
        </w:tc>
        <w:tc>
          <w:tcPr>
            <w:tcW w:w="281" w:type="pct"/>
            <w:vAlign w:val="center"/>
          </w:tcPr>
          <w:p w14:paraId="7AE5ABB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57F8E0B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c>
          <w:tcPr>
            <w:tcW w:w="281" w:type="pct"/>
            <w:vAlign w:val="center"/>
          </w:tcPr>
          <w:p w14:paraId="01D0F17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c>
          <w:tcPr>
            <w:tcW w:w="281" w:type="pct"/>
            <w:vAlign w:val="center"/>
          </w:tcPr>
          <w:p w14:paraId="47CB61A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606E293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7D2F58B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1C6BB13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6A793B3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47E11FA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81" w:type="pct"/>
            <w:vAlign w:val="center"/>
          </w:tcPr>
          <w:p w14:paraId="2287CA0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52</w:t>
            </w:r>
          </w:p>
        </w:tc>
        <w:tc>
          <w:tcPr>
            <w:tcW w:w="281" w:type="pct"/>
            <w:vAlign w:val="center"/>
          </w:tcPr>
          <w:p w14:paraId="4E5EDE5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54</w:t>
            </w:r>
          </w:p>
        </w:tc>
        <w:tc>
          <w:tcPr>
            <w:tcW w:w="278" w:type="pct"/>
            <w:vAlign w:val="bottom"/>
          </w:tcPr>
          <w:p w14:paraId="2883867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r>
      <w:tr w:rsidR="000A1B38" w:rsidRPr="003979D4" w14:paraId="001E0228"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ED61B41"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46E03E1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4,873</w:t>
            </w:r>
          </w:p>
        </w:tc>
        <w:tc>
          <w:tcPr>
            <w:tcW w:w="281" w:type="pct"/>
            <w:vAlign w:val="center"/>
          </w:tcPr>
          <w:p w14:paraId="23B9E78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2DF3AEE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7888FE9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3A9B2B8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6DE11FD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708EB65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2DF54B8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365EFE2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75496AB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1C90106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5DD2071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78" w:type="pct"/>
            <w:vAlign w:val="bottom"/>
          </w:tcPr>
          <w:p w14:paraId="5D6829F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r>
      <w:tr w:rsidR="000A1B38" w:rsidRPr="003979D4" w14:paraId="7729945D" w14:textId="77777777">
        <w:trPr>
          <w:jc w:val="center"/>
        </w:trPr>
        <w:tc>
          <w:tcPr>
            <w:tcW w:w="1290" w:type="pct"/>
          </w:tcPr>
          <w:p w14:paraId="1A4578D3"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Students with Disabilities</w:t>
            </w:r>
          </w:p>
        </w:tc>
        <w:tc>
          <w:tcPr>
            <w:tcW w:w="341" w:type="pct"/>
            <w:vAlign w:val="center"/>
          </w:tcPr>
          <w:p w14:paraId="7638E44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1,446</w:t>
            </w:r>
          </w:p>
        </w:tc>
        <w:tc>
          <w:tcPr>
            <w:tcW w:w="281" w:type="pct"/>
            <w:vAlign w:val="center"/>
          </w:tcPr>
          <w:p w14:paraId="7F9A9E1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w:t>
            </w:r>
          </w:p>
        </w:tc>
        <w:tc>
          <w:tcPr>
            <w:tcW w:w="281" w:type="pct"/>
            <w:vAlign w:val="center"/>
          </w:tcPr>
          <w:p w14:paraId="69B0A99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w:t>
            </w:r>
          </w:p>
        </w:tc>
        <w:tc>
          <w:tcPr>
            <w:tcW w:w="281" w:type="pct"/>
            <w:vAlign w:val="center"/>
          </w:tcPr>
          <w:p w14:paraId="39678EE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54E112F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59A1AE0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2A9D242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698079B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00CAD00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7F9C69B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69</w:t>
            </w:r>
          </w:p>
        </w:tc>
        <w:tc>
          <w:tcPr>
            <w:tcW w:w="281" w:type="pct"/>
            <w:vAlign w:val="center"/>
          </w:tcPr>
          <w:p w14:paraId="2E91BB3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70</w:t>
            </w:r>
          </w:p>
        </w:tc>
        <w:tc>
          <w:tcPr>
            <w:tcW w:w="281" w:type="pct"/>
            <w:vAlign w:val="center"/>
          </w:tcPr>
          <w:p w14:paraId="27C8623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68</w:t>
            </w:r>
          </w:p>
        </w:tc>
        <w:tc>
          <w:tcPr>
            <w:tcW w:w="278" w:type="pct"/>
            <w:vAlign w:val="bottom"/>
          </w:tcPr>
          <w:p w14:paraId="4D6D5A2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r>
    </w:tbl>
    <w:p w14:paraId="1F22BC52" w14:textId="4FE87EB7" w:rsidR="000A1B38" w:rsidRDefault="000A1B38" w:rsidP="0082637F">
      <w:pPr>
        <w:pStyle w:val="TableETitle"/>
      </w:pPr>
      <w:bookmarkStart w:id="217" w:name="_Toc211930032"/>
      <w:bookmarkStart w:id="218" w:name="_Toc230970162"/>
      <w:bookmarkEnd w:id="214"/>
      <w:bookmarkEnd w:id="216"/>
      <w:r w:rsidRPr="003979D4">
        <w:t>Table E</w:t>
      </w:r>
      <w:r>
        <w:t>2</w:t>
      </w:r>
      <w:r w:rsidRPr="003979D4">
        <w:t xml:space="preserve">. MCAS </w:t>
      </w:r>
      <w:r>
        <w:t>ELA</w:t>
      </w:r>
      <w:r w:rsidRPr="003979D4">
        <w:t xml:space="preserve"> Achievement</w:t>
      </w:r>
      <w:r>
        <w:t xml:space="preserve"> </w:t>
      </w:r>
      <w:r w:rsidRPr="003979D4">
        <w:t>by Student Group, Grade</w:t>
      </w:r>
      <w:r>
        <w:t xml:space="preserve"> 10</w:t>
      </w:r>
      <w:r w:rsidRPr="003979D4">
        <w:t>, 202</w:t>
      </w:r>
      <w:r>
        <w:t>3</w:t>
      </w:r>
      <w:r w:rsidRPr="003979D4">
        <w:t>-</w:t>
      </w:r>
      <w:r w:rsidRPr="00A160AD">
        <w:t>202</w:t>
      </w:r>
      <w:r>
        <w:t>5</w:t>
      </w:r>
      <w:bookmarkEnd w:id="217"/>
      <w:bookmarkEnd w:id="218"/>
    </w:p>
    <w:tbl>
      <w:tblPr>
        <w:tblStyle w:val="MSVTable1"/>
        <w:tblW w:w="5107" w:type="pct"/>
        <w:jc w:val="center"/>
        <w:tblLayout w:type="fixed"/>
        <w:tblLook w:val="0420" w:firstRow="1" w:lastRow="0" w:firstColumn="0" w:lastColumn="0" w:noHBand="0" w:noVBand="1"/>
        <w:tblCaption w:val="Table E2. MCAS ELA Achievement by Student Group, Grade 10, 2023-2025"/>
        <w:tblDescription w:val="MCAS ELA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0A1B38" w:rsidRPr="003979D4" w14:paraId="1F859C07"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129F5748" w14:textId="77777777" w:rsidR="000A1B38" w:rsidRPr="00EA0A36" w:rsidRDefault="000A1B38">
            <w:pPr>
              <w:pStyle w:val="TableColHeadingCenter"/>
              <w:spacing w:before="20" w:after="20"/>
            </w:pPr>
            <w:r w:rsidRPr="002F03E2">
              <w:t>Group</w:t>
            </w:r>
          </w:p>
        </w:tc>
        <w:tc>
          <w:tcPr>
            <w:tcW w:w="341" w:type="pct"/>
            <w:vAlign w:val="center"/>
          </w:tcPr>
          <w:p w14:paraId="05E40F32" w14:textId="77777777" w:rsidR="000A1B38" w:rsidRPr="00EA0A36" w:rsidRDefault="000A1B38">
            <w:pPr>
              <w:pStyle w:val="TableColHeadingCenter"/>
              <w:spacing w:before="20" w:after="20"/>
            </w:pPr>
            <w:r w:rsidRPr="002F03E2">
              <w:t># Included (202</w:t>
            </w:r>
            <w:r>
              <w:t>5</w:t>
            </w:r>
            <w:r w:rsidRPr="002F03E2">
              <w:t>)</w:t>
            </w:r>
          </w:p>
        </w:tc>
        <w:tc>
          <w:tcPr>
            <w:tcW w:w="281" w:type="pct"/>
            <w:vAlign w:val="center"/>
          </w:tcPr>
          <w:p w14:paraId="1927A0D2" w14:textId="77777777" w:rsidR="000A1B38" w:rsidRPr="00EA0A36" w:rsidRDefault="000A1B38">
            <w:pPr>
              <w:pStyle w:val="TableColHeadingCenter"/>
              <w:spacing w:before="20" w:after="20"/>
            </w:pPr>
            <w:r>
              <w:t xml:space="preserve">% M/E </w:t>
            </w:r>
            <w:r w:rsidRPr="00EA0A36">
              <w:t>202</w:t>
            </w:r>
            <w:r>
              <w:t>3</w:t>
            </w:r>
          </w:p>
        </w:tc>
        <w:tc>
          <w:tcPr>
            <w:tcW w:w="281" w:type="pct"/>
            <w:vAlign w:val="center"/>
          </w:tcPr>
          <w:p w14:paraId="20515FD9" w14:textId="77777777" w:rsidR="000A1B38" w:rsidRPr="00EA0A36" w:rsidRDefault="000A1B38">
            <w:pPr>
              <w:pStyle w:val="TableColHeadingCenter"/>
              <w:spacing w:before="20" w:after="20"/>
            </w:pPr>
            <w:r>
              <w:t xml:space="preserve">% M/E </w:t>
            </w:r>
            <w:r w:rsidRPr="00EA0A36">
              <w:t>202</w:t>
            </w:r>
            <w:r>
              <w:t>4</w:t>
            </w:r>
          </w:p>
        </w:tc>
        <w:tc>
          <w:tcPr>
            <w:tcW w:w="281" w:type="pct"/>
            <w:vAlign w:val="center"/>
          </w:tcPr>
          <w:p w14:paraId="6CD6CD37" w14:textId="77777777" w:rsidR="000A1B38" w:rsidRPr="00EA0A36" w:rsidRDefault="000A1B38">
            <w:pPr>
              <w:pStyle w:val="TableColHeadingCenter"/>
              <w:spacing w:before="20" w:after="20"/>
            </w:pPr>
            <w:r>
              <w:t>% M/E 2025</w:t>
            </w:r>
          </w:p>
        </w:tc>
        <w:tc>
          <w:tcPr>
            <w:tcW w:w="281" w:type="pct"/>
            <w:vAlign w:val="center"/>
          </w:tcPr>
          <w:p w14:paraId="078B9877" w14:textId="77777777" w:rsidR="000A1B38" w:rsidRPr="00EA0A36" w:rsidRDefault="000A1B38">
            <w:pPr>
              <w:pStyle w:val="TableColHeadingCenter"/>
              <w:spacing w:before="20" w:after="20"/>
            </w:pPr>
            <w:r>
              <w:t>% M/E 2025 S</w:t>
            </w:r>
            <w:r w:rsidRPr="00EA0A36">
              <w:t>tate</w:t>
            </w:r>
          </w:p>
        </w:tc>
        <w:tc>
          <w:tcPr>
            <w:tcW w:w="281" w:type="pct"/>
            <w:vAlign w:val="center"/>
          </w:tcPr>
          <w:p w14:paraId="1164CCD9" w14:textId="77777777" w:rsidR="000A1B38" w:rsidRPr="00EA0A36" w:rsidRDefault="000A1B38">
            <w:pPr>
              <w:pStyle w:val="TableColHeadingCenter"/>
              <w:spacing w:before="20" w:after="20"/>
            </w:pPr>
            <w:r>
              <w:t xml:space="preserve">% PME </w:t>
            </w:r>
            <w:r w:rsidRPr="00EA0A36">
              <w:t>202</w:t>
            </w:r>
            <w:r>
              <w:t>3</w:t>
            </w:r>
          </w:p>
        </w:tc>
        <w:tc>
          <w:tcPr>
            <w:tcW w:w="281" w:type="pct"/>
            <w:vAlign w:val="center"/>
          </w:tcPr>
          <w:p w14:paraId="63135C79" w14:textId="77777777" w:rsidR="000A1B38" w:rsidRPr="00EA0A36" w:rsidRDefault="000A1B38">
            <w:pPr>
              <w:pStyle w:val="TableColHeadingCenter"/>
              <w:spacing w:before="20" w:after="20"/>
            </w:pPr>
            <w:r>
              <w:t xml:space="preserve">% PME </w:t>
            </w:r>
            <w:r w:rsidRPr="00EA0A36">
              <w:t>202</w:t>
            </w:r>
            <w:r>
              <w:t>4</w:t>
            </w:r>
          </w:p>
        </w:tc>
        <w:tc>
          <w:tcPr>
            <w:tcW w:w="281" w:type="pct"/>
            <w:vAlign w:val="center"/>
          </w:tcPr>
          <w:p w14:paraId="78CF7E45" w14:textId="77777777" w:rsidR="000A1B38" w:rsidRPr="00EA0A36" w:rsidRDefault="000A1B38">
            <w:pPr>
              <w:pStyle w:val="TableColHeadingCenter"/>
              <w:spacing w:before="20" w:after="20"/>
            </w:pPr>
            <w:r>
              <w:t>% PME 2025</w:t>
            </w:r>
          </w:p>
        </w:tc>
        <w:tc>
          <w:tcPr>
            <w:tcW w:w="281" w:type="pct"/>
            <w:vAlign w:val="center"/>
          </w:tcPr>
          <w:p w14:paraId="4B2C27FC" w14:textId="77777777" w:rsidR="000A1B38" w:rsidRPr="00EA0A36" w:rsidRDefault="000A1B38">
            <w:pPr>
              <w:pStyle w:val="TableColHeadingCenter"/>
              <w:spacing w:before="20" w:after="20"/>
            </w:pPr>
            <w:r>
              <w:t xml:space="preserve">% PME 2025 </w:t>
            </w:r>
            <w:r w:rsidRPr="00EA0A36">
              <w:t>State</w:t>
            </w:r>
          </w:p>
        </w:tc>
        <w:tc>
          <w:tcPr>
            <w:tcW w:w="281" w:type="pct"/>
            <w:vAlign w:val="center"/>
          </w:tcPr>
          <w:p w14:paraId="7806BF64" w14:textId="77777777" w:rsidR="000A1B38" w:rsidRPr="00EA0A36" w:rsidRDefault="000A1B38">
            <w:pPr>
              <w:pStyle w:val="TableColHeadingCenter"/>
              <w:spacing w:before="20" w:after="20"/>
            </w:pPr>
            <w:r>
              <w:t xml:space="preserve">% NM </w:t>
            </w:r>
            <w:r w:rsidRPr="00EA0A36">
              <w:t>202</w:t>
            </w:r>
            <w:r>
              <w:t>3</w:t>
            </w:r>
          </w:p>
        </w:tc>
        <w:tc>
          <w:tcPr>
            <w:tcW w:w="281" w:type="pct"/>
            <w:vAlign w:val="center"/>
          </w:tcPr>
          <w:p w14:paraId="35E95F28" w14:textId="77777777" w:rsidR="000A1B38" w:rsidRPr="00EA0A36" w:rsidRDefault="000A1B38">
            <w:pPr>
              <w:pStyle w:val="TableColHeadingCenter"/>
              <w:spacing w:before="20" w:after="20"/>
            </w:pPr>
            <w:r>
              <w:t xml:space="preserve">% NM </w:t>
            </w:r>
            <w:r w:rsidRPr="00EA0A36">
              <w:t>202</w:t>
            </w:r>
            <w:r>
              <w:t>4</w:t>
            </w:r>
          </w:p>
        </w:tc>
        <w:tc>
          <w:tcPr>
            <w:tcW w:w="281" w:type="pct"/>
            <w:vAlign w:val="center"/>
          </w:tcPr>
          <w:p w14:paraId="54F456E0" w14:textId="77777777" w:rsidR="000A1B38" w:rsidRPr="00EA0A36" w:rsidRDefault="000A1B38">
            <w:pPr>
              <w:pStyle w:val="TableColHeadingCenter"/>
              <w:spacing w:before="20" w:after="20"/>
            </w:pPr>
            <w:r>
              <w:t>% NM 2025</w:t>
            </w:r>
          </w:p>
        </w:tc>
        <w:tc>
          <w:tcPr>
            <w:tcW w:w="278" w:type="pct"/>
            <w:vAlign w:val="center"/>
          </w:tcPr>
          <w:p w14:paraId="3CB5A4F2" w14:textId="77777777" w:rsidR="000A1B38" w:rsidRPr="00EA0A36" w:rsidRDefault="000A1B38">
            <w:pPr>
              <w:pStyle w:val="TableColHeadingCenter"/>
              <w:spacing w:before="20" w:after="20"/>
            </w:pPr>
            <w:r>
              <w:t xml:space="preserve">% NM 2025 </w:t>
            </w:r>
            <w:r w:rsidRPr="00EA0A36">
              <w:t>State</w:t>
            </w:r>
          </w:p>
        </w:tc>
      </w:tr>
      <w:tr w:rsidR="000A1B38" w:rsidRPr="003979D4" w14:paraId="028C52C7"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3BF704A"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All Students</w:t>
            </w:r>
          </w:p>
        </w:tc>
        <w:tc>
          <w:tcPr>
            <w:tcW w:w="341" w:type="pct"/>
            <w:vAlign w:val="center"/>
          </w:tcPr>
          <w:p w14:paraId="4243A61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728</w:t>
            </w:r>
          </w:p>
        </w:tc>
        <w:tc>
          <w:tcPr>
            <w:tcW w:w="281" w:type="pct"/>
            <w:vAlign w:val="center"/>
          </w:tcPr>
          <w:p w14:paraId="3848A19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556B1B4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090175D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1811874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51</w:t>
            </w:r>
          </w:p>
        </w:tc>
        <w:tc>
          <w:tcPr>
            <w:tcW w:w="281" w:type="pct"/>
            <w:vAlign w:val="center"/>
          </w:tcPr>
          <w:p w14:paraId="73806D8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20F7156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41FE161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4BA3721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585C932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72852A5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79B6EF4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78" w:type="pct"/>
            <w:vAlign w:val="bottom"/>
          </w:tcPr>
          <w:p w14:paraId="7A073BC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r>
      <w:tr w:rsidR="000A1B38" w:rsidRPr="003979D4" w14:paraId="2EC5892B" w14:textId="77777777">
        <w:trPr>
          <w:jc w:val="center"/>
        </w:trPr>
        <w:tc>
          <w:tcPr>
            <w:tcW w:w="1290" w:type="pct"/>
          </w:tcPr>
          <w:p w14:paraId="5C5052EA"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1089C4D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105015F7" w14:textId="280D3438"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B675342" w14:textId="16EF34AE"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5F20375" w14:textId="2261A1C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07BA2B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021DAF55" w14:textId="6A914D0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47DBFE7C" w14:textId="58874B08"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DBEB423" w14:textId="5E31B53B"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811926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552B7F7E" w14:textId="5E8A6638"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0C6F698" w14:textId="1CB7E493"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BEED552" w14:textId="0B770FE5"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447A9C2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r>
      <w:tr w:rsidR="000A1B38" w:rsidRPr="003979D4" w14:paraId="33BD1BF9"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B2BF9E8"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Asian</w:t>
            </w:r>
          </w:p>
        </w:tc>
        <w:tc>
          <w:tcPr>
            <w:tcW w:w="341" w:type="pct"/>
            <w:vAlign w:val="center"/>
          </w:tcPr>
          <w:p w14:paraId="111F177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70D4168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62</w:t>
            </w:r>
          </w:p>
        </w:tc>
        <w:tc>
          <w:tcPr>
            <w:tcW w:w="281" w:type="pct"/>
            <w:vAlign w:val="center"/>
          </w:tcPr>
          <w:p w14:paraId="137050B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63</w:t>
            </w:r>
          </w:p>
        </w:tc>
        <w:tc>
          <w:tcPr>
            <w:tcW w:w="281" w:type="pct"/>
            <w:vAlign w:val="center"/>
          </w:tcPr>
          <w:p w14:paraId="56D668D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87</w:t>
            </w:r>
          </w:p>
        </w:tc>
        <w:tc>
          <w:tcPr>
            <w:tcW w:w="281" w:type="pct"/>
            <w:vAlign w:val="center"/>
          </w:tcPr>
          <w:p w14:paraId="7A817F9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76</w:t>
            </w:r>
          </w:p>
        </w:tc>
        <w:tc>
          <w:tcPr>
            <w:tcW w:w="281" w:type="pct"/>
            <w:vAlign w:val="center"/>
          </w:tcPr>
          <w:p w14:paraId="55096CA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6599E23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5B881D8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w:t>
            </w:r>
          </w:p>
        </w:tc>
        <w:tc>
          <w:tcPr>
            <w:tcW w:w="281" w:type="pct"/>
            <w:vAlign w:val="center"/>
          </w:tcPr>
          <w:p w14:paraId="0FE11A0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49AF9C6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710F5DC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w:t>
            </w:r>
          </w:p>
        </w:tc>
        <w:tc>
          <w:tcPr>
            <w:tcW w:w="281" w:type="pct"/>
            <w:vAlign w:val="center"/>
          </w:tcPr>
          <w:p w14:paraId="758C7C2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w:t>
            </w:r>
          </w:p>
        </w:tc>
        <w:tc>
          <w:tcPr>
            <w:tcW w:w="278" w:type="pct"/>
            <w:vAlign w:val="bottom"/>
          </w:tcPr>
          <w:p w14:paraId="298378C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r>
      <w:tr w:rsidR="000A1B38" w:rsidRPr="003979D4" w14:paraId="2E1B0D70" w14:textId="77777777">
        <w:trPr>
          <w:jc w:val="center"/>
        </w:trPr>
        <w:tc>
          <w:tcPr>
            <w:tcW w:w="1290" w:type="pct"/>
          </w:tcPr>
          <w:p w14:paraId="78E6E357"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Black or African American</w:t>
            </w:r>
          </w:p>
        </w:tc>
        <w:tc>
          <w:tcPr>
            <w:tcW w:w="341" w:type="pct"/>
            <w:vAlign w:val="center"/>
          </w:tcPr>
          <w:p w14:paraId="4CAC702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474</w:t>
            </w:r>
          </w:p>
        </w:tc>
        <w:tc>
          <w:tcPr>
            <w:tcW w:w="281" w:type="pct"/>
            <w:vAlign w:val="center"/>
          </w:tcPr>
          <w:p w14:paraId="0E5833A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68C28E8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0AE3548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4E2E4CF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614C0AC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3D466D1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51D36A9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36ADD46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45BAB60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26E539D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42E932D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78" w:type="pct"/>
            <w:vAlign w:val="bottom"/>
          </w:tcPr>
          <w:p w14:paraId="0750495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r>
      <w:tr w:rsidR="000A1B38" w:rsidRPr="003979D4" w14:paraId="1255B69D"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EDF524F"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Hispanic or Latino</w:t>
            </w:r>
          </w:p>
        </w:tc>
        <w:tc>
          <w:tcPr>
            <w:tcW w:w="341" w:type="pct"/>
            <w:vAlign w:val="center"/>
          </w:tcPr>
          <w:p w14:paraId="38658B9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132</w:t>
            </w:r>
          </w:p>
        </w:tc>
        <w:tc>
          <w:tcPr>
            <w:tcW w:w="281" w:type="pct"/>
            <w:vAlign w:val="center"/>
          </w:tcPr>
          <w:p w14:paraId="2AAA345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5EA5F44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1F99DE8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6CFAAF7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81" w:type="pct"/>
            <w:vAlign w:val="center"/>
          </w:tcPr>
          <w:p w14:paraId="682B556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6179431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040F92F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6484C2E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5435D6D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30807F9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4CAB197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278" w:type="pct"/>
            <w:vAlign w:val="bottom"/>
          </w:tcPr>
          <w:p w14:paraId="5AFC0B9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r>
      <w:tr w:rsidR="000A1B38" w:rsidRPr="003979D4" w14:paraId="1795DA25" w14:textId="77777777">
        <w:trPr>
          <w:jc w:val="center"/>
        </w:trPr>
        <w:tc>
          <w:tcPr>
            <w:tcW w:w="1290" w:type="pct"/>
          </w:tcPr>
          <w:p w14:paraId="7D4B6A31"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5135CCB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17FC611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4824FDC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4E27A58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6205689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56</w:t>
            </w:r>
          </w:p>
        </w:tc>
        <w:tc>
          <w:tcPr>
            <w:tcW w:w="281" w:type="pct"/>
            <w:vAlign w:val="center"/>
          </w:tcPr>
          <w:p w14:paraId="048AF03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612ECCD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58</w:t>
            </w:r>
          </w:p>
        </w:tc>
        <w:tc>
          <w:tcPr>
            <w:tcW w:w="281" w:type="pct"/>
            <w:vAlign w:val="center"/>
          </w:tcPr>
          <w:p w14:paraId="5B744F6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18172EB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4C66CA9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1E77B71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71B8915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78" w:type="pct"/>
            <w:vAlign w:val="bottom"/>
          </w:tcPr>
          <w:p w14:paraId="50ACFDE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r>
      <w:tr w:rsidR="000A1B38" w:rsidRPr="003979D4" w14:paraId="21FFD9B0"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ADE72A3"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72E0D61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368137F2" w14:textId="0DF0665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64C1CCD" w14:textId="3ED2D41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0F9AECE" w14:textId="705463A2"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5B3CF8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5E2C6A52" w14:textId="5A5489A9"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8F7A4AF" w14:textId="33BB84B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F75C6CE" w14:textId="6D7F693D"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458C8F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3D23915D" w14:textId="1BD888DD"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88C7581" w14:textId="79D818A7"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F848BBC" w14:textId="3AF74F4E"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7AF19C2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r>
      <w:tr w:rsidR="000A1B38" w:rsidRPr="003979D4" w14:paraId="1C99D803" w14:textId="77777777">
        <w:trPr>
          <w:jc w:val="center"/>
        </w:trPr>
        <w:tc>
          <w:tcPr>
            <w:tcW w:w="1290" w:type="pct"/>
          </w:tcPr>
          <w:p w14:paraId="6F4EE8DC"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White</w:t>
            </w:r>
          </w:p>
        </w:tc>
        <w:tc>
          <w:tcPr>
            <w:tcW w:w="341" w:type="pct"/>
            <w:vAlign w:val="center"/>
          </w:tcPr>
          <w:p w14:paraId="41483B6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69</w:t>
            </w:r>
          </w:p>
        </w:tc>
        <w:tc>
          <w:tcPr>
            <w:tcW w:w="281" w:type="pct"/>
            <w:vAlign w:val="center"/>
          </w:tcPr>
          <w:p w14:paraId="0B1BC57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55</w:t>
            </w:r>
          </w:p>
        </w:tc>
        <w:tc>
          <w:tcPr>
            <w:tcW w:w="281" w:type="pct"/>
            <w:vAlign w:val="center"/>
          </w:tcPr>
          <w:p w14:paraId="437276E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56</w:t>
            </w:r>
          </w:p>
        </w:tc>
        <w:tc>
          <w:tcPr>
            <w:tcW w:w="281" w:type="pct"/>
            <w:vAlign w:val="center"/>
          </w:tcPr>
          <w:p w14:paraId="1947BF7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7088889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59</w:t>
            </w:r>
          </w:p>
        </w:tc>
        <w:tc>
          <w:tcPr>
            <w:tcW w:w="281" w:type="pct"/>
            <w:vAlign w:val="center"/>
          </w:tcPr>
          <w:p w14:paraId="40EC5B8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468001B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37CEA1B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0D1FF52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1E0DA28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0C21E7F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c>
          <w:tcPr>
            <w:tcW w:w="281" w:type="pct"/>
            <w:vAlign w:val="center"/>
          </w:tcPr>
          <w:p w14:paraId="0BCBF7E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78" w:type="pct"/>
            <w:vAlign w:val="bottom"/>
          </w:tcPr>
          <w:p w14:paraId="2AF1E2E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r>
      <w:tr w:rsidR="000A1B38" w:rsidRPr="003979D4" w14:paraId="51C46700"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500B1BF"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High Needs</w:t>
            </w:r>
          </w:p>
        </w:tc>
        <w:tc>
          <w:tcPr>
            <w:tcW w:w="341" w:type="pct"/>
            <w:vAlign w:val="center"/>
          </w:tcPr>
          <w:p w14:paraId="16AFD13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591</w:t>
            </w:r>
          </w:p>
        </w:tc>
        <w:tc>
          <w:tcPr>
            <w:tcW w:w="281" w:type="pct"/>
            <w:vAlign w:val="center"/>
          </w:tcPr>
          <w:p w14:paraId="71FAFDB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44E4D05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81" w:type="pct"/>
            <w:vAlign w:val="center"/>
          </w:tcPr>
          <w:p w14:paraId="1919788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0132254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7BCD7BF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1518DA9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7587AD6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7113FF4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2734AC0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2AB901D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1688081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78" w:type="pct"/>
            <w:vAlign w:val="bottom"/>
          </w:tcPr>
          <w:p w14:paraId="7BAA5D2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r>
      <w:tr w:rsidR="000A1B38" w:rsidRPr="003979D4" w14:paraId="394859CF" w14:textId="77777777">
        <w:trPr>
          <w:jc w:val="center"/>
        </w:trPr>
        <w:tc>
          <w:tcPr>
            <w:tcW w:w="1290" w:type="pct"/>
          </w:tcPr>
          <w:p w14:paraId="76B04FED"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English Learners</w:t>
            </w:r>
          </w:p>
        </w:tc>
        <w:tc>
          <w:tcPr>
            <w:tcW w:w="341" w:type="pct"/>
            <w:vAlign w:val="center"/>
          </w:tcPr>
          <w:p w14:paraId="64F72AA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233</w:t>
            </w:r>
          </w:p>
        </w:tc>
        <w:tc>
          <w:tcPr>
            <w:tcW w:w="281" w:type="pct"/>
            <w:vAlign w:val="center"/>
          </w:tcPr>
          <w:p w14:paraId="792B8CA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8</w:t>
            </w:r>
          </w:p>
        </w:tc>
        <w:tc>
          <w:tcPr>
            <w:tcW w:w="281" w:type="pct"/>
            <w:vAlign w:val="center"/>
          </w:tcPr>
          <w:p w14:paraId="16BFA98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8</w:t>
            </w:r>
          </w:p>
        </w:tc>
        <w:tc>
          <w:tcPr>
            <w:tcW w:w="281" w:type="pct"/>
            <w:vAlign w:val="center"/>
          </w:tcPr>
          <w:p w14:paraId="51D859C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8</w:t>
            </w:r>
          </w:p>
        </w:tc>
        <w:tc>
          <w:tcPr>
            <w:tcW w:w="281" w:type="pct"/>
            <w:vAlign w:val="center"/>
          </w:tcPr>
          <w:p w14:paraId="73F8A25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24790A9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52994AF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5DDD60A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10D1199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40CEAD0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53D1188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52</w:t>
            </w:r>
          </w:p>
        </w:tc>
        <w:tc>
          <w:tcPr>
            <w:tcW w:w="281" w:type="pct"/>
            <w:vAlign w:val="center"/>
          </w:tcPr>
          <w:p w14:paraId="17A78A6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78" w:type="pct"/>
            <w:vAlign w:val="bottom"/>
          </w:tcPr>
          <w:p w14:paraId="117464B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r>
      <w:tr w:rsidR="000A1B38" w:rsidRPr="003979D4" w14:paraId="340C0C44"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7AA1CD0"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44201D6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527</w:t>
            </w:r>
          </w:p>
        </w:tc>
        <w:tc>
          <w:tcPr>
            <w:tcW w:w="281" w:type="pct"/>
            <w:vAlign w:val="center"/>
          </w:tcPr>
          <w:p w14:paraId="1F14909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72FCF0E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6CB4047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511C755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81" w:type="pct"/>
            <w:vAlign w:val="center"/>
          </w:tcPr>
          <w:p w14:paraId="4BCE6D4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49436BD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3A8C637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36D139C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13A1735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33D1818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0762099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78" w:type="pct"/>
            <w:vAlign w:val="bottom"/>
          </w:tcPr>
          <w:p w14:paraId="57174DA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r>
      <w:tr w:rsidR="000A1B38" w:rsidRPr="003979D4" w14:paraId="7E9A4490" w14:textId="77777777">
        <w:trPr>
          <w:jc w:val="center"/>
        </w:trPr>
        <w:tc>
          <w:tcPr>
            <w:tcW w:w="1290" w:type="pct"/>
          </w:tcPr>
          <w:p w14:paraId="4D3F5070"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Students with Disabilities</w:t>
            </w:r>
          </w:p>
        </w:tc>
        <w:tc>
          <w:tcPr>
            <w:tcW w:w="341" w:type="pct"/>
            <w:vAlign w:val="center"/>
          </w:tcPr>
          <w:p w14:paraId="10FDBA5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150</w:t>
            </w:r>
          </w:p>
        </w:tc>
        <w:tc>
          <w:tcPr>
            <w:tcW w:w="281" w:type="pct"/>
            <w:vAlign w:val="center"/>
          </w:tcPr>
          <w:p w14:paraId="70E1A94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c>
          <w:tcPr>
            <w:tcW w:w="281" w:type="pct"/>
            <w:vAlign w:val="center"/>
          </w:tcPr>
          <w:p w14:paraId="1C27688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2EE0C56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0001BE2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5DE8F82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4D8487B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7056A0B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4660594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794E000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4064542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52</w:t>
            </w:r>
          </w:p>
        </w:tc>
        <w:tc>
          <w:tcPr>
            <w:tcW w:w="281" w:type="pct"/>
            <w:vAlign w:val="center"/>
          </w:tcPr>
          <w:p w14:paraId="63FD31C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58</w:t>
            </w:r>
          </w:p>
        </w:tc>
        <w:tc>
          <w:tcPr>
            <w:tcW w:w="278" w:type="pct"/>
            <w:vAlign w:val="bottom"/>
          </w:tcPr>
          <w:p w14:paraId="036CC3A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r>
    </w:tbl>
    <w:p w14:paraId="7F454E48" w14:textId="3A757EC3" w:rsidR="000A1B38" w:rsidRDefault="000A1B38" w:rsidP="0082637F">
      <w:pPr>
        <w:pStyle w:val="TableETitle"/>
      </w:pPr>
      <w:bookmarkStart w:id="219" w:name="_Toc211930033"/>
      <w:bookmarkStart w:id="220" w:name="_Toc230970163"/>
      <w:r w:rsidRPr="003979D4">
        <w:t>Table E</w:t>
      </w:r>
      <w:r>
        <w:t>3</w:t>
      </w:r>
      <w:r w:rsidRPr="003979D4">
        <w:t xml:space="preserve">. MCAS </w:t>
      </w:r>
      <w:r>
        <w:t>Mathematics A</w:t>
      </w:r>
      <w:r w:rsidRPr="003979D4">
        <w:t>chievement</w:t>
      </w:r>
      <w:r>
        <w:t xml:space="preserve"> </w:t>
      </w:r>
      <w:r w:rsidRPr="003979D4">
        <w:t>by Student Group, Grades 3-8, 202</w:t>
      </w:r>
      <w:r>
        <w:t>3</w:t>
      </w:r>
      <w:r w:rsidRPr="003979D4">
        <w:t>-</w:t>
      </w:r>
      <w:r w:rsidRPr="00A160AD">
        <w:t>202</w:t>
      </w:r>
      <w:r>
        <w:t>5</w:t>
      </w:r>
      <w:bookmarkEnd w:id="219"/>
      <w:bookmarkEnd w:id="220"/>
    </w:p>
    <w:tbl>
      <w:tblPr>
        <w:tblStyle w:val="MSVTable1"/>
        <w:tblW w:w="5107" w:type="pct"/>
        <w:jc w:val="center"/>
        <w:tblLayout w:type="fixed"/>
        <w:tblLook w:val="0420" w:firstRow="1" w:lastRow="0" w:firstColumn="0" w:lastColumn="0" w:noHBand="0" w:noVBand="1"/>
        <w:tblCaption w:val="Table E3. MCAS Mathematics Achievement by Student Group, Grades 3-8, 2023-2025"/>
        <w:tblDescription w:val="MCAS Mathematics Achievement by Student Group, Grades 3-8, 2023-2025"/>
      </w:tblPr>
      <w:tblGrid>
        <w:gridCol w:w="3411"/>
        <w:gridCol w:w="902"/>
        <w:gridCol w:w="743"/>
        <w:gridCol w:w="743"/>
        <w:gridCol w:w="743"/>
        <w:gridCol w:w="743"/>
        <w:gridCol w:w="743"/>
        <w:gridCol w:w="743"/>
        <w:gridCol w:w="743"/>
        <w:gridCol w:w="743"/>
        <w:gridCol w:w="743"/>
        <w:gridCol w:w="743"/>
        <w:gridCol w:w="743"/>
        <w:gridCol w:w="735"/>
      </w:tblGrid>
      <w:tr w:rsidR="000A1B38" w:rsidRPr="003979D4" w14:paraId="0F469491"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20D917AB" w14:textId="77777777" w:rsidR="000A1B38" w:rsidRPr="00EA0A36" w:rsidRDefault="000A1B38">
            <w:pPr>
              <w:pStyle w:val="TableColHeadingCenter"/>
              <w:spacing w:before="20" w:after="20"/>
            </w:pPr>
            <w:r w:rsidRPr="002F03E2">
              <w:t>Group</w:t>
            </w:r>
          </w:p>
        </w:tc>
        <w:tc>
          <w:tcPr>
            <w:tcW w:w="341" w:type="pct"/>
            <w:vAlign w:val="center"/>
          </w:tcPr>
          <w:p w14:paraId="436DCA2C" w14:textId="77777777" w:rsidR="000A1B38" w:rsidRPr="00EA0A36" w:rsidRDefault="000A1B38">
            <w:pPr>
              <w:pStyle w:val="TableColHeadingCenter"/>
              <w:spacing w:before="20" w:after="20"/>
            </w:pPr>
            <w:r w:rsidRPr="002F03E2">
              <w:t># Included (202</w:t>
            </w:r>
            <w:r>
              <w:t>5</w:t>
            </w:r>
            <w:r w:rsidRPr="002F03E2">
              <w:t>)</w:t>
            </w:r>
          </w:p>
        </w:tc>
        <w:tc>
          <w:tcPr>
            <w:tcW w:w="281" w:type="pct"/>
            <w:vAlign w:val="center"/>
          </w:tcPr>
          <w:p w14:paraId="65F1C5A9" w14:textId="77777777" w:rsidR="000A1B38" w:rsidRPr="00EA0A36" w:rsidRDefault="000A1B38">
            <w:pPr>
              <w:pStyle w:val="TableColHeadingCenter"/>
              <w:spacing w:before="20" w:after="20"/>
            </w:pPr>
            <w:r>
              <w:t xml:space="preserve">% M/E </w:t>
            </w:r>
            <w:r w:rsidRPr="00EA0A36">
              <w:t>202</w:t>
            </w:r>
            <w:r>
              <w:t>3</w:t>
            </w:r>
          </w:p>
        </w:tc>
        <w:tc>
          <w:tcPr>
            <w:tcW w:w="281" w:type="pct"/>
            <w:vAlign w:val="center"/>
          </w:tcPr>
          <w:p w14:paraId="0738CFC5" w14:textId="77777777" w:rsidR="000A1B38" w:rsidRPr="00EA0A36" w:rsidRDefault="000A1B38">
            <w:pPr>
              <w:pStyle w:val="TableColHeadingCenter"/>
              <w:spacing w:before="20" w:after="20"/>
            </w:pPr>
            <w:r>
              <w:t xml:space="preserve">% M/E </w:t>
            </w:r>
            <w:r w:rsidRPr="00EA0A36">
              <w:t>202</w:t>
            </w:r>
            <w:r>
              <w:t>4</w:t>
            </w:r>
          </w:p>
        </w:tc>
        <w:tc>
          <w:tcPr>
            <w:tcW w:w="281" w:type="pct"/>
            <w:vAlign w:val="center"/>
          </w:tcPr>
          <w:p w14:paraId="29877735" w14:textId="77777777" w:rsidR="000A1B38" w:rsidRPr="00EA0A36" w:rsidRDefault="000A1B38">
            <w:pPr>
              <w:pStyle w:val="TableColHeadingCenter"/>
              <w:spacing w:before="20" w:after="20"/>
            </w:pPr>
            <w:r>
              <w:t>% M/E 2025</w:t>
            </w:r>
          </w:p>
        </w:tc>
        <w:tc>
          <w:tcPr>
            <w:tcW w:w="281" w:type="pct"/>
            <w:vAlign w:val="center"/>
          </w:tcPr>
          <w:p w14:paraId="4CF50066" w14:textId="77777777" w:rsidR="000A1B38" w:rsidRPr="00EA0A36" w:rsidRDefault="000A1B38">
            <w:pPr>
              <w:pStyle w:val="TableColHeadingCenter"/>
              <w:spacing w:before="20" w:after="20"/>
            </w:pPr>
            <w:r>
              <w:t>% M/E 2025 S</w:t>
            </w:r>
            <w:r w:rsidRPr="00EA0A36">
              <w:t>tate</w:t>
            </w:r>
          </w:p>
        </w:tc>
        <w:tc>
          <w:tcPr>
            <w:tcW w:w="281" w:type="pct"/>
            <w:vAlign w:val="center"/>
          </w:tcPr>
          <w:p w14:paraId="6E1D2238" w14:textId="77777777" w:rsidR="000A1B38" w:rsidRPr="00EA0A36" w:rsidRDefault="000A1B38">
            <w:pPr>
              <w:pStyle w:val="TableColHeadingCenter"/>
              <w:spacing w:before="20" w:after="20"/>
            </w:pPr>
            <w:r>
              <w:t xml:space="preserve">% PME </w:t>
            </w:r>
            <w:r w:rsidRPr="00EA0A36">
              <w:t>202</w:t>
            </w:r>
            <w:r>
              <w:t>3</w:t>
            </w:r>
          </w:p>
        </w:tc>
        <w:tc>
          <w:tcPr>
            <w:tcW w:w="281" w:type="pct"/>
            <w:vAlign w:val="center"/>
          </w:tcPr>
          <w:p w14:paraId="6EB69E06" w14:textId="77777777" w:rsidR="000A1B38" w:rsidRPr="00EA0A36" w:rsidRDefault="000A1B38">
            <w:pPr>
              <w:pStyle w:val="TableColHeadingCenter"/>
              <w:spacing w:before="20" w:after="20"/>
            </w:pPr>
            <w:r>
              <w:t xml:space="preserve">% PME </w:t>
            </w:r>
            <w:r w:rsidRPr="00EA0A36">
              <w:t>202</w:t>
            </w:r>
            <w:r>
              <w:t>4</w:t>
            </w:r>
          </w:p>
        </w:tc>
        <w:tc>
          <w:tcPr>
            <w:tcW w:w="281" w:type="pct"/>
            <w:vAlign w:val="center"/>
          </w:tcPr>
          <w:p w14:paraId="6ED94ABB" w14:textId="77777777" w:rsidR="000A1B38" w:rsidRPr="00EA0A36" w:rsidRDefault="000A1B38">
            <w:pPr>
              <w:pStyle w:val="TableColHeadingCenter"/>
              <w:spacing w:before="20" w:after="20"/>
            </w:pPr>
            <w:r>
              <w:t>% PME 2025</w:t>
            </w:r>
          </w:p>
        </w:tc>
        <w:tc>
          <w:tcPr>
            <w:tcW w:w="281" w:type="pct"/>
            <w:vAlign w:val="center"/>
          </w:tcPr>
          <w:p w14:paraId="2114E032" w14:textId="77777777" w:rsidR="000A1B38" w:rsidRPr="00EA0A36" w:rsidRDefault="000A1B38">
            <w:pPr>
              <w:pStyle w:val="TableColHeadingCenter"/>
              <w:spacing w:before="20" w:after="20"/>
            </w:pPr>
            <w:r>
              <w:t xml:space="preserve">% PME 2025 </w:t>
            </w:r>
            <w:r w:rsidRPr="00EA0A36">
              <w:t>State</w:t>
            </w:r>
          </w:p>
        </w:tc>
        <w:tc>
          <w:tcPr>
            <w:tcW w:w="281" w:type="pct"/>
            <w:vAlign w:val="center"/>
          </w:tcPr>
          <w:p w14:paraId="38E9A62C" w14:textId="77777777" w:rsidR="000A1B38" w:rsidRPr="00EA0A36" w:rsidRDefault="000A1B38">
            <w:pPr>
              <w:pStyle w:val="TableColHeadingCenter"/>
              <w:spacing w:before="20" w:after="20"/>
            </w:pPr>
            <w:r>
              <w:t xml:space="preserve">% NM </w:t>
            </w:r>
            <w:r w:rsidRPr="00EA0A36">
              <w:t>202</w:t>
            </w:r>
            <w:r>
              <w:t>3</w:t>
            </w:r>
          </w:p>
        </w:tc>
        <w:tc>
          <w:tcPr>
            <w:tcW w:w="281" w:type="pct"/>
            <w:vAlign w:val="center"/>
          </w:tcPr>
          <w:p w14:paraId="7698AED0" w14:textId="77777777" w:rsidR="000A1B38" w:rsidRPr="00EA0A36" w:rsidRDefault="000A1B38">
            <w:pPr>
              <w:pStyle w:val="TableColHeadingCenter"/>
              <w:spacing w:before="20" w:after="20"/>
            </w:pPr>
            <w:r>
              <w:t xml:space="preserve">% NM </w:t>
            </w:r>
            <w:r w:rsidRPr="00EA0A36">
              <w:t>202</w:t>
            </w:r>
            <w:r>
              <w:t>4</w:t>
            </w:r>
          </w:p>
        </w:tc>
        <w:tc>
          <w:tcPr>
            <w:tcW w:w="281" w:type="pct"/>
            <w:vAlign w:val="center"/>
          </w:tcPr>
          <w:p w14:paraId="5A7750AE" w14:textId="77777777" w:rsidR="000A1B38" w:rsidRPr="00EA0A36" w:rsidRDefault="000A1B38">
            <w:pPr>
              <w:pStyle w:val="TableColHeadingCenter"/>
              <w:spacing w:before="20" w:after="20"/>
            </w:pPr>
            <w:r>
              <w:t>% NM 2025</w:t>
            </w:r>
          </w:p>
        </w:tc>
        <w:tc>
          <w:tcPr>
            <w:tcW w:w="278" w:type="pct"/>
            <w:vAlign w:val="center"/>
          </w:tcPr>
          <w:p w14:paraId="2E5F0B70" w14:textId="77777777" w:rsidR="000A1B38" w:rsidRPr="00EA0A36" w:rsidRDefault="000A1B38">
            <w:pPr>
              <w:pStyle w:val="TableColHeadingCenter"/>
              <w:spacing w:before="20" w:after="20"/>
            </w:pPr>
            <w:r>
              <w:t xml:space="preserve">% NM 2025 </w:t>
            </w:r>
            <w:r w:rsidRPr="00EA0A36">
              <w:t>State</w:t>
            </w:r>
          </w:p>
        </w:tc>
      </w:tr>
      <w:tr w:rsidR="000A1B38" w:rsidRPr="003979D4" w14:paraId="325A8865"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1BE4017"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All Students</w:t>
            </w:r>
          </w:p>
        </w:tc>
        <w:tc>
          <w:tcPr>
            <w:tcW w:w="341" w:type="pct"/>
            <w:vAlign w:val="center"/>
          </w:tcPr>
          <w:p w14:paraId="1AAD7BC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6,380</w:t>
            </w:r>
          </w:p>
        </w:tc>
        <w:tc>
          <w:tcPr>
            <w:tcW w:w="281" w:type="pct"/>
            <w:vAlign w:val="center"/>
          </w:tcPr>
          <w:p w14:paraId="0C72A82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25A9F41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04056C2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5F13A3B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0F7C3AC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2BE7F74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7D072D5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17638A2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60B78CF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7CA81CF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586D5C1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78" w:type="pct"/>
            <w:vAlign w:val="center"/>
          </w:tcPr>
          <w:p w14:paraId="7672EF7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0D8FF0BF" w14:textId="77777777">
        <w:trPr>
          <w:jc w:val="center"/>
        </w:trPr>
        <w:tc>
          <w:tcPr>
            <w:tcW w:w="1290" w:type="pct"/>
          </w:tcPr>
          <w:p w14:paraId="562F5971"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71871A3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6705ABD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5F9E145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4E7E76F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64A7A2A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0E1792E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396A435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81" w:type="pct"/>
            <w:vAlign w:val="center"/>
          </w:tcPr>
          <w:p w14:paraId="3CA526C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26CDB4E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3CA0D6A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156D5D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54</w:t>
            </w:r>
          </w:p>
        </w:tc>
        <w:tc>
          <w:tcPr>
            <w:tcW w:w="281" w:type="pct"/>
            <w:vAlign w:val="center"/>
          </w:tcPr>
          <w:p w14:paraId="7B56CD3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78" w:type="pct"/>
            <w:vAlign w:val="center"/>
          </w:tcPr>
          <w:p w14:paraId="4C0C43C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r>
      <w:tr w:rsidR="000A1B38" w:rsidRPr="003979D4" w14:paraId="4E445823"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6139A9D"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Asian</w:t>
            </w:r>
          </w:p>
        </w:tc>
        <w:tc>
          <w:tcPr>
            <w:tcW w:w="341" w:type="pct"/>
            <w:vAlign w:val="center"/>
          </w:tcPr>
          <w:p w14:paraId="191F60F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78</w:t>
            </w:r>
          </w:p>
        </w:tc>
        <w:tc>
          <w:tcPr>
            <w:tcW w:w="281" w:type="pct"/>
            <w:vAlign w:val="center"/>
          </w:tcPr>
          <w:p w14:paraId="63D794B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6071C23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0733C01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675D40F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71</w:t>
            </w:r>
          </w:p>
        </w:tc>
        <w:tc>
          <w:tcPr>
            <w:tcW w:w="281" w:type="pct"/>
            <w:vAlign w:val="center"/>
          </w:tcPr>
          <w:p w14:paraId="7F9150C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04D53D2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0398176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7CC6852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66EF5F5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0828962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1814DC9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78" w:type="pct"/>
            <w:vAlign w:val="center"/>
          </w:tcPr>
          <w:p w14:paraId="73603E5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w:t>
            </w:r>
          </w:p>
        </w:tc>
      </w:tr>
      <w:tr w:rsidR="000A1B38" w:rsidRPr="003979D4" w14:paraId="05C7B8B2" w14:textId="77777777">
        <w:trPr>
          <w:jc w:val="center"/>
        </w:trPr>
        <w:tc>
          <w:tcPr>
            <w:tcW w:w="1290" w:type="pct"/>
          </w:tcPr>
          <w:p w14:paraId="2EF609F6"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Black or African American</w:t>
            </w:r>
          </w:p>
        </w:tc>
        <w:tc>
          <w:tcPr>
            <w:tcW w:w="341" w:type="pct"/>
            <w:vAlign w:val="center"/>
          </w:tcPr>
          <w:p w14:paraId="2FE8F4A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3,814</w:t>
            </w:r>
          </w:p>
        </w:tc>
        <w:tc>
          <w:tcPr>
            <w:tcW w:w="281" w:type="pct"/>
            <w:vAlign w:val="center"/>
          </w:tcPr>
          <w:p w14:paraId="16FDFBF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28B8EC8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5956EC2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76AE90B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21F1F88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5AD7E9E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2834DF6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0F6ADA1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113C96B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C6FC55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46F1D3E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78" w:type="pct"/>
            <w:vAlign w:val="center"/>
          </w:tcPr>
          <w:p w14:paraId="465A003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r>
      <w:tr w:rsidR="000A1B38" w:rsidRPr="003979D4" w14:paraId="32D53F5B"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A052F4C"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Hispanic or Latino</w:t>
            </w:r>
          </w:p>
        </w:tc>
        <w:tc>
          <w:tcPr>
            <w:tcW w:w="341" w:type="pct"/>
            <w:vAlign w:val="center"/>
          </w:tcPr>
          <w:p w14:paraId="13F45E0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1,395</w:t>
            </w:r>
          </w:p>
        </w:tc>
        <w:tc>
          <w:tcPr>
            <w:tcW w:w="281" w:type="pct"/>
            <w:vAlign w:val="center"/>
          </w:tcPr>
          <w:p w14:paraId="20C7660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1CA27C6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208A5A8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76C0875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5316318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15772F8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186666C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2B82480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4012C71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2B6C387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71BFCE4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78" w:type="pct"/>
            <w:vAlign w:val="center"/>
          </w:tcPr>
          <w:p w14:paraId="665A575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r>
      <w:tr w:rsidR="000A1B38" w:rsidRPr="003979D4" w14:paraId="28D59D17" w14:textId="77777777">
        <w:trPr>
          <w:jc w:val="center"/>
        </w:trPr>
        <w:tc>
          <w:tcPr>
            <w:tcW w:w="1290" w:type="pct"/>
          </w:tcPr>
          <w:p w14:paraId="39EC59FB"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3B44B67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284</w:t>
            </w:r>
          </w:p>
        </w:tc>
        <w:tc>
          <w:tcPr>
            <w:tcW w:w="281" w:type="pct"/>
            <w:vAlign w:val="center"/>
          </w:tcPr>
          <w:p w14:paraId="5617F91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70BC0B1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7901AD5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5062FF5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00E9F99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2B18883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672EA3E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0353FA2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47AF8E2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34EDDAB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23ECA02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78" w:type="pct"/>
            <w:vAlign w:val="center"/>
          </w:tcPr>
          <w:p w14:paraId="47C9EEA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r>
      <w:tr w:rsidR="000A1B38" w:rsidRPr="003979D4" w14:paraId="76979F9E"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5F85113"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424B17F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55E29B2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7166BA6C" w14:textId="6ABD3039"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D0AB53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c>
          <w:tcPr>
            <w:tcW w:w="281" w:type="pct"/>
            <w:vAlign w:val="center"/>
          </w:tcPr>
          <w:p w14:paraId="6ED72C7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4FD0B1A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64</w:t>
            </w:r>
          </w:p>
        </w:tc>
        <w:tc>
          <w:tcPr>
            <w:tcW w:w="281" w:type="pct"/>
            <w:vAlign w:val="center"/>
          </w:tcPr>
          <w:p w14:paraId="143B71E4" w14:textId="6DA7E34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478CE9B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03EF83B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169D336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27CA2FDE" w14:textId="48A36961"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29B20A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64</w:t>
            </w:r>
          </w:p>
        </w:tc>
        <w:tc>
          <w:tcPr>
            <w:tcW w:w="278" w:type="pct"/>
            <w:vAlign w:val="center"/>
          </w:tcPr>
          <w:p w14:paraId="643F972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r>
      <w:tr w:rsidR="000A1B38" w:rsidRPr="003979D4" w14:paraId="680D394A" w14:textId="77777777">
        <w:trPr>
          <w:jc w:val="center"/>
        </w:trPr>
        <w:tc>
          <w:tcPr>
            <w:tcW w:w="1290" w:type="pct"/>
          </w:tcPr>
          <w:p w14:paraId="31D35D6C"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White</w:t>
            </w:r>
          </w:p>
        </w:tc>
        <w:tc>
          <w:tcPr>
            <w:tcW w:w="341" w:type="pct"/>
            <w:vAlign w:val="center"/>
          </w:tcPr>
          <w:p w14:paraId="14B3B6C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773</w:t>
            </w:r>
          </w:p>
        </w:tc>
        <w:tc>
          <w:tcPr>
            <w:tcW w:w="281" w:type="pct"/>
            <w:vAlign w:val="center"/>
          </w:tcPr>
          <w:p w14:paraId="4D78A3A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282AF49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81" w:type="pct"/>
            <w:vAlign w:val="center"/>
          </w:tcPr>
          <w:p w14:paraId="12F6242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07D63AE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409E42A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126FC3E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64BA65F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5DE62BF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623172E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1E11EF6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3119C99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78" w:type="pct"/>
            <w:vAlign w:val="center"/>
          </w:tcPr>
          <w:p w14:paraId="4558504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r>
      <w:tr w:rsidR="000A1B38" w:rsidRPr="003979D4" w14:paraId="6B5F352C"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E5BC93C"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High Needs</w:t>
            </w:r>
          </w:p>
        </w:tc>
        <w:tc>
          <w:tcPr>
            <w:tcW w:w="341" w:type="pct"/>
            <w:vAlign w:val="center"/>
          </w:tcPr>
          <w:p w14:paraId="0243FE9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5,445</w:t>
            </w:r>
          </w:p>
        </w:tc>
        <w:tc>
          <w:tcPr>
            <w:tcW w:w="281" w:type="pct"/>
            <w:vAlign w:val="center"/>
          </w:tcPr>
          <w:p w14:paraId="058A504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2637805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3A42E5A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33703B4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739DDBA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A010BA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6529127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73B5F7F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26F6499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5172331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251F089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78" w:type="pct"/>
            <w:vAlign w:val="center"/>
          </w:tcPr>
          <w:p w14:paraId="329A7AA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r>
      <w:tr w:rsidR="000A1B38" w:rsidRPr="003979D4" w14:paraId="013432F2" w14:textId="77777777">
        <w:trPr>
          <w:jc w:val="center"/>
        </w:trPr>
        <w:tc>
          <w:tcPr>
            <w:tcW w:w="1290" w:type="pct"/>
          </w:tcPr>
          <w:p w14:paraId="3E87CC26"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English Learners</w:t>
            </w:r>
          </w:p>
        </w:tc>
        <w:tc>
          <w:tcPr>
            <w:tcW w:w="341" w:type="pct"/>
            <w:vAlign w:val="center"/>
          </w:tcPr>
          <w:p w14:paraId="7AAFAEA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2,680</w:t>
            </w:r>
          </w:p>
        </w:tc>
        <w:tc>
          <w:tcPr>
            <w:tcW w:w="281" w:type="pct"/>
            <w:vAlign w:val="center"/>
          </w:tcPr>
          <w:p w14:paraId="40CD6A7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2379E02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1598DCE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245EA41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5DC9E5F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258805E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6E5657B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016FCC3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38F93D0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4CA63AF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2030CE6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78" w:type="pct"/>
            <w:vAlign w:val="center"/>
          </w:tcPr>
          <w:p w14:paraId="0B6A1F0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r>
      <w:tr w:rsidR="000A1B38" w:rsidRPr="003979D4" w14:paraId="5B497817"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A932FA0"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0B96F26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4,868</w:t>
            </w:r>
          </w:p>
        </w:tc>
        <w:tc>
          <w:tcPr>
            <w:tcW w:w="281" w:type="pct"/>
            <w:vAlign w:val="center"/>
          </w:tcPr>
          <w:p w14:paraId="38DF3B1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66EA554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46D6EEB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3E90E5D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57CDDFD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10101AB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54DC898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2B951E1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12AF4F1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6A79E1D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60D9258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78" w:type="pct"/>
            <w:vAlign w:val="center"/>
          </w:tcPr>
          <w:p w14:paraId="0581AFF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r>
      <w:tr w:rsidR="000A1B38" w:rsidRPr="003979D4" w14:paraId="7D4C07F5" w14:textId="77777777">
        <w:trPr>
          <w:jc w:val="center"/>
        </w:trPr>
        <w:tc>
          <w:tcPr>
            <w:tcW w:w="1290" w:type="pct"/>
          </w:tcPr>
          <w:p w14:paraId="2C90FBE0"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Students with Disabilities</w:t>
            </w:r>
          </w:p>
        </w:tc>
        <w:tc>
          <w:tcPr>
            <w:tcW w:w="341" w:type="pct"/>
            <w:vAlign w:val="center"/>
          </w:tcPr>
          <w:p w14:paraId="511B7AF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1,441</w:t>
            </w:r>
          </w:p>
        </w:tc>
        <w:tc>
          <w:tcPr>
            <w:tcW w:w="281" w:type="pct"/>
            <w:vAlign w:val="center"/>
          </w:tcPr>
          <w:p w14:paraId="2649579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w:t>
            </w:r>
          </w:p>
        </w:tc>
        <w:tc>
          <w:tcPr>
            <w:tcW w:w="281" w:type="pct"/>
            <w:vAlign w:val="center"/>
          </w:tcPr>
          <w:p w14:paraId="66B1C0A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w:t>
            </w:r>
          </w:p>
        </w:tc>
        <w:tc>
          <w:tcPr>
            <w:tcW w:w="281" w:type="pct"/>
            <w:vAlign w:val="center"/>
          </w:tcPr>
          <w:p w14:paraId="4C38921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w:t>
            </w:r>
          </w:p>
        </w:tc>
        <w:tc>
          <w:tcPr>
            <w:tcW w:w="281" w:type="pct"/>
            <w:vAlign w:val="center"/>
          </w:tcPr>
          <w:p w14:paraId="314A85B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12F921F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7A97C73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2BC21FF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5151D76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4BC1172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70</w:t>
            </w:r>
          </w:p>
        </w:tc>
        <w:tc>
          <w:tcPr>
            <w:tcW w:w="281" w:type="pct"/>
            <w:vAlign w:val="center"/>
          </w:tcPr>
          <w:p w14:paraId="49A22EB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67</w:t>
            </w:r>
          </w:p>
        </w:tc>
        <w:tc>
          <w:tcPr>
            <w:tcW w:w="281" w:type="pct"/>
            <w:vAlign w:val="center"/>
          </w:tcPr>
          <w:p w14:paraId="6DE75D3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69</w:t>
            </w:r>
          </w:p>
        </w:tc>
        <w:tc>
          <w:tcPr>
            <w:tcW w:w="278" w:type="pct"/>
            <w:vAlign w:val="center"/>
          </w:tcPr>
          <w:p w14:paraId="5FEF603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r>
    </w:tbl>
    <w:p w14:paraId="15537DCC" w14:textId="7845B88E" w:rsidR="000A1B38" w:rsidRDefault="000A1B38" w:rsidP="0082637F">
      <w:pPr>
        <w:pStyle w:val="TableETitle"/>
      </w:pPr>
      <w:bookmarkStart w:id="221" w:name="_Toc211930034"/>
      <w:bookmarkStart w:id="222" w:name="_Toc230970164"/>
      <w:r w:rsidRPr="003979D4">
        <w:t>Table E</w:t>
      </w:r>
      <w:r>
        <w:t>4</w:t>
      </w:r>
      <w:r w:rsidRPr="003979D4">
        <w:t xml:space="preserve">. MCAS </w:t>
      </w:r>
      <w:r>
        <w:t>Mathematics</w:t>
      </w:r>
      <w:r w:rsidRPr="003979D4">
        <w:t xml:space="preserve"> Achievement</w:t>
      </w:r>
      <w:r>
        <w:t xml:space="preserve"> </w:t>
      </w:r>
      <w:r w:rsidRPr="003979D4">
        <w:t>by Student Group, Grade</w:t>
      </w:r>
      <w:r>
        <w:t xml:space="preserve"> 10</w:t>
      </w:r>
      <w:r w:rsidRPr="003979D4">
        <w:t>, 202</w:t>
      </w:r>
      <w:r>
        <w:t>3</w:t>
      </w:r>
      <w:r w:rsidRPr="003979D4">
        <w:t>-</w:t>
      </w:r>
      <w:r w:rsidRPr="00A160AD">
        <w:t>202</w:t>
      </w:r>
      <w:r>
        <w:t>5</w:t>
      </w:r>
      <w:bookmarkEnd w:id="221"/>
      <w:bookmarkEnd w:id="222"/>
    </w:p>
    <w:tbl>
      <w:tblPr>
        <w:tblStyle w:val="MSVTable1"/>
        <w:tblW w:w="5107" w:type="pct"/>
        <w:jc w:val="center"/>
        <w:tblLayout w:type="fixed"/>
        <w:tblLook w:val="0420" w:firstRow="1" w:lastRow="0" w:firstColumn="0" w:lastColumn="0" w:noHBand="0" w:noVBand="1"/>
        <w:tblCaption w:val="Table E4. MCAS Mathematics Achievement by Student Group, Grade 10, 2023-2025"/>
        <w:tblDescription w:val="MCAS Mathematics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0A1B38" w:rsidRPr="003979D4" w14:paraId="34928D2F"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3F0DC2E4" w14:textId="77777777" w:rsidR="000A1B38" w:rsidRPr="00EA0A36" w:rsidRDefault="000A1B38">
            <w:pPr>
              <w:pStyle w:val="TableColHeadingCenter"/>
              <w:spacing w:before="20" w:after="20"/>
            </w:pPr>
            <w:r w:rsidRPr="002F03E2">
              <w:t>Group</w:t>
            </w:r>
          </w:p>
        </w:tc>
        <w:tc>
          <w:tcPr>
            <w:tcW w:w="341" w:type="pct"/>
            <w:vAlign w:val="center"/>
          </w:tcPr>
          <w:p w14:paraId="0DFA7F1F" w14:textId="77777777" w:rsidR="000A1B38" w:rsidRPr="00EA0A36" w:rsidRDefault="000A1B38">
            <w:pPr>
              <w:pStyle w:val="TableColHeadingCenter"/>
              <w:spacing w:before="20" w:after="20"/>
            </w:pPr>
            <w:r w:rsidRPr="002F03E2">
              <w:t># Included (202</w:t>
            </w:r>
            <w:r>
              <w:t>5</w:t>
            </w:r>
            <w:r w:rsidRPr="002F03E2">
              <w:t>)</w:t>
            </w:r>
          </w:p>
        </w:tc>
        <w:tc>
          <w:tcPr>
            <w:tcW w:w="281" w:type="pct"/>
            <w:vAlign w:val="center"/>
          </w:tcPr>
          <w:p w14:paraId="5DEB7704" w14:textId="77777777" w:rsidR="000A1B38" w:rsidRPr="00EA0A36" w:rsidRDefault="000A1B38">
            <w:pPr>
              <w:pStyle w:val="TableColHeadingCenter"/>
              <w:spacing w:before="20" w:after="20"/>
            </w:pPr>
            <w:r>
              <w:t xml:space="preserve">% M/E </w:t>
            </w:r>
            <w:r w:rsidRPr="00EA0A36">
              <w:t>202</w:t>
            </w:r>
            <w:r>
              <w:t>3</w:t>
            </w:r>
          </w:p>
        </w:tc>
        <w:tc>
          <w:tcPr>
            <w:tcW w:w="281" w:type="pct"/>
            <w:vAlign w:val="center"/>
          </w:tcPr>
          <w:p w14:paraId="2D41BB7B" w14:textId="77777777" w:rsidR="000A1B38" w:rsidRPr="00EA0A36" w:rsidRDefault="000A1B38">
            <w:pPr>
              <w:pStyle w:val="TableColHeadingCenter"/>
              <w:spacing w:before="20" w:after="20"/>
            </w:pPr>
            <w:r>
              <w:t xml:space="preserve">% M/E </w:t>
            </w:r>
            <w:r w:rsidRPr="00EA0A36">
              <w:t>202</w:t>
            </w:r>
            <w:r>
              <w:t>4</w:t>
            </w:r>
          </w:p>
        </w:tc>
        <w:tc>
          <w:tcPr>
            <w:tcW w:w="281" w:type="pct"/>
            <w:vAlign w:val="center"/>
          </w:tcPr>
          <w:p w14:paraId="4DC22E28" w14:textId="77777777" w:rsidR="000A1B38" w:rsidRPr="00EA0A36" w:rsidRDefault="000A1B38">
            <w:pPr>
              <w:pStyle w:val="TableColHeadingCenter"/>
              <w:spacing w:before="20" w:after="20"/>
            </w:pPr>
            <w:r>
              <w:t>% M/E 2025</w:t>
            </w:r>
          </w:p>
        </w:tc>
        <w:tc>
          <w:tcPr>
            <w:tcW w:w="281" w:type="pct"/>
            <w:vAlign w:val="center"/>
          </w:tcPr>
          <w:p w14:paraId="2D719185" w14:textId="77777777" w:rsidR="000A1B38" w:rsidRPr="00EA0A36" w:rsidRDefault="000A1B38">
            <w:pPr>
              <w:pStyle w:val="TableColHeadingCenter"/>
              <w:spacing w:before="20" w:after="20"/>
            </w:pPr>
            <w:r>
              <w:t>% M/E 2025 S</w:t>
            </w:r>
            <w:r w:rsidRPr="00EA0A36">
              <w:t>tate</w:t>
            </w:r>
          </w:p>
        </w:tc>
        <w:tc>
          <w:tcPr>
            <w:tcW w:w="281" w:type="pct"/>
            <w:vAlign w:val="center"/>
          </w:tcPr>
          <w:p w14:paraId="78E85EC0" w14:textId="77777777" w:rsidR="000A1B38" w:rsidRPr="00EA0A36" w:rsidRDefault="000A1B38">
            <w:pPr>
              <w:pStyle w:val="TableColHeadingCenter"/>
              <w:spacing w:before="20" w:after="20"/>
            </w:pPr>
            <w:r>
              <w:t xml:space="preserve">% PME </w:t>
            </w:r>
            <w:r w:rsidRPr="00EA0A36">
              <w:t>202</w:t>
            </w:r>
            <w:r>
              <w:t>3</w:t>
            </w:r>
          </w:p>
        </w:tc>
        <w:tc>
          <w:tcPr>
            <w:tcW w:w="281" w:type="pct"/>
            <w:vAlign w:val="center"/>
          </w:tcPr>
          <w:p w14:paraId="0587D7E0" w14:textId="77777777" w:rsidR="000A1B38" w:rsidRPr="00EA0A36" w:rsidRDefault="000A1B38">
            <w:pPr>
              <w:pStyle w:val="TableColHeadingCenter"/>
              <w:spacing w:before="20" w:after="20"/>
            </w:pPr>
            <w:r>
              <w:t xml:space="preserve">% PME </w:t>
            </w:r>
            <w:r w:rsidRPr="00EA0A36">
              <w:t>202</w:t>
            </w:r>
            <w:r>
              <w:t>4</w:t>
            </w:r>
          </w:p>
        </w:tc>
        <w:tc>
          <w:tcPr>
            <w:tcW w:w="281" w:type="pct"/>
            <w:vAlign w:val="center"/>
          </w:tcPr>
          <w:p w14:paraId="4771640C" w14:textId="77777777" w:rsidR="000A1B38" w:rsidRPr="00EA0A36" w:rsidRDefault="000A1B38">
            <w:pPr>
              <w:pStyle w:val="TableColHeadingCenter"/>
              <w:spacing w:before="20" w:after="20"/>
            </w:pPr>
            <w:r>
              <w:t>% PME 2025</w:t>
            </w:r>
          </w:p>
        </w:tc>
        <w:tc>
          <w:tcPr>
            <w:tcW w:w="281" w:type="pct"/>
            <w:vAlign w:val="center"/>
          </w:tcPr>
          <w:p w14:paraId="6417F89F" w14:textId="77777777" w:rsidR="000A1B38" w:rsidRPr="00EA0A36" w:rsidRDefault="000A1B38">
            <w:pPr>
              <w:pStyle w:val="TableColHeadingCenter"/>
              <w:spacing w:before="20" w:after="20"/>
            </w:pPr>
            <w:r>
              <w:t xml:space="preserve">% PME 2025 </w:t>
            </w:r>
            <w:r w:rsidRPr="00EA0A36">
              <w:t>State</w:t>
            </w:r>
          </w:p>
        </w:tc>
        <w:tc>
          <w:tcPr>
            <w:tcW w:w="281" w:type="pct"/>
            <w:vAlign w:val="center"/>
          </w:tcPr>
          <w:p w14:paraId="06A9EAEB" w14:textId="77777777" w:rsidR="000A1B38" w:rsidRPr="00EA0A36" w:rsidRDefault="000A1B38">
            <w:pPr>
              <w:pStyle w:val="TableColHeadingCenter"/>
              <w:spacing w:before="20" w:after="20"/>
            </w:pPr>
            <w:r>
              <w:t xml:space="preserve">% NM </w:t>
            </w:r>
            <w:r w:rsidRPr="00EA0A36">
              <w:t>202</w:t>
            </w:r>
            <w:r>
              <w:t>3</w:t>
            </w:r>
          </w:p>
        </w:tc>
        <w:tc>
          <w:tcPr>
            <w:tcW w:w="281" w:type="pct"/>
            <w:vAlign w:val="center"/>
          </w:tcPr>
          <w:p w14:paraId="3FA5F637" w14:textId="77777777" w:rsidR="000A1B38" w:rsidRPr="00EA0A36" w:rsidRDefault="000A1B38">
            <w:pPr>
              <w:pStyle w:val="TableColHeadingCenter"/>
              <w:spacing w:before="20" w:after="20"/>
            </w:pPr>
            <w:r>
              <w:t xml:space="preserve">% NM </w:t>
            </w:r>
            <w:r w:rsidRPr="00EA0A36">
              <w:t>202</w:t>
            </w:r>
            <w:r>
              <w:t>4</w:t>
            </w:r>
          </w:p>
        </w:tc>
        <w:tc>
          <w:tcPr>
            <w:tcW w:w="281" w:type="pct"/>
            <w:vAlign w:val="center"/>
          </w:tcPr>
          <w:p w14:paraId="5CE36256" w14:textId="77777777" w:rsidR="000A1B38" w:rsidRPr="00EA0A36" w:rsidRDefault="000A1B38">
            <w:pPr>
              <w:pStyle w:val="TableColHeadingCenter"/>
              <w:spacing w:before="20" w:after="20"/>
            </w:pPr>
            <w:r>
              <w:t>% NM 2025</w:t>
            </w:r>
          </w:p>
        </w:tc>
        <w:tc>
          <w:tcPr>
            <w:tcW w:w="278" w:type="pct"/>
            <w:vAlign w:val="center"/>
          </w:tcPr>
          <w:p w14:paraId="1A406C97" w14:textId="77777777" w:rsidR="000A1B38" w:rsidRPr="00EA0A36" w:rsidRDefault="000A1B38">
            <w:pPr>
              <w:pStyle w:val="TableColHeadingCenter"/>
              <w:spacing w:before="20" w:after="20"/>
            </w:pPr>
            <w:r>
              <w:t xml:space="preserve">% NM 2025 </w:t>
            </w:r>
            <w:r w:rsidRPr="00EA0A36">
              <w:t>State</w:t>
            </w:r>
          </w:p>
        </w:tc>
      </w:tr>
      <w:tr w:rsidR="000A1B38" w:rsidRPr="003979D4" w14:paraId="7EC55F6C"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53F23FB"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All Students</w:t>
            </w:r>
          </w:p>
        </w:tc>
        <w:tc>
          <w:tcPr>
            <w:tcW w:w="341" w:type="pct"/>
            <w:vAlign w:val="center"/>
          </w:tcPr>
          <w:p w14:paraId="1254413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722</w:t>
            </w:r>
          </w:p>
        </w:tc>
        <w:tc>
          <w:tcPr>
            <w:tcW w:w="281" w:type="pct"/>
            <w:vAlign w:val="center"/>
          </w:tcPr>
          <w:p w14:paraId="45564CD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1ACDE17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674F6F8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6D75FA4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620EB7F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60</w:t>
            </w:r>
          </w:p>
        </w:tc>
        <w:tc>
          <w:tcPr>
            <w:tcW w:w="281" w:type="pct"/>
            <w:vAlign w:val="center"/>
          </w:tcPr>
          <w:p w14:paraId="69B4D15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55</w:t>
            </w:r>
          </w:p>
        </w:tc>
        <w:tc>
          <w:tcPr>
            <w:tcW w:w="281" w:type="pct"/>
            <w:vAlign w:val="center"/>
          </w:tcPr>
          <w:p w14:paraId="58D05A3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4C22A94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68C40D4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443F82B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5386795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78" w:type="pct"/>
            <w:vAlign w:val="bottom"/>
          </w:tcPr>
          <w:p w14:paraId="68EA477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r>
      <w:tr w:rsidR="000A1B38" w:rsidRPr="003979D4" w14:paraId="1DF9514C" w14:textId="77777777">
        <w:trPr>
          <w:jc w:val="center"/>
        </w:trPr>
        <w:tc>
          <w:tcPr>
            <w:tcW w:w="1290" w:type="pct"/>
          </w:tcPr>
          <w:p w14:paraId="74EAAA57"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6995D26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33B58A91" w14:textId="06B86DC3"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691ABA6" w14:textId="76431358"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2D72EA61" w14:textId="60096B87"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2C96545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1E2F7EC8" w14:textId="11D67C86"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F1F6FF6" w14:textId="33AA282D"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416F7C7" w14:textId="61E3A31C"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02C44B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4D55F062" w14:textId="00075C8B"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4F3C4C0" w14:textId="07010173"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46D00232" w14:textId="6050C9CE"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34F1092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18B4BDF0"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0B09D91"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Asian</w:t>
            </w:r>
          </w:p>
        </w:tc>
        <w:tc>
          <w:tcPr>
            <w:tcW w:w="341" w:type="pct"/>
            <w:vAlign w:val="center"/>
          </w:tcPr>
          <w:p w14:paraId="129965B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21DF22F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084D907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57</w:t>
            </w:r>
          </w:p>
        </w:tc>
        <w:tc>
          <w:tcPr>
            <w:tcW w:w="281" w:type="pct"/>
            <w:vAlign w:val="center"/>
          </w:tcPr>
          <w:p w14:paraId="22AC444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60</w:t>
            </w:r>
          </w:p>
        </w:tc>
        <w:tc>
          <w:tcPr>
            <w:tcW w:w="281" w:type="pct"/>
            <w:vAlign w:val="center"/>
          </w:tcPr>
          <w:p w14:paraId="45C3BFC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78</w:t>
            </w:r>
          </w:p>
        </w:tc>
        <w:tc>
          <w:tcPr>
            <w:tcW w:w="281" w:type="pct"/>
            <w:vAlign w:val="center"/>
          </w:tcPr>
          <w:p w14:paraId="01A11A0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1C709A3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26DA279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1A2DED3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6EF223E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c>
          <w:tcPr>
            <w:tcW w:w="281" w:type="pct"/>
            <w:vAlign w:val="center"/>
          </w:tcPr>
          <w:p w14:paraId="5A57E04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w:t>
            </w:r>
          </w:p>
        </w:tc>
        <w:tc>
          <w:tcPr>
            <w:tcW w:w="281" w:type="pct"/>
            <w:vAlign w:val="center"/>
          </w:tcPr>
          <w:p w14:paraId="784391A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w:t>
            </w:r>
          </w:p>
        </w:tc>
        <w:tc>
          <w:tcPr>
            <w:tcW w:w="278" w:type="pct"/>
            <w:vAlign w:val="bottom"/>
          </w:tcPr>
          <w:p w14:paraId="5337A4A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w:t>
            </w:r>
          </w:p>
        </w:tc>
      </w:tr>
      <w:tr w:rsidR="000A1B38" w:rsidRPr="003979D4" w14:paraId="64816C48" w14:textId="77777777">
        <w:trPr>
          <w:jc w:val="center"/>
        </w:trPr>
        <w:tc>
          <w:tcPr>
            <w:tcW w:w="1290" w:type="pct"/>
          </w:tcPr>
          <w:p w14:paraId="68E77228"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Black or African American</w:t>
            </w:r>
          </w:p>
        </w:tc>
        <w:tc>
          <w:tcPr>
            <w:tcW w:w="341" w:type="pct"/>
            <w:vAlign w:val="center"/>
          </w:tcPr>
          <w:p w14:paraId="12135DC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475</w:t>
            </w:r>
          </w:p>
        </w:tc>
        <w:tc>
          <w:tcPr>
            <w:tcW w:w="281" w:type="pct"/>
            <w:vAlign w:val="center"/>
          </w:tcPr>
          <w:p w14:paraId="0C0218D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4780307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1BCF69A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7F15A04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7BB3D2B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60</w:t>
            </w:r>
          </w:p>
        </w:tc>
        <w:tc>
          <w:tcPr>
            <w:tcW w:w="281" w:type="pct"/>
            <w:vAlign w:val="center"/>
          </w:tcPr>
          <w:p w14:paraId="3CA76C0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54</w:t>
            </w:r>
          </w:p>
        </w:tc>
        <w:tc>
          <w:tcPr>
            <w:tcW w:w="281" w:type="pct"/>
            <w:vAlign w:val="center"/>
          </w:tcPr>
          <w:p w14:paraId="7DE92A2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7502140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6BC7E51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6EAD011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7E0ED54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78" w:type="pct"/>
            <w:vAlign w:val="bottom"/>
          </w:tcPr>
          <w:p w14:paraId="1A19A2A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r>
      <w:tr w:rsidR="000A1B38" w:rsidRPr="003979D4" w14:paraId="08468C6E"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423E5EA"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Hispanic or Latino</w:t>
            </w:r>
          </w:p>
        </w:tc>
        <w:tc>
          <w:tcPr>
            <w:tcW w:w="341" w:type="pct"/>
            <w:vAlign w:val="center"/>
          </w:tcPr>
          <w:p w14:paraId="0038211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131</w:t>
            </w:r>
          </w:p>
        </w:tc>
        <w:tc>
          <w:tcPr>
            <w:tcW w:w="281" w:type="pct"/>
            <w:vAlign w:val="center"/>
          </w:tcPr>
          <w:p w14:paraId="045A5C7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1999939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33C04B6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73199AE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38576D8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63</w:t>
            </w:r>
          </w:p>
        </w:tc>
        <w:tc>
          <w:tcPr>
            <w:tcW w:w="281" w:type="pct"/>
            <w:vAlign w:val="center"/>
          </w:tcPr>
          <w:p w14:paraId="0D110CA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58</w:t>
            </w:r>
          </w:p>
        </w:tc>
        <w:tc>
          <w:tcPr>
            <w:tcW w:w="281" w:type="pct"/>
            <w:vAlign w:val="center"/>
          </w:tcPr>
          <w:p w14:paraId="621E9F1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4BC9C89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1721FCA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0DE6C02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6865789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78" w:type="pct"/>
            <w:vAlign w:val="bottom"/>
          </w:tcPr>
          <w:p w14:paraId="17CF56E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r>
      <w:tr w:rsidR="000A1B38" w:rsidRPr="003979D4" w14:paraId="449CB0DA" w14:textId="77777777">
        <w:trPr>
          <w:jc w:val="center"/>
        </w:trPr>
        <w:tc>
          <w:tcPr>
            <w:tcW w:w="1290" w:type="pct"/>
          </w:tcPr>
          <w:p w14:paraId="158612A2"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53858CF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457CED5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64A9084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43AE788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1753E2B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082D350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53</w:t>
            </w:r>
          </w:p>
        </w:tc>
        <w:tc>
          <w:tcPr>
            <w:tcW w:w="281" w:type="pct"/>
            <w:vAlign w:val="center"/>
          </w:tcPr>
          <w:p w14:paraId="4957863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74</w:t>
            </w:r>
          </w:p>
        </w:tc>
        <w:tc>
          <w:tcPr>
            <w:tcW w:w="281" w:type="pct"/>
            <w:vAlign w:val="center"/>
          </w:tcPr>
          <w:p w14:paraId="3DC4A27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3B99180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7B3AAC5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14F3490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544436F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78" w:type="pct"/>
            <w:vAlign w:val="bottom"/>
          </w:tcPr>
          <w:p w14:paraId="57FDF49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r>
      <w:tr w:rsidR="000A1B38" w:rsidRPr="003979D4" w14:paraId="419015F4"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A3961ED"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166EACE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2EEC9BD3" w14:textId="341F9105"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4622A912" w14:textId="59979B42"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3ABCF2F4" w14:textId="40C013E3"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DC1453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7A885EBC" w14:textId="4011A838"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CA74EE7" w14:textId="459FA4DF"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98AD075" w14:textId="39B41506"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D6BD87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2D5D3842" w14:textId="6640F0AF"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C4417C3" w14:textId="13FBB541"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B50813D" w14:textId="585C0139"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2A7ABC2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w:t>
            </w:r>
          </w:p>
        </w:tc>
      </w:tr>
      <w:tr w:rsidR="000A1B38" w:rsidRPr="003979D4" w14:paraId="6D9B838A" w14:textId="77777777">
        <w:trPr>
          <w:jc w:val="center"/>
        </w:trPr>
        <w:tc>
          <w:tcPr>
            <w:tcW w:w="1290" w:type="pct"/>
          </w:tcPr>
          <w:p w14:paraId="4FA714EC"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White</w:t>
            </w:r>
          </w:p>
        </w:tc>
        <w:tc>
          <w:tcPr>
            <w:tcW w:w="341" w:type="pct"/>
            <w:vAlign w:val="center"/>
          </w:tcPr>
          <w:p w14:paraId="57DA6F0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63</w:t>
            </w:r>
          </w:p>
        </w:tc>
        <w:tc>
          <w:tcPr>
            <w:tcW w:w="281" w:type="pct"/>
            <w:vAlign w:val="center"/>
          </w:tcPr>
          <w:p w14:paraId="71E37DA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3F59068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555D2BC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726497D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53</w:t>
            </w:r>
          </w:p>
        </w:tc>
        <w:tc>
          <w:tcPr>
            <w:tcW w:w="281" w:type="pct"/>
            <w:vAlign w:val="center"/>
          </w:tcPr>
          <w:p w14:paraId="18217E8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59</w:t>
            </w:r>
          </w:p>
        </w:tc>
        <w:tc>
          <w:tcPr>
            <w:tcW w:w="281" w:type="pct"/>
            <w:vAlign w:val="center"/>
          </w:tcPr>
          <w:p w14:paraId="57FED04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53</w:t>
            </w:r>
          </w:p>
        </w:tc>
        <w:tc>
          <w:tcPr>
            <w:tcW w:w="281" w:type="pct"/>
            <w:vAlign w:val="center"/>
          </w:tcPr>
          <w:p w14:paraId="65896DE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644A8B5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1AD0609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4715A45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244DAB1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78" w:type="pct"/>
            <w:vAlign w:val="bottom"/>
          </w:tcPr>
          <w:p w14:paraId="52AA62C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r>
      <w:tr w:rsidR="000A1B38" w:rsidRPr="003979D4" w14:paraId="4E08331F"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21247E3"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High Needs</w:t>
            </w:r>
          </w:p>
        </w:tc>
        <w:tc>
          <w:tcPr>
            <w:tcW w:w="341" w:type="pct"/>
            <w:vAlign w:val="center"/>
          </w:tcPr>
          <w:p w14:paraId="125C819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586</w:t>
            </w:r>
          </w:p>
        </w:tc>
        <w:tc>
          <w:tcPr>
            <w:tcW w:w="281" w:type="pct"/>
            <w:vAlign w:val="center"/>
          </w:tcPr>
          <w:p w14:paraId="01E46B8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32FEEE1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78FFE6F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w:t>
            </w:r>
          </w:p>
        </w:tc>
        <w:tc>
          <w:tcPr>
            <w:tcW w:w="281" w:type="pct"/>
            <w:vAlign w:val="center"/>
          </w:tcPr>
          <w:p w14:paraId="0C4C1B4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5EBE1C6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60</w:t>
            </w:r>
          </w:p>
        </w:tc>
        <w:tc>
          <w:tcPr>
            <w:tcW w:w="281" w:type="pct"/>
            <w:vAlign w:val="center"/>
          </w:tcPr>
          <w:p w14:paraId="3E55419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54</w:t>
            </w:r>
          </w:p>
        </w:tc>
        <w:tc>
          <w:tcPr>
            <w:tcW w:w="281" w:type="pct"/>
            <w:vAlign w:val="center"/>
          </w:tcPr>
          <w:p w14:paraId="67C1F5F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1706538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68BF6ED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130BC6D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45D7B0F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78" w:type="pct"/>
            <w:vAlign w:val="bottom"/>
          </w:tcPr>
          <w:p w14:paraId="7EAD00E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r>
      <w:tr w:rsidR="000A1B38" w:rsidRPr="003979D4" w14:paraId="7E2700B7" w14:textId="77777777">
        <w:trPr>
          <w:jc w:val="center"/>
        </w:trPr>
        <w:tc>
          <w:tcPr>
            <w:tcW w:w="1290" w:type="pct"/>
          </w:tcPr>
          <w:p w14:paraId="2B9E15B0"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English Learners</w:t>
            </w:r>
          </w:p>
        </w:tc>
        <w:tc>
          <w:tcPr>
            <w:tcW w:w="341" w:type="pct"/>
            <w:vAlign w:val="center"/>
          </w:tcPr>
          <w:p w14:paraId="6AB2CA3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231</w:t>
            </w:r>
          </w:p>
        </w:tc>
        <w:tc>
          <w:tcPr>
            <w:tcW w:w="281" w:type="pct"/>
            <w:vAlign w:val="center"/>
          </w:tcPr>
          <w:p w14:paraId="6804928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w:t>
            </w:r>
          </w:p>
        </w:tc>
        <w:tc>
          <w:tcPr>
            <w:tcW w:w="281" w:type="pct"/>
            <w:vAlign w:val="center"/>
          </w:tcPr>
          <w:p w14:paraId="1276D44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w:t>
            </w:r>
          </w:p>
        </w:tc>
        <w:tc>
          <w:tcPr>
            <w:tcW w:w="281" w:type="pct"/>
            <w:vAlign w:val="center"/>
          </w:tcPr>
          <w:p w14:paraId="73BABCA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c>
          <w:tcPr>
            <w:tcW w:w="281" w:type="pct"/>
            <w:vAlign w:val="center"/>
          </w:tcPr>
          <w:p w14:paraId="5DE50F9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3794E11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60</w:t>
            </w:r>
          </w:p>
        </w:tc>
        <w:tc>
          <w:tcPr>
            <w:tcW w:w="281" w:type="pct"/>
            <w:vAlign w:val="center"/>
          </w:tcPr>
          <w:p w14:paraId="658AF34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1EA4148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17B382A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5CA8798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464A9AE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3725D44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78" w:type="pct"/>
            <w:vAlign w:val="bottom"/>
          </w:tcPr>
          <w:p w14:paraId="414E913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r>
      <w:tr w:rsidR="000A1B38" w:rsidRPr="003979D4" w14:paraId="6DB25C3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9535CB9"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4E1902F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524</w:t>
            </w:r>
          </w:p>
        </w:tc>
        <w:tc>
          <w:tcPr>
            <w:tcW w:w="281" w:type="pct"/>
            <w:vAlign w:val="center"/>
          </w:tcPr>
          <w:p w14:paraId="3092BA4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08022B9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w:t>
            </w:r>
          </w:p>
        </w:tc>
        <w:tc>
          <w:tcPr>
            <w:tcW w:w="281" w:type="pct"/>
            <w:vAlign w:val="center"/>
          </w:tcPr>
          <w:p w14:paraId="564FE16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51861AA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20BA7A4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61</w:t>
            </w:r>
          </w:p>
        </w:tc>
        <w:tc>
          <w:tcPr>
            <w:tcW w:w="281" w:type="pct"/>
            <w:vAlign w:val="center"/>
          </w:tcPr>
          <w:p w14:paraId="2CF0B87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55</w:t>
            </w:r>
          </w:p>
        </w:tc>
        <w:tc>
          <w:tcPr>
            <w:tcW w:w="281" w:type="pct"/>
            <w:vAlign w:val="center"/>
          </w:tcPr>
          <w:p w14:paraId="29E0ED6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34FFF87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5AEB864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188A5F1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0F6E589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78" w:type="pct"/>
            <w:vAlign w:val="bottom"/>
          </w:tcPr>
          <w:p w14:paraId="17492F9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r>
      <w:tr w:rsidR="000A1B38" w:rsidRPr="003979D4" w14:paraId="1FBCD14F" w14:textId="77777777">
        <w:trPr>
          <w:jc w:val="center"/>
        </w:trPr>
        <w:tc>
          <w:tcPr>
            <w:tcW w:w="1290" w:type="pct"/>
          </w:tcPr>
          <w:p w14:paraId="6E886698"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Students with Disabilities</w:t>
            </w:r>
          </w:p>
        </w:tc>
        <w:tc>
          <w:tcPr>
            <w:tcW w:w="341" w:type="pct"/>
            <w:vAlign w:val="center"/>
          </w:tcPr>
          <w:p w14:paraId="01D4D37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149</w:t>
            </w:r>
          </w:p>
        </w:tc>
        <w:tc>
          <w:tcPr>
            <w:tcW w:w="281" w:type="pct"/>
            <w:vAlign w:val="center"/>
          </w:tcPr>
          <w:p w14:paraId="5CC1A55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w:t>
            </w:r>
          </w:p>
        </w:tc>
        <w:tc>
          <w:tcPr>
            <w:tcW w:w="281" w:type="pct"/>
            <w:vAlign w:val="center"/>
          </w:tcPr>
          <w:p w14:paraId="0BF0F96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369C225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w:t>
            </w:r>
          </w:p>
        </w:tc>
        <w:tc>
          <w:tcPr>
            <w:tcW w:w="281" w:type="pct"/>
            <w:vAlign w:val="center"/>
          </w:tcPr>
          <w:p w14:paraId="1EDDE8C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4237E23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74EE8CE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7EA179B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13C6AFF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4858FB1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53</w:t>
            </w:r>
          </w:p>
        </w:tc>
        <w:tc>
          <w:tcPr>
            <w:tcW w:w="281" w:type="pct"/>
            <w:vAlign w:val="center"/>
          </w:tcPr>
          <w:p w14:paraId="18A52D7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62</w:t>
            </w:r>
          </w:p>
        </w:tc>
        <w:tc>
          <w:tcPr>
            <w:tcW w:w="281" w:type="pct"/>
            <w:vAlign w:val="center"/>
          </w:tcPr>
          <w:p w14:paraId="13CF24F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74</w:t>
            </w:r>
          </w:p>
        </w:tc>
        <w:tc>
          <w:tcPr>
            <w:tcW w:w="278" w:type="pct"/>
            <w:vAlign w:val="bottom"/>
          </w:tcPr>
          <w:p w14:paraId="0CC9408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r>
    </w:tbl>
    <w:p w14:paraId="29B696DF" w14:textId="7039FE67" w:rsidR="000A1B38" w:rsidRDefault="000A1B38" w:rsidP="0082637F">
      <w:pPr>
        <w:pStyle w:val="TableETitle"/>
      </w:pPr>
      <w:bookmarkStart w:id="223" w:name="_Toc211930035"/>
      <w:bookmarkStart w:id="224" w:name="_Toc230970165"/>
      <w:r w:rsidRPr="003979D4">
        <w:t>Table E</w:t>
      </w:r>
      <w:r>
        <w:t>5</w:t>
      </w:r>
      <w:r w:rsidRPr="003979D4">
        <w:t xml:space="preserve">. MCAS </w:t>
      </w:r>
      <w:r>
        <w:t xml:space="preserve">Science </w:t>
      </w:r>
      <w:r w:rsidRPr="003979D4">
        <w:t>Achievement</w:t>
      </w:r>
      <w:r>
        <w:t xml:space="preserve"> </w:t>
      </w:r>
      <w:r w:rsidRPr="003979D4">
        <w:t xml:space="preserve">by Student Group, Grades </w:t>
      </w:r>
      <w:r>
        <w:t>5 and 8</w:t>
      </w:r>
      <w:r w:rsidRPr="003979D4">
        <w:t>, 202</w:t>
      </w:r>
      <w:r>
        <w:t>3</w:t>
      </w:r>
      <w:r w:rsidRPr="003979D4">
        <w:t>-</w:t>
      </w:r>
      <w:r w:rsidRPr="00A160AD">
        <w:t>202</w:t>
      </w:r>
      <w:r>
        <w:t>5</w:t>
      </w:r>
      <w:bookmarkEnd w:id="223"/>
      <w:bookmarkEnd w:id="224"/>
    </w:p>
    <w:tbl>
      <w:tblPr>
        <w:tblStyle w:val="MSVTable1"/>
        <w:tblW w:w="5107" w:type="pct"/>
        <w:jc w:val="center"/>
        <w:tblLayout w:type="fixed"/>
        <w:tblLook w:val="0420" w:firstRow="1" w:lastRow="0" w:firstColumn="0" w:lastColumn="0" w:noHBand="0" w:noVBand="1"/>
        <w:tblCaption w:val="Table E5. MCAS Science Achievement by Student Group, Grades 5 and 8, 2023-2025"/>
        <w:tblDescription w:val="MCAS Science Achievement by Student Group, Grades 5 and 8, 2023-2025"/>
      </w:tblPr>
      <w:tblGrid>
        <w:gridCol w:w="3411"/>
        <w:gridCol w:w="902"/>
        <w:gridCol w:w="743"/>
        <w:gridCol w:w="743"/>
        <w:gridCol w:w="743"/>
        <w:gridCol w:w="743"/>
        <w:gridCol w:w="743"/>
        <w:gridCol w:w="743"/>
        <w:gridCol w:w="743"/>
        <w:gridCol w:w="743"/>
        <w:gridCol w:w="743"/>
        <w:gridCol w:w="743"/>
        <w:gridCol w:w="743"/>
        <w:gridCol w:w="735"/>
      </w:tblGrid>
      <w:tr w:rsidR="000A1B38" w:rsidRPr="003979D4" w14:paraId="28900AD9"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5CC6B450" w14:textId="77777777" w:rsidR="000A1B38" w:rsidRPr="00EA0A36" w:rsidRDefault="000A1B38">
            <w:pPr>
              <w:pStyle w:val="TableColHeadingCenter"/>
              <w:spacing w:before="20" w:after="20"/>
            </w:pPr>
            <w:r w:rsidRPr="002F03E2">
              <w:t>Group</w:t>
            </w:r>
          </w:p>
        </w:tc>
        <w:tc>
          <w:tcPr>
            <w:tcW w:w="341" w:type="pct"/>
            <w:vAlign w:val="center"/>
          </w:tcPr>
          <w:p w14:paraId="4E004FF5" w14:textId="77777777" w:rsidR="000A1B38" w:rsidRPr="00EA0A36" w:rsidRDefault="000A1B38">
            <w:pPr>
              <w:pStyle w:val="TableColHeadingCenter"/>
              <w:spacing w:before="20" w:after="20"/>
            </w:pPr>
            <w:r w:rsidRPr="002F03E2">
              <w:t># Included (202</w:t>
            </w:r>
            <w:r>
              <w:t>5</w:t>
            </w:r>
            <w:r w:rsidRPr="002F03E2">
              <w:t>)</w:t>
            </w:r>
          </w:p>
        </w:tc>
        <w:tc>
          <w:tcPr>
            <w:tcW w:w="281" w:type="pct"/>
            <w:vAlign w:val="center"/>
          </w:tcPr>
          <w:p w14:paraId="7D083D3F" w14:textId="77777777" w:rsidR="000A1B38" w:rsidRPr="00EA0A36" w:rsidRDefault="000A1B38">
            <w:pPr>
              <w:pStyle w:val="TableColHeadingCenter"/>
              <w:spacing w:before="20" w:after="20"/>
            </w:pPr>
            <w:r>
              <w:t xml:space="preserve">% M/E </w:t>
            </w:r>
            <w:r w:rsidRPr="00EA0A36">
              <w:t>202</w:t>
            </w:r>
            <w:r>
              <w:t>3</w:t>
            </w:r>
          </w:p>
        </w:tc>
        <w:tc>
          <w:tcPr>
            <w:tcW w:w="281" w:type="pct"/>
            <w:vAlign w:val="center"/>
          </w:tcPr>
          <w:p w14:paraId="40229286" w14:textId="77777777" w:rsidR="000A1B38" w:rsidRPr="00EA0A36" w:rsidRDefault="000A1B38">
            <w:pPr>
              <w:pStyle w:val="TableColHeadingCenter"/>
              <w:spacing w:before="20" w:after="20"/>
            </w:pPr>
            <w:r>
              <w:t xml:space="preserve">% M/E </w:t>
            </w:r>
            <w:r w:rsidRPr="00EA0A36">
              <w:t>202</w:t>
            </w:r>
            <w:r>
              <w:t>4</w:t>
            </w:r>
          </w:p>
        </w:tc>
        <w:tc>
          <w:tcPr>
            <w:tcW w:w="281" w:type="pct"/>
            <w:vAlign w:val="center"/>
          </w:tcPr>
          <w:p w14:paraId="095BE33E" w14:textId="77777777" w:rsidR="000A1B38" w:rsidRPr="00EA0A36" w:rsidRDefault="000A1B38">
            <w:pPr>
              <w:pStyle w:val="TableColHeadingCenter"/>
              <w:spacing w:before="20" w:after="20"/>
            </w:pPr>
            <w:r>
              <w:t>% M/E 2025</w:t>
            </w:r>
          </w:p>
        </w:tc>
        <w:tc>
          <w:tcPr>
            <w:tcW w:w="281" w:type="pct"/>
            <w:vAlign w:val="center"/>
          </w:tcPr>
          <w:p w14:paraId="25297CB8" w14:textId="77777777" w:rsidR="000A1B38" w:rsidRPr="00EA0A36" w:rsidRDefault="000A1B38">
            <w:pPr>
              <w:pStyle w:val="TableColHeadingCenter"/>
              <w:spacing w:before="20" w:after="20"/>
            </w:pPr>
            <w:r>
              <w:t>% M/E 2025 S</w:t>
            </w:r>
            <w:r w:rsidRPr="00EA0A36">
              <w:t>tate</w:t>
            </w:r>
          </w:p>
        </w:tc>
        <w:tc>
          <w:tcPr>
            <w:tcW w:w="281" w:type="pct"/>
            <w:vAlign w:val="center"/>
          </w:tcPr>
          <w:p w14:paraId="43A2655A" w14:textId="77777777" w:rsidR="000A1B38" w:rsidRPr="00EA0A36" w:rsidRDefault="000A1B38">
            <w:pPr>
              <w:pStyle w:val="TableColHeadingCenter"/>
              <w:spacing w:before="20" w:after="20"/>
            </w:pPr>
            <w:r>
              <w:t xml:space="preserve">% PME </w:t>
            </w:r>
            <w:r w:rsidRPr="00EA0A36">
              <w:t>202</w:t>
            </w:r>
            <w:r>
              <w:t>3</w:t>
            </w:r>
          </w:p>
        </w:tc>
        <w:tc>
          <w:tcPr>
            <w:tcW w:w="281" w:type="pct"/>
            <w:vAlign w:val="center"/>
          </w:tcPr>
          <w:p w14:paraId="4817049D" w14:textId="77777777" w:rsidR="000A1B38" w:rsidRPr="00EA0A36" w:rsidRDefault="000A1B38">
            <w:pPr>
              <w:pStyle w:val="TableColHeadingCenter"/>
              <w:spacing w:before="20" w:after="20"/>
            </w:pPr>
            <w:r>
              <w:t xml:space="preserve">% PME </w:t>
            </w:r>
            <w:r w:rsidRPr="00EA0A36">
              <w:t>202</w:t>
            </w:r>
            <w:r>
              <w:t>4</w:t>
            </w:r>
          </w:p>
        </w:tc>
        <w:tc>
          <w:tcPr>
            <w:tcW w:w="281" w:type="pct"/>
            <w:vAlign w:val="center"/>
          </w:tcPr>
          <w:p w14:paraId="3618C97C" w14:textId="77777777" w:rsidR="000A1B38" w:rsidRPr="00EA0A36" w:rsidRDefault="000A1B38">
            <w:pPr>
              <w:pStyle w:val="TableColHeadingCenter"/>
              <w:spacing w:before="20" w:after="20"/>
            </w:pPr>
            <w:r>
              <w:t>% PME 2025</w:t>
            </w:r>
          </w:p>
        </w:tc>
        <w:tc>
          <w:tcPr>
            <w:tcW w:w="281" w:type="pct"/>
            <w:vAlign w:val="center"/>
          </w:tcPr>
          <w:p w14:paraId="6FF67AB4" w14:textId="77777777" w:rsidR="000A1B38" w:rsidRPr="00EA0A36" w:rsidRDefault="000A1B38">
            <w:pPr>
              <w:pStyle w:val="TableColHeadingCenter"/>
              <w:spacing w:before="20" w:after="20"/>
            </w:pPr>
            <w:r>
              <w:t xml:space="preserve">% PME 2025 </w:t>
            </w:r>
            <w:r w:rsidRPr="00EA0A36">
              <w:t>State</w:t>
            </w:r>
          </w:p>
        </w:tc>
        <w:tc>
          <w:tcPr>
            <w:tcW w:w="281" w:type="pct"/>
            <w:vAlign w:val="center"/>
          </w:tcPr>
          <w:p w14:paraId="5DCE315E" w14:textId="77777777" w:rsidR="000A1B38" w:rsidRPr="00EA0A36" w:rsidRDefault="000A1B38">
            <w:pPr>
              <w:pStyle w:val="TableColHeadingCenter"/>
              <w:spacing w:before="20" w:after="20"/>
            </w:pPr>
            <w:r>
              <w:t xml:space="preserve">% NM </w:t>
            </w:r>
            <w:r w:rsidRPr="00EA0A36">
              <w:t>202</w:t>
            </w:r>
            <w:r>
              <w:t>3</w:t>
            </w:r>
          </w:p>
        </w:tc>
        <w:tc>
          <w:tcPr>
            <w:tcW w:w="281" w:type="pct"/>
            <w:vAlign w:val="center"/>
          </w:tcPr>
          <w:p w14:paraId="4A48C53B" w14:textId="77777777" w:rsidR="000A1B38" w:rsidRPr="00EA0A36" w:rsidRDefault="000A1B38">
            <w:pPr>
              <w:pStyle w:val="TableColHeadingCenter"/>
              <w:spacing w:before="20" w:after="20"/>
            </w:pPr>
            <w:r>
              <w:t xml:space="preserve">% NM </w:t>
            </w:r>
            <w:r w:rsidRPr="00EA0A36">
              <w:t>202</w:t>
            </w:r>
            <w:r>
              <w:t>4</w:t>
            </w:r>
          </w:p>
        </w:tc>
        <w:tc>
          <w:tcPr>
            <w:tcW w:w="281" w:type="pct"/>
            <w:vAlign w:val="center"/>
          </w:tcPr>
          <w:p w14:paraId="64C3395B" w14:textId="77777777" w:rsidR="000A1B38" w:rsidRPr="00EA0A36" w:rsidRDefault="000A1B38">
            <w:pPr>
              <w:pStyle w:val="TableColHeadingCenter"/>
              <w:spacing w:before="20" w:after="20"/>
            </w:pPr>
            <w:r>
              <w:t>% NM 2025</w:t>
            </w:r>
          </w:p>
        </w:tc>
        <w:tc>
          <w:tcPr>
            <w:tcW w:w="278" w:type="pct"/>
            <w:vAlign w:val="center"/>
          </w:tcPr>
          <w:p w14:paraId="307C387E" w14:textId="77777777" w:rsidR="000A1B38" w:rsidRPr="00EA0A36" w:rsidRDefault="000A1B38">
            <w:pPr>
              <w:pStyle w:val="TableColHeadingCenter"/>
              <w:spacing w:before="20" w:after="20"/>
            </w:pPr>
            <w:r>
              <w:t xml:space="preserve">% NM 2025 </w:t>
            </w:r>
            <w:r w:rsidRPr="00EA0A36">
              <w:t>State</w:t>
            </w:r>
          </w:p>
        </w:tc>
      </w:tr>
      <w:tr w:rsidR="000A1B38" w:rsidRPr="003979D4" w14:paraId="21617967"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8FCEED7"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All Students</w:t>
            </w:r>
          </w:p>
        </w:tc>
        <w:tc>
          <w:tcPr>
            <w:tcW w:w="341" w:type="pct"/>
            <w:vAlign w:val="center"/>
          </w:tcPr>
          <w:p w14:paraId="5A6376E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2,073</w:t>
            </w:r>
          </w:p>
        </w:tc>
        <w:tc>
          <w:tcPr>
            <w:tcW w:w="281" w:type="pct"/>
            <w:vAlign w:val="center"/>
          </w:tcPr>
          <w:p w14:paraId="34D69DF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28760EB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541ED54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3DE9B08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4925344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33538BD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2727ACB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3819AF8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4C6F15E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5CA8D6B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441744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78" w:type="pct"/>
            <w:vAlign w:val="bottom"/>
          </w:tcPr>
          <w:p w14:paraId="6E17C80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69607727" w14:textId="77777777">
        <w:trPr>
          <w:jc w:val="center"/>
        </w:trPr>
        <w:tc>
          <w:tcPr>
            <w:tcW w:w="1290" w:type="pct"/>
          </w:tcPr>
          <w:p w14:paraId="337B3B90"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19A8C04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c>
          <w:tcPr>
            <w:tcW w:w="281" w:type="pct"/>
            <w:vAlign w:val="center"/>
          </w:tcPr>
          <w:p w14:paraId="79E644A1" w14:textId="2CC13220"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1E3BB98" w14:textId="2002180A"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8A0674B" w14:textId="204241AF"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CA7A77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76D0B721" w14:textId="7C8284F8"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400E55AA" w14:textId="075E8817"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0F92B29" w14:textId="5EFE2F02"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1F9738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9D2AFC9" w14:textId="35F7F1A1"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2AE5CA7" w14:textId="2C803E41"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26255A12" w14:textId="2BD22CB9"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01FD317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30</w:t>
            </w:r>
          </w:p>
        </w:tc>
      </w:tr>
      <w:tr w:rsidR="000A1B38" w:rsidRPr="003979D4" w14:paraId="6182B62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4C7FED8"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Asian</w:t>
            </w:r>
          </w:p>
        </w:tc>
        <w:tc>
          <w:tcPr>
            <w:tcW w:w="341" w:type="pct"/>
            <w:vAlign w:val="center"/>
          </w:tcPr>
          <w:p w14:paraId="77886F9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482F07B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81" w:type="pct"/>
            <w:vAlign w:val="center"/>
          </w:tcPr>
          <w:p w14:paraId="4F47F97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173AC32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445D25A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65</w:t>
            </w:r>
          </w:p>
        </w:tc>
        <w:tc>
          <w:tcPr>
            <w:tcW w:w="281" w:type="pct"/>
            <w:vAlign w:val="center"/>
          </w:tcPr>
          <w:p w14:paraId="447A4EE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23311E6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2E690BC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52</w:t>
            </w:r>
          </w:p>
        </w:tc>
        <w:tc>
          <w:tcPr>
            <w:tcW w:w="281" w:type="pct"/>
            <w:vAlign w:val="center"/>
          </w:tcPr>
          <w:p w14:paraId="0EF56C0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783EB5E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18D5BCA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5AB2589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c>
          <w:tcPr>
            <w:tcW w:w="278" w:type="pct"/>
            <w:vAlign w:val="bottom"/>
          </w:tcPr>
          <w:p w14:paraId="06FE36A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8</w:t>
            </w:r>
          </w:p>
        </w:tc>
      </w:tr>
      <w:tr w:rsidR="000A1B38" w:rsidRPr="003979D4" w14:paraId="52C010BD" w14:textId="77777777">
        <w:trPr>
          <w:jc w:val="center"/>
        </w:trPr>
        <w:tc>
          <w:tcPr>
            <w:tcW w:w="1290" w:type="pct"/>
          </w:tcPr>
          <w:p w14:paraId="6E92ACB7"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Black or African American</w:t>
            </w:r>
          </w:p>
        </w:tc>
        <w:tc>
          <w:tcPr>
            <w:tcW w:w="341" w:type="pct"/>
            <w:vAlign w:val="center"/>
          </w:tcPr>
          <w:p w14:paraId="0BF8CB5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1,246</w:t>
            </w:r>
          </w:p>
        </w:tc>
        <w:tc>
          <w:tcPr>
            <w:tcW w:w="281" w:type="pct"/>
            <w:vAlign w:val="center"/>
          </w:tcPr>
          <w:p w14:paraId="629C860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29CE2C0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657B196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w:t>
            </w:r>
          </w:p>
        </w:tc>
        <w:tc>
          <w:tcPr>
            <w:tcW w:w="281" w:type="pct"/>
            <w:vAlign w:val="center"/>
          </w:tcPr>
          <w:p w14:paraId="3E8B362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7DA8470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3BBAF7B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0EBD3B3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C954E6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56ED795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6F54FA1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2A0B050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78" w:type="pct"/>
            <w:vAlign w:val="bottom"/>
          </w:tcPr>
          <w:p w14:paraId="03CC615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r>
      <w:tr w:rsidR="000A1B38" w:rsidRPr="003979D4" w14:paraId="3AB42BCC"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D4F0857"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Hispanic or Latino</w:t>
            </w:r>
          </w:p>
        </w:tc>
        <w:tc>
          <w:tcPr>
            <w:tcW w:w="341" w:type="pct"/>
            <w:vAlign w:val="center"/>
          </w:tcPr>
          <w:p w14:paraId="4BFFB7B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431</w:t>
            </w:r>
          </w:p>
        </w:tc>
        <w:tc>
          <w:tcPr>
            <w:tcW w:w="281" w:type="pct"/>
            <w:vAlign w:val="center"/>
          </w:tcPr>
          <w:p w14:paraId="2C38A81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w:t>
            </w:r>
          </w:p>
        </w:tc>
        <w:tc>
          <w:tcPr>
            <w:tcW w:w="281" w:type="pct"/>
            <w:vAlign w:val="center"/>
          </w:tcPr>
          <w:p w14:paraId="1495AA2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w:t>
            </w:r>
          </w:p>
        </w:tc>
        <w:tc>
          <w:tcPr>
            <w:tcW w:w="281" w:type="pct"/>
            <w:vAlign w:val="center"/>
          </w:tcPr>
          <w:p w14:paraId="4CACDF8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1F0702B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6B00492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05031DC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6399652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0EC9920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65F41E1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6133226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01BAF52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78" w:type="pct"/>
            <w:vAlign w:val="bottom"/>
          </w:tcPr>
          <w:p w14:paraId="7C5A993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r>
      <w:tr w:rsidR="000A1B38" w:rsidRPr="003979D4" w14:paraId="098711E9" w14:textId="77777777">
        <w:trPr>
          <w:jc w:val="center"/>
        </w:trPr>
        <w:tc>
          <w:tcPr>
            <w:tcW w:w="1290" w:type="pct"/>
          </w:tcPr>
          <w:p w14:paraId="2D00FBAA"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19C3785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88</w:t>
            </w:r>
          </w:p>
        </w:tc>
        <w:tc>
          <w:tcPr>
            <w:tcW w:w="281" w:type="pct"/>
            <w:vAlign w:val="center"/>
          </w:tcPr>
          <w:p w14:paraId="7AEC2AF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513960F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214A64D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3E0A3B0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81" w:type="pct"/>
            <w:vAlign w:val="center"/>
          </w:tcPr>
          <w:p w14:paraId="29886A7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7169440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6E63907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7CAB046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47D5643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6071BE9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06A953F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278" w:type="pct"/>
            <w:vAlign w:val="bottom"/>
          </w:tcPr>
          <w:p w14:paraId="2906EB8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r>
      <w:tr w:rsidR="000A1B38" w:rsidRPr="003979D4" w14:paraId="736AF54C"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DC6C607"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6DA7BEB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w:t>
            </w:r>
          </w:p>
        </w:tc>
        <w:tc>
          <w:tcPr>
            <w:tcW w:w="281" w:type="pct"/>
            <w:vAlign w:val="center"/>
          </w:tcPr>
          <w:p w14:paraId="574CCAA6" w14:textId="6086E5ED"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38071D7E" w14:textId="651B43E7"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40346CA" w14:textId="07F64E62"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CBF68F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262A53F9" w14:textId="4FE757D7"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40E4508C" w14:textId="1D8F9F18"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1F2E394" w14:textId="3E0C5932"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2E115AA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6ACF100E" w14:textId="2F7278DE"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24A7D80F" w14:textId="1F3FA5E9"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6186B60" w14:textId="3194FC27"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01DC16F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0C6917BC" w14:textId="77777777">
        <w:trPr>
          <w:jc w:val="center"/>
        </w:trPr>
        <w:tc>
          <w:tcPr>
            <w:tcW w:w="1290" w:type="pct"/>
          </w:tcPr>
          <w:p w14:paraId="69515B72"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White</w:t>
            </w:r>
          </w:p>
        </w:tc>
        <w:tc>
          <w:tcPr>
            <w:tcW w:w="341" w:type="pct"/>
            <w:vAlign w:val="center"/>
          </w:tcPr>
          <w:p w14:paraId="712E187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267</w:t>
            </w:r>
          </w:p>
        </w:tc>
        <w:tc>
          <w:tcPr>
            <w:tcW w:w="281" w:type="pct"/>
            <w:vAlign w:val="center"/>
          </w:tcPr>
          <w:p w14:paraId="106DE80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636AF0A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189EA1D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18B37BE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51</w:t>
            </w:r>
          </w:p>
        </w:tc>
        <w:tc>
          <w:tcPr>
            <w:tcW w:w="281" w:type="pct"/>
            <w:vAlign w:val="center"/>
          </w:tcPr>
          <w:p w14:paraId="38A58C6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420962A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7D1A82D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7D19B08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5D96A0E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76A6D69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79834C8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278" w:type="pct"/>
            <w:vAlign w:val="bottom"/>
          </w:tcPr>
          <w:p w14:paraId="3D1C941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12</w:t>
            </w:r>
          </w:p>
        </w:tc>
      </w:tr>
      <w:tr w:rsidR="000A1B38" w:rsidRPr="003979D4" w14:paraId="63F0A49B"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6C04CAE"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High Needs</w:t>
            </w:r>
          </w:p>
        </w:tc>
        <w:tc>
          <w:tcPr>
            <w:tcW w:w="341" w:type="pct"/>
            <w:vAlign w:val="center"/>
          </w:tcPr>
          <w:p w14:paraId="0A4A90B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1,729</w:t>
            </w:r>
          </w:p>
        </w:tc>
        <w:tc>
          <w:tcPr>
            <w:tcW w:w="281" w:type="pct"/>
            <w:vAlign w:val="center"/>
          </w:tcPr>
          <w:p w14:paraId="699DBC3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6349F1E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26D3058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08883CF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6D970A7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567A8A4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361754B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38195CD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400BDA6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21C69F0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5BCE86F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78" w:type="pct"/>
            <w:vAlign w:val="bottom"/>
          </w:tcPr>
          <w:p w14:paraId="1D1C5B8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r>
      <w:tr w:rsidR="000A1B38" w:rsidRPr="003979D4" w14:paraId="4F7A1E29" w14:textId="77777777">
        <w:trPr>
          <w:jc w:val="center"/>
        </w:trPr>
        <w:tc>
          <w:tcPr>
            <w:tcW w:w="1290" w:type="pct"/>
          </w:tcPr>
          <w:p w14:paraId="21E7C898"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English Learners</w:t>
            </w:r>
          </w:p>
        </w:tc>
        <w:tc>
          <w:tcPr>
            <w:tcW w:w="341" w:type="pct"/>
            <w:vAlign w:val="center"/>
          </w:tcPr>
          <w:p w14:paraId="5407337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811</w:t>
            </w:r>
          </w:p>
        </w:tc>
        <w:tc>
          <w:tcPr>
            <w:tcW w:w="281" w:type="pct"/>
            <w:vAlign w:val="center"/>
          </w:tcPr>
          <w:p w14:paraId="334EBB5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c>
          <w:tcPr>
            <w:tcW w:w="281" w:type="pct"/>
            <w:vAlign w:val="center"/>
          </w:tcPr>
          <w:p w14:paraId="6E76DC2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9</w:t>
            </w:r>
          </w:p>
        </w:tc>
        <w:tc>
          <w:tcPr>
            <w:tcW w:w="281" w:type="pct"/>
            <w:vAlign w:val="center"/>
          </w:tcPr>
          <w:p w14:paraId="60E8267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8</w:t>
            </w:r>
          </w:p>
        </w:tc>
        <w:tc>
          <w:tcPr>
            <w:tcW w:w="281" w:type="pct"/>
            <w:vAlign w:val="center"/>
          </w:tcPr>
          <w:p w14:paraId="4519B2A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05E856D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3D582E3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7AF242C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3AF8D91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77ACE02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54</w:t>
            </w:r>
          </w:p>
        </w:tc>
        <w:tc>
          <w:tcPr>
            <w:tcW w:w="281" w:type="pct"/>
            <w:vAlign w:val="center"/>
          </w:tcPr>
          <w:p w14:paraId="3E203D1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55</w:t>
            </w:r>
          </w:p>
        </w:tc>
        <w:tc>
          <w:tcPr>
            <w:tcW w:w="281" w:type="pct"/>
            <w:vAlign w:val="center"/>
          </w:tcPr>
          <w:p w14:paraId="75D47E2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53</w:t>
            </w:r>
          </w:p>
        </w:tc>
        <w:tc>
          <w:tcPr>
            <w:tcW w:w="278" w:type="pct"/>
            <w:vAlign w:val="bottom"/>
          </w:tcPr>
          <w:p w14:paraId="73F9C15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r>
      <w:tr w:rsidR="000A1B38" w:rsidRPr="003979D4" w14:paraId="4CF17DD0"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AE3EDBA"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3523C27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1,545</w:t>
            </w:r>
          </w:p>
        </w:tc>
        <w:tc>
          <w:tcPr>
            <w:tcW w:w="281" w:type="pct"/>
            <w:vAlign w:val="center"/>
          </w:tcPr>
          <w:p w14:paraId="37E7935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4A0D2B9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764EA47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420823D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4D53314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0B96C35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31D0CA2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31E91DE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572DF76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1979BA6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6DF10F4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78" w:type="pct"/>
            <w:vAlign w:val="bottom"/>
          </w:tcPr>
          <w:p w14:paraId="53E32AE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r>
      <w:tr w:rsidR="000A1B38" w:rsidRPr="003979D4" w14:paraId="5E3DFBB5" w14:textId="77777777">
        <w:trPr>
          <w:jc w:val="center"/>
        </w:trPr>
        <w:tc>
          <w:tcPr>
            <w:tcW w:w="1290" w:type="pct"/>
          </w:tcPr>
          <w:p w14:paraId="6774809B"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Students with Disabilities</w:t>
            </w:r>
          </w:p>
        </w:tc>
        <w:tc>
          <w:tcPr>
            <w:tcW w:w="341" w:type="pct"/>
            <w:vAlign w:val="center"/>
          </w:tcPr>
          <w:p w14:paraId="7B76B7A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447</w:t>
            </w:r>
          </w:p>
        </w:tc>
        <w:tc>
          <w:tcPr>
            <w:tcW w:w="281" w:type="pct"/>
            <w:vAlign w:val="center"/>
          </w:tcPr>
          <w:p w14:paraId="1470CA2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4608FCE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61DA507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w:t>
            </w:r>
          </w:p>
        </w:tc>
        <w:tc>
          <w:tcPr>
            <w:tcW w:w="281" w:type="pct"/>
            <w:vAlign w:val="center"/>
          </w:tcPr>
          <w:p w14:paraId="0F4D50A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241AE5D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36F0292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36683C1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57D57C7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3415D49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69</w:t>
            </w:r>
          </w:p>
        </w:tc>
        <w:tc>
          <w:tcPr>
            <w:tcW w:w="281" w:type="pct"/>
            <w:vAlign w:val="center"/>
          </w:tcPr>
          <w:p w14:paraId="4488ED5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68</w:t>
            </w:r>
          </w:p>
        </w:tc>
        <w:tc>
          <w:tcPr>
            <w:tcW w:w="281" w:type="pct"/>
            <w:vAlign w:val="center"/>
          </w:tcPr>
          <w:p w14:paraId="5405BF3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66</w:t>
            </w:r>
          </w:p>
        </w:tc>
        <w:tc>
          <w:tcPr>
            <w:tcW w:w="278" w:type="pct"/>
            <w:vAlign w:val="bottom"/>
          </w:tcPr>
          <w:p w14:paraId="7B85FCB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r>
    </w:tbl>
    <w:p w14:paraId="71B9F14C" w14:textId="74EE2CCF" w:rsidR="000A1B38" w:rsidRDefault="000A1B38" w:rsidP="0082637F">
      <w:pPr>
        <w:pStyle w:val="TableETitle"/>
      </w:pPr>
      <w:bookmarkStart w:id="225" w:name="_Toc211930036"/>
      <w:bookmarkStart w:id="226" w:name="_Toc230970166"/>
      <w:r w:rsidRPr="003979D4">
        <w:t>Table E</w:t>
      </w:r>
      <w:r>
        <w:t>6</w:t>
      </w:r>
      <w:r w:rsidRPr="003979D4">
        <w:t xml:space="preserve">. MCAS </w:t>
      </w:r>
      <w:r>
        <w:t>Science</w:t>
      </w:r>
      <w:r w:rsidRPr="003979D4">
        <w:t xml:space="preserve"> Achievement</w:t>
      </w:r>
      <w:r>
        <w:t xml:space="preserve"> </w:t>
      </w:r>
      <w:r w:rsidRPr="003979D4">
        <w:t xml:space="preserve">by Student Group, Grade </w:t>
      </w:r>
      <w:r>
        <w:t>10</w:t>
      </w:r>
      <w:r w:rsidRPr="003979D4">
        <w:t>, 202</w:t>
      </w:r>
      <w:r>
        <w:t>3</w:t>
      </w:r>
      <w:r w:rsidRPr="003979D4">
        <w:t>-</w:t>
      </w:r>
      <w:r w:rsidRPr="00A160AD">
        <w:t>202</w:t>
      </w:r>
      <w:r>
        <w:t>5</w:t>
      </w:r>
      <w:bookmarkEnd w:id="225"/>
      <w:bookmarkEnd w:id="226"/>
    </w:p>
    <w:tbl>
      <w:tblPr>
        <w:tblStyle w:val="MSVTable1"/>
        <w:tblW w:w="5107" w:type="pct"/>
        <w:jc w:val="center"/>
        <w:tblLayout w:type="fixed"/>
        <w:tblLook w:val="0420" w:firstRow="1" w:lastRow="0" w:firstColumn="0" w:lastColumn="0" w:noHBand="0" w:noVBand="1"/>
        <w:tblCaption w:val="Table E6. MCAS Science Achievement by Student Group, Grade 10, 2023-2025"/>
        <w:tblDescription w:val="MCAS Science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0A1B38" w:rsidRPr="003979D4" w14:paraId="5FA89322"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056ADBFC" w14:textId="77777777" w:rsidR="000A1B38" w:rsidRPr="00EA0A36" w:rsidRDefault="000A1B38">
            <w:pPr>
              <w:pStyle w:val="TableColHeadingCenter"/>
              <w:spacing w:before="20" w:after="20"/>
            </w:pPr>
            <w:r w:rsidRPr="002F03E2">
              <w:t>Group</w:t>
            </w:r>
          </w:p>
        </w:tc>
        <w:tc>
          <w:tcPr>
            <w:tcW w:w="341" w:type="pct"/>
            <w:vAlign w:val="center"/>
          </w:tcPr>
          <w:p w14:paraId="6F861142" w14:textId="77777777" w:rsidR="000A1B38" w:rsidRPr="00EA0A36" w:rsidRDefault="000A1B38">
            <w:pPr>
              <w:pStyle w:val="TableColHeadingCenter"/>
              <w:spacing w:before="20" w:after="20"/>
            </w:pPr>
            <w:r w:rsidRPr="002F03E2">
              <w:t># Included (202</w:t>
            </w:r>
            <w:r>
              <w:t>5</w:t>
            </w:r>
            <w:r w:rsidRPr="002F03E2">
              <w:t>)</w:t>
            </w:r>
          </w:p>
        </w:tc>
        <w:tc>
          <w:tcPr>
            <w:tcW w:w="281" w:type="pct"/>
            <w:vAlign w:val="center"/>
          </w:tcPr>
          <w:p w14:paraId="05511275" w14:textId="77777777" w:rsidR="000A1B38" w:rsidRPr="00EA0A36" w:rsidRDefault="000A1B38">
            <w:pPr>
              <w:pStyle w:val="TableColHeadingCenter"/>
              <w:spacing w:before="20" w:after="20"/>
            </w:pPr>
            <w:r>
              <w:t xml:space="preserve">% M/E </w:t>
            </w:r>
            <w:r w:rsidRPr="00EA0A36">
              <w:t>202</w:t>
            </w:r>
            <w:r>
              <w:t>3</w:t>
            </w:r>
          </w:p>
        </w:tc>
        <w:tc>
          <w:tcPr>
            <w:tcW w:w="281" w:type="pct"/>
            <w:vAlign w:val="center"/>
          </w:tcPr>
          <w:p w14:paraId="123DC130" w14:textId="77777777" w:rsidR="000A1B38" w:rsidRPr="00EA0A36" w:rsidRDefault="000A1B38">
            <w:pPr>
              <w:pStyle w:val="TableColHeadingCenter"/>
              <w:spacing w:before="20" w:after="20"/>
            </w:pPr>
            <w:r>
              <w:t xml:space="preserve">% M/E </w:t>
            </w:r>
            <w:r w:rsidRPr="00EA0A36">
              <w:t>202</w:t>
            </w:r>
            <w:r>
              <w:t>4</w:t>
            </w:r>
          </w:p>
        </w:tc>
        <w:tc>
          <w:tcPr>
            <w:tcW w:w="281" w:type="pct"/>
            <w:vAlign w:val="center"/>
          </w:tcPr>
          <w:p w14:paraId="66290821" w14:textId="77777777" w:rsidR="000A1B38" w:rsidRPr="00EA0A36" w:rsidRDefault="000A1B38">
            <w:pPr>
              <w:pStyle w:val="TableColHeadingCenter"/>
              <w:spacing w:before="20" w:after="20"/>
            </w:pPr>
            <w:r>
              <w:t>% M/E 2025</w:t>
            </w:r>
          </w:p>
        </w:tc>
        <w:tc>
          <w:tcPr>
            <w:tcW w:w="281" w:type="pct"/>
            <w:vAlign w:val="center"/>
          </w:tcPr>
          <w:p w14:paraId="4F29D4F2" w14:textId="77777777" w:rsidR="000A1B38" w:rsidRPr="00EA0A36" w:rsidRDefault="000A1B38">
            <w:pPr>
              <w:pStyle w:val="TableColHeadingCenter"/>
              <w:spacing w:before="20" w:after="20"/>
            </w:pPr>
            <w:r>
              <w:t>% M/E 2025 S</w:t>
            </w:r>
            <w:r w:rsidRPr="00EA0A36">
              <w:t>tate</w:t>
            </w:r>
          </w:p>
        </w:tc>
        <w:tc>
          <w:tcPr>
            <w:tcW w:w="281" w:type="pct"/>
            <w:vAlign w:val="center"/>
          </w:tcPr>
          <w:p w14:paraId="12DB2487" w14:textId="77777777" w:rsidR="000A1B38" w:rsidRPr="00EA0A36" w:rsidRDefault="000A1B38">
            <w:pPr>
              <w:pStyle w:val="TableColHeadingCenter"/>
              <w:spacing w:before="20" w:after="20"/>
            </w:pPr>
            <w:r>
              <w:t xml:space="preserve">% PME </w:t>
            </w:r>
            <w:r w:rsidRPr="00EA0A36">
              <w:t>202</w:t>
            </w:r>
            <w:r>
              <w:t>3</w:t>
            </w:r>
          </w:p>
        </w:tc>
        <w:tc>
          <w:tcPr>
            <w:tcW w:w="281" w:type="pct"/>
            <w:vAlign w:val="center"/>
          </w:tcPr>
          <w:p w14:paraId="7C1515FF" w14:textId="77777777" w:rsidR="000A1B38" w:rsidRPr="00EA0A36" w:rsidRDefault="000A1B38">
            <w:pPr>
              <w:pStyle w:val="TableColHeadingCenter"/>
              <w:spacing w:before="20" w:after="20"/>
            </w:pPr>
            <w:r>
              <w:t xml:space="preserve">% PME </w:t>
            </w:r>
            <w:r w:rsidRPr="00EA0A36">
              <w:t>202</w:t>
            </w:r>
            <w:r>
              <w:t>4</w:t>
            </w:r>
          </w:p>
        </w:tc>
        <w:tc>
          <w:tcPr>
            <w:tcW w:w="281" w:type="pct"/>
            <w:vAlign w:val="center"/>
          </w:tcPr>
          <w:p w14:paraId="4FF9D85D" w14:textId="77777777" w:rsidR="000A1B38" w:rsidRPr="00EA0A36" w:rsidRDefault="000A1B38">
            <w:pPr>
              <w:pStyle w:val="TableColHeadingCenter"/>
              <w:spacing w:before="20" w:after="20"/>
            </w:pPr>
            <w:r>
              <w:t>% PME 2025</w:t>
            </w:r>
          </w:p>
        </w:tc>
        <w:tc>
          <w:tcPr>
            <w:tcW w:w="281" w:type="pct"/>
            <w:vAlign w:val="center"/>
          </w:tcPr>
          <w:p w14:paraId="3EEE4406" w14:textId="77777777" w:rsidR="000A1B38" w:rsidRPr="00EA0A36" w:rsidRDefault="000A1B38">
            <w:pPr>
              <w:pStyle w:val="TableColHeadingCenter"/>
              <w:spacing w:before="20" w:after="20"/>
            </w:pPr>
            <w:r>
              <w:t xml:space="preserve">% PME 2025 </w:t>
            </w:r>
            <w:r w:rsidRPr="00EA0A36">
              <w:t>State</w:t>
            </w:r>
          </w:p>
        </w:tc>
        <w:tc>
          <w:tcPr>
            <w:tcW w:w="281" w:type="pct"/>
            <w:vAlign w:val="center"/>
          </w:tcPr>
          <w:p w14:paraId="55B464A8" w14:textId="77777777" w:rsidR="000A1B38" w:rsidRPr="00EA0A36" w:rsidRDefault="000A1B38">
            <w:pPr>
              <w:pStyle w:val="TableColHeadingCenter"/>
              <w:spacing w:before="20" w:after="20"/>
            </w:pPr>
            <w:r>
              <w:t xml:space="preserve">% NM </w:t>
            </w:r>
            <w:r w:rsidRPr="00EA0A36">
              <w:t>202</w:t>
            </w:r>
            <w:r>
              <w:t>3</w:t>
            </w:r>
          </w:p>
        </w:tc>
        <w:tc>
          <w:tcPr>
            <w:tcW w:w="281" w:type="pct"/>
            <w:vAlign w:val="center"/>
          </w:tcPr>
          <w:p w14:paraId="04867001" w14:textId="77777777" w:rsidR="000A1B38" w:rsidRPr="00EA0A36" w:rsidRDefault="000A1B38">
            <w:pPr>
              <w:pStyle w:val="TableColHeadingCenter"/>
              <w:spacing w:before="20" w:after="20"/>
            </w:pPr>
            <w:r>
              <w:t xml:space="preserve">% NM </w:t>
            </w:r>
            <w:r w:rsidRPr="00EA0A36">
              <w:t>202</w:t>
            </w:r>
            <w:r>
              <w:t>4</w:t>
            </w:r>
          </w:p>
        </w:tc>
        <w:tc>
          <w:tcPr>
            <w:tcW w:w="281" w:type="pct"/>
            <w:vAlign w:val="center"/>
          </w:tcPr>
          <w:p w14:paraId="34838A37" w14:textId="77777777" w:rsidR="000A1B38" w:rsidRPr="00EA0A36" w:rsidRDefault="000A1B38">
            <w:pPr>
              <w:pStyle w:val="TableColHeadingCenter"/>
              <w:spacing w:before="20" w:after="20"/>
            </w:pPr>
            <w:r>
              <w:t>% NM 2025</w:t>
            </w:r>
          </w:p>
        </w:tc>
        <w:tc>
          <w:tcPr>
            <w:tcW w:w="278" w:type="pct"/>
            <w:vAlign w:val="center"/>
          </w:tcPr>
          <w:p w14:paraId="355A2E22" w14:textId="77777777" w:rsidR="000A1B38" w:rsidRPr="00EA0A36" w:rsidRDefault="000A1B38">
            <w:pPr>
              <w:pStyle w:val="TableColHeadingCenter"/>
              <w:spacing w:before="20" w:after="20"/>
            </w:pPr>
            <w:r>
              <w:t xml:space="preserve">% NM 2025 </w:t>
            </w:r>
            <w:r w:rsidRPr="00EA0A36">
              <w:t>State</w:t>
            </w:r>
          </w:p>
        </w:tc>
      </w:tr>
      <w:tr w:rsidR="000A1B38" w:rsidRPr="003979D4" w14:paraId="79DC213B"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12175D0"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All Students</w:t>
            </w:r>
          </w:p>
        </w:tc>
        <w:tc>
          <w:tcPr>
            <w:tcW w:w="341" w:type="pct"/>
            <w:vAlign w:val="center"/>
          </w:tcPr>
          <w:p w14:paraId="5BB18D1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642</w:t>
            </w:r>
          </w:p>
        </w:tc>
        <w:tc>
          <w:tcPr>
            <w:tcW w:w="281" w:type="pct"/>
            <w:vAlign w:val="center"/>
          </w:tcPr>
          <w:p w14:paraId="457DC39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04C4EF0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121235A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5FA159A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4BF8490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0F16A60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72ED1B0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0D32173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5B1334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0A0921A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81" w:type="pct"/>
            <w:vAlign w:val="center"/>
          </w:tcPr>
          <w:p w14:paraId="1B5BFA7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278" w:type="pct"/>
            <w:vAlign w:val="bottom"/>
          </w:tcPr>
          <w:p w14:paraId="32A4DDC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r>
      <w:tr w:rsidR="000A1B38" w:rsidRPr="003979D4" w14:paraId="6CD0454E" w14:textId="77777777">
        <w:trPr>
          <w:jc w:val="center"/>
        </w:trPr>
        <w:tc>
          <w:tcPr>
            <w:tcW w:w="1290" w:type="pct"/>
          </w:tcPr>
          <w:p w14:paraId="0CF3D8C3"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01CF5BE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0B065796" w14:textId="271026FD"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D5AC9B9" w14:textId="7251BD95"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EF97977" w14:textId="500F9ACD"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3B5AED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1C0095C4" w14:textId="3AC6C900"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D7E5432" w14:textId="344AC08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270F3C1" w14:textId="4D1FF1A0"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2441B0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19CE2600" w14:textId="5F140A5A"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4949FE6" w14:textId="46D35793"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24C7027D" w14:textId="3337C6D5"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01B7374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r>
      <w:tr w:rsidR="000A1B38" w:rsidRPr="003979D4" w14:paraId="63C3C7E5"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CFFA91E"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Asian</w:t>
            </w:r>
          </w:p>
        </w:tc>
        <w:tc>
          <w:tcPr>
            <w:tcW w:w="341" w:type="pct"/>
            <w:vAlign w:val="center"/>
          </w:tcPr>
          <w:p w14:paraId="47079DF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0A44042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67</w:t>
            </w:r>
          </w:p>
        </w:tc>
        <w:tc>
          <w:tcPr>
            <w:tcW w:w="281" w:type="pct"/>
            <w:vAlign w:val="center"/>
          </w:tcPr>
          <w:p w14:paraId="6E60ADA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59</w:t>
            </w:r>
          </w:p>
        </w:tc>
        <w:tc>
          <w:tcPr>
            <w:tcW w:w="281" w:type="pct"/>
            <w:vAlign w:val="center"/>
          </w:tcPr>
          <w:p w14:paraId="0DF1C25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67</w:t>
            </w:r>
          </w:p>
        </w:tc>
        <w:tc>
          <w:tcPr>
            <w:tcW w:w="281" w:type="pct"/>
            <w:vAlign w:val="center"/>
          </w:tcPr>
          <w:p w14:paraId="0EB88C8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74</w:t>
            </w:r>
          </w:p>
        </w:tc>
        <w:tc>
          <w:tcPr>
            <w:tcW w:w="281" w:type="pct"/>
            <w:vAlign w:val="center"/>
          </w:tcPr>
          <w:p w14:paraId="58F498A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3A90DE3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281" w:type="pct"/>
            <w:vAlign w:val="center"/>
          </w:tcPr>
          <w:p w14:paraId="62A9A98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21D8F60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1B62886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2E1719C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c>
          <w:tcPr>
            <w:tcW w:w="281" w:type="pct"/>
            <w:vAlign w:val="center"/>
          </w:tcPr>
          <w:p w14:paraId="4743C82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w:t>
            </w:r>
          </w:p>
        </w:tc>
        <w:tc>
          <w:tcPr>
            <w:tcW w:w="278" w:type="pct"/>
            <w:vAlign w:val="bottom"/>
          </w:tcPr>
          <w:p w14:paraId="0E6214C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w:t>
            </w:r>
          </w:p>
        </w:tc>
      </w:tr>
      <w:tr w:rsidR="000A1B38" w:rsidRPr="003979D4" w14:paraId="216531B8" w14:textId="77777777">
        <w:trPr>
          <w:jc w:val="center"/>
        </w:trPr>
        <w:tc>
          <w:tcPr>
            <w:tcW w:w="1290" w:type="pct"/>
          </w:tcPr>
          <w:p w14:paraId="68D87F78"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Black or African American</w:t>
            </w:r>
          </w:p>
        </w:tc>
        <w:tc>
          <w:tcPr>
            <w:tcW w:w="341" w:type="pct"/>
            <w:vAlign w:val="center"/>
          </w:tcPr>
          <w:p w14:paraId="549F124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413</w:t>
            </w:r>
          </w:p>
        </w:tc>
        <w:tc>
          <w:tcPr>
            <w:tcW w:w="281" w:type="pct"/>
            <w:vAlign w:val="center"/>
          </w:tcPr>
          <w:p w14:paraId="758D3F6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46C5434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18B3E3E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4839C85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6BC8764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81" w:type="pct"/>
            <w:vAlign w:val="center"/>
          </w:tcPr>
          <w:p w14:paraId="046E10C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281" w:type="pct"/>
            <w:vAlign w:val="center"/>
          </w:tcPr>
          <w:p w14:paraId="0D8688B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7D37E04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63A49B3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3CE2DA6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65E18A5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78" w:type="pct"/>
            <w:vAlign w:val="bottom"/>
          </w:tcPr>
          <w:p w14:paraId="18842AA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r>
      <w:tr w:rsidR="000A1B38" w:rsidRPr="003979D4" w14:paraId="559AC5F3"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2312CA5"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Hispanic or Latino</w:t>
            </w:r>
          </w:p>
        </w:tc>
        <w:tc>
          <w:tcPr>
            <w:tcW w:w="341" w:type="pct"/>
            <w:vAlign w:val="center"/>
          </w:tcPr>
          <w:p w14:paraId="738A96B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118</w:t>
            </w:r>
          </w:p>
        </w:tc>
        <w:tc>
          <w:tcPr>
            <w:tcW w:w="281" w:type="pct"/>
            <w:vAlign w:val="center"/>
          </w:tcPr>
          <w:p w14:paraId="26C6114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179290D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6CCA4D3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w:t>
            </w:r>
          </w:p>
        </w:tc>
        <w:tc>
          <w:tcPr>
            <w:tcW w:w="281" w:type="pct"/>
            <w:vAlign w:val="center"/>
          </w:tcPr>
          <w:p w14:paraId="2801D03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689C8FB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5943186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7E0B2F7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0E287CC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424715F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3C2359E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333C1E2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78" w:type="pct"/>
            <w:vAlign w:val="bottom"/>
          </w:tcPr>
          <w:p w14:paraId="245E6D7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31</w:t>
            </w:r>
          </w:p>
        </w:tc>
      </w:tr>
      <w:tr w:rsidR="000A1B38" w:rsidRPr="003979D4" w14:paraId="6F4E0218" w14:textId="77777777">
        <w:trPr>
          <w:jc w:val="center"/>
        </w:trPr>
        <w:tc>
          <w:tcPr>
            <w:tcW w:w="1290" w:type="pct"/>
          </w:tcPr>
          <w:p w14:paraId="2DA8D2F2"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40B1555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6E23089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510DBF4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1770F89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63FC955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6BFADD9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1213A44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1692EB8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1D624D7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F41D91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7C33316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52FB56F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78" w:type="pct"/>
            <w:vAlign w:val="bottom"/>
          </w:tcPr>
          <w:p w14:paraId="0F4543F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r>
      <w:tr w:rsidR="000A1B38" w:rsidRPr="003979D4" w14:paraId="48DB52F9"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EB353F9"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60A937A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56C98E82" w14:textId="3961ED20"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D6D06F1" w14:textId="3B9CB002"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2AB00CBD" w14:textId="2C0B26CD"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3EE5898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06DAA65D" w14:textId="193A07D4"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D2D03D9" w14:textId="71D4D5D3"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2F948F1" w14:textId="02FD2B4C"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0070065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64B0FC31" w14:textId="5C2222C7"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4C7DEE8" w14:textId="39DB372D"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32BF604B" w14:textId="25C67DC5" w:rsidR="000A1B38" w:rsidRPr="003F2489" w:rsidRDefault="00527300" w:rsidP="00875BBA">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72DDFA6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r>
      <w:tr w:rsidR="000A1B38" w:rsidRPr="003979D4" w14:paraId="0A9AC029" w14:textId="77777777">
        <w:trPr>
          <w:jc w:val="center"/>
        </w:trPr>
        <w:tc>
          <w:tcPr>
            <w:tcW w:w="1290" w:type="pct"/>
          </w:tcPr>
          <w:p w14:paraId="210AFE7D"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White</w:t>
            </w:r>
          </w:p>
        </w:tc>
        <w:tc>
          <w:tcPr>
            <w:tcW w:w="341" w:type="pct"/>
            <w:vAlign w:val="center"/>
          </w:tcPr>
          <w:p w14:paraId="3DD1C7B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60</w:t>
            </w:r>
          </w:p>
        </w:tc>
        <w:tc>
          <w:tcPr>
            <w:tcW w:w="281" w:type="pct"/>
            <w:vAlign w:val="center"/>
          </w:tcPr>
          <w:p w14:paraId="33E6B9A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356DFCA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5782BEE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4DE37AA4"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55</w:t>
            </w:r>
          </w:p>
        </w:tc>
        <w:tc>
          <w:tcPr>
            <w:tcW w:w="281" w:type="pct"/>
            <w:vAlign w:val="center"/>
          </w:tcPr>
          <w:p w14:paraId="2AE4B8A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238D892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51</w:t>
            </w:r>
          </w:p>
        </w:tc>
        <w:tc>
          <w:tcPr>
            <w:tcW w:w="281" w:type="pct"/>
            <w:vAlign w:val="center"/>
          </w:tcPr>
          <w:p w14:paraId="07D49CB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028D5E7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046CEAD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617A397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28FC32C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278" w:type="pct"/>
            <w:vAlign w:val="bottom"/>
          </w:tcPr>
          <w:p w14:paraId="6E35376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10</w:t>
            </w:r>
          </w:p>
        </w:tc>
      </w:tr>
      <w:tr w:rsidR="000A1B38" w:rsidRPr="003979D4" w14:paraId="7AF8B11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DCAADA6"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High Needs</w:t>
            </w:r>
          </w:p>
        </w:tc>
        <w:tc>
          <w:tcPr>
            <w:tcW w:w="341" w:type="pct"/>
            <w:vAlign w:val="center"/>
          </w:tcPr>
          <w:p w14:paraId="1374A17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519</w:t>
            </w:r>
          </w:p>
        </w:tc>
        <w:tc>
          <w:tcPr>
            <w:tcW w:w="281" w:type="pct"/>
            <w:vAlign w:val="center"/>
          </w:tcPr>
          <w:p w14:paraId="7C62CB8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752826C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2064ADF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5173629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529AA7C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1223647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72D22E0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043BB11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0106437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6855BF0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3C8D86B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78" w:type="pct"/>
            <w:vAlign w:val="bottom"/>
          </w:tcPr>
          <w:p w14:paraId="1C7621B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r>
      <w:tr w:rsidR="000A1B38" w:rsidRPr="003979D4" w14:paraId="5ECF6D3C" w14:textId="77777777">
        <w:trPr>
          <w:jc w:val="center"/>
        </w:trPr>
        <w:tc>
          <w:tcPr>
            <w:tcW w:w="1290" w:type="pct"/>
          </w:tcPr>
          <w:p w14:paraId="31AE9500"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English Learners</w:t>
            </w:r>
          </w:p>
        </w:tc>
        <w:tc>
          <w:tcPr>
            <w:tcW w:w="341" w:type="pct"/>
            <w:vAlign w:val="center"/>
          </w:tcPr>
          <w:p w14:paraId="1196EC2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190</w:t>
            </w:r>
          </w:p>
        </w:tc>
        <w:tc>
          <w:tcPr>
            <w:tcW w:w="281" w:type="pct"/>
            <w:vAlign w:val="center"/>
          </w:tcPr>
          <w:p w14:paraId="65EE752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0810281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w:t>
            </w:r>
          </w:p>
        </w:tc>
        <w:tc>
          <w:tcPr>
            <w:tcW w:w="281" w:type="pct"/>
            <w:vAlign w:val="center"/>
          </w:tcPr>
          <w:p w14:paraId="6EDFB20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w:t>
            </w:r>
          </w:p>
        </w:tc>
        <w:tc>
          <w:tcPr>
            <w:tcW w:w="281" w:type="pct"/>
            <w:vAlign w:val="center"/>
          </w:tcPr>
          <w:p w14:paraId="16BEB4E8"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2D2ED87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7932F8D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33811F0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7B8F4D8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439EA1B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37AEC99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52</w:t>
            </w:r>
          </w:p>
        </w:tc>
        <w:tc>
          <w:tcPr>
            <w:tcW w:w="281" w:type="pct"/>
            <w:vAlign w:val="center"/>
          </w:tcPr>
          <w:p w14:paraId="4779679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62</w:t>
            </w:r>
          </w:p>
        </w:tc>
        <w:tc>
          <w:tcPr>
            <w:tcW w:w="278" w:type="pct"/>
            <w:vAlign w:val="bottom"/>
          </w:tcPr>
          <w:p w14:paraId="1788311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50</w:t>
            </w:r>
          </w:p>
        </w:tc>
      </w:tr>
      <w:tr w:rsidR="000A1B38" w:rsidRPr="003979D4" w14:paraId="559408D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69E6DA3" w14:textId="77777777" w:rsidR="000A1B38" w:rsidRPr="00A73A0A" w:rsidRDefault="000A1B38" w:rsidP="00875BBA">
            <w:pPr>
              <w:pStyle w:val="TableText"/>
              <w:spacing w:before="0" w:after="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16E0F410"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463</w:t>
            </w:r>
          </w:p>
        </w:tc>
        <w:tc>
          <w:tcPr>
            <w:tcW w:w="281" w:type="pct"/>
            <w:vAlign w:val="center"/>
          </w:tcPr>
          <w:p w14:paraId="4EFFC83A"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45B13EA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3BBE320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14</w:t>
            </w:r>
          </w:p>
        </w:tc>
        <w:tc>
          <w:tcPr>
            <w:tcW w:w="281" w:type="pct"/>
            <w:vAlign w:val="center"/>
          </w:tcPr>
          <w:p w14:paraId="0A917BA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0A4171F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0BBEB2DB"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281" w:type="pct"/>
            <w:vAlign w:val="center"/>
          </w:tcPr>
          <w:p w14:paraId="2DE03B0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0E45294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0E4C4E73"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206A4F3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296DEF1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278" w:type="pct"/>
            <w:vAlign w:val="bottom"/>
          </w:tcPr>
          <w:p w14:paraId="7979ED5D"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29</w:t>
            </w:r>
          </w:p>
        </w:tc>
      </w:tr>
      <w:tr w:rsidR="000A1B38" w:rsidRPr="003979D4" w14:paraId="6C412DBF" w14:textId="77777777">
        <w:trPr>
          <w:jc w:val="center"/>
        </w:trPr>
        <w:tc>
          <w:tcPr>
            <w:tcW w:w="1290" w:type="pct"/>
          </w:tcPr>
          <w:p w14:paraId="2B23E3EB" w14:textId="77777777" w:rsidR="000A1B38" w:rsidRPr="00A73A0A" w:rsidRDefault="000A1B38" w:rsidP="00875BBA">
            <w:pPr>
              <w:pStyle w:val="TableText"/>
              <w:spacing w:before="0" w:after="0"/>
              <w:rPr>
                <w:rFonts w:ascii="Franklin Gothic Book" w:hAnsi="Franklin Gothic Book"/>
              </w:rPr>
            </w:pPr>
            <w:r w:rsidRPr="00A73A0A">
              <w:rPr>
                <w:rFonts w:ascii="Franklin Gothic Book" w:hAnsi="Franklin Gothic Book"/>
              </w:rPr>
              <w:t>Students with Disabilities</w:t>
            </w:r>
          </w:p>
        </w:tc>
        <w:tc>
          <w:tcPr>
            <w:tcW w:w="341" w:type="pct"/>
            <w:vAlign w:val="center"/>
          </w:tcPr>
          <w:p w14:paraId="1AEB709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135</w:t>
            </w:r>
          </w:p>
        </w:tc>
        <w:tc>
          <w:tcPr>
            <w:tcW w:w="281" w:type="pct"/>
            <w:vAlign w:val="center"/>
          </w:tcPr>
          <w:p w14:paraId="554BDA0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w:t>
            </w:r>
          </w:p>
        </w:tc>
        <w:tc>
          <w:tcPr>
            <w:tcW w:w="281" w:type="pct"/>
            <w:vAlign w:val="center"/>
          </w:tcPr>
          <w:p w14:paraId="59F811B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1CCC64C9"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68433B8C"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76506377"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0504C4DE"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23013D36"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0195FBD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71EA2111"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60</w:t>
            </w:r>
          </w:p>
        </w:tc>
        <w:tc>
          <w:tcPr>
            <w:tcW w:w="281" w:type="pct"/>
            <w:vAlign w:val="center"/>
          </w:tcPr>
          <w:p w14:paraId="3E038675"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68</w:t>
            </w:r>
          </w:p>
        </w:tc>
        <w:tc>
          <w:tcPr>
            <w:tcW w:w="281" w:type="pct"/>
            <w:vAlign w:val="center"/>
          </w:tcPr>
          <w:p w14:paraId="284A107F"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75</w:t>
            </w:r>
          </w:p>
        </w:tc>
        <w:tc>
          <w:tcPr>
            <w:tcW w:w="278" w:type="pct"/>
            <w:vAlign w:val="bottom"/>
          </w:tcPr>
          <w:p w14:paraId="3C679162" w14:textId="77777777" w:rsidR="000A1B38" w:rsidRPr="003F2489" w:rsidRDefault="000A1B38" w:rsidP="00875BBA">
            <w:pPr>
              <w:pStyle w:val="TableTextCentered"/>
              <w:spacing w:before="0" w:after="0"/>
              <w:rPr>
                <w:rFonts w:ascii="Franklin Gothic Book" w:hAnsi="Franklin Gothic Book"/>
              </w:rPr>
            </w:pPr>
            <w:r>
              <w:rPr>
                <w:rFonts w:ascii="Franklin Gothic Book" w:hAnsi="Franklin Gothic Book"/>
              </w:rPr>
              <w:t>42</w:t>
            </w:r>
          </w:p>
        </w:tc>
      </w:tr>
    </w:tbl>
    <w:p w14:paraId="55A0BD6E" w14:textId="77777777" w:rsidR="000A1B38" w:rsidRDefault="000A1B38" w:rsidP="0082637F">
      <w:pPr>
        <w:pStyle w:val="TableETitle"/>
      </w:pPr>
      <w:bookmarkStart w:id="227" w:name="_Toc211930037"/>
      <w:bookmarkStart w:id="228" w:name="_Toc230970167"/>
      <w:bookmarkStart w:id="229" w:name="_Hlk138323146"/>
      <w:r w:rsidRPr="00A2069A">
        <w:t>Table E</w:t>
      </w:r>
      <w:r>
        <w:t>7</w:t>
      </w:r>
      <w:r w:rsidRPr="00A2069A">
        <w:t xml:space="preserve">. MCAS ELA </w:t>
      </w:r>
      <w:r>
        <w:t xml:space="preserve">Achievement </w:t>
      </w:r>
      <w:r w:rsidRPr="00B128C5">
        <w:t xml:space="preserve">by </w:t>
      </w:r>
      <w:r w:rsidRPr="00A2069A">
        <w:t>Grade, 202</w:t>
      </w:r>
      <w:r>
        <w:t>3</w:t>
      </w:r>
      <w:r w:rsidRPr="00A2069A">
        <w:t>-202</w:t>
      </w:r>
      <w:r>
        <w:t>5</w:t>
      </w:r>
      <w:bookmarkEnd w:id="227"/>
      <w:bookmarkEnd w:id="228"/>
    </w:p>
    <w:tbl>
      <w:tblPr>
        <w:tblStyle w:val="MSVTable1"/>
        <w:tblW w:w="5107" w:type="pct"/>
        <w:jc w:val="center"/>
        <w:tblLook w:val="0420" w:firstRow="1" w:lastRow="0" w:firstColumn="0" w:lastColumn="0" w:noHBand="0" w:noVBand="1"/>
        <w:tblCaption w:val="Table E7. MCAS ELA Achievement by Grade, 2023-2025"/>
        <w:tblDescription w:val="MCAS ELA Achievement by Grade, 2023-2025"/>
      </w:tblPr>
      <w:tblGrid>
        <w:gridCol w:w="980"/>
        <w:gridCol w:w="989"/>
        <w:gridCol w:w="936"/>
        <w:gridCol w:w="939"/>
        <w:gridCol w:w="936"/>
        <w:gridCol w:w="939"/>
        <w:gridCol w:w="939"/>
        <w:gridCol w:w="939"/>
        <w:gridCol w:w="939"/>
        <w:gridCol w:w="941"/>
        <w:gridCol w:w="936"/>
        <w:gridCol w:w="939"/>
        <w:gridCol w:w="936"/>
        <w:gridCol w:w="933"/>
      </w:tblGrid>
      <w:tr w:rsidR="000A1B38" w:rsidRPr="003979D4" w14:paraId="279F4EC4" w14:textId="77777777">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128FFC08" w14:textId="77777777" w:rsidR="000A1B38" w:rsidRPr="00EA0A36" w:rsidRDefault="000A1B38">
            <w:pPr>
              <w:pStyle w:val="TableColHeadingCenter"/>
              <w:spacing w:before="20" w:after="20"/>
            </w:pPr>
            <w:r w:rsidRPr="00FB0CF6">
              <w:t>Gr</w:t>
            </w:r>
            <w:r>
              <w:t>ade</w:t>
            </w:r>
          </w:p>
        </w:tc>
        <w:tc>
          <w:tcPr>
            <w:tcW w:w="374" w:type="pct"/>
            <w:vAlign w:val="center"/>
          </w:tcPr>
          <w:p w14:paraId="38C474EE" w14:textId="77777777" w:rsidR="000A1B38" w:rsidRPr="00EA0A36" w:rsidRDefault="000A1B38">
            <w:pPr>
              <w:pStyle w:val="TableColHeadingCenter"/>
              <w:spacing w:before="20" w:after="20"/>
            </w:pPr>
            <w:r w:rsidRPr="00CC0C18">
              <w:t># Included (2025)</w:t>
            </w:r>
          </w:p>
        </w:tc>
        <w:tc>
          <w:tcPr>
            <w:tcW w:w="354" w:type="pct"/>
            <w:vAlign w:val="center"/>
          </w:tcPr>
          <w:p w14:paraId="63C6A6E0" w14:textId="77777777" w:rsidR="000A1B38" w:rsidRPr="00EA0A36" w:rsidRDefault="000A1B38">
            <w:pPr>
              <w:pStyle w:val="TableColHeadingCenter"/>
              <w:spacing w:before="20" w:after="20"/>
            </w:pPr>
            <w:r w:rsidRPr="00CC0C18">
              <w:t>% M/E 2023</w:t>
            </w:r>
          </w:p>
        </w:tc>
        <w:tc>
          <w:tcPr>
            <w:tcW w:w="355" w:type="pct"/>
            <w:vAlign w:val="center"/>
          </w:tcPr>
          <w:p w14:paraId="56FCC61A" w14:textId="77777777" w:rsidR="000A1B38" w:rsidRPr="00EA0A36" w:rsidRDefault="000A1B38">
            <w:pPr>
              <w:pStyle w:val="TableColHeadingCenter"/>
              <w:spacing w:before="20" w:after="20"/>
            </w:pPr>
            <w:r w:rsidRPr="00CC0C18">
              <w:t>% M/E 2024</w:t>
            </w:r>
          </w:p>
        </w:tc>
        <w:tc>
          <w:tcPr>
            <w:tcW w:w="354" w:type="pct"/>
            <w:vAlign w:val="center"/>
          </w:tcPr>
          <w:p w14:paraId="3A48AE69" w14:textId="77777777" w:rsidR="000A1B38" w:rsidRPr="00EA0A36" w:rsidRDefault="000A1B38">
            <w:pPr>
              <w:pStyle w:val="TableColHeadingCenter"/>
              <w:spacing w:before="20" w:after="20"/>
            </w:pPr>
            <w:r w:rsidRPr="00CC0C18">
              <w:t>% M/E 2025</w:t>
            </w:r>
          </w:p>
        </w:tc>
        <w:tc>
          <w:tcPr>
            <w:tcW w:w="355" w:type="pct"/>
            <w:vAlign w:val="center"/>
          </w:tcPr>
          <w:p w14:paraId="1157B941" w14:textId="77777777" w:rsidR="000A1B38" w:rsidRPr="00EA0A36" w:rsidRDefault="000A1B38">
            <w:pPr>
              <w:pStyle w:val="TableColHeadingCenter"/>
              <w:spacing w:before="20" w:after="20"/>
            </w:pPr>
            <w:r w:rsidRPr="00CC0C18">
              <w:t>% M/E 2025 State</w:t>
            </w:r>
          </w:p>
        </w:tc>
        <w:tc>
          <w:tcPr>
            <w:tcW w:w="355" w:type="pct"/>
            <w:vAlign w:val="center"/>
          </w:tcPr>
          <w:p w14:paraId="6D6AB48C" w14:textId="77777777" w:rsidR="000A1B38" w:rsidRPr="00EA0A36" w:rsidRDefault="000A1B38">
            <w:pPr>
              <w:pStyle w:val="TableColHeadingCenter"/>
              <w:spacing w:before="20" w:after="20"/>
            </w:pPr>
            <w:r w:rsidRPr="00CC0C18">
              <w:t>% PME 2023</w:t>
            </w:r>
          </w:p>
        </w:tc>
        <w:tc>
          <w:tcPr>
            <w:tcW w:w="355" w:type="pct"/>
            <w:vAlign w:val="center"/>
          </w:tcPr>
          <w:p w14:paraId="319D5912" w14:textId="77777777" w:rsidR="000A1B38" w:rsidRPr="00EA0A36" w:rsidRDefault="000A1B38">
            <w:pPr>
              <w:pStyle w:val="TableColHeadingCenter"/>
              <w:spacing w:before="20" w:after="20"/>
            </w:pPr>
            <w:r w:rsidRPr="00CC0C18">
              <w:t>% PME 2024</w:t>
            </w:r>
          </w:p>
        </w:tc>
        <w:tc>
          <w:tcPr>
            <w:tcW w:w="355" w:type="pct"/>
            <w:vAlign w:val="center"/>
          </w:tcPr>
          <w:p w14:paraId="7C6EC4E7" w14:textId="77777777" w:rsidR="000A1B38" w:rsidRPr="00EA0A36" w:rsidRDefault="000A1B38">
            <w:pPr>
              <w:pStyle w:val="TableColHeadingCenter"/>
              <w:spacing w:before="20" w:after="20"/>
            </w:pPr>
            <w:r w:rsidRPr="00CC0C18">
              <w:t>% PME 2025</w:t>
            </w:r>
          </w:p>
        </w:tc>
        <w:tc>
          <w:tcPr>
            <w:tcW w:w="356" w:type="pct"/>
            <w:vAlign w:val="center"/>
          </w:tcPr>
          <w:p w14:paraId="4084C90E" w14:textId="77777777" w:rsidR="000A1B38" w:rsidRPr="00EA0A36" w:rsidRDefault="000A1B38">
            <w:pPr>
              <w:pStyle w:val="TableColHeadingCenter"/>
              <w:spacing w:before="20" w:after="20"/>
            </w:pPr>
            <w:r w:rsidRPr="00CC0C18">
              <w:t>% PME 2025 State</w:t>
            </w:r>
          </w:p>
        </w:tc>
        <w:tc>
          <w:tcPr>
            <w:tcW w:w="354" w:type="pct"/>
            <w:vAlign w:val="center"/>
          </w:tcPr>
          <w:p w14:paraId="4121F0BB" w14:textId="77777777" w:rsidR="000A1B38" w:rsidRPr="00EA0A36" w:rsidRDefault="000A1B38">
            <w:pPr>
              <w:pStyle w:val="TableColHeadingCenter"/>
              <w:spacing w:before="20" w:after="20"/>
            </w:pPr>
            <w:r w:rsidRPr="00CC0C18">
              <w:t>% NM 2023</w:t>
            </w:r>
          </w:p>
        </w:tc>
        <w:tc>
          <w:tcPr>
            <w:tcW w:w="355" w:type="pct"/>
            <w:vAlign w:val="center"/>
          </w:tcPr>
          <w:p w14:paraId="4E1D1D2F" w14:textId="77777777" w:rsidR="000A1B38" w:rsidRPr="00EA0A36" w:rsidRDefault="000A1B38">
            <w:pPr>
              <w:pStyle w:val="TableColHeadingCenter"/>
              <w:spacing w:before="20" w:after="20"/>
            </w:pPr>
            <w:r w:rsidRPr="00CC0C18">
              <w:t>% NM 2024</w:t>
            </w:r>
          </w:p>
        </w:tc>
        <w:tc>
          <w:tcPr>
            <w:tcW w:w="354" w:type="pct"/>
            <w:vAlign w:val="center"/>
          </w:tcPr>
          <w:p w14:paraId="4DF57974" w14:textId="77777777" w:rsidR="000A1B38" w:rsidRPr="00EA0A36" w:rsidRDefault="000A1B38">
            <w:pPr>
              <w:pStyle w:val="TableColHeadingCenter"/>
              <w:spacing w:before="20" w:after="20"/>
            </w:pPr>
            <w:r w:rsidRPr="00CC0C18">
              <w:t>% NM 2025</w:t>
            </w:r>
          </w:p>
        </w:tc>
        <w:tc>
          <w:tcPr>
            <w:tcW w:w="353" w:type="pct"/>
            <w:vAlign w:val="center"/>
          </w:tcPr>
          <w:p w14:paraId="5D4127C3" w14:textId="77777777" w:rsidR="000A1B38" w:rsidRPr="00EA0A36" w:rsidRDefault="000A1B38">
            <w:pPr>
              <w:pStyle w:val="TableColHeadingCenter"/>
              <w:spacing w:before="20" w:after="20"/>
            </w:pPr>
            <w:r w:rsidRPr="00CC0C18">
              <w:t>% NM 2025 State</w:t>
            </w:r>
          </w:p>
        </w:tc>
      </w:tr>
      <w:tr w:rsidR="000A1B38" w:rsidRPr="003979D4" w14:paraId="173B7053"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59D7066"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3</w:t>
            </w:r>
          </w:p>
        </w:tc>
        <w:tc>
          <w:tcPr>
            <w:tcW w:w="374" w:type="pct"/>
            <w:vAlign w:val="center"/>
          </w:tcPr>
          <w:p w14:paraId="23EDBF90"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1,229</w:t>
            </w:r>
          </w:p>
        </w:tc>
        <w:tc>
          <w:tcPr>
            <w:tcW w:w="354" w:type="pct"/>
            <w:vAlign w:val="center"/>
          </w:tcPr>
          <w:p w14:paraId="72DACE3A"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4F267BE2"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126B6DD6"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3E61715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3B455B0A"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6EC258F6"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30DBB667"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6" w:type="pct"/>
            <w:vAlign w:val="center"/>
          </w:tcPr>
          <w:p w14:paraId="77F1499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7EA0D3DC"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355" w:type="pct"/>
            <w:vAlign w:val="center"/>
          </w:tcPr>
          <w:p w14:paraId="7AEC8D2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4" w:type="pct"/>
            <w:vAlign w:val="center"/>
          </w:tcPr>
          <w:p w14:paraId="5FEF7F69"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3" w:type="pct"/>
            <w:vAlign w:val="bottom"/>
          </w:tcPr>
          <w:p w14:paraId="01F7B730"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37E4B0E8" w14:textId="77777777">
        <w:trPr>
          <w:jc w:val="center"/>
        </w:trPr>
        <w:tc>
          <w:tcPr>
            <w:tcW w:w="371" w:type="pct"/>
          </w:tcPr>
          <w:p w14:paraId="5E50E95C"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4</w:t>
            </w:r>
          </w:p>
        </w:tc>
        <w:tc>
          <w:tcPr>
            <w:tcW w:w="374" w:type="pct"/>
            <w:vAlign w:val="center"/>
          </w:tcPr>
          <w:p w14:paraId="61154AA8"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1,123</w:t>
            </w:r>
          </w:p>
        </w:tc>
        <w:tc>
          <w:tcPr>
            <w:tcW w:w="354" w:type="pct"/>
            <w:vAlign w:val="center"/>
          </w:tcPr>
          <w:p w14:paraId="08DDFFE0"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355" w:type="pct"/>
            <w:vAlign w:val="center"/>
          </w:tcPr>
          <w:p w14:paraId="47ADFCF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354" w:type="pct"/>
            <w:vAlign w:val="center"/>
          </w:tcPr>
          <w:p w14:paraId="78CF036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355" w:type="pct"/>
            <w:vAlign w:val="center"/>
          </w:tcPr>
          <w:p w14:paraId="38C22E3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0C736C1E"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355" w:type="pct"/>
            <w:vAlign w:val="center"/>
          </w:tcPr>
          <w:p w14:paraId="43076B9A"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355" w:type="pct"/>
            <w:vAlign w:val="center"/>
          </w:tcPr>
          <w:p w14:paraId="0EB7CF56"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6" w:type="pct"/>
            <w:vAlign w:val="center"/>
          </w:tcPr>
          <w:p w14:paraId="3C99C84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4" w:type="pct"/>
            <w:vAlign w:val="center"/>
          </w:tcPr>
          <w:p w14:paraId="72A5CBF8"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5" w:type="pct"/>
            <w:vAlign w:val="center"/>
          </w:tcPr>
          <w:p w14:paraId="5D8EEA6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4" w:type="pct"/>
            <w:vAlign w:val="center"/>
          </w:tcPr>
          <w:p w14:paraId="4EC3F87E"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3" w:type="pct"/>
            <w:vAlign w:val="bottom"/>
          </w:tcPr>
          <w:p w14:paraId="4F20C9A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18E1249E"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B6398AF"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5</w:t>
            </w:r>
          </w:p>
        </w:tc>
        <w:tc>
          <w:tcPr>
            <w:tcW w:w="374" w:type="pct"/>
            <w:vAlign w:val="center"/>
          </w:tcPr>
          <w:p w14:paraId="16E55AB4"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1,000</w:t>
            </w:r>
          </w:p>
        </w:tc>
        <w:tc>
          <w:tcPr>
            <w:tcW w:w="354" w:type="pct"/>
            <w:vAlign w:val="center"/>
          </w:tcPr>
          <w:p w14:paraId="77D558C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355" w:type="pct"/>
            <w:vAlign w:val="center"/>
          </w:tcPr>
          <w:p w14:paraId="4EBC66CC"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2CC06E1C"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355" w:type="pct"/>
            <w:vAlign w:val="center"/>
          </w:tcPr>
          <w:p w14:paraId="6D4D0561"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5" w:type="pct"/>
            <w:vAlign w:val="center"/>
          </w:tcPr>
          <w:p w14:paraId="3ED458F1"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355" w:type="pct"/>
            <w:vAlign w:val="center"/>
          </w:tcPr>
          <w:p w14:paraId="7364F562"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355" w:type="pct"/>
            <w:vAlign w:val="center"/>
          </w:tcPr>
          <w:p w14:paraId="032696A8"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53</w:t>
            </w:r>
          </w:p>
        </w:tc>
        <w:tc>
          <w:tcPr>
            <w:tcW w:w="356" w:type="pct"/>
            <w:vAlign w:val="center"/>
          </w:tcPr>
          <w:p w14:paraId="7A6E6DCA"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354" w:type="pct"/>
            <w:vAlign w:val="center"/>
          </w:tcPr>
          <w:p w14:paraId="7976D884"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355" w:type="pct"/>
            <w:vAlign w:val="center"/>
          </w:tcPr>
          <w:p w14:paraId="5F5D33B7"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354" w:type="pct"/>
            <w:vAlign w:val="center"/>
          </w:tcPr>
          <w:p w14:paraId="1595E5C0"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353" w:type="pct"/>
            <w:vAlign w:val="bottom"/>
          </w:tcPr>
          <w:p w14:paraId="329BAA4D"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15</w:t>
            </w:r>
          </w:p>
        </w:tc>
      </w:tr>
      <w:tr w:rsidR="000A1B38" w:rsidRPr="003979D4" w14:paraId="45963C29" w14:textId="77777777">
        <w:trPr>
          <w:jc w:val="center"/>
        </w:trPr>
        <w:tc>
          <w:tcPr>
            <w:tcW w:w="371" w:type="pct"/>
          </w:tcPr>
          <w:p w14:paraId="1046704F"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6</w:t>
            </w:r>
          </w:p>
        </w:tc>
        <w:tc>
          <w:tcPr>
            <w:tcW w:w="374" w:type="pct"/>
            <w:vAlign w:val="center"/>
          </w:tcPr>
          <w:p w14:paraId="794F2EEF"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908</w:t>
            </w:r>
          </w:p>
        </w:tc>
        <w:tc>
          <w:tcPr>
            <w:tcW w:w="354" w:type="pct"/>
            <w:vAlign w:val="center"/>
          </w:tcPr>
          <w:p w14:paraId="6DC8756A"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355" w:type="pct"/>
            <w:vAlign w:val="center"/>
          </w:tcPr>
          <w:p w14:paraId="3E4D679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354" w:type="pct"/>
            <w:vAlign w:val="center"/>
          </w:tcPr>
          <w:p w14:paraId="3A8C8824"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3C4F96F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545F1297"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355" w:type="pct"/>
            <w:vAlign w:val="center"/>
          </w:tcPr>
          <w:p w14:paraId="5E58FFAC"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5" w:type="pct"/>
            <w:vAlign w:val="center"/>
          </w:tcPr>
          <w:p w14:paraId="17555B01"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6" w:type="pct"/>
            <w:vAlign w:val="center"/>
          </w:tcPr>
          <w:p w14:paraId="4090EFF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4" w:type="pct"/>
            <w:vAlign w:val="center"/>
          </w:tcPr>
          <w:p w14:paraId="1352657F"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5B0C644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4" w:type="pct"/>
            <w:vAlign w:val="center"/>
          </w:tcPr>
          <w:p w14:paraId="05708311"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3" w:type="pct"/>
            <w:vAlign w:val="bottom"/>
          </w:tcPr>
          <w:p w14:paraId="4860D348"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22</w:t>
            </w:r>
          </w:p>
        </w:tc>
      </w:tr>
      <w:tr w:rsidR="000A1B38" w:rsidRPr="003979D4" w14:paraId="52366454"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F8EC3EB"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7</w:t>
            </w:r>
          </w:p>
        </w:tc>
        <w:tc>
          <w:tcPr>
            <w:tcW w:w="374" w:type="pct"/>
            <w:vAlign w:val="center"/>
          </w:tcPr>
          <w:p w14:paraId="12FECBBE"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1,023</w:t>
            </w:r>
          </w:p>
        </w:tc>
        <w:tc>
          <w:tcPr>
            <w:tcW w:w="354" w:type="pct"/>
            <w:vAlign w:val="center"/>
          </w:tcPr>
          <w:p w14:paraId="53DAE26F"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0F2D8ED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354" w:type="pct"/>
            <w:vAlign w:val="center"/>
          </w:tcPr>
          <w:p w14:paraId="61CCE79A"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0CDDEC92"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38C9468D"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355" w:type="pct"/>
            <w:vAlign w:val="center"/>
          </w:tcPr>
          <w:p w14:paraId="1CA45AD4"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355" w:type="pct"/>
            <w:vAlign w:val="center"/>
          </w:tcPr>
          <w:p w14:paraId="683D350E"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6" w:type="pct"/>
            <w:vAlign w:val="center"/>
          </w:tcPr>
          <w:p w14:paraId="0F294337"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4" w:type="pct"/>
            <w:vAlign w:val="center"/>
          </w:tcPr>
          <w:p w14:paraId="3D04426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355" w:type="pct"/>
            <w:vAlign w:val="center"/>
          </w:tcPr>
          <w:p w14:paraId="6773ACA6"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354" w:type="pct"/>
            <w:vAlign w:val="center"/>
          </w:tcPr>
          <w:p w14:paraId="5BB35098"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3" w:type="pct"/>
            <w:vAlign w:val="bottom"/>
          </w:tcPr>
          <w:p w14:paraId="0927AD77"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22</w:t>
            </w:r>
          </w:p>
        </w:tc>
      </w:tr>
      <w:tr w:rsidR="000A1B38" w:rsidRPr="003979D4" w14:paraId="0C37F345" w14:textId="77777777">
        <w:trPr>
          <w:jc w:val="center"/>
        </w:trPr>
        <w:tc>
          <w:tcPr>
            <w:tcW w:w="371" w:type="pct"/>
          </w:tcPr>
          <w:p w14:paraId="0BB3C9E7"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8</w:t>
            </w:r>
          </w:p>
        </w:tc>
        <w:tc>
          <w:tcPr>
            <w:tcW w:w="374" w:type="pct"/>
            <w:vAlign w:val="center"/>
          </w:tcPr>
          <w:p w14:paraId="0B555F2A"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1,098</w:t>
            </w:r>
          </w:p>
        </w:tc>
        <w:tc>
          <w:tcPr>
            <w:tcW w:w="354" w:type="pct"/>
            <w:vAlign w:val="center"/>
          </w:tcPr>
          <w:p w14:paraId="6530833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27</w:t>
            </w:r>
          </w:p>
        </w:tc>
        <w:tc>
          <w:tcPr>
            <w:tcW w:w="355" w:type="pct"/>
            <w:vAlign w:val="center"/>
          </w:tcPr>
          <w:p w14:paraId="1127586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26</w:t>
            </w:r>
          </w:p>
        </w:tc>
        <w:tc>
          <w:tcPr>
            <w:tcW w:w="354" w:type="pct"/>
            <w:vAlign w:val="center"/>
          </w:tcPr>
          <w:p w14:paraId="2D767B4C"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25</w:t>
            </w:r>
          </w:p>
        </w:tc>
        <w:tc>
          <w:tcPr>
            <w:tcW w:w="355" w:type="pct"/>
            <w:vAlign w:val="center"/>
          </w:tcPr>
          <w:p w14:paraId="3564E854"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7B31B08F"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5" w:type="pct"/>
            <w:vAlign w:val="center"/>
          </w:tcPr>
          <w:p w14:paraId="3C4F5A2E"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4B4376D8"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6" w:type="pct"/>
            <w:vAlign w:val="center"/>
          </w:tcPr>
          <w:p w14:paraId="76331807"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354" w:type="pct"/>
            <w:vAlign w:val="center"/>
          </w:tcPr>
          <w:p w14:paraId="212DC366"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355" w:type="pct"/>
            <w:vAlign w:val="center"/>
          </w:tcPr>
          <w:p w14:paraId="73ADE77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354" w:type="pct"/>
            <w:vAlign w:val="center"/>
          </w:tcPr>
          <w:p w14:paraId="719577AD"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353" w:type="pct"/>
            <w:vAlign w:val="bottom"/>
          </w:tcPr>
          <w:p w14:paraId="0E1D119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22</w:t>
            </w:r>
          </w:p>
        </w:tc>
      </w:tr>
      <w:tr w:rsidR="000A1B38" w:rsidRPr="003979D4" w14:paraId="50D75972"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97C60C0" w14:textId="77777777" w:rsidR="000A1B38" w:rsidRPr="0051627A" w:rsidRDefault="000A1B38" w:rsidP="00875BBA">
            <w:pPr>
              <w:pStyle w:val="TableText"/>
              <w:spacing w:before="0" w:after="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139898E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6,381</w:t>
            </w:r>
          </w:p>
        </w:tc>
        <w:tc>
          <w:tcPr>
            <w:tcW w:w="354" w:type="pct"/>
            <w:vAlign w:val="center"/>
          </w:tcPr>
          <w:p w14:paraId="602F29D0"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0C64047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740C961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21E694B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25E34E40"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1C3DC212"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084AF7B2"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6" w:type="pct"/>
            <w:vAlign w:val="center"/>
          </w:tcPr>
          <w:p w14:paraId="3F0D2242"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75E81976"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355" w:type="pct"/>
            <w:vAlign w:val="center"/>
          </w:tcPr>
          <w:p w14:paraId="6425BBC0"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4" w:type="pct"/>
            <w:vAlign w:val="center"/>
          </w:tcPr>
          <w:p w14:paraId="16A0A692"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3" w:type="pct"/>
            <w:vAlign w:val="bottom"/>
          </w:tcPr>
          <w:p w14:paraId="2C22DF2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20</w:t>
            </w:r>
          </w:p>
        </w:tc>
      </w:tr>
      <w:tr w:rsidR="000A1B38" w:rsidRPr="003979D4" w14:paraId="35CA664C" w14:textId="77777777">
        <w:trPr>
          <w:jc w:val="center"/>
        </w:trPr>
        <w:tc>
          <w:tcPr>
            <w:tcW w:w="371" w:type="pct"/>
          </w:tcPr>
          <w:p w14:paraId="708F3D6F"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10</w:t>
            </w:r>
          </w:p>
        </w:tc>
        <w:tc>
          <w:tcPr>
            <w:tcW w:w="374" w:type="pct"/>
            <w:vAlign w:val="center"/>
          </w:tcPr>
          <w:p w14:paraId="4234AF0E"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728</w:t>
            </w:r>
          </w:p>
        </w:tc>
        <w:tc>
          <w:tcPr>
            <w:tcW w:w="354" w:type="pct"/>
            <w:vAlign w:val="center"/>
          </w:tcPr>
          <w:p w14:paraId="7A2C7CEE"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355" w:type="pct"/>
            <w:vAlign w:val="center"/>
          </w:tcPr>
          <w:p w14:paraId="17C1B64B"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4" w:type="pct"/>
            <w:vAlign w:val="center"/>
          </w:tcPr>
          <w:p w14:paraId="7D7B0A39"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29</w:t>
            </w:r>
          </w:p>
        </w:tc>
        <w:tc>
          <w:tcPr>
            <w:tcW w:w="355" w:type="pct"/>
            <w:vAlign w:val="center"/>
          </w:tcPr>
          <w:p w14:paraId="744428A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51</w:t>
            </w:r>
          </w:p>
        </w:tc>
        <w:tc>
          <w:tcPr>
            <w:tcW w:w="355" w:type="pct"/>
            <w:vAlign w:val="center"/>
          </w:tcPr>
          <w:p w14:paraId="75D7DFD6"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75B300DC"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5" w:type="pct"/>
            <w:vAlign w:val="center"/>
          </w:tcPr>
          <w:p w14:paraId="6F34FC51"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6" w:type="pct"/>
            <w:vAlign w:val="center"/>
          </w:tcPr>
          <w:p w14:paraId="5EC0AE21"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354" w:type="pct"/>
            <w:vAlign w:val="center"/>
          </w:tcPr>
          <w:p w14:paraId="20E507D3"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355" w:type="pct"/>
            <w:vAlign w:val="center"/>
          </w:tcPr>
          <w:p w14:paraId="0D69E958"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354" w:type="pct"/>
            <w:vAlign w:val="center"/>
          </w:tcPr>
          <w:p w14:paraId="33299795"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353" w:type="pct"/>
            <w:vAlign w:val="bottom"/>
          </w:tcPr>
          <w:p w14:paraId="5DA8F4F6" w14:textId="77777777" w:rsidR="000A1B38" w:rsidRPr="00DA77A7" w:rsidRDefault="000A1B38" w:rsidP="00875BBA">
            <w:pPr>
              <w:pStyle w:val="TableTextCentered"/>
              <w:spacing w:before="0" w:after="0"/>
              <w:rPr>
                <w:rFonts w:ascii="Franklin Gothic Book" w:hAnsi="Franklin Gothic Book"/>
              </w:rPr>
            </w:pPr>
            <w:r>
              <w:rPr>
                <w:rFonts w:ascii="Franklin Gothic Book" w:hAnsi="Franklin Gothic Book"/>
              </w:rPr>
              <w:t>15</w:t>
            </w:r>
          </w:p>
        </w:tc>
      </w:tr>
    </w:tbl>
    <w:p w14:paraId="4D4C824E" w14:textId="77777777" w:rsidR="000A1B38" w:rsidRDefault="000A1B38" w:rsidP="0082637F">
      <w:pPr>
        <w:pStyle w:val="TableETitle"/>
      </w:pPr>
      <w:bookmarkStart w:id="230" w:name="_Toc211930038"/>
      <w:bookmarkStart w:id="231" w:name="_Toc230970168"/>
      <w:bookmarkStart w:id="232" w:name="_Hlk139011901"/>
      <w:r w:rsidRPr="00A2069A">
        <w:t>Table E</w:t>
      </w:r>
      <w:r>
        <w:t>8</w:t>
      </w:r>
      <w:r w:rsidRPr="00A2069A">
        <w:t xml:space="preserve">. MCAS </w:t>
      </w:r>
      <w:r>
        <w:t>Mathematics</w:t>
      </w:r>
      <w:r w:rsidRPr="00A2069A">
        <w:t xml:space="preserve"> </w:t>
      </w:r>
      <w:r>
        <w:t xml:space="preserve">Achievement </w:t>
      </w:r>
      <w:r w:rsidRPr="00A2069A">
        <w:t>by Grade, 202</w:t>
      </w:r>
      <w:r>
        <w:t>3</w:t>
      </w:r>
      <w:r w:rsidRPr="00A2069A">
        <w:t>-202</w:t>
      </w:r>
      <w:r>
        <w:t>5</w:t>
      </w:r>
      <w:bookmarkEnd w:id="230"/>
      <w:bookmarkEnd w:id="231"/>
    </w:p>
    <w:tbl>
      <w:tblPr>
        <w:tblStyle w:val="MSVTable1"/>
        <w:tblW w:w="5107" w:type="pct"/>
        <w:jc w:val="center"/>
        <w:tblLook w:val="0420" w:firstRow="1" w:lastRow="0" w:firstColumn="0" w:lastColumn="0" w:noHBand="0" w:noVBand="1"/>
        <w:tblCaption w:val="Table E8. MCAS Mathematics Achievement by Grade, 2023-2025"/>
        <w:tblDescription w:val="MCAS Mathematics Achievement by Grade, 2023-2025"/>
      </w:tblPr>
      <w:tblGrid>
        <w:gridCol w:w="980"/>
        <w:gridCol w:w="989"/>
        <w:gridCol w:w="936"/>
        <w:gridCol w:w="939"/>
        <w:gridCol w:w="936"/>
        <w:gridCol w:w="939"/>
        <w:gridCol w:w="939"/>
        <w:gridCol w:w="939"/>
        <w:gridCol w:w="939"/>
        <w:gridCol w:w="941"/>
        <w:gridCol w:w="936"/>
        <w:gridCol w:w="939"/>
        <w:gridCol w:w="936"/>
        <w:gridCol w:w="933"/>
      </w:tblGrid>
      <w:tr w:rsidR="000A1B38" w:rsidRPr="003979D4" w14:paraId="13FD8ED5" w14:textId="77777777">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0B2FC9A6" w14:textId="77777777" w:rsidR="000A1B38" w:rsidRPr="00EA0A36" w:rsidRDefault="000A1B38">
            <w:pPr>
              <w:pStyle w:val="TableColHeadingCenter"/>
              <w:spacing w:before="20" w:after="20"/>
            </w:pPr>
            <w:r w:rsidRPr="00964440">
              <w:t>Gr</w:t>
            </w:r>
            <w:r>
              <w:t>ade</w:t>
            </w:r>
          </w:p>
        </w:tc>
        <w:tc>
          <w:tcPr>
            <w:tcW w:w="374" w:type="pct"/>
            <w:vAlign w:val="center"/>
          </w:tcPr>
          <w:p w14:paraId="43579A94" w14:textId="77777777" w:rsidR="000A1B38" w:rsidRPr="00EA0A36" w:rsidRDefault="000A1B38">
            <w:pPr>
              <w:pStyle w:val="TableColHeadingCenter"/>
              <w:spacing w:before="20" w:after="20"/>
            </w:pPr>
            <w:r w:rsidRPr="00327FC2">
              <w:t># Included (2025)</w:t>
            </w:r>
          </w:p>
        </w:tc>
        <w:tc>
          <w:tcPr>
            <w:tcW w:w="354" w:type="pct"/>
            <w:vAlign w:val="center"/>
          </w:tcPr>
          <w:p w14:paraId="12D1FF3A" w14:textId="77777777" w:rsidR="000A1B38" w:rsidRPr="00EA0A36" w:rsidRDefault="000A1B38">
            <w:pPr>
              <w:pStyle w:val="TableColHeadingCenter"/>
              <w:spacing w:before="20" w:after="20"/>
            </w:pPr>
            <w:r w:rsidRPr="00327FC2">
              <w:t>% M/E 2023</w:t>
            </w:r>
          </w:p>
        </w:tc>
        <w:tc>
          <w:tcPr>
            <w:tcW w:w="355" w:type="pct"/>
            <w:vAlign w:val="center"/>
          </w:tcPr>
          <w:p w14:paraId="1D391749" w14:textId="77777777" w:rsidR="000A1B38" w:rsidRPr="00EA0A36" w:rsidRDefault="000A1B38">
            <w:pPr>
              <w:pStyle w:val="TableColHeadingCenter"/>
              <w:spacing w:before="20" w:after="20"/>
            </w:pPr>
            <w:r w:rsidRPr="00327FC2">
              <w:t>% M/E 2024</w:t>
            </w:r>
          </w:p>
        </w:tc>
        <w:tc>
          <w:tcPr>
            <w:tcW w:w="354" w:type="pct"/>
            <w:vAlign w:val="center"/>
          </w:tcPr>
          <w:p w14:paraId="323EFC60" w14:textId="77777777" w:rsidR="000A1B38" w:rsidRPr="00EA0A36" w:rsidRDefault="000A1B38">
            <w:pPr>
              <w:pStyle w:val="TableColHeadingCenter"/>
              <w:spacing w:before="20" w:after="20"/>
            </w:pPr>
            <w:r w:rsidRPr="00327FC2">
              <w:t>% M/E 2025</w:t>
            </w:r>
          </w:p>
        </w:tc>
        <w:tc>
          <w:tcPr>
            <w:tcW w:w="355" w:type="pct"/>
            <w:vAlign w:val="center"/>
          </w:tcPr>
          <w:p w14:paraId="3564B2D6" w14:textId="77777777" w:rsidR="000A1B38" w:rsidRPr="00EA0A36" w:rsidRDefault="000A1B38">
            <w:pPr>
              <w:pStyle w:val="TableColHeadingCenter"/>
              <w:spacing w:before="20" w:after="20"/>
            </w:pPr>
            <w:r w:rsidRPr="00327FC2">
              <w:t>% M/E 2025 State</w:t>
            </w:r>
          </w:p>
        </w:tc>
        <w:tc>
          <w:tcPr>
            <w:tcW w:w="355" w:type="pct"/>
            <w:vAlign w:val="center"/>
          </w:tcPr>
          <w:p w14:paraId="732D8BEA" w14:textId="77777777" w:rsidR="000A1B38" w:rsidRPr="00EA0A36" w:rsidRDefault="000A1B38">
            <w:pPr>
              <w:pStyle w:val="TableColHeadingCenter"/>
              <w:spacing w:before="20" w:after="20"/>
            </w:pPr>
            <w:r w:rsidRPr="00327FC2">
              <w:t>% PME 2023</w:t>
            </w:r>
          </w:p>
        </w:tc>
        <w:tc>
          <w:tcPr>
            <w:tcW w:w="355" w:type="pct"/>
            <w:vAlign w:val="center"/>
          </w:tcPr>
          <w:p w14:paraId="355D777C" w14:textId="77777777" w:rsidR="000A1B38" w:rsidRPr="00EA0A36" w:rsidRDefault="000A1B38">
            <w:pPr>
              <w:pStyle w:val="TableColHeadingCenter"/>
              <w:spacing w:before="20" w:after="20"/>
            </w:pPr>
            <w:r w:rsidRPr="00327FC2">
              <w:t>% PME 2024</w:t>
            </w:r>
          </w:p>
        </w:tc>
        <w:tc>
          <w:tcPr>
            <w:tcW w:w="355" w:type="pct"/>
            <w:vAlign w:val="center"/>
          </w:tcPr>
          <w:p w14:paraId="5DBDA40A" w14:textId="77777777" w:rsidR="000A1B38" w:rsidRPr="00EA0A36" w:rsidRDefault="000A1B38">
            <w:pPr>
              <w:pStyle w:val="TableColHeadingCenter"/>
              <w:spacing w:before="20" w:after="20"/>
            </w:pPr>
            <w:r w:rsidRPr="00327FC2">
              <w:t>% PME 2025</w:t>
            </w:r>
          </w:p>
        </w:tc>
        <w:tc>
          <w:tcPr>
            <w:tcW w:w="356" w:type="pct"/>
            <w:vAlign w:val="center"/>
          </w:tcPr>
          <w:p w14:paraId="4F4B0539" w14:textId="77777777" w:rsidR="000A1B38" w:rsidRPr="00EA0A36" w:rsidRDefault="000A1B38">
            <w:pPr>
              <w:pStyle w:val="TableColHeadingCenter"/>
              <w:spacing w:before="20" w:after="20"/>
            </w:pPr>
            <w:r w:rsidRPr="00327FC2">
              <w:t>% PME 2025 State</w:t>
            </w:r>
          </w:p>
        </w:tc>
        <w:tc>
          <w:tcPr>
            <w:tcW w:w="354" w:type="pct"/>
            <w:vAlign w:val="center"/>
          </w:tcPr>
          <w:p w14:paraId="0C1443A3" w14:textId="77777777" w:rsidR="000A1B38" w:rsidRPr="00EA0A36" w:rsidRDefault="000A1B38">
            <w:pPr>
              <w:pStyle w:val="TableColHeadingCenter"/>
              <w:spacing w:before="20" w:after="20"/>
            </w:pPr>
            <w:r w:rsidRPr="00327FC2">
              <w:t>% NM 2023</w:t>
            </w:r>
          </w:p>
        </w:tc>
        <w:tc>
          <w:tcPr>
            <w:tcW w:w="355" w:type="pct"/>
            <w:vAlign w:val="center"/>
          </w:tcPr>
          <w:p w14:paraId="00737539" w14:textId="77777777" w:rsidR="000A1B38" w:rsidRPr="00EA0A36" w:rsidRDefault="000A1B38">
            <w:pPr>
              <w:pStyle w:val="TableColHeadingCenter"/>
              <w:spacing w:before="20" w:after="20"/>
            </w:pPr>
            <w:r w:rsidRPr="00327FC2">
              <w:t>% NM 2024</w:t>
            </w:r>
          </w:p>
        </w:tc>
        <w:tc>
          <w:tcPr>
            <w:tcW w:w="354" w:type="pct"/>
            <w:vAlign w:val="center"/>
          </w:tcPr>
          <w:p w14:paraId="6864B73D" w14:textId="77777777" w:rsidR="000A1B38" w:rsidRPr="00EA0A36" w:rsidRDefault="000A1B38">
            <w:pPr>
              <w:pStyle w:val="TableColHeadingCenter"/>
              <w:spacing w:before="20" w:after="20"/>
            </w:pPr>
            <w:r w:rsidRPr="00327FC2">
              <w:t>% NM 2025</w:t>
            </w:r>
          </w:p>
        </w:tc>
        <w:tc>
          <w:tcPr>
            <w:tcW w:w="353" w:type="pct"/>
            <w:vAlign w:val="center"/>
          </w:tcPr>
          <w:p w14:paraId="7AD68D74" w14:textId="77777777" w:rsidR="000A1B38" w:rsidRPr="00EA0A36" w:rsidRDefault="000A1B38">
            <w:pPr>
              <w:pStyle w:val="TableColHeadingCenter"/>
              <w:spacing w:before="20" w:after="20"/>
            </w:pPr>
            <w:r w:rsidRPr="00327FC2">
              <w:t>% NM 2025 State</w:t>
            </w:r>
          </w:p>
        </w:tc>
      </w:tr>
      <w:tr w:rsidR="000A1B38" w:rsidRPr="003979D4" w14:paraId="32A1CA04"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015D463E"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3</w:t>
            </w:r>
          </w:p>
        </w:tc>
        <w:tc>
          <w:tcPr>
            <w:tcW w:w="374" w:type="pct"/>
            <w:vAlign w:val="center"/>
          </w:tcPr>
          <w:p w14:paraId="725C6939"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1,226</w:t>
            </w:r>
          </w:p>
        </w:tc>
        <w:tc>
          <w:tcPr>
            <w:tcW w:w="354" w:type="pct"/>
            <w:vAlign w:val="center"/>
          </w:tcPr>
          <w:p w14:paraId="5E3DB27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7FF41688"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52114C0D"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355" w:type="pct"/>
            <w:vAlign w:val="center"/>
          </w:tcPr>
          <w:p w14:paraId="7C9F773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0CAE94A4"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208908A9"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441DEDE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6" w:type="pct"/>
            <w:vAlign w:val="center"/>
          </w:tcPr>
          <w:p w14:paraId="4B3C545D"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4" w:type="pct"/>
            <w:vAlign w:val="center"/>
          </w:tcPr>
          <w:p w14:paraId="647D5C62"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384E0B52"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4" w:type="pct"/>
            <w:vAlign w:val="center"/>
          </w:tcPr>
          <w:p w14:paraId="25151BF6"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3" w:type="pct"/>
            <w:vAlign w:val="bottom"/>
          </w:tcPr>
          <w:p w14:paraId="35DE77AC"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21</w:t>
            </w:r>
          </w:p>
        </w:tc>
      </w:tr>
      <w:tr w:rsidR="000A1B38" w:rsidRPr="003979D4" w14:paraId="37E795D4" w14:textId="77777777">
        <w:trPr>
          <w:jc w:val="center"/>
        </w:trPr>
        <w:tc>
          <w:tcPr>
            <w:tcW w:w="371" w:type="pct"/>
          </w:tcPr>
          <w:p w14:paraId="03CFCEB4"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4</w:t>
            </w:r>
          </w:p>
        </w:tc>
        <w:tc>
          <w:tcPr>
            <w:tcW w:w="374" w:type="pct"/>
            <w:vAlign w:val="center"/>
          </w:tcPr>
          <w:p w14:paraId="56397B4C"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1,131</w:t>
            </w:r>
          </w:p>
        </w:tc>
        <w:tc>
          <w:tcPr>
            <w:tcW w:w="354" w:type="pct"/>
            <w:vAlign w:val="center"/>
          </w:tcPr>
          <w:p w14:paraId="763BFD61"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76746C38"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354" w:type="pct"/>
            <w:vAlign w:val="center"/>
          </w:tcPr>
          <w:p w14:paraId="6B689574"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355" w:type="pct"/>
            <w:vAlign w:val="center"/>
          </w:tcPr>
          <w:p w14:paraId="263A7FC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2D439EED"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1634AA1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7D6DEC79"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356" w:type="pct"/>
            <w:vAlign w:val="center"/>
          </w:tcPr>
          <w:p w14:paraId="7D15E00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4" w:type="pct"/>
            <w:vAlign w:val="center"/>
          </w:tcPr>
          <w:p w14:paraId="4B40795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355" w:type="pct"/>
            <w:vAlign w:val="center"/>
          </w:tcPr>
          <w:p w14:paraId="037B9769"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354" w:type="pct"/>
            <w:vAlign w:val="center"/>
          </w:tcPr>
          <w:p w14:paraId="376C4F5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353" w:type="pct"/>
            <w:vAlign w:val="bottom"/>
          </w:tcPr>
          <w:p w14:paraId="512C9F49"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17</w:t>
            </w:r>
          </w:p>
        </w:tc>
      </w:tr>
      <w:tr w:rsidR="000A1B38" w:rsidRPr="003979D4" w14:paraId="0DA32C67"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4A6BA57B"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5</w:t>
            </w:r>
          </w:p>
        </w:tc>
        <w:tc>
          <w:tcPr>
            <w:tcW w:w="374" w:type="pct"/>
            <w:vAlign w:val="center"/>
          </w:tcPr>
          <w:p w14:paraId="1EB833C1"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1,002</w:t>
            </w:r>
          </w:p>
        </w:tc>
        <w:tc>
          <w:tcPr>
            <w:tcW w:w="354" w:type="pct"/>
            <w:vAlign w:val="center"/>
          </w:tcPr>
          <w:p w14:paraId="1BA6455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355" w:type="pct"/>
            <w:vAlign w:val="center"/>
          </w:tcPr>
          <w:p w14:paraId="54BDCB81"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354" w:type="pct"/>
            <w:vAlign w:val="center"/>
          </w:tcPr>
          <w:p w14:paraId="1034EB9C"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355" w:type="pct"/>
            <w:vAlign w:val="center"/>
          </w:tcPr>
          <w:p w14:paraId="593F67A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70797E43"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61</w:t>
            </w:r>
          </w:p>
        </w:tc>
        <w:tc>
          <w:tcPr>
            <w:tcW w:w="355" w:type="pct"/>
            <w:vAlign w:val="center"/>
          </w:tcPr>
          <w:p w14:paraId="7FEDBA6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54</w:t>
            </w:r>
          </w:p>
        </w:tc>
        <w:tc>
          <w:tcPr>
            <w:tcW w:w="355" w:type="pct"/>
            <w:vAlign w:val="center"/>
          </w:tcPr>
          <w:p w14:paraId="5E163C51"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49</w:t>
            </w:r>
          </w:p>
        </w:tc>
        <w:tc>
          <w:tcPr>
            <w:tcW w:w="356" w:type="pct"/>
            <w:vAlign w:val="center"/>
          </w:tcPr>
          <w:p w14:paraId="1614E358"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4" w:type="pct"/>
            <w:vAlign w:val="center"/>
          </w:tcPr>
          <w:p w14:paraId="3A625A5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355" w:type="pct"/>
            <w:vAlign w:val="center"/>
          </w:tcPr>
          <w:p w14:paraId="6A31B93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354" w:type="pct"/>
            <w:vAlign w:val="center"/>
          </w:tcPr>
          <w:p w14:paraId="109B507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3" w:type="pct"/>
            <w:vAlign w:val="bottom"/>
          </w:tcPr>
          <w:p w14:paraId="316BBFA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17</w:t>
            </w:r>
          </w:p>
        </w:tc>
      </w:tr>
      <w:tr w:rsidR="000A1B38" w:rsidRPr="003979D4" w14:paraId="2059CA3E" w14:textId="77777777">
        <w:trPr>
          <w:jc w:val="center"/>
        </w:trPr>
        <w:tc>
          <w:tcPr>
            <w:tcW w:w="371" w:type="pct"/>
          </w:tcPr>
          <w:p w14:paraId="47EB25A3"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6</w:t>
            </w:r>
          </w:p>
        </w:tc>
        <w:tc>
          <w:tcPr>
            <w:tcW w:w="374" w:type="pct"/>
            <w:vAlign w:val="center"/>
          </w:tcPr>
          <w:p w14:paraId="230FBD3A"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904</w:t>
            </w:r>
          </w:p>
        </w:tc>
        <w:tc>
          <w:tcPr>
            <w:tcW w:w="354" w:type="pct"/>
            <w:vAlign w:val="center"/>
          </w:tcPr>
          <w:p w14:paraId="2DDB19D6"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355" w:type="pct"/>
            <w:vAlign w:val="center"/>
          </w:tcPr>
          <w:p w14:paraId="497AF052"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354" w:type="pct"/>
            <w:vAlign w:val="center"/>
          </w:tcPr>
          <w:p w14:paraId="0C6261DE"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3551409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0927AA83"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355" w:type="pct"/>
            <w:vAlign w:val="center"/>
          </w:tcPr>
          <w:p w14:paraId="51C52C4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50</w:t>
            </w:r>
          </w:p>
        </w:tc>
        <w:tc>
          <w:tcPr>
            <w:tcW w:w="355" w:type="pct"/>
            <w:vAlign w:val="center"/>
          </w:tcPr>
          <w:p w14:paraId="1440344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356" w:type="pct"/>
            <w:vAlign w:val="center"/>
          </w:tcPr>
          <w:p w14:paraId="7E21454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4" w:type="pct"/>
            <w:vAlign w:val="center"/>
          </w:tcPr>
          <w:p w14:paraId="5D6BA05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5" w:type="pct"/>
            <w:vAlign w:val="center"/>
          </w:tcPr>
          <w:p w14:paraId="04F2101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30</w:t>
            </w:r>
          </w:p>
        </w:tc>
        <w:tc>
          <w:tcPr>
            <w:tcW w:w="354" w:type="pct"/>
            <w:vAlign w:val="center"/>
          </w:tcPr>
          <w:p w14:paraId="555FA223"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353" w:type="pct"/>
            <w:vAlign w:val="center"/>
          </w:tcPr>
          <w:p w14:paraId="50DBEE82"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17</w:t>
            </w:r>
          </w:p>
        </w:tc>
      </w:tr>
      <w:tr w:rsidR="000A1B38" w:rsidRPr="003979D4" w14:paraId="2151CE9E"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FB07E46"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7</w:t>
            </w:r>
          </w:p>
        </w:tc>
        <w:tc>
          <w:tcPr>
            <w:tcW w:w="374" w:type="pct"/>
            <w:vAlign w:val="center"/>
          </w:tcPr>
          <w:p w14:paraId="20E8FD6D"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1,024</w:t>
            </w:r>
          </w:p>
        </w:tc>
        <w:tc>
          <w:tcPr>
            <w:tcW w:w="354" w:type="pct"/>
            <w:vAlign w:val="center"/>
          </w:tcPr>
          <w:p w14:paraId="254F08B4"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355" w:type="pct"/>
            <w:vAlign w:val="center"/>
          </w:tcPr>
          <w:p w14:paraId="640DAD84"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15</w:t>
            </w:r>
          </w:p>
        </w:tc>
        <w:tc>
          <w:tcPr>
            <w:tcW w:w="354" w:type="pct"/>
            <w:vAlign w:val="center"/>
          </w:tcPr>
          <w:p w14:paraId="7BC68FC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355" w:type="pct"/>
            <w:vAlign w:val="center"/>
          </w:tcPr>
          <w:p w14:paraId="0B866B36"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3ECBA6CC"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25CAB21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51</w:t>
            </w:r>
          </w:p>
        </w:tc>
        <w:tc>
          <w:tcPr>
            <w:tcW w:w="355" w:type="pct"/>
            <w:vAlign w:val="center"/>
          </w:tcPr>
          <w:p w14:paraId="6C1E9E8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6" w:type="pct"/>
            <w:vAlign w:val="center"/>
          </w:tcPr>
          <w:p w14:paraId="6DB4852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4" w:type="pct"/>
            <w:vAlign w:val="center"/>
          </w:tcPr>
          <w:p w14:paraId="4164D00E"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538E8D6A"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354" w:type="pct"/>
            <w:vAlign w:val="center"/>
          </w:tcPr>
          <w:p w14:paraId="1ED3FDAB"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3" w:type="pct"/>
            <w:vAlign w:val="bottom"/>
          </w:tcPr>
          <w:p w14:paraId="45B73AA6"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20</w:t>
            </w:r>
          </w:p>
        </w:tc>
      </w:tr>
      <w:tr w:rsidR="000A1B38" w:rsidRPr="003979D4" w14:paraId="6833849E" w14:textId="77777777">
        <w:trPr>
          <w:jc w:val="center"/>
        </w:trPr>
        <w:tc>
          <w:tcPr>
            <w:tcW w:w="371" w:type="pct"/>
          </w:tcPr>
          <w:p w14:paraId="5A7054D8"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8</w:t>
            </w:r>
          </w:p>
        </w:tc>
        <w:tc>
          <w:tcPr>
            <w:tcW w:w="374" w:type="pct"/>
            <w:vAlign w:val="center"/>
          </w:tcPr>
          <w:p w14:paraId="2273CD52"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1,093</w:t>
            </w:r>
          </w:p>
        </w:tc>
        <w:tc>
          <w:tcPr>
            <w:tcW w:w="354" w:type="pct"/>
            <w:vAlign w:val="center"/>
          </w:tcPr>
          <w:p w14:paraId="4F987703"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271A9F1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354" w:type="pct"/>
            <w:vAlign w:val="center"/>
          </w:tcPr>
          <w:p w14:paraId="4355BF2C"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4B93CCF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5" w:type="pct"/>
            <w:vAlign w:val="center"/>
          </w:tcPr>
          <w:p w14:paraId="002AA1E8"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7E91FF0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41F1566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6" w:type="pct"/>
            <w:vAlign w:val="center"/>
          </w:tcPr>
          <w:p w14:paraId="628DACAD"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4" w:type="pct"/>
            <w:vAlign w:val="center"/>
          </w:tcPr>
          <w:p w14:paraId="7026463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5" w:type="pct"/>
            <w:vAlign w:val="center"/>
          </w:tcPr>
          <w:p w14:paraId="07604589"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33</w:t>
            </w:r>
          </w:p>
        </w:tc>
        <w:tc>
          <w:tcPr>
            <w:tcW w:w="354" w:type="pct"/>
            <w:vAlign w:val="center"/>
          </w:tcPr>
          <w:p w14:paraId="13584A0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3" w:type="pct"/>
            <w:vAlign w:val="bottom"/>
          </w:tcPr>
          <w:p w14:paraId="3D1BA27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21</w:t>
            </w:r>
          </w:p>
        </w:tc>
      </w:tr>
      <w:tr w:rsidR="000A1B38" w:rsidRPr="003979D4" w14:paraId="061B1D33"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B738AC0" w14:textId="77777777" w:rsidR="000A1B38" w:rsidRPr="0051627A" w:rsidRDefault="000A1B38" w:rsidP="00875BBA">
            <w:pPr>
              <w:pStyle w:val="TableText"/>
              <w:spacing w:before="0" w:after="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3A9EAA1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6,380</w:t>
            </w:r>
          </w:p>
        </w:tc>
        <w:tc>
          <w:tcPr>
            <w:tcW w:w="354" w:type="pct"/>
            <w:vAlign w:val="center"/>
          </w:tcPr>
          <w:p w14:paraId="73EEF822"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355" w:type="pct"/>
            <w:vAlign w:val="center"/>
          </w:tcPr>
          <w:p w14:paraId="31B225C4"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354" w:type="pct"/>
            <w:vAlign w:val="center"/>
          </w:tcPr>
          <w:p w14:paraId="1A5F9BF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355" w:type="pct"/>
            <w:vAlign w:val="center"/>
          </w:tcPr>
          <w:p w14:paraId="60EED1FB"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44FA6B11"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355" w:type="pct"/>
            <w:vAlign w:val="center"/>
          </w:tcPr>
          <w:p w14:paraId="55EA3FB2"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355" w:type="pct"/>
            <w:vAlign w:val="center"/>
          </w:tcPr>
          <w:p w14:paraId="169A654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6" w:type="pct"/>
            <w:vAlign w:val="center"/>
          </w:tcPr>
          <w:p w14:paraId="3C2D52C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4" w:type="pct"/>
            <w:vAlign w:val="center"/>
          </w:tcPr>
          <w:p w14:paraId="31CD7648"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5" w:type="pct"/>
            <w:vAlign w:val="center"/>
          </w:tcPr>
          <w:p w14:paraId="323F87C4"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354" w:type="pct"/>
            <w:vAlign w:val="center"/>
          </w:tcPr>
          <w:p w14:paraId="4A483B5A"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3" w:type="pct"/>
            <w:vAlign w:val="bottom"/>
          </w:tcPr>
          <w:p w14:paraId="5019BAAB"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791366DD" w14:textId="77777777">
        <w:trPr>
          <w:jc w:val="center"/>
        </w:trPr>
        <w:tc>
          <w:tcPr>
            <w:tcW w:w="371" w:type="pct"/>
          </w:tcPr>
          <w:p w14:paraId="593BD04B" w14:textId="77777777" w:rsidR="000A1B38" w:rsidRPr="0051627A" w:rsidRDefault="000A1B38" w:rsidP="00875BBA">
            <w:pPr>
              <w:pStyle w:val="TableText"/>
              <w:spacing w:before="0" w:after="0"/>
              <w:jc w:val="center"/>
              <w:rPr>
                <w:rFonts w:ascii="Franklin Gothic Book" w:hAnsi="Franklin Gothic Book"/>
              </w:rPr>
            </w:pPr>
            <w:r w:rsidRPr="0051627A">
              <w:rPr>
                <w:rFonts w:ascii="Franklin Gothic Book" w:hAnsi="Franklin Gothic Book"/>
              </w:rPr>
              <w:t>10</w:t>
            </w:r>
          </w:p>
        </w:tc>
        <w:tc>
          <w:tcPr>
            <w:tcW w:w="374" w:type="pct"/>
            <w:vAlign w:val="center"/>
          </w:tcPr>
          <w:p w14:paraId="66B2B1D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722</w:t>
            </w:r>
          </w:p>
        </w:tc>
        <w:tc>
          <w:tcPr>
            <w:tcW w:w="354" w:type="pct"/>
            <w:vAlign w:val="center"/>
          </w:tcPr>
          <w:p w14:paraId="705EB60A"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355" w:type="pct"/>
            <w:vAlign w:val="center"/>
          </w:tcPr>
          <w:p w14:paraId="7C7A8B66"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354" w:type="pct"/>
            <w:vAlign w:val="center"/>
          </w:tcPr>
          <w:p w14:paraId="0442CC4F"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355" w:type="pct"/>
            <w:vAlign w:val="center"/>
          </w:tcPr>
          <w:p w14:paraId="11A496BE"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355" w:type="pct"/>
            <w:vAlign w:val="center"/>
          </w:tcPr>
          <w:p w14:paraId="7237B8A8"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60</w:t>
            </w:r>
          </w:p>
        </w:tc>
        <w:tc>
          <w:tcPr>
            <w:tcW w:w="355" w:type="pct"/>
            <w:vAlign w:val="center"/>
          </w:tcPr>
          <w:p w14:paraId="5EB409BA"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55</w:t>
            </w:r>
          </w:p>
        </w:tc>
        <w:tc>
          <w:tcPr>
            <w:tcW w:w="355" w:type="pct"/>
            <w:vAlign w:val="center"/>
          </w:tcPr>
          <w:p w14:paraId="3BE618C9"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356" w:type="pct"/>
            <w:vAlign w:val="center"/>
          </w:tcPr>
          <w:p w14:paraId="0551A64C"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28656BD5"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24</w:t>
            </w:r>
          </w:p>
        </w:tc>
        <w:tc>
          <w:tcPr>
            <w:tcW w:w="355" w:type="pct"/>
            <w:vAlign w:val="center"/>
          </w:tcPr>
          <w:p w14:paraId="55E68306"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28</w:t>
            </w:r>
          </w:p>
        </w:tc>
        <w:tc>
          <w:tcPr>
            <w:tcW w:w="354" w:type="pct"/>
            <w:vAlign w:val="center"/>
          </w:tcPr>
          <w:p w14:paraId="073D6350"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35</w:t>
            </w:r>
          </w:p>
        </w:tc>
        <w:tc>
          <w:tcPr>
            <w:tcW w:w="353" w:type="pct"/>
            <w:vAlign w:val="bottom"/>
          </w:tcPr>
          <w:p w14:paraId="59179747" w14:textId="77777777" w:rsidR="000A1B38" w:rsidRPr="006E7150" w:rsidRDefault="000A1B38" w:rsidP="00875BBA">
            <w:pPr>
              <w:pStyle w:val="TableTextCentered"/>
              <w:spacing w:before="0" w:after="0"/>
              <w:rPr>
                <w:rFonts w:ascii="Franklin Gothic Book" w:hAnsi="Franklin Gothic Book"/>
              </w:rPr>
            </w:pPr>
            <w:r>
              <w:rPr>
                <w:rFonts w:ascii="Franklin Gothic Book" w:hAnsi="Franklin Gothic Book"/>
              </w:rPr>
              <w:t>16</w:t>
            </w:r>
          </w:p>
        </w:tc>
      </w:tr>
    </w:tbl>
    <w:p w14:paraId="426B90F0" w14:textId="77777777" w:rsidR="000A1B38" w:rsidRDefault="000A1B38" w:rsidP="0082637F">
      <w:pPr>
        <w:pStyle w:val="TableETitle"/>
      </w:pPr>
      <w:bookmarkStart w:id="233" w:name="_Toc211930039"/>
      <w:bookmarkStart w:id="234" w:name="_Toc230970169"/>
      <w:bookmarkEnd w:id="229"/>
      <w:bookmarkEnd w:id="232"/>
      <w:r w:rsidRPr="00A2069A">
        <w:t>Table E</w:t>
      </w:r>
      <w:r>
        <w:t>9</w:t>
      </w:r>
      <w:r w:rsidRPr="00A2069A">
        <w:t xml:space="preserve">. MCAS </w:t>
      </w:r>
      <w:r>
        <w:t>Science</w:t>
      </w:r>
      <w:r w:rsidRPr="00A2069A">
        <w:t xml:space="preserve"> </w:t>
      </w:r>
      <w:r>
        <w:t xml:space="preserve">Achievement </w:t>
      </w:r>
      <w:r w:rsidRPr="00A2069A">
        <w:t>by Grade, 202</w:t>
      </w:r>
      <w:r>
        <w:t>3</w:t>
      </w:r>
      <w:r w:rsidRPr="00A2069A">
        <w:t>-202</w:t>
      </w:r>
      <w:r>
        <w:t>5</w:t>
      </w:r>
      <w:bookmarkEnd w:id="233"/>
      <w:bookmarkEnd w:id="234"/>
    </w:p>
    <w:tbl>
      <w:tblPr>
        <w:tblStyle w:val="MSVTable1"/>
        <w:tblW w:w="5107" w:type="pct"/>
        <w:jc w:val="center"/>
        <w:tblLook w:val="0420" w:firstRow="1" w:lastRow="0" w:firstColumn="0" w:lastColumn="0" w:noHBand="0" w:noVBand="1"/>
        <w:tblCaption w:val="Table E9. MCAS Science Achievement by Grade, 2023-2025"/>
        <w:tblDescription w:val="MCAS Science Achievement by Grade, 2023-2025"/>
      </w:tblPr>
      <w:tblGrid>
        <w:gridCol w:w="980"/>
        <w:gridCol w:w="989"/>
        <w:gridCol w:w="936"/>
        <w:gridCol w:w="939"/>
        <w:gridCol w:w="936"/>
        <w:gridCol w:w="939"/>
        <w:gridCol w:w="939"/>
        <w:gridCol w:w="939"/>
        <w:gridCol w:w="939"/>
        <w:gridCol w:w="941"/>
        <w:gridCol w:w="936"/>
        <w:gridCol w:w="939"/>
        <w:gridCol w:w="936"/>
        <w:gridCol w:w="933"/>
      </w:tblGrid>
      <w:tr w:rsidR="000A1B38" w:rsidRPr="003979D4" w14:paraId="748E91CE" w14:textId="77777777">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33A40D19" w14:textId="77777777" w:rsidR="000A1B38" w:rsidRPr="00EA0A36" w:rsidRDefault="000A1B38">
            <w:pPr>
              <w:pStyle w:val="TableColHeadingCenter"/>
              <w:spacing w:before="20" w:after="20"/>
            </w:pPr>
            <w:r w:rsidRPr="00806714">
              <w:t>Gr</w:t>
            </w:r>
            <w:r>
              <w:t>ade</w:t>
            </w:r>
          </w:p>
        </w:tc>
        <w:tc>
          <w:tcPr>
            <w:tcW w:w="374" w:type="pct"/>
            <w:vAlign w:val="center"/>
          </w:tcPr>
          <w:p w14:paraId="37973D9E" w14:textId="77777777" w:rsidR="000A1B38" w:rsidRPr="00EA0A36" w:rsidRDefault="000A1B38">
            <w:pPr>
              <w:pStyle w:val="TableColHeadingCenter"/>
              <w:spacing w:before="20" w:after="20"/>
            </w:pPr>
            <w:r w:rsidRPr="00176083">
              <w:t># Included (2025)</w:t>
            </w:r>
          </w:p>
        </w:tc>
        <w:tc>
          <w:tcPr>
            <w:tcW w:w="354" w:type="pct"/>
            <w:vAlign w:val="center"/>
          </w:tcPr>
          <w:p w14:paraId="40239F74" w14:textId="77777777" w:rsidR="000A1B38" w:rsidRPr="00EA0A36" w:rsidRDefault="000A1B38">
            <w:pPr>
              <w:pStyle w:val="TableColHeadingCenter"/>
              <w:spacing w:before="20" w:after="20"/>
            </w:pPr>
            <w:r w:rsidRPr="00176083">
              <w:t>% M/E 2023</w:t>
            </w:r>
          </w:p>
        </w:tc>
        <w:tc>
          <w:tcPr>
            <w:tcW w:w="355" w:type="pct"/>
            <w:vAlign w:val="center"/>
          </w:tcPr>
          <w:p w14:paraId="31A902CD" w14:textId="77777777" w:rsidR="000A1B38" w:rsidRPr="00EA0A36" w:rsidRDefault="000A1B38">
            <w:pPr>
              <w:pStyle w:val="TableColHeadingCenter"/>
              <w:spacing w:before="20" w:after="20"/>
            </w:pPr>
            <w:r w:rsidRPr="00176083">
              <w:t>% M/E 2024</w:t>
            </w:r>
          </w:p>
        </w:tc>
        <w:tc>
          <w:tcPr>
            <w:tcW w:w="354" w:type="pct"/>
            <w:vAlign w:val="center"/>
          </w:tcPr>
          <w:p w14:paraId="3BDD4E43" w14:textId="77777777" w:rsidR="000A1B38" w:rsidRPr="00EA0A36" w:rsidRDefault="000A1B38">
            <w:pPr>
              <w:pStyle w:val="TableColHeadingCenter"/>
              <w:spacing w:before="20" w:after="20"/>
            </w:pPr>
            <w:r w:rsidRPr="00176083">
              <w:t>% M/E 2025</w:t>
            </w:r>
          </w:p>
        </w:tc>
        <w:tc>
          <w:tcPr>
            <w:tcW w:w="355" w:type="pct"/>
            <w:vAlign w:val="center"/>
          </w:tcPr>
          <w:p w14:paraId="3410275F" w14:textId="77777777" w:rsidR="000A1B38" w:rsidRPr="00EA0A36" w:rsidRDefault="000A1B38">
            <w:pPr>
              <w:pStyle w:val="TableColHeadingCenter"/>
              <w:spacing w:before="20" w:after="20"/>
            </w:pPr>
            <w:r w:rsidRPr="00176083">
              <w:t>% M/E 2025 State</w:t>
            </w:r>
          </w:p>
        </w:tc>
        <w:tc>
          <w:tcPr>
            <w:tcW w:w="355" w:type="pct"/>
            <w:vAlign w:val="center"/>
          </w:tcPr>
          <w:p w14:paraId="6AC348D7" w14:textId="77777777" w:rsidR="000A1B38" w:rsidRPr="00EA0A36" w:rsidRDefault="000A1B38">
            <w:pPr>
              <w:pStyle w:val="TableColHeadingCenter"/>
              <w:spacing w:before="20" w:after="20"/>
            </w:pPr>
            <w:r w:rsidRPr="00176083">
              <w:t>% PME 2023</w:t>
            </w:r>
          </w:p>
        </w:tc>
        <w:tc>
          <w:tcPr>
            <w:tcW w:w="355" w:type="pct"/>
            <w:vAlign w:val="center"/>
          </w:tcPr>
          <w:p w14:paraId="60CE5E6F" w14:textId="77777777" w:rsidR="000A1B38" w:rsidRPr="00EA0A36" w:rsidRDefault="000A1B38">
            <w:pPr>
              <w:pStyle w:val="TableColHeadingCenter"/>
              <w:spacing w:before="20" w:after="20"/>
            </w:pPr>
            <w:r w:rsidRPr="00176083">
              <w:t>% PME 2024</w:t>
            </w:r>
          </w:p>
        </w:tc>
        <w:tc>
          <w:tcPr>
            <w:tcW w:w="355" w:type="pct"/>
            <w:vAlign w:val="center"/>
          </w:tcPr>
          <w:p w14:paraId="6809AB9A" w14:textId="77777777" w:rsidR="000A1B38" w:rsidRPr="00EA0A36" w:rsidRDefault="000A1B38">
            <w:pPr>
              <w:pStyle w:val="TableColHeadingCenter"/>
              <w:spacing w:before="20" w:after="20"/>
            </w:pPr>
            <w:r w:rsidRPr="00176083">
              <w:t>% PME 2025</w:t>
            </w:r>
          </w:p>
        </w:tc>
        <w:tc>
          <w:tcPr>
            <w:tcW w:w="356" w:type="pct"/>
            <w:vAlign w:val="center"/>
          </w:tcPr>
          <w:p w14:paraId="560926A2" w14:textId="77777777" w:rsidR="000A1B38" w:rsidRPr="00EA0A36" w:rsidRDefault="000A1B38">
            <w:pPr>
              <w:pStyle w:val="TableColHeadingCenter"/>
              <w:spacing w:before="20" w:after="20"/>
            </w:pPr>
            <w:r w:rsidRPr="00176083">
              <w:t>% PME 2025 State</w:t>
            </w:r>
          </w:p>
        </w:tc>
        <w:tc>
          <w:tcPr>
            <w:tcW w:w="354" w:type="pct"/>
            <w:vAlign w:val="center"/>
          </w:tcPr>
          <w:p w14:paraId="381C0013" w14:textId="77777777" w:rsidR="000A1B38" w:rsidRPr="00EA0A36" w:rsidRDefault="000A1B38">
            <w:pPr>
              <w:pStyle w:val="TableColHeadingCenter"/>
              <w:spacing w:before="20" w:after="20"/>
            </w:pPr>
            <w:r w:rsidRPr="00176083">
              <w:t>% NM 2023</w:t>
            </w:r>
          </w:p>
        </w:tc>
        <w:tc>
          <w:tcPr>
            <w:tcW w:w="355" w:type="pct"/>
            <w:vAlign w:val="center"/>
          </w:tcPr>
          <w:p w14:paraId="253BAFF9" w14:textId="77777777" w:rsidR="000A1B38" w:rsidRPr="00EA0A36" w:rsidRDefault="000A1B38">
            <w:pPr>
              <w:pStyle w:val="TableColHeadingCenter"/>
              <w:spacing w:before="20" w:after="20"/>
            </w:pPr>
            <w:r w:rsidRPr="00176083">
              <w:t>% NM 2024</w:t>
            </w:r>
          </w:p>
        </w:tc>
        <w:tc>
          <w:tcPr>
            <w:tcW w:w="354" w:type="pct"/>
            <w:vAlign w:val="center"/>
          </w:tcPr>
          <w:p w14:paraId="7DDA997A" w14:textId="77777777" w:rsidR="000A1B38" w:rsidRPr="00EA0A36" w:rsidRDefault="000A1B38">
            <w:pPr>
              <w:pStyle w:val="TableColHeadingCenter"/>
              <w:spacing w:before="20" w:after="20"/>
            </w:pPr>
            <w:r w:rsidRPr="00176083">
              <w:t>% NM 2025</w:t>
            </w:r>
          </w:p>
        </w:tc>
        <w:tc>
          <w:tcPr>
            <w:tcW w:w="353" w:type="pct"/>
            <w:vAlign w:val="center"/>
          </w:tcPr>
          <w:p w14:paraId="463EDC19" w14:textId="77777777" w:rsidR="000A1B38" w:rsidRPr="00EA0A36" w:rsidRDefault="000A1B38">
            <w:pPr>
              <w:pStyle w:val="TableColHeadingCenter"/>
              <w:spacing w:before="20" w:after="20"/>
            </w:pPr>
            <w:r w:rsidRPr="00176083">
              <w:t>% NM 2025 State</w:t>
            </w:r>
          </w:p>
        </w:tc>
      </w:tr>
      <w:tr w:rsidR="000A1B38" w:rsidRPr="003979D4" w14:paraId="3371185C"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C7C8D2A" w14:textId="77777777" w:rsidR="000A1B38" w:rsidRPr="00DC27F6" w:rsidRDefault="000A1B38" w:rsidP="00875BBA">
            <w:pPr>
              <w:pStyle w:val="TableText"/>
              <w:spacing w:before="0" w:after="0"/>
              <w:jc w:val="center"/>
              <w:rPr>
                <w:rFonts w:ascii="Franklin Gothic Book" w:hAnsi="Franklin Gothic Book"/>
              </w:rPr>
            </w:pPr>
            <w:r w:rsidRPr="00DC27F6">
              <w:rPr>
                <w:rFonts w:ascii="Franklin Gothic Book" w:hAnsi="Franklin Gothic Book"/>
              </w:rPr>
              <w:t>5</w:t>
            </w:r>
          </w:p>
        </w:tc>
        <w:tc>
          <w:tcPr>
            <w:tcW w:w="374" w:type="pct"/>
            <w:vAlign w:val="center"/>
          </w:tcPr>
          <w:p w14:paraId="71404B83"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997</w:t>
            </w:r>
          </w:p>
        </w:tc>
        <w:tc>
          <w:tcPr>
            <w:tcW w:w="354" w:type="pct"/>
            <w:vAlign w:val="center"/>
          </w:tcPr>
          <w:p w14:paraId="4A9DD6D4"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355" w:type="pct"/>
            <w:vAlign w:val="center"/>
          </w:tcPr>
          <w:p w14:paraId="24474EC5"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22</w:t>
            </w:r>
          </w:p>
        </w:tc>
        <w:tc>
          <w:tcPr>
            <w:tcW w:w="354" w:type="pct"/>
            <w:vAlign w:val="center"/>
          </w:tcPr>
          <w:p w14:paraId="5EA5A78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23</w:t>
            </w:r>
          </w:p>
        </w:tc>
        <w:tc>
          <w:tcPr>
            <w:tcW w:w="355" w:type="pct"/>
            <w:vAlign w:val="center"/>
          </w:tcPr>
          <w:p w14:paraId="14196062"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355" w:type="pct"/>
            <w:vAlign w:val="center"/>
          </w:tcPr>
          <w:p w14:paraId="2C933DC2"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45</w:t>
            </w:r>
          </w:p>
        </w:tc>
        <w:tc>
          <w:tcPr>
            <w:tcW w:w="355" w:type="pct"/>
            <w:vAlign w:val="center"/>
          </w:tcPr>
          <w:p w14:paraId="27B5111F"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685E9D56"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356" w:type="pct"/>
            <w:vAlign w:val="bottom"/>
          </w:tcPr>
          <w:p w14:paraId="10C6EC99"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34</w:t>
            </w:r>
          </w:p>
        </w:tc>
        <w:tc>
          <w:tcPr>
            <w:tcW w:w="354" w:type="pct"/>
            <w:vAlign w:val="center"/>
          </w:tcPr>
          <w:p w14:paraId="3A6F62D4"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5E2F3029"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53578A3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3" w:type="pct"/>
            <w:vAlign w:val="bottom"/>
          </w:tcPr>
          <w:p w14:paraId="605EE481"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20</w:t>
            </w:r>
          </w:p>
        </w:tc>
      </w:tr>
      <w:tr w:rsidR="000A1B38" w:rsidRPr="003979D4" w14:paraId="166CCC06" w14:textId="77777777">
        <w:trPr>
          <w:jc w:val="center"/>
        </w:trPr>
        <w:tc>
          <w:tcPr>
            <w:tcW w:w="371" w:type="pct"/>
          </w:tcPr>
          <w:p w14:paraId="14C03FB1" w14:textId="77777777" w:rsidR="000A1B38" w:rsidRPr="00DC27F6" w:rsidRDefault="000A1B38" w:rsidP="00875BBA">
            <w:pPr>
              <w:pStyle w:val="TableText"/>
              <w:spacing w:before="0" w:after="0"/>
              <w:jc w:val="center"/>
              <w:rPr>
                <w:rFonts w:ascii="Franklin Gothic Book" w:hAnsi="Franklin Gothic Book"/>
              </w:rPr>
            </w:pPr>
            <w:r w:rsidRPr="00DC27F6">
              <w:rPr>
                <w:rFonts w:ascii="Franklin Gothic Book" w:hAnsi="Franklin Gothic Book"/>
              </w:rPr>
              <w:t>8</w:t>
            </w:r>
          </w:p>
        </w:tc>
        <w:tc>
          <w:tcPr>
            <w:tcW w:w="374" w:type="pct"/>
            <w:vAlign w:val="center"/>
          </w:tcPr>
          <w:p w14:paraId="2E581A9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1,076</w:t>
            </w:r>
          </w:p>
        </w:tc>
        <w:tc>
          <w:tcPr>
            <w:tcW w:w="354" w:type="pct"/>
            <w:vAlign w:val="center"/>
          </w:tcPr>
          <w:p w14:paraId="050173B8"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355" w:type="pct"/>
            <w:vAlign w:val="center"/>
          </w:tcPr>
          <w:p w14:paraId="23C1114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16</w:t>
            </w:r>
          </w:p>
        </w:tc>
        <w:tc>
          <w:tcPr>
            <w:tcW w:w="354" w:type="pct"/>
            <w:vAlign w:val="center"/>
          </w:tcPr>
          <w:p w14:paraId="40C12D9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14</w:t>
            </w:r>
          </w:p>
        </w:tc>
        <w:tc>
          <w:tcPr>
            <w:tcW w:w="355" w:type="pct"/>
            <w:vAlign w:val="center"/>
          </w:tcPr>
          <w:p w14:paraId="4DFF7876"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355" w:type="pct"/>
            <w:vAlign w:val="center"/>
          </w:tcPr>
          <w:p w14:paraId="5CBD28F2"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5FD8C333"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355" w:type="pct"/>
            <w:vAlign w:val="center"/>
          </w:tcPr>
          <w:p w14:paraId="19C55BF6"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51</w:t>
            </w:r>
          </w:p>
        </w:tc>
        <w:tc>
          <w:tcPr>
            <w:tcW w:w="356" w:type="pct"/>
            <w:vAlign w:val="bottom"/>
          </w:tcPr>
          <w:p w14:paraId="4365BD71"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4" w:type="pct"/>
            <w:vAlign w:val="center"/>
          </w:tcPr>
          <w:p w14:paraId="3121600F"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686EE847"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37</w:t>
            </w:r>
          </w:p>
        </w:tc>
        <w:tc>
          <w:tcPr>
            <w:tcW w:w="354" w:type="pct"/>
            <w:vAlign w:val="center"/>
          </w:tcPr>
          <w:p w14:paraId="01D1DAEA"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36</w:t>
            </w:r>
          </w:p>
        </w:tc>
        <w:tc>
          <w:tcPr>
            <w:tcW w:w="353" w:type="pct"/>
            <w:vAlign w:val="bottom"/>
          </w:tcPr>
          <w:p w14:paraId="6AC804C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37EECC70"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66DBB85A" w14:textId="77777777" w:rsidR="000A1B38" w:rsidRPr="00DC27F6" w:rsidRDefault="000A1B38" w:rsidP="00875BBA">
            <w:pPr>
              <w:pStyle w:val="TableText"/>
              <w:spacing w:before="0" w:after="0"/>
              <w:jc w:val="center"/>
              <w:rPr>
                <w:rFonts w:ascii="Franklin Gothic Book" w:hAnsi="Franklin Gothic Book"/>
              </w:rPr>
            </w:pPr>
            <w:r w:rsidRPr="00DC27F6">
              <w:rPr>
                <w:rFonts w:ascii="Franklin Gothic Book" w:hAnsi="Franklin Gothic Book"/>
              </w:rPr>
              <w:t>5 and 8</w:t>
            </w:r>
          </w:p>
        </w:tc>
        <w:tc>
          <w:tcPr>
            <w:tcW w:w="374" w:type="pct"/>
            <w:vAlign w:val="center"/>
          </w:tcPr>
          <w:p w14:paraId="163C3B0D"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2,073</w:t>
            </w:r>
          </w:p>
        </w:tc>
        <w:tc>
          <w:tcPr>
            <w:tcW w:w="354" w:type="pct"/>
            <w:vAlign w:val="center"/>
          </w:tcPr>
          <w:p w14:paraId="1FB219D9"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17</w:t>
            </w:r>
          </w:p>
        </w:tc>
        <w:tc>
          <w:tcPr>
            <w:tcW w:w="355" w:type="pct"/>
            <w:vAlign w:val="center"/>
          </w:tcPr>
          <w:p w14:paraId="0E964F2F"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354" w:type="pct"/>
            <w:vAlign w:val="center"/>
          </w:tcPr>
          <w:p w14:paraId="37687E24"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18</w:t>
            </w:r>
          </w:p>
        </w:tc>
        <w:tc>
          <w:tcPr>
            <w:tcW w:w="355" w:type="pct"/>
            <w:vAlign w:val="center"/>
          </w:tcPr>
          <w:p w14:paraId="3EBBEA2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4A134B36"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61393D6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6BF613CD"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44</w:t>
            </w:r>
          </w:p>
        </w:tc>
        <w:tc>
          <w:tcPr>
            <w:tcW w:w="356" w:type="pct"/>
            <w:vAlign w:val="bottom"/>
          </w:tcPr>
          <w:p w14:paraId="5A6288D2"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1127C91E"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3E5B3BCC"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4" w:type="pct"/>
            <w:vAlign w:val="center"/>
          </w:tcPr>
          <w:p w14:paraId="4D11C7E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3" w:type="pct"/>
            <w:vAlign w:val="bottom"/>
          </w:tcPr>
          <w:p w14:paraId="3E2F4ECC"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19</w:t>
            </w:r>
          </w:p>
        </w:tc>
      </w:tr>
      <w:tr w:rsidR="000A1B38" w:rsidRPr="003979D4" w14:paraId="05CEA132" w14:textId="77777777">
        <w:trPr>
          <w:jc w:val="center"/>
        </w:trPr>
        <w:tc>
          <w:tcPr>
            <w:tcW w:w="371" w:type="pct"/>
          </w:tcPr>
          <w:p w14:paraId="5F25C6D8" w14:textId="77777777" w:rsidR="000A1B38" w:rsidRPr="00DC27F6" w:rsidRDefault="000A1B38" w:rsidP="00875BBA">
            <w:pPr>
              <w:pStyle w:val="TableText"/>
              <w:spacing w:before="0" w:after="0"/>
              <w:jc w:val="center"/>
              <w:rPr>
                <w:rFonts w:ascii="Franklin Gothic Book" w:hAnsi="Franklin Gothic Book"/>
              </w:rPr>
            </w:pPr>
            <w:r w:rsidRPr="00DC27F6">
              <w:rPr>
                <w:rFonts w:ascii="Franklin Gothic Book" w:hAnsi="Franklin Gothic Book"/>
              </w:rPr>
              <w:t>10</w:t>
            </w:r>
          </w:p>
        </w:tc>
        <w:tc>
          <w:tcPr>
            <w:tcW w:w="374" w:type="pct"/>
            <w:vAlign w:val="center"/>
          </w:tcPr>
          <w:p w14:paraId="474A245C"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642</w:t>
            </w:r>
          </w:p>
        </w:tc>
        <w:tc>
          <w:tcPr>
            <w:tcW w:w="354" w:type="pct"/>
            <w:vAlign w:val="center"/>
          </w:tcPr>
          <w:p w14:paraId="0261B9BD"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20</w:t>
            </w:r>
          </w:p>
        </w:tc>
        <w:tc>
          <w:tcPr>
            <w:tcW w:w="355" w:type="pct"/>
            <w:vAlign w:val="center"/>
          </w:tcPr>
          <w:p w14:paraId="7A1F32BE"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19EA8DE0"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19</w:t>
            </w:r>
          </w:p>
        </w:tc>
        <w:tc>
          <w:tcPr>
            <w:tcW w:w="355" w:type="pct"/>
            <w:vAlign w:val="center"/>
          </w:tcPr>
          <w:p w14:paraId="565195AD"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46</w:t>
            </w:r>
          </w:p>
        </w:tc>
        <w:tc>
          <w:tcPr>
            <w:tcW w:w="355" w:type="pct"/>
            <w:vAlign w:val="center"/>
          </w:tcPr>
          <w:p w14:paraId="12E7FCBF"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48</w:t>
            </w:r>
          </w:p>
        </w:tc>
        <w:tc>
          <w:tcPr>
            <w:tcW w:w="355" w:type="pct"/>
            <w:vAlign w:val="center"/>
          </w:tcPr>
          <w:p w14:paraId="68D7D844"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47</w:t>
            </w:r>
          </w:p>
        </w:tc>
        <w:tc>
          <w:tcPr>
            <w:tcW w:w="355" w:type="pct"/>
            <w:vAlign w:val="center"/>
          </w:tcPr>
          <w:p w14:paraId="3B90A157"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40</w:t>
            </w:r>
          </w:p>
        </w:tc>
        <w:tc>
          <w:tcPr>
            <w:tcW w:w="356" w:type="pct"/>
            <w:vAlign w:val="bottom"/>
          </w:tcPr>
          <w:p w14:paraId="368A4B04"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38</w:t>
            </w:r>
          </w:p>
        </w:tc>
        <w:tc>
          <w:tcPr>
            <w:tcW w:w="354" w:type="pct"/>
            <w:vAlign w:val="center"/>
          </w:tcPr>
          <w:p w14:paraId="726CAC12"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32</w:t>
            </w:r>
          </w:p>
        </w:tc>
        <w:tc>
          <w:tcPr>
            <w:tcW w:w="355" w:type="pct"/>
            <w:vAlign w:val="center"/>
          </w:tcPr>
          <w:p w14:paraId="4E1223A7"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31</w:t>
            </w:r>
          </w:p>
        </w:tc>
        <w:tc>
          <w:tcPr>
            <w:tcW w:w="354" w:type="pct"/>
            <w:vAlign w:val="center"/>
          </w:tcPr>
          <w:p w14:paraId="28EE93EA"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41</w:t>
            </w:r>
          </w:p>
        </w:tc>
        <w:tc>
          <w:tcPr>
            <w:tcW w:w="353" w:type="pct"/>
            <w:vAlign w:val="bottom"/>
          </w:tcPr>
          <w:p w14:paraId="63AD2E1B" w14:textId="77777777" w:rsidR="000A1B38" w:rsidRPr="00B3076D" w:rsidRDefault="000A1B38" w:rsidP="00875BBA">
            <w:pPr>
              <w:pStyle w:val="TableTextCentered"/>
              <w:spacing w:before="0" w:after="0"/>
              <w:rPr>
                <w:rFonts w:ascii="Franklin Gothic Book" w:hAnsi="Franklin Gothic Book"/>
              </w:rPr>
            </w:pPr>
            <w:r>
              <w:rPr>
                <w:rFonts w:ascii="Franklin Gothic Book" w:hAnsi="Franklin Gothic Book"/>
              </w:rPr>
              <w:t>16</w:t>
            </w:r>
          </w:p>
        </w:tc>
      </w:tr>
    </w:tbl>
    <w:p w14:paraId="40DF6C87" w14:textId="77777777" w:rsidR="000A1B38" w:rsidRDefault="000A1B38">
      <w:pPr>
        <w:spacing w:after="160" w:line="259" w:lineRule="auto"/>
        <w:rPr>
          <w:rFonts w:ascii="Franklin Gothic Book" w:hAnsi="Franklin Gothic Book"/>
          <w:sz w:val="20"/>
          <w:szCs w:val="20"/>
        </w:rPr>
        <w:sectPr w:rsidR="000A1B38" w:rsidSect="00EC51F0">
          <w:headerReference w:type="even" r:id="rId95"/>
          <w:headerReference w:type="default" r:id="rId96"/>
          <w:footerReference w:type="default" r:id="rId97"/>
          <w:headerReference w:type="first" r:id="rId98"/>
          <w:pgSz w:w="15840" w:h="12240" w:orient="landscape"/>
          <w:pgMar w:top="1440" w:right="1440" w:bottom="1440" w:left="1440" w:header="720" w:footer="720" w:gutter="0"/>
          <w:pgNumType w:start="1"/>
          <w:cols w:space="720"/>
          <w:docGrid w:linePitch="360"/>
        </w:sectPr>
      </w:pPr>
    </w:p>
    <w:p w14:paraId="56534CC3" w14:textId="08C0F51A" w:rsidR="000A1B38" w:rsidRPr="003C1C59" w:rsidRDefault="000A1B38" w:rsidP="0082637F">
      <w:pPr>
        <w:pStyle w:val="TableETitle"/>
      </w:pPr>
      <w:bookmarkStart w:id="235" w:name="_Toc211930040"/>
      <w:bookmarkStart w:id="236" w:name="_Toc230970170"/>
      <w:r w:rsidRPr="005055D7">
        <w:t>Table E</w:t>
      </w:r>
      <w:r>
        <w:t>10</w:t>
      </w:r>
      <w:r w:rsidRPr="005055D7">
        <w:t xml:space="preserve">. MCAS </w:t>
      </w:r>
      <w:r>
        <w:t>ELA Mean Student Growth Percentile</w:t>
      </w:r>
      <w:r w:rsidRPr="003979D4">
        <w:t xml:space="preserve"> by Student Group</w:t>
      </w:r>
      <w:r>
        <w:t xml:space="preserve">, </w:t>
      </w:r>
      <w:r w:rsidRPr="005055D7">
        <w:t>Grade</w:t>
      </w:r>
      <w:r>
        <w:t>s 3-8</w:t>
      </w:r>
      <w:r w:rsidRPr="005055D7">
        <w:t>, 202</w:t>
      </w:r>
      <w:r>
        <w:t>3</w:t>
      </w:r>
      <w:r w:rsidRPr="005055D7">
        <w:t>-202</w:t>
      </w:r>
      <w:r>
        <w:t>5</w:t>
      </w:r>
      <w:bookmarkEnd w:id="235"/>
      <w:bookmarkEnd w:id="236"/>
    </w:p>
    <w:tbl>
      <w:tblPr>
        <w:tblStyle w:val="MSVTable1"/>
        <w:tblW w:w="5000" w:type="pct"/>
        <w:tblLook w:val="0420" w:firstRow="1" w:lastRow="0" w:firstColumn="0" w:lastColumn="0" w:noHBand="0" w:noVBand="1"/>
        <w:tblCaption w:val="Table E10. MCAS ELA Mean Student Growth Percentile by Student Group, Grades 3-8, 2023-2025"/>
        <w:tblDescription w:val="MCAS ELA Mean Student Growth Percentile by Student Group, Grades 3-8, 2023-2025"/>
      </w:tblPr>
      <w:tblGrid>
        <w:gridCol w:w="3586"/>
        <w:gridCol w:w="1151"/>
        <w:gridCol w:w="1152"/>
        <w:gridCol w:w="1151"/>
        <w:gridCol w:w="1152"/>
        <w:gridCol w:w="1152"/>
      </w:tblGrid>
      <w:tr w:rsidR="000A1B38" w:rsidRPr="00976F70" w14:paraId="2760470C"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54B4A6E3" w14:textId="77777777" w:rsidR="000A1B38" w:rsidRPr="00B85B0B" w:rsidRDefault="000A1B38">
            <w:pPr>
              <w:pStyle w:val="TableColHeadingLeft"/>
              <w:jc w:val="center"/>
            </w:pPr>
            <w:r w:rsidRPr="00B85B0B">
              <w:t>Group</w:t>
            </w:r>
          </w:p>
        </w:tc>
        <w:tc>
          <w:tcPr>
            <w:tcW w:w="1151" w:type="dxa"/>
            <w:vAlign w:val="center"/>
          </w:tcPr>
          <w:p w14:paraId="31732855" w14:textId="77777777" w:rsidR="000A1B38" w:rsidRPr="00B85B0B" w:rsidRDefault="000A1B38">
            <w:pPr>
              <w:pStyle w:val="TableColHeadingCenter"/>
            </w:pPr>
            <w:r>
              <w:t># Included</w:t>
            </w:r>
            <w:r w:rsidRPr="00B85B0B">
              <w:t xml:space="preserve"> (202</w:t>
            </w:r>
            <w:r>
              <w:t>5</w:t>
            </w:r>
            <w:r w:rsidRPr="00B85B0B">
              <w:t>)</w:t>
            </w:r>
          </w:p>
        </w:tc>
        <w:tc>
          <w:tcPr>
            <w:tcW w:w="1152" w:type="dxa"/>
            <w:vAlign w:val="center"/>
          </w:tcPr>
          <w:p w14:paraId="29DF24DD" w14:textId="77777777" w:rsidR="000A1B38" w:rsidRPr="00B85B0B" w:rsidRDefault="000A1B38">
            <w:pPr>
              <w:pStyle w:val="TableColHeadingCenter"/>
            </w:pPr>
            <w:r w:rsidRPr="00B85B0B">
              <w:t>202</w:t>
            </w:r>
            <w:r>
              <w:t>3</w:t>
            </w:r>
          </w:p>
        </w:tc>
        <w:tc>
          <w:tcPr>
            <w:tcW w:w="1151" w:type="dxa"/>
            <w:vAlign w:val="center"/>
          </w:tcPr>
          <w:p w14:paraId="7095FFE9" w14:textId="77777777" w:rsidR="000A1B38" w:rsidRPr="00B85B0B" w:rsidRDefault="000A1B38">
            <w:pPr>
              <w:pStyle w:val="TableColHeadingCenter"/>
            </w:pPr>
            <w:r w:rsidRPr="00B85B0B">
              <w:t>202</w:t>
            </w:r>
            <w:r>
              <w:t>4</w:t>
            </w:r>
          </w:p>
        </w:tc>
        <w:tc>
          <w:tcPr>
            <w:tcW w:w="1152" w:type="dxa"/>
            <w:vAlign w:val="center"/>
          </w:tcPr>
          <w:p w14:paraId="45876E60" w14:textId="77777777" w:rsidR="000A1B38" w:rsidRPr="00B85B0B" w:rsidRDefault="000A1B38">
            <w:pPr>
              <w:pStyle w:val="TableColHeadingCenter"/>
            </w:pPr>
            <w:r>
              <w:t>2025</w:t>
            </w:r>
          </w:p>
        </w:tc>
        <w:tc>
          <w:tcPr>
            <w:tcW w:w="1152" w:type="dxa"/>
            <w:vAlign w:val="center"/>
          </w:tcPr>
          <w:p w14:paraId="77A245E5" w14:textId="77777777" w:rsidR="000A1B38" w:rsidRPr="00B85B0B" w:rsidRDefault="000A1B38">
            <w:pPr>
              <w:pStyle w:val="TableColHeadingCenter"/>
            </w:pPr>
            <w:r w:rsidRPr="00B85B0B">
              <w:t>State (202</w:t>
            </w:r>
            <w:r>
              <w:t>5</w:t>
            </w:r>
            <w:r w:rsidRPr="00B85B0B">
              <w:t>)</w:t>
            </w:r>
          </w:p>
        </w:tc>
      </w:tr>
      <w:tr w:rsidR="000A1B38" w:rsidRPr="00976F70" w14:paraId="23855E3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3925DB8"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112224D4" w14:textId="77777777" w:rsidR="000A1B38" w:rsidRPr="00BD1632" w:rsidRDefault="000A1B38">
            <w:pPr>
              <w:pStyle w:val="TableTextCentered"/>
              <w:rPr>
                <w:rFonts w:ascii="Franklin Gothic Book" w:hAnsi="Franklin Gothic Book"/>
              </w:rPr>
            </w:pPr>
            <w:r>
              <w:rPr>
                <w:rFonts w:ascii="Franklin Gothic Book" w:hAnsi="Franklin Gothic Book"/>
              </w:rPr>
              <w:t>4,486</w:t>
            </w:r>
          </w:p>
        </w:tc>
        <w:tc>
          <w:tcPr>
            <w:tcW w:w="1152" w:type="dxa"/>
            <w:vAlign w:val="center"/>
          </w:tcPr>
          <w:p w14:paraId="65EB8958"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1" w:type="dxa"/>
            <w:vAlign w:val="center"/>
          </w:tcPr>
          <w:p w14:paraId="1800D4E1"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2" w:type="dxa"/>
            <w:vAlign w:val="center"/>
          </w:tcPr>
          <w:p w14:paraId="72F38265"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02DE418D"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0D2F5A5D" w14:textId="77777777">
        <w:tc>
          <w:tcPr>
            <w:tcW w:w="3586" w:type="dxa"/>
          </w:tcPr>
          <w:p w14:paraId="4E7C5353"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129584DA" w14:textId="77777777" w:rsidR="000A1B38" w:rsidRPr="00BD1632" w:rsidRDefault="000A1B38">
            <w:pPr>
              <w:pStyle w:val="TableTextCentered"/>
              <w:rPr>
                <w:rFonts w:ascii="Franklin Gothic Book" w:hAnsi="Franklin Gothic Book"/>
              </w:rPr>
            </w:pPr>
            <w:r>
              <w:rPr>
                <w:rFonts w:ascii="Franklin Gothic Book" w:hAnsi="Franklin Gothic Book"/>
              </w:rPr>
              <w:t>13</w:t>
            </w:r>
          </w:p>
        </w:tc>
        <w:tc>
          <w:tcPr>
            <w:tcW w:w="1152" w:type="dxa"/>
            <w:vAlign w:val="center"/>
          </w:tcPr>
          <w:p w14:paraId="0D164FAD" w14:textId="35CDFCB8"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2BFB6755" w14:textId="4C43BEAA"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66B7E64B" w14:textId="4D796408"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380AB0DA" w14:textId="77777777" w:rsidR="000A1B38" w:rsidRPr="00BD1632" w:rsidRDefault="000A1B38">
            <w:pPr>
              <w:pStyle w:val="TableTextCentered"/>
              <w:rPr>
                <w:rFonts w:ascii="Franklin Gothic Book" w:hAnsi="Franklin Gothic Book"/>
              </w:rPr>
            </w:pPr>
            <w:r>
              <w:rPr>
                <w:rFonts w:ascii="Franklin Gothic Book" w:hAnsi="Franklin Gothic Book"/>
              </w:rPr>
              <w:t>48</w:t>
            </w:r>
          </w:p>
        </w:tc>
      </w:tr>
      <w:tr w:rsidR="000A1B38" w:rsidRPr="00976F70" w14:paraId="2E46ECE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CAA59FB"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5E4AD4DD" w14:textId="77777777" w:rsidR="000A1B38" w:rsidRPr="00BD1632" w:rsidRDefault="000A1B38">
            <w:pPr>
              <w:pStyle w:val="TableTextCentered"/>
              <w:rPr>
                <w:rFonts w:ascii="Franklin Gothic Book" w:hAnsi="Franklin Gothic Book"/>
              </w:rPr>
            </w:pPr>
            <w:r>
              <w:rPr>
                <w:rFonts w:ascii="Franklin Gothic Book" w:hAnsi="Franklin Gothic Book"/>
              </w:rPr>
              <w:t>66</w:t>
            </w:r>
          </w:p>
        </w:tc>
        <w:tc>
          <w:tcPr>
            <w:tcW w:w="1152" w:type="dxa"/>
            <w:vAlign w:val="center"/>
          </w:tcPr>
          <w:p w14:paraId="77D504AA" w14:textId="77777777" w:rsidR="000A1B38" w:rsidRPr="00BD1632" w:rsidRDefault="000A1B38">
            <w:pPr>
              <w:pStyle w:val="TableTextCentered"/>
              <w:rPr>
                <w:rFonts w:ascii="Franklin Gothic Book" w:hAnsi="Franklin Gothic Book"/>
              </w:rPr>
            </w:pPr>
            <w:r>
              <w:rPr>
                <w:rFonts w:ascii="Franklin Gothic Book" w:hAnsi="Franklin Gothic Book"/>
              </w:rPr>
              <w:t>63</w:t>
            </w:r>
          </w:p>
        </w:tc>
        <w:tc>
          <w:tcPr>
            <w:tcW w:w="1151" w:type="dxa"/>
            <w:vAlign w:val="center"/>
          </w:tcPr>
          <w:p w14:paraId="4220DA8E" w14:textId="77777777" w:rsidR="000A1B38" w:rsidRPr="00BD1632" w:rsidRDefault="000A1B38">
            <w:pPr>
              <w:pStyle w:val="TableTextCentered"/>
              <w:rPr>
                <w:rFonts w:ascii="Franklin Gothic Book" w:hAnsi="Franklin Gothic Book"/>
              </w:rPr>
            </w:pPr>
            <w:r>
              <w:rPr>
                <w:rFonts w:ascii="Franklin Gothic Book" w:hAnsi="Franklin Gothic Book"/>
              </w:rPr>
              <w:t>55</w:t>
            </w:r>
          </w:p>
        </w:tc>
        <w:tc>
          <w:tcPr>
            <w:tcW w:w="1152" w:type="dxa"/>
            <w:vAlign w:val="center"/>
          </w:tcPr>
          <w:p w14:paraId="016D498A"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58AADF57" w14:textId="77777777" w:rsidR="000A1B38" w:rsidRPr="00BD1632" w:rsidRDefault="000A1B38">
            <w:pPr>
              <w:pStyle w:val="TableTextCentered"/>
              <w:rPr>
                <w:rFonts w:ascii="Franklin Gothic Book" w:hAnsi="Franklin Gothic Book"/>
              </w:rPr>
            </w:pPr>
            <w:r>
              <w:rPr>
                <w:rFonts w:ascii="Franklin Gothic Book" w:hAnsi="Franklin Gothic Book"/>
              </w:rPr>
              <w:t>57</w:t>
            </w:r>
          </w:p>
        </w:tc>
      </w:tr>
      <w:tr w:rsidR="000A1B38" w:rsidRPr="00976F70" w14:paraId="2516058F" w14:textId="77777777">
        <w:tc>
          <w:tcPr>
            <w:tcW w:w="3586" w:type="dxa"/>
          </w:tcPr>
          <w:p w14:paraId="71FAB56D"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3A0F0531" w14:textId="77777777" w:rsidR="000A1B38" w:rsidRPr="00BD1632" w:rsidRDefault="000A1B38">
            <w:pPr>
              <w:pStyle w:val="TableTextCentered"/>
              <w:rPr>
                <w:rFonts w:ascii="Franklin Gothic Book" w:hAnsi="Franklin Gothic Book"/>
              </w:rPr>
            </w:pPr>
            <w:r>
              <w:rPr>
                <w:rFonts w:ascii="Franklin Gothic Book" w:hAnsi="Franklin Gothic Book"/>
              </w:rPr>
              <w:t>2,670</w:t>
            </w:r>
          </w:p>
        </w:tc>
        <w:tc>
          <w:tcPr>
            <w:tcW w:w="1152" w:type="dxa"/>
            <w:vAlign w:val="center"/>
          </w:tcPr>
          <w:p w14:paraId="6D470689"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1" w:type="dxa"/>
            <w:vAlign w:val="center"/>
          </w:tcPr>
          <w:p w14:paraId="58D29886"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2" w:type="dxa"/>
            <w:vAlign w:val="center"/>
          </w:tcPr>
          <w:p w14:paraId="2232361B"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7B527316" w14:textId="77777777" w:rsidR="000A1B38" w:rsidRPr="00BD1632" w:rsidRDefault="000A1B38">
            <w:pPr>
              <w:pStyle w:val="TableTextCentered"/>
              <w:rPr>
                <w:rFonts w:ascii="Franklin Gothic Book" w:hAnsi="Franklin Gothic Book"/>
              </w:rPr>
            </w:pPr>
            <w:r>
              <w:rPr>
                <w:rFonts w:ascii="Franklin Gothic Book" w:hAnsi="Franklin Gothic Book"/>
              </w:rPr>
              <w:t>49</w:t>
            </w:r>
          </w:p>
        </w:tc>
      </w:tr>
      <w:tr w:rsidR="000A1B38" w:rsidRPr="00976F70" w14:paraId="6D9BFEA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8E00E72"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269720E7" w14:textId="77777777" w:rsidR="000A1B38" w:rsidRPr="00BD1632" w:rsidRDefault="000A1B38">
            <w:pPr>
              <w:pStyle w:val="TableTextCentered"/>
              <w:rPr>
                <w:rFonts w:ascii="Franklin Gothic Book" w:hAnsi="Franklin Gothic Book"/>
              </w:rPr>
            </w:pPr>
            <w:r>
              <w:rPr>
                <w:rFonts w:ascii="Franklin Gothic Book" w:hAnsi="Franklin Gothic Book"/>
              </w:rPr>
              <w:t>924</w:t>
            </w:r>
          </w:p>
        </w:tc>
        <w:tc>
          <w:tcPr>
            <w:tcW w:w="1152" w:type="dxa"/>
            <w:vAlign w:val="center"/>
          </w:tcPr>
          <w:p w14:paraId="0ED61091"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1" w:type="dxa"/>
            <w:vAlign w:val="center"/>
          </w:tcPr>
          <w:p w14:paraId="45464B90"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34CDB8B1" w14:textId="77777777" w:rsidR="000A1B38" w:rsidRPr="00BD1632" w:rsidRDefault="000A1B38">
            <w:pPr>
              <w:pStyle w:val="TableTextCentered"/>
              <w:rPr>
                <w:rFonts w:ascii="Franklin Gothic Book" w:hAnsi="Franklin Gothic Book"/>
              </w:rPr>
            </w:pPr>
            <w:r>
              <w:rPr>
                <w:rFonts w:ascii="Franklin Gothic Book" w:hAnsi="Franklin Gothic Book"/>
              </w:rPr>
              <w:t>47</w:t>
            </w:r>
          </w:p>
        </w:tc>
        <w:tc>
          <w:tcPr>
            <w:tcW w:w="1152" w:type="dxa"/>
            <w:vAlign w:val="center"/>
          </w:tcPr>
          <w:p w14:paraId="53332EEC" w14:textId="77777777" w:rsidR="000A1B38" w:rsidRPr="00BD1632" w:rsidRDefault="000A1B38">
            <w:pPr>
              <w:pStyle w:val="TableTextCentered"/>
              <w:rPr>
                <w:rFonts w:ascii="Franklin Gothic Book" w:hAnsi="Franklin Gothic Book"/>
              </w:rPr>
            </w:pPr>
            <w:r>
              <w:rPr>
                <w:rFonts w:ascii="Franklin Gothic Book" w:hAnsi="Franklin Gothic Book"/>
              </w:rPr>
              <w:t>49</w:t>
            </w:r>
          </w:p>
        </w:tc>
      </w:tr>
      <w:tr w:rsidR="000A1B38" w:rsidRPr="00976F70" w14:paraId="2393F9A3" w14:textId="77777777">
        <w:tc>
          <w:tcPr>
            <w:tcW w:w="3586" w:type="dxa"/>
          </w:tcPr>
          <w:p w14:paraId="14855497"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A0AEB83" w14:textId="77777777" w:rsidR="000A1B38" w:rsidRPr="00BD1632" w:rsidRDefault="000A1B38">
            <w:pPr>
              <w:pStyle w:val="TableTextCentered"/>
              <w:rPr>
                <w:rFonts w:ascii="Franklin Gothic Book" w:hAnsi="Franklin Gothic Book"/>
              </w:rPr>
            </w:pPr>
            <w:r>
              <w:rPr>
                <w:rFonts w:ascii="Franklin Gothic Book" w:hAnsi="Franklin Gothic Book"/>
              </w:rPr>
              <w:t>185</w:t>
            </w:r>
          </w:p>
        </w:tc>
        <w:tc>
          <w:tcPr>
            <w:tcW w:w="1152" w:type="dxa"/>
            <w:vAlign w:val="center"/>
          </w:tcPr>
          <w:p w14:paraId="6FF9E571"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1" w:type="dxa"/>
            <w:vAlign w:val="center"/>
          </w:tcPr>
          <w:p w14:paraId="60E40C9F"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27C5113F"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4E335D6D" w14:textId="77777777" w:rsidR="000A1B38" w:rsidRPr="00BD1632" w:rsidRDefault="000A1B38">
            <w:pPr>
              <w:pStyle w:val="TableTextCentered"/>
              <w:rPr>
                <w:rFonts w:ascii="Franklin Gothic Book" w:hAnsi="Franklin Gothic Book"/>
              </w:rPr>
            </w:pPr>
            <w:r>
              <w:rPr>
                <w:rFonts w:ascii="Franklin Gothic Book" w:hAnsi="Franklin Gothic Book"/>
              </w:rPr>
              <w:t>51</w:t>
            </w:r>
          </w:p>
        </w:tc>
      </w:tr>
      <w:tr w:rsidR="000A1B38" w:rsidRPr="00976F70" w14:paraId="51A614E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EDCB049"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7363EB0F" w14:textId="77777777" w:rsidR="000A1B38" w:rsidRPr="00BD1632" w:rsidRDefault="000A1B38">
            <w:pPr>
              <w:pStyle w:val="TableTextCentered"/>
              <w:rPr>
                <w:rFonts w:ascii="Franklin Gothic Book" w:hAnsi="Franklin Gothic Book"/>
              </w:rPr>
            </w:pPr>
            <w:r>
              <w:rPr>
                <w:rFonts w:ascii="Franklin Gothic Book" w:hAnsi="Franklin Gothic Book"/>
              </w:rPr>
              <w:t>8</w:t>
            </w:r>
          </w:p>
        </w:tc>
        <w:tc>
          <w:tcPr>
            <w:tcW w:w="1152" w:type="dxa"/>
            <w:vAlign w:val="center"/>
          </w:tcPr>
          <w:p w14:paraId="5B3D991B" w14:textId="14B94ADB"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652787FC" w14:textId="027B6111"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3898ACF5" w14:textId="1CD35558"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543007BF" w14:textId="77777777" w:rsidR="000A1B38" w:rsidRPr="00BD1632" w:rsidRDefault="000A1B38">
            <w:pPr>
              <w:pStyle w:val="TableTextCentered"/>
              <w:rPr>
                <w:rFonts w:ascii="Franklin Gothic Book" w:hAnsi="Franklin Gothic Book"/>
              </w:rPr>
            </w:pPr>
            <w:r>
              <w:rPr>
                <w:rFonts w:ascii="Franklin Gothic Book" w:hAnsi="Franklin Gothic Book"/>
              </w:rPr>
              <w:t>53</w:t>
            </w:r>
          </w:p>
        </w:tc>
      </w:tr>
      <w:tr w:rsidR="000A1B38" w:rsidRPr="00976F70" w14:paraId="1186EDE4" w14:textId="77777777">
        <w:tc>
          <w:tcPr>
            <w:tcW w:w="3586" w:type="dxa"/>
          </w:tcPr>
          <w:p w14:paraId="6B7DF9E6"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AE8EE08" w14:textId="77777777" w:rsidR="000A1B38" w:rsidRPr="00BD1632" w:rsidRDefault="000A1B38">
            <w:pPr>
              <w:pStyle w:val="TableTextCentered"/>
              <w:rPr>
                <w:rFonts w:ascii="Franklin Gothic Book" w:hAnsi="Franklin Gothic Book"/>
              </w:rPr>
            </w:pPr>
            <w:r>
              <w:rPr>
                <w:rFonts w:ascii="Franklin Gothic Book" w:hAnsi="Franklin Gothic Book"/>
              </w:rPr>
              <w:t>620</w:t>
            </w:r>
          </w:p>
        </w:tc>
        <w:tc>
          <w:tcPr>
            <w:tcW w:w="1152" w:type="dxa"/>
            <w:vAlign w:val="center"/>
          </w:tcPr>
          <w:p w14:paraId="35007DF3" w14:textId="77777777" w:rsidR="000A1B38" w:rsidRPr="00BD1632" w:rsidRDefault="000A1B38">
            <w:pPr>
              <w:pStyle w:val="TableTextCentered"/>
              <w:rPr>
                <w:rFonts w:ascii="Franklin Gothic Book" w:hAnsi="Franklin Gothic Book"/>
              </w:rPr>
            </w:pPr>
            <w:r>
              <w:rPr>
                <w:rFonts w:ascii="Franklin Gothic Book" w:hAnsi="Franklin Gothic Book"/>
              </w:rPr>
              <w:t>54</w:t>
            </w:r>
          </w:p>
        </w:tc>
        <w:tc>
          <w:tcPr>
            <w:tcW w:w="1151" w:type="dxa"/>
            <w:vAlign w:val="center"/>
          </w:tcPr>
          <w:p w14:paraId="6EECB355"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2" w:type="dxa"/>
            <w:vAlign w:val="center"/>
          </w:tcPr>
          <w:p w14:paraId="09A8BED7"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29ADF46E"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071B8E4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060F3B6"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2724338" w14:textId="77777777" w:rsidR="000A1B38" w:rsidRPr="00BD1632" w:rsidRDefault="000A1B38">
            <w:pPr>
              <w:pStyle w:val="TableTextCentered"/>
              <w:rPr>
                <w:rFonts w:ascii="Franklin Gothic Book" w:hAnsi="Franklin Gothic Book"/>
              </w:rPr>
            </w:pPr>
            <w:r>
              <w:rPr>
                <w:rFonts w:ascii="Franklin Gothic Book" w:hAnsi="Franklin Gothic Book"/>
              </w:rPr>
              <w:t>3,746</w:t>
            </w:r>
          </w:p>
        </w:tc>
        <w:tc>
          <w:tcPr>
            <w:tcW w:w="1152" w:type="dxa"/>
            <w:vAlign w:val="center"/>
          </w:tcPr>
          <w:p w14:paraId="1489745E"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1" w:type="dxa"/>
            <w:vAlign w:val="center"/>
          </w:tcPr>
          <w:p w14:paraId="784204C6"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17BE1CD7"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73650FC9" w14:textId="77777777" w:rsidR="000A1B38" w:rsidRPr="00BD1632" w:rsidRDefault="000A1B38">
            <w:pPr>
              <w:pStyle w:val="TableTextCentered"/>
              <w:rPr>
                <w:rFonts w:ascii="Franklin Gothic Book" w:hAnsi="Franklin Gothic Book"/>
              </w:rPr>
            </w:pPr>
            <w:r>
              <w:rPr>
                <w:rFonts w:ascii="Franklin Gothic Book" w:hAnsi="Franklin Gothic Book"/>
              </w:rPr>
              <w:t>48</w:t>
            </w:r>
          </w:p>
        </w:tc>
      </w:tr>
      <w:tr w:rsidR="000A1B38" w:rsidRPr="00976F70" w14:paraId="1ABD7678" w14:textId="77777777">
        <w:tc>
          <w:tcPr>
            <w:tcW w:w="3586" w:type="dxa"/>
          </w:tcPr>
          <w:p w14:paraId="472D0D62"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2667442A" w14:textId="77777777" w:rsidR="000A1B38" w:rsidRPr="00BD1632" w:rsidRDefault="000A1B38">
            <w:pPr>
              <w:pStyle w:val="TableTextCentered"/>
              <w:rPr>
                <w:rFonts w:ascii="Franklin Gothic Book" w:hAnsi="Franklin Gothic Book"/>
              </w:rPr>
            </w:pPr>
            <w:r>
              <w:rPr>
                <w:rFonts w:ascii="Franklin Gothic Book" w:hAnsi="Franklin Gothic Book"/>
              </w:rPr>
              <w:t>1,761</w:t>
            </w:r>
          </w:p>
        </w:tc>
        <w:tc>
          <w:tcPr>
            <w:tcW w:w="1152" w:type="dxa"/>
            <w:vAlign w:val="center"/>
          </w:tcPr>
          <w:p w14:paraId="62AED7BF"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1" w:type="dxa"/>
            <w:vAlign w:val="center"/>
          </w:tcPr>
          <w:p w14:paraId="6897A814"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1D180479"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3D705D70"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3B066ED3"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17698D5"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6DD208E7" w14:textId="77777777" w:rsidR="000A1B38" w:rsidRPr="00BD1632" w:rsidRDefault="000A1B38">
            <w:pPr>
              <w:pStyle w:val="TableTextCentered"/>
              <w:rPr>
                <w:rFonts w:ascii="Franklin Gothic Book" w:hAnsi="Franklin Gothic Book"/>
              </w:rPr>
            </w:pPr>
            <w:r>
              <w:rPr>
                <w:rFonts w:ascii="Franklin Gothic Book" w:hAnsi="Franklin Gothic Book"/>
              </w:rPr>
              <w:t>3,339</w:t>
            </w:r>
          </w:p>
        </w:tc>
        <w:tc>
          <w:tcPr>
            <w:tcW w:w="1152" w:type="dxa"/>
            <w:vAlign w:val="center"/>
          </w:tcPr>
          <w:p w14:paraId="2DAC8AEB"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1" w:type="dxa"/>
            <w:vAlign w:val="center"/>
          </w:tcPr>
          <w:p w14:paraId="4F5A1CBB"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4F0D1716" w14:textId="77777777" w:rsidR="000A1B38" w:rsidRPr="00BD1632" w:rsidRDefault="000A1B38">
            <w:pPr>
              <w:pStyle w:val="TableTextCentered"/>
              <w:rPr>
                <w:rFonts w:ascii="Franklin Gothic Book" w:hAnsi="Franklin Gothic Book"/>
              </w:rPr>
            </w:pPr>
            <w:r>
              <w:rPr>
                <w:rFonts w:ascii="Franklin Gothic Book" w:hAnsi="Franklin Gothic Book"/>
              </w:rPr>
              <w:t>47</w:t>
            </w:r>
          </w:p>
        </w:tc>
        <w:tc>
          <w:tcPr>
            <w:tcW w:w="1152" w:type="dxa"/>
            <w:vAlign w:val="center"/>
          </w:tcPr>
          <w:p w14:paraId="443B8913" w14:textId="77777777" w:rsidR="000A1B38" w:rsidRPr="00BD1632" w:rsidRDefault="000A1B38">
            <w:pPr>
              <w:pStyle w:val="TableTextCentered"/>
              <w:rPr>
                <w:rFonts w:ascii="Franklin Gothic Book" w:hAnsi="Franklin Gothic Book"/>
              </w:rPr>
            </w:pPr>
            <w:r>
              <w:rPr>
                <w:rFonts w:ascii="Franklin Gothic Book" w:hAnsi="Franklin Gothic Book"/>
              </w:rPr>
              <w:t>48</w:t>
            </w:r>
          </w:p>
        </w:tc>
      </w:tr>
      <w:tr w:rsidR="000A1B38" w:rsidRPr="00976F70" w14:paraId="11BE2F2B" w14:textId="77777777">
        <w:tc>
          <w:tcPr>
            <w:tcW w:w="3586" w:type="dxa"/>
          </w:tcPr>
          <w:p w14:paraId="00D67517"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3E569E11" w14:textId="77777777" w:rsidR="000A1B38" w:rsidRPr="00BD1632" w:rsidRDefault="000A1B38">
            <w:pPr>
              <w:pStyle w:val="TableTextCentered"/>
              <w:rPr>
                <w:rFonts w:ascii="Franklin Gothic Book" w:hAnsi="Franklin Gothic Book"/>
              </w:rPr>
            </w:pPr>
            <w:r>
              <w:rPr>
                <w:rFonts w:ascii="Franklin Gothic Book" w:hAnsi="Franklin Gothic Book"/>
              </w:rPr>
              <w:t>927</w:t>
            </w:r>
          </w:p>
        </w:tc>
        <w:tc>
          <w:tcPr>
            <w:tcW w:w="1152" w:type="dxa"/>
            <w:vAlign w:val="center"/>
          </w:tcPr>
          <w:p w14:paraId="1BFABA30" w14:textId="77777777" w:rsidR="000A1B38" w:rsidRPr="00BD1632" w:rsidRDefault="000A1B38">
            <w:pPr>
              <w:pStyle w:val="TableTextCentered"/>
              <w:rPr>
                <w:rFonts w:ascii="Franklin Gothic Book" w:hAnsi="Franklin Gothic Book"/>
              </w:rPr>
            </w:pPr>
            <w:r>
              <w:rPr>
                <w:rFonts w:ascii="Franklin Gothic Book" w:hAnsi="Franklin Gothic Book"/>
              </w:rPr>
              <w:t>45</w:t>
            </w:r>
          </w:p>
        </w:tc>
        <w:tc>
          <w:tcPr>
            <w:tcW w:w="1151" w:type="dxa"/>
            <w:vAlign w:val="center"/>
          </w:tcPr>
          <w:p w14:paraId="7CC5715D" w14:textId="77777777" w:rsidR="000A1B38" w:rsidRPr="00BD1632" w:rsidRDefault="000A1B38">
            <w:pPr>
              <w:pStyle w:val="TableTextCentered"/>
              <w:rPr>
                <w:rFonts w:ascii="Franklin Gothic Book" w:hAnsi="Franklin Gothic Book"/>
              </w:rPr>
            </w:pPr>
            <w:r>
              <w:rPr>
                <w:rFonts w:ascii="Franklin Gothic Book" w:hAnsi="Franklin Gothic Book"/>
              </w:rPr>
              <w:t>47</w:t>
            </w:r>
          </w:p>
        </w:tc>
        <w:tc>
          <w:tcPr>
            <w:tcW w:w="1152" w:type="dxa"/>
            <w:vAlign w:val="center"/>
          </w:tcPr>
          <w:p w14:paraId="3D9B0A40" w14:textId="77777777" w:rsidR="000A1B38" w:rsidRPr="00BD1632" w:rsidRDefault="000A1B38">
            <w:pPr>
              <w:pStyle w:val="TableTextCentered"/>
              <w:rPr>
                <w:rFonts w:ascii="Franklin Gothic Book" w:hAnsi="Franklin Gothic Book"/>
              </w:rPr>
            </w:pPr>
            <w:r>
              <w:rPr>
                <w:rFonts w:ascii="Franklin Gothic Book" w:hAnsi="Franklin Gothic Book"/>
              </w:rPr>
              <w:t>45</w:t>
            </w:r>
          </w:p>
        </w:tc>
        <w:tc>
          <w:tcPr>
            <w:tcW w:w="1152" w:type="dxa"/>
            <w:vAlign w:val="center"/>
          </w:tcPr>
          <w:p w14:paraId="7FE510B0" w14:textId="77777777" w:rsidR="000A1B38" w:rsidRPr="00BD1632" w:rsidRDefault="000A1B38">
            <w:pPr>
              <w:pStyle w:val="TableTextCentered"/>
              <w:rPr>
                <w:rFonts w:ascii="Franklin Gothic Book" w:hAnsi="Franklin Gothic Book"/>
              </w:rPr>
            </w:pPr>
            <w:r>
              <w:rPr>
                <w:rFonts w:ascii="Franklin Gothic Book" w:hAnsi="Franklin Gothic Book"/>
              </w:rPr>
              <w:t>45</w:t>
            </w:r>
          </w:p>
        </w:tc>
      </w:tr>
    </w:tbl>
    <w:p w14:paraId="33014C4E" w14:textId="77777777" w:rsidR="000A1B38" w:rsidRPr="003C1C59" w:rsidRDefault="000A1B38" w:rsidP="0082637F">
      <w:pPr>
        <w:pStyle w:val="TableETitle"/>
      </w:pPr>
      <w:bookmarkStart w:id="237" w:name="_Toc211930041"/>
      <w:bookmarkStart w:id="238" w:name="_Toc230970171"/>
      <w:r w:rsidRPr="00B92729">
        <w:t>Table E</w:t>
      </w:r>
      <w:r>
        <w:t>11</w:t>
      </w:r>
      <w:r w:rsidRPr="00B92729">
        <w:t>.</w:t>
      </w:r>
      <w:r>
        <w:t xml:space="preserve"> </w:t>
      </w:r>
      <w:r w:rsidRPr="005055D7">
        <w:t xml:space="preserve">MCAS </w:t>
      </w:r>
      <w:r>
        <w:t>ELA Mean Student Growth Percentile</w:t>
      </w:r>
      <w:r w:rsidRPr="003979D4">
        <w:t xml:space="preserve"> by Student Group</w:t>
      </w:r>
      <w:r>
        <w:t xml:space="preserve">, </w:t>
      </w:r>
      <w:r w:rsidRPr="005055D7">
        <w:t>Grade</w:t>
      </w:r>
      <w:r>
        <w:t xml:space="preserve"> 10</w:t>
      </w:r>
      <w:r w:rsidRPr="005055D7">
        <w:t>, 202</w:t>
      </w:r>
      <w:r>
        <w:t>3</w:t>
      </w:r>
      <w:r w:rsidRPr="005055D7">
        <w:t>-202</w:t>
      </w:r>
      <w:r>
        <w:t>5</w:t>
      </w:r>
      <w:bookmarkEnd w:id="237"/>
      <w:bookmarkEnd w:id="238"/>
    </w:p>
    <w:tbl>
      <w:tblPr>
        <w:tblStyle w:val="MSVTable1"/>
        <w:tblW w:w="5000" w:type="pct"/>
        <w:tblLook w:val="0420" w:firstRow="1" w:lastRow="0" w:firstColumn="0" w:lastColumn="0" w:noHBand="0" w:noVBand="1"/>
        <w:tblCaption w:val="Table E11. MCAS ELA Mean Student Growth Percentile by Student Group, Grade 10, 2023-2025"/>
        <w:tblDescription w:val="MCAS ELA Mean Student Growth Percentile by Student Group, Grade 10, 2023-2025"/>
      </w:tblPr>
      <w:tblGrid>
        <w:gridCol w:w="3586"/>
        <w:gridCol w:w="1151"/>
        <w:gridCol w:w="1152"/>
        <w:gridCol w:w="1151"/>
        <w:gridCol w:w="1152"/>
        <w:gridCol w:w="1152"/>
      </w:tblGrid>
      <w:tr w:rsidR="000A1B38" w:rsidRPr="00976F70" w14:paraId="53B07F9D"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53D90D73" w14:textId="77777777" w:rsidR="000A1B38" w:rsidRPr="00B85B0B" w:rsidRDefault="000A1B38">
            <w:pPr>
              <w:pStyle w:val="TableColHeadingLeft"/>
              <w:jc w:val="center"/>
            </w:pPr>
            <w:r w:rsidRPr="00B85B0B">
              <w:t>Group</w:t>
            </w:r>
          </w:p>
        </w:tc>
        <w:tc>
          <w:tcPr>
            <w:tcW w:w="1151" w:type="dxa"/>
            <w:vAlign w:val="center"/>
          </w:tcPr>
          <w:p w14:paraId="48E5C8B2" w14:textId="77777777" w:rsidR="000A1B38" w:rsidRPr="00B85B0B" w:rsidRDefault="000A1B38">
            <w:pPr>
              <w:pStyle w:val="TableColHeadingCenter"/>
            </w:pPr>
            <w:r>
              <w:t># Included</w:t>
            </w:r>
            <w:r w:rsidRPr="00B85B0B">
              <w:t xml:space="preserve"> (202</w:t>
            </w:r>
            <w:r>
              <w:t>5</w:t>
            </w:r>
            <w:r w:rsidRPr="00B85B0B">
              <w:t>)</w:t>
            </w:r>
          </w:p>
        </w:tc>
        <w:tc>
          <w:tcPr>
            <w:tcW w:w="1152" w:type="dxa"/>
            <w:vAlign w:val="center"/>
          </w:tcPr>
          <w:p w14:paraId="32513F4A" w14:textId="77777777" w:rsidR="000A1B38" w:rsidRPr="00B85B0B" w:rsidRDefault="000A1B38">
            <w:pPr>
              <w:pStyle w:val="TableColHeadingCenter"/>
            </w:pPr>
            <w:r w:rsidRPr="00B85B0B">
              <w:t>202</w:t>
            </w:r>
            <w:r>
              <w:t>3</w:t>
            </w:r>
          </w:p>
        </w:tc>
        <w:tc>
          <w:tcPr>
            <w:tcW w:w="1151" w:type="dxa"/>
            <w:vAlign w:val="center"/>
          </w:tcPr>
          <w:p w14:paraId="71F5BF90" w14:textId="77777777" w:rsidR="000A1B38" w:rsidRPr="00B85B0B" w:rsidRDefault="000A1B38">
            <w:pPr>
              <w:pStyle w:val="TableColHeadingCenter"/>
            </w:pPr>
            <w:r w:rsidRPr="00B85B0B">
              <w:t>202</w:t>
            </w:r>
            <w:r>
              <w:t>4</w:t>
            </w:r>
          </w:p>
        </w:tc>
        <w:tc>
          <w:tcPr>
            <w:tcW w:w="1152" w:type="dxa"/>
            <w:vAlign w:val="center"/>
          </w:tcPr>
          <w:p w14:paraId="7BC2F4AA" w14:textId="77777777" w:rsidR="000A1B38" w:rsidRPr="00B85B0B" w:rsidRDefault="000A1B38">
            <w:pPr>
              <w:pStyle w:val="TableColHeadingCenter"/>
            </w:pPr>
            <w:r>
              <w:t>2025</w:t>
            </w:r>
          </w:p>
        </w:tc>
        <w:tc>
          <w:tcPr>
            <w:tcW w:w="1152" w:type="dxa"/>
            <w:vAlign w:val="center"/>
          </w:tcPr>
          <w:p w14:paraId="0131199E" w14:textId="77777777" w:rsidR="000A1B38" w:rsidRPr="00B85B0B" w:rsidRDefault="000A1B38">
            <w:pPr>
              <w:pStyle w:val="TableColHeadingCenter"/>
            </w:pPr>
            <w:r w:rsidRPr="00B85B0B">
              <w:t>State (202</w:t>
            </w:r>
            <w:r>
              <w:t>5</w:t>
            </w:r>
            <w:r w:rsidRPr="00B85B0B">
              <w:t>)</w:t>
            </w:r>
          </w:p>
        </w:tc>
      </w:tr>
      <w:tr w:rsidR="000A1B38" w:rsidRPr="00976F70" w14:paraId="5EDDC57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51C933D"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24494B00" w14:textId="77777777" w:rsidR="000A1B38" w:rsidRPr="00BD1632" w:rsidRDefault="000A1B38">
            <w:pPr>
              <w:pStyle w:val="TableTextCentered"/>
              <w:rPr>
                <w:rFonts w:ascii="Franklin Gothic Book" w:hAnsi="Franklin Gothic Book"/>
              </w:rPr>
            </w:pPr>
            <w:r>
              <w:rPr>
                <w:rFonts w:ascii="Franklin Gothic Book" w:hAnsi="Franklin Gothic Book"/>
              </w:rPr>
              <w:t>515</w:t>
            </w:r>
          </w:p>
        </w:tc>
        <w:tc>
          <w:tcPr>
            <w:tcW w:w="1152" w:type="dxa"/>
            <w:vAlign w:val="center"/>
          </w:tcPr>
          <w:p w14:paraId="2ACF0F8D" w14:textId="77777777" w:rsidR="000A1B38" w:rsidRPr="00BD1632" w:rsidRDefault="000A1B38">
            <w:pPr>
              <w:pStyle w:val="TableTextCentered"/>
              <w:rPr>
                <w:rFonts w:ascii="Franklin Gothic Book" w:hAnsi="Franklin Gothic Book"/>
              </w:rPr>
            </w:pPr>
            <w:r>
              <w:rPr>
                <w:rFonts w:ascii="Franklin Gothic Book" w:hAnsi="Franklin Gothic Book"/>
              </w:rPr>
              <w:t>46</w:t>
            </w:r>
          </w:p>
        </w:tc>
        <w:tc>
          <w:tcPr>
            <w:tcW w:w="1151" w:type="dxa"/>
            <w:vAlign w:val="center"/>
          </w:tcPr>
          <w:p w14:paraId="649451D0"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2" w:type="dxa"/>
            <w:vAlign w:val="center"/>
          </w:tcPr>
          <w:p w14:paraId="29137E3E"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6BDED6A7"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1938DAD9" w14:textId="77777777">
        <w:tc>
          <w:tcPr>
            <w:tcW w:w="3586" w:type="dxa"/>
          </w:tcPr>
          <w:p w14:paraId="7CED6FB8"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3BE3F1F6" w14:textId="77777777" w:rsidR="000A1B38" w:rsidRPr="00BD1632" w:rsidRDefault="000A1B38">
            <w:pPr>
              <w:pStyle w:val="TableTextCentered"/>
              <w:rPr>
                <w:rFonts w:ascii="Franklin Gothic Book" w:hAnsi="Franklin Gothic Book"/>
              </w:rPr>
            </w:pPr>
            <w:r>
              <w:rPr>
                <w:rFonts w:ascii="Franklin Gothic Book" w:hAnsi="Franklin Gothic Book"/>
              </w:rPr>
              <w:t>1</w:t>
            </w:r>
          </w:p>
        </w:tc>
        <w:tc>
          <w:tcPr>
            <w:tcW w:w="1152" w:type="dxa"/>
            <w:vAlign w:val="center"/>
          </w:tcPr>
          <w:p w14:paraId="32C6379F" w14:textId="5EA0F2AE"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79508CA6" w14:textId="6C745EE0"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2230BDDC" w14:textId="14CDD7BE"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42F056A5" w14:textId="77777777" w:rsidR="000A1B38" w:rsidRPr="00BD1632" w:rsidRDefault="000A1B38">
            <w:pPr>
              <w:pStyle w:val="TableTextCentered"/>
              <w:rPr>
                <w:rFonts w:ascii="Franklin Gothic Book" w:hAnsi="Franklin Gothic Book"/>
              </w:rPr>
            </w:pPr>
            <w:r>
              <w:rPr>
                <w:rFonts w:ascii="Franklin Gothic Book" w:hAnsi="Franklin Gothic Book"/>
              </w:rPr>
              <w:t>52</w:t>
            </w:r>
          </w:p>
        </w:tc>
      </w:tr>
      <w:tr w:rsidR="000A1B38" w:rsidRPr="00976F70" w14:paraId="5ABED68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53087AE"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21D1F7AD" w14:textId="77777777" w:rsidR="000A1B38" w:rsidRPr="00BD1632" w:rsidRDefault="000A1B38">
            <w:pPr>
              <w:pStyle w:val="TableTextCentered"/>
              <w:rPr>
                <w:rFonts w:ascii="Franklin Gothic Book" w:hAnsi="Franklin Gothic Book"/>
              </w:rPr>
            </w:pPr>
            <w:r>
              <w:rPr>
                <w:rFonts w:ascii="Franklin Gothic Book" w:hAnsi="Franklin Gothic Book"/>
              </w:rPr>
              <w:t>15</w:t>
            </w:r>
          </w:p>
        </w:tc>
        <w:tc>
          <w:tcPr>
            <w:tcW w:w="1152" w:type="dxa"/>
            <w:vAlign w:val="center"/>
          </w:tcPr>
          <w:p w14:paraId="0F177D0B" w14:textId="77777777" w:rsidR="000A1B38" w:rsidRPr="00BD1632" w:rsidRDefault="000A1B38">
            <w:pPr>
              <w:pStyle w:val="TableTextCentered"/>
              <w:rPr>
                <w:rFonts w:ascii="Franklin Gothic Book" w:hAnsi="Franklin Gothic Book"/>
              </w:rPr>
            </w:pPr>
            <w:r>
              <w:rPr>
                <w:rFonts w:ascii="Franklin Gothic Book" w:hAnsi="Franklin Gothic Book"/>
              </w:rPr>
              <w:t>45</w:t>
            </w:r>
          </w:p>
        </w:tc>
        <w:tc>
          <w:tcPr>
            <w:tcW w:w="1151" w:type="dxa"/>
            <w:vAlign w:val="center"/>
          </w:tcPr>
          <w:p w14:paraId="1324D6A1" w14:textId="77777777" w:rsidR="000A1B38" w:rsidRPr="00BD1632" w:rsidRDefault="000A1B38">
            <w:pPr>
              <w:pStyle w:val="TableTextCentered"/>
              <w:rPr>
                <w:rFonts w:ascii="Franklin Gothic Book" w:hAnsi="Franklin Gothic Book"/>
              </w:rPr>
            </w:pPr>
            <w:r>
              <w:rPr>
                <w:rFonts w:ascii="Franklin Gothic Book" w:hAnsi="Franklin Gothic Book"/>
              </w:rPr>
              <w:t>54</w:t>
            </w:r>
          </w:p>
        </w:tc>
        <w:tc>
          <w:tcPr>
            <w:tcW w:w="1152" w:type="dxa"/>
            <w:vAlign w:val="center"/>
          </w:tcPr>
          <w:p w14:paraId="074AAAD8" w14:textId="4E880D8E"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5688D777" w14:textId="77777777" w:rsidR="000A1B38" w:rsidRPr="00BD1632" w:rsidRDefault="000A1B38">
            <w:pPr>
              <w:pStyle w:val="TableTextCentered"/>
              <w:rPr>
                <w:rFonts w:ascii="Franklin Gothic Book" w:hAnsi="Franklin Gothic Book"/>
              </w:rPr>
            </w:pPr>
            <w:r>
              <w:rPr>
                <w:rFonts w:ascii="Franklin Gothic Book" w:hAnsi="Franklin Gothic Book"/>
              </w:rPr>
              <w:t>57</w:t>
            </w:r>
          </w:p>
        </w:tc>
      </w:tr>
      <w:tr w:rsidR="000A1B38" w:rsidRPr="00976F70" w14:paraId="431C701E" w14:textId="77777777">
        <w:tc>
          <w:tcPr>
            <w:tcW w:w="3586" w:type="dxa"/>
          </w:tcPr>
          <w:p w14:paraId="663810BE"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0FE728DC" w14:textId="77777777" w:rsidR="000A1B38" w:rsidRPr="00BD1632" w:rsidRDefault="000A1B38">
            <w:pPr>
              <w:pStyle w:val="TableTextCentered"/>
              <w:rPr>
                <w:rFonts w:ascii="Franklin Gothic Book" w:hAnsi="Franklin Gothic Book"/>
              </w:rPr>
            </w:pPr>
            <w:r>
              <w:rPr>
                <w:rFonts w:ascii="Franklin Gothic Book" w:hAnsi="Franklin Gothic Book"/>
              </w:rPr>
              <w:t>326</w:t>
            </w:r>
          </w:p>
        </w:tc>
        <w:tc>
          <w:tcPr>
            <w:tcW w:w="1152" w:type="dxa"/>
            <w:vAlign w:val="center"/>
          </w:tcPr>
          <w:p w14:paraId="32173F9D" w14:textId="77777777" w:rsidR="000A1B38" w:rsidRPr="00BD1632" w:rsidRDefault="000A1B38">
            <w:pPr>
              <w:pStyle w:val="TableTextCentered"/>
              <w:rPr>
                <w:rFonts w:ascii="Franklin Gothic Book" w:hAnsi="Franklin Gothic Book"/>
              </w:rPr>
            </w:pPr>
            <w:r>
              <w:rPr>
                <w:rFonts w:ascii="Franklin Gothic Book" w:hAnsi="Franklin Gothic Book"/>
              </w:rPr>
              <w:t>44</w:t>
            </w:r>
          </w:p>
        </w:tc>
        <w:tc>
          <w:tcPr>
            <w:tcW w:w="1151" w:type="dxa"/>
            <w:vAlign w:val="center"/>
          </w:tcPr>
          <w:p w14:paraId="40F02CA6"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2" w:type="dxa"/>
            <w:vAlign w:val="center"/>
          </w:tcPr>
          <w:p w14:paraId="58EDA223"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2F71FDA5" w14:textId="77777777" w:rsidR="000A1B38" w:rsidRPr="00BD1632" w:rsidRDefault="000A1B38">
            <w:pPr>
              <w:pStyle w:val="TableTextCentered"/>
              <w:rPr>
                <w:rFonts w:ascii="Franklin Gothic Book" w:hAnsi="Franklin Gothic Book"/>
              </w:rPr>
            </w:pPr>
            <w:r>
              <w:rPr>
                <w:rFonts w:ascii="Franklin Gothic Book" w:hAnsi="Franklin Gothic Book"/>
              </w:rPr>
              <w:t>49</w:t>
            </w:r>
          </w:p>
        </w:tc>
      </w:tr>
      <w:tr w:rsidR="000A1B38" w:rsidRPr="00976F70" w14:paraId="60FBCD96"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5060C2F"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440E4662" w14:textId="77777777" w:rsidR="000A1B38" w:rsidRPr="00BD1632" w:rsidRDefault="000A1B38">
            <w:pPr>
              <w:pStyle w:val="TableTextCentered"/>
              <w:rPr>
                <w:rFonts w:ascii="Franklin Gothic Book" w:hAnsi="Franklin Gothic Book"/>
              </w:rPr>
            </w:pPr>
            <w:r>
              <w:rPr>
                <w:rFonts w:ascii="Franklin Gothic Book" w:hAnsi="Franklin Gothic Book"/>
              </w:rPr>
              <w:t>94</w:t>
            </w:r>
          </w:p>
        </w:tc>
        <w:tc>
          <w:tcPr>
            <w:tcW w:w="1152" w:type="dxa"/>
            <w:vAlign w:val="center"/>
          </w:tcPr>
          <w:p w14:paraId="72AEF93C" w14:textId="77777777" w:rsidR="000A1B38" w:rsidRPr="00BD1632" w:rsidRDefault="000A1B38">
            <w:pPr>
              <w:pStyle w:val="TableTextCentered"/>
              <w:rPr>
                <w:rFonts w:ascii="Franklin Gothic Book" w:hAnsi="Franklin Gothic Book"/>
              </w:rPr>
            </w:pPr>
            <w:r>
              <w:rPr>
                <w:rFonts w:ascii="Franklin Gothic Book" w:hAnsi="Franklin Gothic Book"/>
              </w:rPr>
              <w:t>47</w:t>
            </w:r>
          </w:p>
        </w:tc>
        <w:tc>
          <w:tcPr>
            <w:tcW w:w="1151" w:type="dxa"/>
            <w:vAlign w:val="center"/>
          </w:tcPr>
          <w:p w14:paraId="3D9C789F" w14:textId="77777777" w:rsidR="000A1B38" w:rsidRPr="00BD1632" w:rsidRDefault="000A1B38">
            <w:pPr>
              <w:pStyle w:val="TableTextCentered"/>
              <w:rPr>
                <w:rFonts w:ascii="Franklin Gothic Book" w:hAnsi="Franklin Gothic Book"/>
              </w:rPr>
            </w:pPr>
            <w:r>
              <w:rPr>
                <w:rFonts w:ascii="Franklin Gothic Book" w:hAnsi="Franklin Gothic Book"/>
              </w:rPr>
              <w:t>54</w:t>
            </w:r>
          </w:p>
        </w:tc>
        <w:tc>
          <w:tcPr>
            <w:tcW w:w="1152" w:type="dxa"/>
            <w:vAlign w:val="center"/>
          </w:tcPr>
          <w:p w14:paraId="36CC2F20" w14:textId="77777777" w:rsidR="000A1B38" w:rsidRPr="00BD1632" w:rsidRDefault="000A1B38">
            <w:pPr>
              <w:pStyle w:val="TableTextCentered"/>
              <w:rPr>
                <w:rFonts w:ascii="Franklin Gothic Book" w:hAnsi="Franklin Gothic Book"/>
              </w:rPr>
            </w:pPr>
            <w:r>
              <w:rPr>
                <w:rFonts w:ascii="Franklin Gothic Book" w:hAnsi="Franklin Gothic Book"/>
              </w:rPr>
              <w:t>50</w:t>
            </w:r>
          </w:p>
        </w:tc>
        <w:tc>
          <w:tcPr>
            <w:tcW w:w="1152" w:type="dxa"/>
            <w:vAlign w:val="center"/>
          </w:tcPr>
          <w:p w14:paraId="52389D6A" w14:textId="77777777" w:rsidR="000A1B38" w:rsidRPr="00BD1632" w:rsidRDefault="000A1B38">
            <w:pPr>
              <w:pStyle w:val="TableTextCentered"/>
              <w:rPr>
                <w:rFonts w:ascii="Franklin Gothic Book" w:hAnsi="Franklin Gothic Book"/>
              </w:rPr>
            </w:pPr>
            <w:r>
              <w:rPr>
                <w:rFonts w:ascii="Franklin Gothic Book" w:hAnsi="Franklin Gothic Book"/>
              </w:rPr>
              <w:t>47</w:t>
            </w:r>
          </w:p>
        </w:tc>
      </w:tr>
      <w:tr w:rsidR="000A1B38" w:rsidRPr="00976F70" w14:paraId="2EBA2240" w14:textId="77777777">
        <w:tc>
          <w:tcPr>
            <w:tcW w:w="3586" w:type="dxa"/>
          </w:tcPr>
          <w:p w14:paraId="370AEAC7"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38DDB4BA" w14:textId="77777777" w:rsidR="000A1B38" w:rsidRPr="00BD1632" w:rsidRDefault="000A1B38">
            <w:pPr>
              <w:pStyle w:val="TableTextCentered"/>
              <w:rPr>
                <w:rFonts w:ascii="Franklin Gothic Book" w:hAnsi="Franklin Gothic Book"/>
              </w:rPr>
            </w:pPr>
            <w:r>
              <w:rPr>
                <w:rFonts w:ascii="Franklin Gothic Book" w:hAnsi="Franklin Gothic Book"/>
              </w:rPr>
              <w:t>25</w:t>
            </w:r>
          </w:p>
        </w:tc>
        <w:tc>
          <w:tcPr>
            <w:tcW w:w="1152" w:type="dxa"/>
            <w:vAlign w:val="center"/>
          </w:tcPr>
          <w:p w14:paraId="2C6B14A5" w14:textId="77777777" w:rsidR="000A1B38" w:rsidRPr="00BD1632" w:rsidRDefault="000A1B38">
            <w:pPr>
              <w:pStyle w:val="TableTextCentered"/>
              <w:rPr>
                <w:rFonts w:ascii="Franklin Gothic Book" w:hAnsi="Franklin Gothic Book"/>
              </w:rPr>
            </w:pPr>
            <w:r>
              <w:rPr>
                <w:rFonts w:ascii="Franklin Gothic Book" w:hAnsi="Franklin Gothic Book"/>
              </w:rPr>
              <w:t>43</w:t>
            </w:r>
          </w:p>
        </w:tc>
        <w:tc>
          <w:tcPr>
            <w:tcW w:w="1151" w:type="dxa"/>
            <w:vAlign w:val="center"/>
          </w:tcPr>
          <w:p w14:paraId="2303C5F3"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2" w:type="dxa"/>
            <w:vAlign w:val="center"/>
          </w:tcPr>
          <w:p w14:paraId="62CDC41B" w14:textId="77777777" w:rsidR="000A1B38" w:rsidRPr="00BD1632" w:rsidRDefault="000A1B38">
            <w:pPr>
              <w:pStyle w:val="TableTextCentered"/>
              <w:rPr>
                <w:rFonts w:ascii="Franklin Gothic Book" w:hAnsi="Franklin Gothic Book"/>
              </w:rPr>
            </w:pPr>
            <w:r>
              <w:rPr>
                <w:rFonts w:ascii="Franklin Gothic Book" w:hAnsi="Franklin Gothic Book"/>
              </w:rPr>
              <w:t>54</w:t>
            </w:r>
          </w:p>
        </w:tc>
        <w:tc>
          <w:tcPr>
            <w:tcW w:w="1152" w:type="dxa"/>
            <w:vAlign w:val="center"/>
          </w:tcPr>
          <w:p w14:paraId="0AE92EEE"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040CE46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5C0B729"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3D3F656E" w14:textId="77777777" w:rsidR="000A1B38" w:rsidRPr="00BD1632" w:rsidRDefault="000A1B38">
            <w:pPr>
              <w:pStyle w:val="TableTextCentered"/>
              <w:rPr>
                <w:rFonts w:ascii="Franklin Gothic Book" w:hAnsi="Franklin Gothic Book"/>
              </w:rPr>
            </w:pPr>
            <w:r>
              <w:rPr>
                <w:rFonts w:ascii="Franklin Gothic Book" w:hAnsi="Franklin Gothic Book"/>
              </w:rPr>
              <w:t>1</w:t>
            </w:r>
          </w:p>
        </w:tc>
        <w:tc>
          <w:tcPr>
            <w:tcW w:w="1152" w:type="dxa"/>
            <w:vAlign w:val="center"/>
          </w:tcPr>
          <w:p w14:paraId="4422F604" w14:textId="57105F88"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0C44D51E" w14:textId="3B6C0015"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47B09552" w14:textId="2FEE3A4C"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5C5D582F"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7237367B" w14:textId="77777777">
        <w:tc>
          <w:tcPr>
            <w:tcW w:w="3586" w:type="dxa"/>
          </w:tcPr>
          <w:p w14:paraId="7DA341BE"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7B1E1FAA"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2" w:type="dxa"/>
            <w:vAlign w:val="center"/>
          </w:tcPr>
          <w:p w14:paraId="4DB1B086"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1" w:type="dxa"/>
            <w:vAlign w:val="center"/>
          </w:tcPr>
          <w:p w14:paraId="34CDD095"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2" w:type="dxa"/>
            <w:vAlign w:val="center"/>
          </w:tcPr>
          <w:p w14:paraId="56C7BE0B" w14:textId="77777777" w:rsidR="000A1B38" w:rsidRPr="00BD1632" w:rsidRDefault="000A1B38">
            <w:pPr>
              <w:pStyle w:val="TableTextCentered"/>
              <w:rPr>
                <w:rFonts w:ascii="Franklin Gothic Book" w:hAnsi="Franklin Gothic Book"/>
              </w:rPr>
            </w:pPr>
            <w:r>
              <w:rPr>
                <w:rFonts w:ascii="Franklin Gothic Book" w:hAnsi="Franklin Gothic Book"/>
              </w:rPr>
              <w:t>50</w:t>
            </w:r>
          </w:p>
        </w:tc>
        <w:tc>
          <w:tcPr>
            <w:tcW w:w="1152" w:type="dxa"/>
            <w:vAlign w:val="center"/>
          </w:tcPr>
          <w:p w14:paraId="47D284A3"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6E5B6626"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B3201A5"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5876059C" w14:textId="77777777" w:rsidR="000A1B38" w:rsidRPr="00BD1632" w:rsidRDefault="000A1B38">
            <w:pPr>
              <w:pStyle w:val="TableTextCentered"/>
              <w:rPr>
                <w:rFonts w:ascii="Franklin Gothic Book" w:hAnsi="Franklin Gothic Book"/>
              </w:rPr>
            </w:pPr>
            <w:r>
              <w:rPr>
                <w:rFonts w:ascii="Franklin Gothic Book" w:hAnsi="Franklin Gothic Book"/>
              </w:rPr>
              <w:t>396</w:t>
            </w:r>
          </w:p>
        </w:tc>
        <w:tc>
          <w:tcPr>
            <w:tcW w:w="1152" w:type="dxa"/>
            <w:vAlign w:val="center"/>
          </w:tcPr>
          <w:p w14:paraId="42C21660" w14:textId="77777777" w:rsidR="000A1B38" w:rsidRPr="00BD1632" w:rsidRDefault="000A1B38">
            <w:pPr>
              <w:pStyle w:val="TableTextCentered"/>
              <w:rPr>
                <w:rFonts w:ascii="Franklin Gothic Book" w:hAnsi="Franklin Gothic Book"/>
              </w:rPr>
            </w:pPr>
            <w:r>
              <w:rPr>
                <w:rFonts w:ascii="Franklin Gothic Book" w:hAnsi="Franklin Gothic Book"/>
              </w:rPr>
              <w:t>45</w:t>
            </w:r>
          </w:p>
        </w:tc>
        <w:tc>
          <w:tcPr>
            <w:tcW w:w="1151" w:type="dxa"/>
            <w:vAlign w:val="center"/>
          </w:tcPr>
          <w:p w14:paraId="2AE13F83"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2" w:type="dxa"/>
            <w:vAlign w:val="center"/>
          </w:tcPr>
          <w:p w14:paraId="1E4E47E1"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3C283A8F" w14:textId="77777777" w:rsidR="000A1B38" w:rsidRPr="00BD1632" w:rsidRDefault="000A1B38">
            <w:pPr>
              <w:pStyle w:val="TableTextCentered"/>
              <w:rPr>
                <w:rFonts w:ascii="Franklin Gothic Book" w:hAnsi="Franklin Gothic Book"/>
              </w:rPr>
            </w:pPr>
            <w:r>
              <w:rPr>
                <w:rFonts w:ascii="Franklin Gothic Book" w:hAnsi="Franklin Gothic Book"/>
              </w:rPr>
              <w:t>47</w:t>
            </w:r>
          </w:p>
        </w:tc>
      </w:tr>
      <w:tr w:rsidR="000A1B38" w:rsidRPr="00976F70" w14:paraId="7583A27D" w14:textId="77777777">
        <w:tc>
          <w:tcPr>
            <w:tcW w:w="3586" w:type="dxa"/>
          </w:tcPr>
          <w:p w14:paraId="436AB6B7"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6FF06E82" w14:textId="77777777" w:rsidR="000A1B38" w:rsidRPr="00BD1632" w:rsidRDefault="000A1B38">
            <w:pPr>
              <w:pStyle w:val="TableTextCentered"/>
              <w:rPr>
                <w:rFonts w:ascii="Franklin Gothic Book" w:hAnsi="Franklin Gothic Book"/>
              </w:rPr>
            </w:pPr>
            <w:r>
              <w:rPr>
                <w:rFonts w:ascii="Franklin Gothic Book" w:hAnsi="Franklin Gothic Book"/>
              </w:rPr>
              <w:t>116</w:t>
            </w:r>
          </w:p>
        </w:tc>
        <w:tc>
          <w:tcPr>
            <w:tcW w:w="1152" w:type="dxa"/>
            <w:vAlign w:val="center"/>
          </w:tcPr>
          <w:p w14:paraId="75CC5DDF" w14:textId="77777777" w:rsidR="000A1B38" w:rsidRPr="00BD1632" w:rsidRDefault="000A1B38">
            <w:pPr>
              <w:pStyle w:val="TableTextCentered"/>
              <w:rPr>
                <w:rFonts w:ascii="Franklin Gothic Book" w:hAnsi="Franklin Gothic Book"/>
              </w:rPr>
            </w:pPr>
            <w:r>
              <w:rPr>
                <w:rFonts w:ascii="Franklin Gothic Book" w:hAnsi="Franklin Gothic Book"/>
              </w:rPr>
              <w:t>39</w:t>
            </w:r>
          </w:p>
        </w:tc>
        <w:tc>
          <w:tcPr>
            <w:tcW w:w="1151" w:type="dxa"/>
            <w:vAlign w:val="center"/>
          </w:tcPr>
          <w:p w14:paraId="3C3A1C8A"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1C659C99" w14:textId="77777777" w:rsidR="000A1B38" w:rsidRPr="00BD1632" w:rsidRDefault="000A1B38">
            <w:pPr>
              <w:pStyle w:val="TableTextCentered"/>
              <w:rPr>
                <w:rFonts w:ascii="Franklin Gothic Book" w:hAnsi="Franklin Gothic Book"/>
              </w:rPr>
            </w:pPr>
            <w:r>
              <w:rPr>
                <w:rFonts w:ascii="Franklin Gothic Book" w:hAnsi="Franklin Gothic Book"/>
              </w:rPr>
              <w:t>56</w:t>
            </w:r>
          </w:p>
        </w:tc>
        <w:tc>
          <w:tcPr>
            <w:tcW w:w="1152" w:type="dxa"/>
            <w:vAlign w:val="center"/>
          </w:tcPr>
          <w:p w14:paraId="0135517C" w14:textId="77777777" w:rsidR="000A1B38" w:rsidRPr="00BD1632" w:rsidRDefault="000A1B38">
            <w:pPr>
              <w:pStyle w:val="TableTextCentered"/>
              <w:rPr>
                <w:rFonts w:ascii="Franklin Gothic Book" w:hAnsi="Franklin Gothic Book"/>
              </w:rPr>
            </w:pPr>
            <w:r>
              <w:rPr>
                <w:rFonts w:ascii="Franklin Gothic Book" w:hAnsi="Franklin Gothic Book"/>
              </w:rPr>
              <w:t>51</w:t>
            </w:r>
          </w:p>
        </w:tc>
      </w:tr>
      <w:tr w:rsidR="000A1B38" w:rsidRPr="00976F70" w14:paraId="6FB9189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5FD8833"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7A5EFC64" w14:textId="77777777" w:rsidR="000A1B38" w:rsidRPr="00BD1632" w:rsidRDefault="000A1B38">
            <w:pPr>
              <w:pStyle w:val="TableTextCentered"/>
              <w:rPr>
                <w:rFonts w:ascii="Franklin Gothic Book" w:hAnsi="Franklin Gothic Book"/>
              </w:rPr>
            </w:pPr>
            <w:r>
              <w:rPr>
                <w:rFonts w:ascii="Franklin Gothic Book" w:hAnsi="Franklin Gothic Book"/>
              </w:rPr>
              <w:t>352</w:t>
            </w:r>
          </w:p>
        </w:tc>
        <w:tc>
          <w:tcPr>
            <w:tcW w:w="1152" w:type="dxa"/>
            <w:vAlign w:val="center"/>
          </w:tcPr>
          <w:p w14:paraId="29058FCD" w14:textId="77777777" w:rsidR="000A1B38" w:rsidRPr="00BD1632" w:rsidRDefault="000A1B38">
            <w:pPr>
              <w:pStyle w:val="TableTextCentered"/>
              <w:rPr>
                <w:rFonts w:ascii="Franklin Gothic Book" w:hAnsi="Franklin Gothic Book"/>
              </w:rPr>
            </w:pPr>
            <w:r>
              <w:rPr>
                <w:rFonts w:ascii="Franklin Gothic Book" w:hAnsi="Franklin Gothic Book"/>
              </w:rPr>
              <w:t>45</w:t>
            </w:r>
          </w:p>
        </w:tc>
        <w:tc>
          <w:tcPr>
            <w:tcW w:w="1151" w:type="dxa"/>
            <w:vAlign w:val="center"/>
          </w:tcPr>
          <w:p w14:paraId="556A6E88"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2" w:type="dxa"/>
            <w:vAlign w:val="center"/>
          </w:tcPr>
          <w:p w14:paraId="6F1F470C"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2" w:type="dxa"/>
            <w:vAlign w:val="center"/>
          </w:tcPr>
          <w:p w14:paraId="1DF589ED" w14:textId="77777777" w:rsidR="000A1B38" w:rsidRPr="00BD1632" w:rsidRDefault="000A1B38">
            <w:pPr>
              <w:pStyle w:val="TableTextCentered"/>
              <w:rPr>
                <w:rFonts w:ascii="Franklin Gothic Book" w:hAnsi="Franklin Gothic Book"/>
              </w:rPr>
            </w:pPr>
            <w:r>
              <w:rPr>
                <w:rFonts w:ascii="Franklin Gothic Book" w:hAnsi="Franklin Gothic Book"/>
              </w:rPr>
              <w:t>47</w:t>
            </w:r>
          </w:p>
        </w:tc>
      </w:tr>
      <w:tr w:rsidR="000A1B38" w:rsidRPr="00976F70" w14:paraId="05BB4D9A" w14:textId="77777777">
        <w:tc>
          <w:tcPr>
            <w:tcW w:w="3586" w:type="dxa"/>
          </w:tcPr>
          <w:p w14:paraId="2AF174B5"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0C171667" w14:textId="77777777" w:rsidR="000A1B38" w:rsidRPr="00BD1632" w:rsidRDefault="000A1B38">
            <w:pPr>
              <w:pStyle w:val="TableTextCentered"/>
              <w:rPr>
                <w:rFonts w:ascii="Franklin Gothic Book" w:hAnsi="Franklin Gothic Book"/>
              </w:rPr>
            </w:pPr>
            <w:r>
              <w:rPr>
                <w:rFonts w:ascii="Franklin Gothic Book" w:hAnsi="Franklin Gothic Book"/>
              </w:rPr>
              <w:t>94</w:t>
            </w:r>
          </w:p>
        </w:tc>
        <w:tc>
          <w:tcPr>
            <w:tcW w:w="1152" w:type="dxa"/>
            <w:vAlign w:val="center"/>
          </w:tcPr>
          <w:p w14:paraId="6CC32E4E" w14:textId="77777777" w:rsidR="000A1B38" w:rsidRPr="00BD1632" w:rsidRDefault="000A1B38">
            <w:pPr>
              <w:pStyle w:val="TableTextCentered"/>
              <w:rPr>
                <w:rFonts w:ascii="Franklin Gothic Book" w:hAnsi="Franklin Gothic Book"/>
              </w:rPr>
            </w:pPr>
            <w:r>
              <w:rPr>
                <w:rFonts w:ascii="Franklin Gothic Book" w:hAnsi="Franklin Gothic Book"/>
              </w:rPr>
              <w:t>42</w:t>
            </w:r>
          </w:p>
        </w:tc>
        <w:tc>
          <w:tcPr>
            <w:tcW w:w="1151" w:type="dxa"/>
            <w:vAlign w:val="center"/>
          </w:tcPr>
          <w:p w14:paraId="16D44BB7" w14:textId="77777777" w:rsidR="000A1B38" w:rsidRPr="00BD1632" w:rsidRDefault="000A1B38">
            <w:pPr>
              <w:pStyle w:val="TableTextCentered"/>
              <w:rPr>
                <w:rFonts w:ascii="Franklin Gothic Book" w:hAnsi="Franklin Gothic Book"/>
              </w:rPr>
            </w:pPr>
            <w:r>
              <w:rPr>
                <w:rFonts w:ascii="Franklin Gothic Book" w:hAnsi="Franklin Gothic Book"/>
              </w:rPr>
              <w:t>43</w:t>
            </w:r>
          </w:p>
        </w:tc>
        <w:tc>
          <w:tcPr>
            <w:tcW w:w="1152" w:type="dxa"/>
            <w:vAlign w:val="center"/>
          </w:tcPr>
          <w:p w14:paraId="69697C2D"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0ECDBC3E" w14:textId="77777777" w:rsidR="000A1B38" w:rsidRPr="00BD1632" w:rsidRDefault="000A1B38">
            <w:pPr>
              <w:pStyle w:val="TableTextCentered"/>
              <w:rPr>
                <w:rFonts w:ascii="Franklin Gothic Book" w:hAnsi="Franklin Gothic Book"/>
              </w:rPr>
            </w:pPr>
            <w:r>
              <w:rPr>
                <w:rFonts w:ascii="Franklin Gothic Book" w:hAnsi="Franklin Gothic Book"/>
              </w:rPr>
              <w:t>46</w:t>
            </w:r>
          </w:p>
        </w:tc>
      </w:tr>
    </w:tbl>
    <w:p w14:paraId="60F4B768" w14:textId="77777777" w:rsidR="000A1B38" w:rsidRPr="00E56196" w:rsidRDefault="000A1B38" w:rsidP="00EC51F0">
      <w:pPr>
        <w:pStyle w:val="BodyText"/>
      </w:pPr>
      <w:r w:rsidRPr="00E56196">
        <w:br w:type="page"/>
      </w:r>
    </w:p>
    <w:p w14:paraId="272CFA5B" w14:textId="77777777" w:rsidR="000A1B38" w:rsidRPr="003C1C59" w:rsidRDefault="000A1B38" w:rsidP="0082637F">
      <w:pPr>
        <w:pStyle w:val="TableETitle"/>
      </w:pPr>
      <w:bookmarkStart w:id="239" w:name="_Toc211930042"/>
      <w:bookmarkStart w:id="240" w:name="_Toc230970172"/>
      <w:r w:rsidRPr="005055D7">
        <w:t>Table E</w:t>
      </w:r>
      <w:r>
        <w:t>12</w:t>
      </w:r>
      <w:r w:rsidRPr="005055D7">
        <w:t>.</w:t>
      </w:r>
      <w:r>
        <w:t xml:space="preserve"> </w:t>
      </w:r>
      <w:r w:rsidRPr="005055D7">
        <w:t xml:space="preserve">MCAS </w:t>
      </w:r>
      <w:r>
        <w:t>Mathematics Mean Student Growth Percentile</w:t>
      </w:r>
      <w:r w:rsidRPr="003979D4">
        <w:t xml:space="preserve"> by Student Group</w:t>
      </w:r>
      <w:r>
        <w:t xml:space="preserve">, </w:t>
      </w:r>
      <w:r w:rsidRPr="005055D7">
        <w:t>Grade</w:t>
      </w:r>
      <w:r>
        <w:t>s 3-8</w:t>
      </w:r>
      <w:r w:rsidRPr="005055D7">
        <w:t>, 202</w:t>
      </w:r>
      <w:r>
        <w:t>3</w:t>
      </w:r>
      <w:r w:rsidRPr="005055D7">
        <w:t>-202</w:t>
      </w:r>
      <w:r>
        <w:t>5</w:t>
      </w:r>
      <w:bookmarkEnd w:id="239"/>
      <w:bookmarkEnd w:id="240"/>
    </w:p>
    <w:tbl>
      <w:tblPr>
        <w:tblStyle w:val="MSVTable1"/>
        <w:tblW w:w="5000" w:type="pct"/>
        <w:tblLook w:val="0420" w:firstRow="1" w:lastRow="0" w:firstColumn="0" w:lastColumn="0" w:noHBand="0" w:noVBand="1"/>
        <w:tblCaption w:val="Table E12. MCAS Mathematics Mean Student Growth Percentile by Student Group, Grades 3-8, 2023-2025"/>
        <w:tblDescription w:val="MCAS Mathematics Mean Student Growth Percentile by Student Group, Grades 3-8, 2023-2025"/>
      </w:tblPr>
      <w:tblGrid>
        <w:gridCol w:w="3586"/>
        <w:gridCol w:w="1151"/>
        <w:gridCol w:w="1152"/>
        <w:gridCol w:w="1151"/>
        <w:gridCol w:w="1152"/>
        <w:gridCol w:w="1152"/>
      </w:tblGrid>
      <w:tr w:rsidR="000A1B38" w:rsidRPr="00976F70" w14:paraId="4662574D"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038D4C47" w14:textId="77777777" w:rsidR="000A1B38" w:rsidRPr="00B85B0B" w:rsidRDefault="000A1B38">
            <w:pPr>
              <w:pStyle w:val="TableColHeadingLeft"/>
              <w:jc w:val="center"/>
            </w:pPr>
            <w:r w:rsidRPr="00B85B0B">
              <w:t>Group</w:t>
            </w:r>
          </w:p>
        </w:tc>
        <w:tc>
          <w:tcPr>
            <w:tcW w:w="1151" w:type="dxa"/>
            <w:vAlign w:val="center"/>
          </w:tcPr>
          <w:p w14:paraId="5EB403C0" w14:textId="77777777" w:rsidR="000A1B38" w:rsidRPr="00B85B0B" w:rsidRDefault="000A1B38">
            <w:pPr>
              <w:pStyle w:val="TableColHeadingCenter"/>
            </w:pPr>
            <w:r>
              <w:t># Included</w:t>
            </w:r>
            <w:r w:rsidRPr="00B85B0B">
              <w:t xml:space="preserve"> (202</w:t>
            </w:r>
            <w:r>
              <w:t>5</w:t>
            </w:r>
            <w:r w:rsidRPr="00B85B0B">
              <w:t>)</w:t>
            </w:r>
          </w:p>
        </w:tc>
        <w:tc>
          <w:tcPr>
            <w:tcW w:w="1152" w:type="dxa"/>
            <w:vAlign w:val="center"/>
          </w:tcPr>
          <w:p w14:paraId="3B00D34A" w14:textId="77777777" w:rsidR="000A1B38" w:rsidRPr="00B85B0B" w:rsidRDefault="000A1B38">
            <w:pPr>
              <w:pStyle w:val="TableColHeadingCenter"/>
            </w:pPr>
            <w:r w:rsidRPr="00B85B0B">
              <w:t>202</w:t>
            </w:r>
            <w:r>
              <w:t>3</w:t>
            </w:r>
          </w:p>
        </w:tc>
        <w:tc>
          <w:tcPr>
            <w:tcW w:w="1151" w:type="dxa"/>
            <w:vAlign w:val="center"/>
          </w:tcPr>
          <w:p w14:paraId="29B67EFF" w14:textId="77777777" w:rsidR="000A1B38" w:rsidRPr="00B85B0B" w:rsidRDefault="000A1B38">
            <w:pPr>
              <w:pStyle w:val="TableColHeadingCenter"/>
            </w:pPr>
            <w:r w:rsidRPr="00B85B0B">
              <w:t>202</w:t>
            </w:r>
            <w:r>
              <w:t>4</w:t>
            </w:r>
          </w:p>
        </w:tc>
        <w:tc>
          <w:tcPr>
            <w:tcW w:w="1152" w:type="dxa"/>
            <w:vAlign w:val="center"/>
          </w:tcPr>
          <w:p w14:paraId="5932D08E" w14:textId="77777777" w:rsidR="000A1B38" w:rsidRPr="00B85B0B" w:rsidRDefault="000A1B38">
            <w:pPr>
              <w:pStyle w:val="TableColHeadingCenter"/>
            </w:pPr>
            <w:r>
              <w:t>2025</w:t>
            </w:r>
          </w:p>
        </w:tc>
        <w:tc>
          <w:tcPr>
            <w:tcW w:w="1152" w:type="dxa"/>
            <w:vAlign w:val="center"/>
          </w:tcPr>
          <w:p w14:paraId="0D77C236" w14:textId="77777777" w:rsidR="000A1B38" w:rsidRPr="00B85B0B" w:rsidRDefault="000A1B38">
            <w:pPr>
              <w:pStyle w:val="TableColHeadingCenter"/>
            </w:pPr>
            <w:r w:rsidRPr="00B85B0B">
              <w:t>State (202</w:t>
            </w:r>
            <w:r>
              <w:t>5</w:t>
            </w:r>
            <w:r w:rsidRPr="00B85B0B">
              <w:t>)</w:t>
            </w:r>
          </w:p>
        </w:tc>
      </w:tr>
      <w:tr w:rsidR="000A1B38" w:rsidRPr="00976F70" w14:paraId="173364B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5BBFBF7"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57BE0826" w14:textId="77777777" w:rsidR="000A1B38" w:rsidRPr="00BD1632" w:rsidRDefault="000A1B38">
            <w:pPr>
              <w:pStyle w:val="TableTextCentered"/>
              <w:rPr>
                <w:rFonts w:ascii="Franklin Gothic Book" w:hAnsi="Franklin Gothic Book"/>
              </w:rPr>
            </w:pPr>
            <w:r>
              <w:rPr>
                <w:rFonts w:ascii="Franklin Gothic Book" w:hAnsi="Franklin Gothic Book"/>
              </w:rPr>
              <w:t>4,569</w:t>
            </w:r>
          </w:p>
        </w:tc>
        <w:tc>
          <w:tcPr>
            <w:tcW w:w="1152" w:type="dxa"/>
            <w:vAlign w:val="center"/>
          </w:tcPr>
          <w:p w14:paraId="304B7658"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1" w:type="dxa"/>
            <w:vAlign w:val="center"/>
          </w:tcPr>
          <w:p w14:paraId="5A07CDF5"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78750E7C"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3DB9AD1F"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129FE8A0" w14:textId="77777777">
        <w:tc>
          <w:tcPr>
            <w:tcW w:w="3586" w:type="dxa"/>
          </w:tcPr>
          <w:p w14:paraId="29AA9964"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10CB68EC" w14:textId="77777777" w:rsidR="000A1B38" w:rsidRPr="00BD1632" w:rsidRDefault="000A1B38">
            <w:pPr>
              <w:pStyle w:val="TableTextCentered"/>
              <w:rPr>
                <w:rFonts w:ascii="Franklin Gothic Book" w:hAnsi="Franklin Gothic Book"/>
              </w:rPr>
            </w:pPr>
            <w:r>
              <w:rPr>
                <w:rFonts w:ascii="Franklin Gothic Book" w:hAnsi="Franklin Gothic Book"/>
              </w:rPr>
              <w:t>14</w:t>
            </w:r>
          </w:p>
        </w:tc>
        <w:tc>
          <w:tcPr>
            <w:tcW w:w="1152" w:type="dxa"/>
            <w:vAlign w:val="center"/>
          </w:tcPr>
          <w:p w14:paraId="6684E62C" w14:textId="5445270B"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137F07EB" w14:textId="6A10A681"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0B5F855C" w14:textId="2A1E821D"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6A8BDCBB" w14:textId="77777777" w:rsidR="000A1B38" w:rsidRPr="00BD1632" w:rsidRDefault="000A1B38">
            <w:pPr>
              <w:pStyle w:val="TableTextCentered"/>
              <w:rPr>
                <w:rFonts w:ascii="Franklin Gothic Book" w:hAnsi="Franklin Gothic Book"/>
              </w:rPr>
            </w:pPr>
            <w:r>
              <w:rPr>
                <w:rFonts w:ascii="Franklin Gothic Book" w:hAnsi="Franklin Gothic Book"/>
              </w:rPr>
              <w:t>48</w:t>
            </w:r>
          </w:p>
        </w:tc>
      </w:tr>
      <w:tr w:rsidR="000A1B38" w:rsidRPr="00976F70" w14:paraId="2C810E0B"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BABEAD0"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2D5BF93E" w14:textId="77777777" w:rsidR="000A1B38" w:rsidRPr="00BD1632" w:rsidRDefault="000A1B38">
            <w:pPr>
              <w:pStyle w:val="TableTextCentered"/>
              <w:rPr>
                <w:rFonts w:ascii="Franklin Gothic Book" w:hAnsi="Franklin Gothic Book"/>
              </w:rPr>
            </w:pPr>
            <w:r>
              <w:rPr>
                <w:rFonts w:ascii="Franklin Gothic Book" w:hAnsi="Franklin Gothic Book"/>
              </w:rPr>
              <w:t>66</w:t>
            </w:r>
          </w:p>
        </w:tc>
        <w:tc>
          <w:tcPr>
            <w:tcW w:w="1152" w:type="dxa"/>
            <w:vAlign w:val="center"/>
          </w:tcPr>
          <w:p w14:paraId="3C758488" w14:textId="77777777" w:rsidR="000A1B38" w:rsidRPr="00BD1632" w:rsidRDefault="000A1B38">
            <w:pPr>
              <w:pStyle w:val="TableTextCentered"/>
              <w:rPr>
                <w:rFonts w:ascii="Franklin Gothic Book" w:hAnsi="Franklin Gothic Book"/>
              </w:rPr>
            </w:pPr>
            <w:r>
              <w:rPr>
                <w:rFonts w:ascii="Franklin Gothic Book" w:hAnsi="Franklin Gothic Book"/>
              </w:rPr>
              <w:t>59</w:t>
            </w:r>
          </w:p>
        </w:tc>
        <w:tc>
          <w:tcPr>
            <w:tcW w:w="1151" w:type="dxa"/>
            <w:vAlign w:val="center"/>
          </w:tcPr>
          <w:p w14:paraId="036A3A6A" w14:textId="77777777" w:rsidR="000A1B38" w:rsidRPr="00BD1632" w:rsidRDefault="000A1B38">
            <w:pPr>
              <w:pStyle w:val="TableTextCentered"/>
              <w:rPr>
                <w:rFonts w:ascii="Franklin Gothic Book" w:hAnsi="Franklin Gothic Book"/>
              </w:rPr>
            </w:pPr>
            <w:r>
              <w:rPr>
                <w:rFonts w:ascii="Franklin Gothic Book" w:hAnsi="Franklin Gothic Book"/>
              </w:rPr>
              <w:t>57</w:t>
            </w:r>
          </w:p>
        </w:tc>
        <w:tc>
          <w:tcPr>
            <w:tcW w:w="1152" w:type="dxa"/>
            <w:vAlign w:val="center"/>
          </w:tcPr>
          <w:p w14:paraId="1D4FA24B"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2" w:type="dxa"/>
            <w:vAlign w:val="center"/>
          </w:tcPr>
          <w:p w14:paraId="1311CA0D" w14:textId="77777777" w:rsidR="000A1B38" w:rsidRPr="00BD1632" w:rsidRDefault="000A1B38">
            <w:pPr>
              <w:pStyle w:val="TableTextCentered"/>
              <w:rPr>
                <w:rFonts w:ascii="Franklin Gothic Book" w:hAnsi="Franklin Gothic Book"/>
              </w:rPr>
            </w:pPr>
            <w:r>
              <w:rPr>
                <w:rFonts w:ascii="Franklin Gothic Book" w:hAnsi="Franklin Gothic Book"/>
              </w:rPr>
              <w:t>58</w:t>
            </w:r>
          </w:p>
        </w:tc>
      </w:tr>
      <w:tr w:rsidR="000A1B38" w:rsidRPr="00976F70" w14:paraId="7BF51DF5" w14:textId="77777777">
        <w:tc>
          <w:tcPr>
            <w:tcW w:w="3586" w:type="dxa"/>
          </w:tcPr>
          <w:p w14:paraId="6E04941C"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40B2E764" w14:textId="77777777" w:rsidR="000A1B38" w:rsidRPr="00BD1632" w:rsidRDefault="000A1B38">
            <w:pPr>
              <w:pStyle w:val="TableTextCentered"/>
              <w:rPr>
                <w:rFonts w:ascii="Franklin Gothic Book" w:hAnsi="Franklin Gothic Book"/>
              </w:rPr>
            </w:pPr>
            <w:r>
              <w:rPr>
                <w:rFonts w:ascii="Franklin Gothic Book" w:hAnsi="Franklin Gothic Book"/>
              </w:rPr>
              <w:t>2,730</w:t>
            </w:r>
          </w:p>
        </w:tc>
        <w:tc>
          <w:tcPr>
            <w:tcW w:w="1152" w:type="dxa"/>
            <w:vAlign w:val="center"/>
          </w:tcPr>
          <w:p w14:paraId="2A63AC7D"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1" w:type="dxa"/>
            <w:vAlign w:val="center"/>
          </w:tcPr>
          <w:p w14:paraId="4CDD03FD"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55EECCD0"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4534217A" w14:textId="77777777" w:rsidR="000A1B38" w:rsidRPr="00BD1632" w:rsidRDefault="000A1B38">
            <w:pPr>
              <w:pStyle w:val="TableTextCentered"/>
              <w:rPr>
                <w:rFonts w:ascii="Franklin Gothic Book" w:hAnsi="Franklin Gothic Book"/>
              </w:rPr>
            </w:pPr>
            <w:r>
              <w:rPr>
                <w:rFonts w:ascii="Franklin Gothic Book" w:hAnsi="Franklin Gothic Book"/>
              </w:rPr>
              <w:t>49</w:t>
            </w:r>
          </w:p>
        </w:tc>
      </w:tr>
      <w:tr w:rsidR="000A1B38" w:rsidRPr="00976F70" w14:paraId="2EFB19D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58B3BA4"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497BAAF7" w14:textId="77777777" w:rsidR="000A1B38" w:rsidRPr="00BD1632" w:rsidRDefault="000A1B38">
            <w:pPr>
              <w:pStyle w:val="TableTextCentered"/>
              <w:rPr>
                <w:rFonts w:ascii="Franklin Gothic Book" w:hAnsi="Franklin Gothic Book"/>
              </w:rPr>
            </w:pPr>
            <w:r>
              <w:rPr>
                <w:rFonts w:ascii="Franklin Gothic Book" w:hAnsi="Franklin Gothic Book"/>
              </w:rPr>
              <w:t>941</w:t>
            </w:r>
          </w:p>
        </w:tc>
        <w:tc>
          <w:tcPr>
            <w:tcW w:w="1152" w:type="dxa"/>
            <w:vAlign w:val="center"/>
          </w:tcPr>
          <w:p w14:paraId="285A9BE6"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1" w:type="dxa"/>
            <w:vAlign w:val="center"/>
          </w:tcPr>
          <w:p w14:paraId="371B9C0C"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393E5BDD"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28570F85" w14:textId="77777777" w:rsidR="000A1B38" w:rsidRPr="00BD1632" w:rsidRDefault="000A1B38">
            <w:pPr>
              <w:pStyle w:val="TableTextCentered"/>
              <w:rPr>
                <w:rFonts w:ascii="Franklin Gothic Book" w:hAnsi="Franklin Gothic Book"/>
              </w:rPr>
            </w:pPr>
            <w:r>
              <w:rPr>
                <w:rFonts w:ascii="Franklin Gothic Book" w:hAnsi="Franklin Gothic Book"/>
              </w:rPr>
              <w:t>49</w:t>
            </w:r>
          </w:p>
        </w:tc>
      </w:tr>
      <w:tr w:rsidR="000A1B38" w:rsidRPr="00976F70" w14:paraId="2F208300" w14:textId="77777777">
        <w:tc>
          <w:tcPr>
            <w:tcW w:w="3586" w:type="dxa"/>
          </w:tcPr>
          <w:p w14:paraId="721A18C0"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6E3475EF" w14:textId="77777777" w:rsidR="000A1B38" w:rsidRPr="00BD1632" w:rsidRDefault="000A1B38">
            <w:pPr>
              <w:pStyle w:val="TableTextCentered"/>
              <w:rPr>
                <w:rFonts w:ascii="Franklin Gothic Book" w:hAnsi="Franklin Gothic Book"/>
              </w:rPr>
            </w:pPr>
            <w:r>
              <w:rPr>
                <w:rFonts w:ascii="Franklin Gothic Book" w:hAnsi="Franklin Gothic Book"/>
              </w:rPr>
              <w:t>186</w:t>
            </w:r>
          </w:p>
        </w:tc>
        <w:tc>
          <w:tcPr>
            <w:tcW w:w="1152" w:type="dxa"/>
            <w:vAlign w:val="center"/>
          </w:tcPr>
          <w:p w14:paraId="6D9D3926"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1" w:type="dxa"/>
            <w:vAlign w:val="center"/>
          </w:tcPr>
          <w:p w14:paraId="43A6533A"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5ED3AB9D"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796B942D" w14:textId="77777777" w:rsidR="000A1B38" w:rsidRPr="00BD1632" w:rsidRDefault="000A1B38">
            <w:pPr>
              <w:pStyle w:val="TableTextCentered"/>
              <w:rPr>
                <w:rFonts w:ascii="Franklin Gothic Book" w:hAnsi="Franklin Gothic Book"/>
              </w:rPr>
            </w:pPr>
            <w:r>
              <w:rPr>
                <w:rFonts w:ascii="Franklin Gothic Book" w:hAnsi="Franklin Gothic Book"/>
              </w:rPr>
              <w:t>51</w:t>
            </w:r>
          </w:p>
        </w:tc>
      </w:tr>
      <w:tr w:rsidR="000A1B38" w:rsidRPr="00976F70" w14:paraId="58D733A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D4E6C32"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149981CC" w14:textId="77777777" w:rsidR="000A1B38" w:rsidRPr="00BD1632" w:rsidRDefault="000A1B38">
            <w:pPr>
              <w:pStyle w:val="TableTextCentered"/>
              <w:rPr>
                <w:rFonts w:ascii="Franklin Gothic Book" w:hAnsi="Franklin Gothic Book"/>
              </w:rPr>
            </w:pPr>
            <w:r>
              <w:rPr>
                <w:rFonts w:ascii="Franklin Gothic Book" w:hAnsi="Franklin Gothic Book"/>
              </w:rPr>
              <w:t>8</w:t>
            </w:r>
          </w:p>
        </w:tc>
        <w:tc>
          <w:tcPr>
            <w:tcW w:w="1152" w:type="dxa"/>
            <w:vAlign w:val="center"/>
          </w:tcPr>
          <w:p w14:paraId="60153B76" w14:textId="11530BF8"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2996FB3B" w14:textId="0007AE3C"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2030C65A" w14:textId="2D0A021F"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0A361BDA" w14:textId="77777777" w:rsidR="000A1B38" w:rsidRPr="00BD1632" w:rsidRDefault="000A1B38">
            <w:pPr>
              <w:pStyle w:val="TableTextCentered"/>
              <w:rPr>
                <w:rFonts w:ascii="Franklin Gothic Book" w:hAnsi="Franklin Gothic Book"/>
              </w:rPr>
            </w:pPr>
            <w:r>
              <w:rPr>
                <w:rFonts w:ascii="Franklin Gothic Book" w:hAnsi="Franklin Gothic Book"/>
              </w:rPr>
              <w:t>53</w:t>
            </w:r>
          </w:p>
        </w:tc>
      </w:tr>
      <w:tr w:rsidR="000A1B38" w:rsidRPr="00976F70" w14:paraId="619ACA2E" w14:textId="77777777">
        <w:tc>
          <w:tcPr>
            <w:tcW w:w="3586" w:type="dxa"/>
          </w:tcPr>
          <w:p w14:paraId="52E5E6CF"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8D47C2C" w14:textId="77777777" w:rsidR="000A1B38" w:rsidRPr="00BD1632" w:rsidRDefault="000A1B38">
            <w:pPr>
              <w:pStyle w:val="TableTextCentered"/>
              <w:rPr>
                <w:rFonts w:ascii="Franklin Gothic Book" w:hAnsi="Franklin Gothic Book"/>
              </w:rPr>
            </w:pPr>
            <w:r>
              <w:rPr>
                <w:rFonts w:ascii="Franklin Gothic Book" w:hAnsi="Franklin Gothic Book"/>
              </w:rPr>
              <w:t>624</w:t>
            </w:r>
          </w:p>
        </w:tc>
        <w:tc>
          <w:tcPr>
            <w:tcW w:w="1152" w:type="dxa"/>
            <w:vAlign w:val="center"/>
          </w:tcPr>
          <w:p w14:paraId="6AAC902E"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1" w:type="dxa"/>
            <w:vAlign w:val="center"/>
          </w:tcPr>
          <w:p w14:paraId="792419A3"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78F875C0"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6ECA4A8C"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58CF177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A4B2127"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7F4391DB" w14:textId="77777777" w:rsidR="000A1B38" w:rsidRPr="00BD1632" w:rsidRDefault="000A1B38">
            <w:pPr>
              <w:pStyle w:val="TableTextCentered"/>
              <w:rPr>
                <w:rFonts w:ascii="Franklin Gothic Book" w:hAnsi="Franklin Gothic Book"/>
              </w:rPr>
            </w:pPr>
            <w:r>
              <w:rPr>
                <w:rFonts w:ascii="Franklin Gothic Book" w:hAnsi="Franklin Gothic Book"/>
              </w:rPr>
              <w:t>3,828</w:t>
            </w:r>
          </w:p>
        </w:tc>
        <w:tc>
          <w:tcPr>
            <w:tcW w:w="1152" w:type="dxa"/>
            <w:vAlign w:val="center"/>
          </w:tcPr>
          <w:p w14:paraId="5E3F83B4"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1" w:type="dxa"/>
            <w:vAlign w:val="center"/>
          </w:tcPr>
          <w:p w14:paraId="45AC880D"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06EC37A3"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2F1F24AF" w14:textId="77777777" w:rsidR="000A1B38" w:rsidRPr="00BD1632" w:rsidRDefault="000A1B38">
            <w:pPr>
              <w:pStyle w:val="TableTextCentered"/>
              <w:rPr>
                <w:rFonts w:ascii="Franklin Gothic Book" w:hAnsi="Franklin Gothic Book"/>
              </w:rPr>
            </w:pPr>
            <w:r>
              <w:rPr>
                <w:rFonts w:ascii="Franklin Gothic Book" w:hAnsi="Franklin Gothic Book"/>
              </w:rPr>
              <w:t>48</w:t>
            </w:r>
          </w:p>
        </w:tc>
      </w:tr>
      <w:tr w:rsidR="000A1B38" w:rsidRPr="00976F70" w14:paraId="4B0D3E7B" w14:textId="77777777">
        <w:tc>
          <w:tcPr>
            <w:tcW w:w="3586" w:type="dxa"/>
          </w:tcPr>
          <w:p w14:paraId="1BC39ABB"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3A13A664" w14:textId="77777777" w:rsidR="000A1B38" w:rsidRPr="00BD1632" w:rsidRDefault="000A1B38">
            <w:pPr>
              <w:pStyle w:val="TableTextCentered"/>
              <w:rPr>
                <w:rFonts w:ascii="Franklin Gothic Book" w:hAnsi="Franklin Gothic Book"/>
              </w:rPr>
            </w:pPr>
            <w:r>
              <w:rPr>
                <w:rFonts w:ascii="Franklin Gothic Book" w:hAnsi="Franklin Gothic Book"/>
              </w:rPr>
              <w:t>1,836</w:t>
            </w:r>
          </w:p>
        </w:tc>
        <w:tc>
          <w:tcPr>
            <w:tcW w:w="1152" w:type="dxa"/>
            <w:vAlign w:val="center"/>
          </w:tcPr>
          <w:p w14:paraId="1EE3157C"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1" w:type="dxa"/>
            <w:vAlign w:val="center"/>
          </w:tcPr>
          <w:p w14:paraId="08BBF0A5" w14:textId="77777777" w:rsidR="000A1B38" w:rsidRPr="00BD1632" w:rsidRDefault="000A1B38">
            <w:pPr>
              <w:pStyle w:val="TableTextCentered"/>
              <w:rPr>
                <w:rFonts w:ascii="Franklin Gothic Book" w:hAnsi="Franklin Gothic Book"/>
              </w:rPr>
            </w:pPr>
            <w:r>
              <w:rPr>
                <w:rFonts w:ascii="Franklin Gothic Book" w:hAnsi="Franklin Gothic Book"/>
              </w:rPr>
              <w:t>50</w:t>
            </w:r>
          </w:p>
        </w:tc>
        <w:tc>
          <w:tcPr>
            <w:tcW w:w="1152" w:type="dxa"/>
            <w:vAlign w:val="center"/>
          </w:tcPr>
          <w:p w14:paraId="2D0B9F11"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31E220B3" w14:textId="77777777" w:rsidR="000A1B38" w:rsidRPr="00BD1632" w:rsidRDefault="000A1B38">
            <w:pPr>
              <w:pStyle w:val="TableTextCentered"/>
              <w:rPr>
                <w:rFonts w:ascii="Franklin Gothic Book" w:hAnsi="Franklin Gothic Book"/>
              </w:rPr>
            </w:pPr>
            <w:r>
              <w:rPr>
                <w:rFonts w:ascii="Franklin Gothic Book" w:hAnsi="Franklin Gothic Book"/>
              </w:rPr>
              <w:t>51</w:t>
            </w:r>
          </w:p>
        </w:tc>
      </w:tr>
      <w:tr w:rsidR="000A1B38" w:rsidRPr="00976F70" w14:paraId="3C44B66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622CB26"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0FD8622D" w14:textId="77777777" w:rsidR="000A1B38" w:rsidRPr="00BD1632" w:rsidRDefault="000A1B38">
            <w:pPr>
              <w:pStyle w:val="TableTextCentered"/>
              <w:rPr>
                <w:rFonts w:ascii="Franklin Gothic Book" w:hAnsi="Franklin Gothic Book"/>
              </w:rPr>
            </w:pPr>
            <w:r>
              <w:rPr>
                <w:rFonts w:ascii="Franklin Gothic Book" w:hAnsi="Franklin Gothic Book"/>
              </w:rPr>
              <w:t>3,416</w:t>
            </w:r>
          </w:p>
        </w:tc>
        <w:tc>
          <w:tcPr>
            <w:tcW w:w="1152" w:type="dxa"/>
            <w:vAlign w:val="center"/>
          </w:tcPr>
          <w:p w14:paraId="7B3B0500"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1" w:type="dxa"/>
            <w:vAlign w:val="center"/>
          </w:tcPr>
          <w:p w14:paraId="223BDB18"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6D50F890"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565CAC24" w14:textId="77777777" w:rsidR="000A1B38" w:rsidRPr="00BD1632" w:rsidRDefault="000A1B38">
            <w:pPr>
              <w:pStyle w:val="TableTextCentered"/>
              <w:rPr>
                <w:rFonts w:ascii="Franklin Gothic Book" w:hAnsi="Franklin Gothic Book"/>
              </w:rPr>
            </w:pPr>
            <w:r>
              <w:rPr>
                <w:rFonts w:ascii="Franklin Gothic Book" w:hAnsi="Franklin Gothic Book"/>
              </w:rPr>
              <w:t>48</w:t>
            </w:r>
          </w:p>
        </w:tc>
      </w:tr>
      <w:tr w:rsidR="000A1B38" w:rsidRPr="00976F70" w14:paraId="0215804D" w14:textId="77777777">
        <w:tc>
          <w:tcPr>
            <w:tcW w:w="3586" w:type="dxa"/>
          </w:tcPr>
          <w:p w14:paraId="331722CE"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199EFCF3" w14:textId="77777777" w:rsidR="000A1B38" w:rsidRPr="00BD1632" w:rsidRDefault="000A1B38">
            <w:pPr>
              <w:pStyle w:val="TableTextCentered"/>
              <w:rPr>
                <w:rFonts w:ascii="Franklin Gothic Book" w:hAnsi="Franklin Gothic Book"/>
              </w:rPr>
            </w:pPr>
            <w:r>
              <w:rPr>
                <w:rFonts w:ascii="Franklin Gothic Book" w:hAnsi="Franklin Gothic Book"/>
              </w:rPr>
              <w:t>936</w:t>
            </w:r>
          </w:p>
        </w:tc>
        <w:tc>
          <w:tcPr>
            <w:tcW w:w="1152" w:type="dxa"/>
            <w:vAlign w:val="center"/>
          </w:tcPr>
          <w:p w14:paraId="035AAE07" w14:textId="77777777" w:rsidR="000A1B38" w:rsidRPr="00BD1632" w:rsidRDefault="000A1B38">
            <w:pPr>
              <w:pStyle w:val="TableTextCentered"/>
              <w:rPr>
                <w:rFonts w:ascii="Franklin Gothic Book" w:hAnsi="Franklin Gothic Book"/>
              </w:rPr>
            </w:pPr>
            <w:r>
              <w:rPr>
                <w:rFonts w:ascii="Franklin Gothic Book" w:hAnsi="Franklin Gothic Book"/>
              </w:rPr>
              <w:t>43</w:t>
            </w:r>
          </w:p>
        </w:tc>
        <w:tc>
          <w:tcPr>
            <w:tcW w:w="1151" w:type="dxa"/>
            <w:vAlign w:val="center"/>
          </w:tcPr>
          <w:p w14:paraId="48D2FB6A" w14:textId="77777777" w:rsidR="000A1B38" w:rsidRPr="00BD1632" w:rsidRDefault="000A1B38">
            <w:pPr>
              <w:pStyle w:val="TableTextCentered"/>
              <w:rPr>
                <w:rFonts w:ascii="Franklin Gothic Book" w:hAnsi="Franklin Gothic Book"/>
              </w:rPr>
            </w:pPr>
            <w:r>
              <w:rPr>
                <w:rFonts w:ascii="Franklin Gothic Book" w:hAnsi="Franklin Gothic Book"/>
              </w:rPr>
              <w:t>47</w:t>
            </w:r>
          </w:p>
        </w:tc>
        <w:tc>
          <w:tcPr>
            <w:tcW w:w="1152" w:type="dxa"/>
            <w:vAlign w:val="center"/>
          </w:tcPr>
          <w:p w14:paraId="6103E62D" w14:textId="77777777" w:rsidR="000A1B38" w:rsidRPr="00BD1632" w:rsidRDefault="000A1B38">
            <w:pPr>
              <w:pStyle w:val="TableTextCentered"/>
              <w:rPr>
                <w:rFonts w:ascii="Franklin Gothic Book" w:hAnsi="Franklin Gothic Book"/>
              </w:rPr>
            </w:pPr>
            <w:r>
              <w:rPr>
                <w:rFonts w:ascii="Franklin Gothic Book" w:hAnsi="Franklin Gothic Book"/>
              </w:rPr>
              <w:t>45</w:t>
            </w:r>
          </w:p>
        </w:tc>
        <w:tc>
          <w:tcPr>
            <w:tcW w:w="1152" w:type="dxa"/>
            <w:vAlign w:val="center"/>
          </w:tcPr>
          <w:p w14:paraId="6DA22FED" w14:textId="77777777" w:rsidR="000A1B38" w:rsidRPr="00BD1632" w:rsidRDefault="000A1B38">
            <w:pPr>
              <w:pStyle w:val="TableTextCentered"/>
              <w:rPr>
                <w:rFonts w:ascii="Franklin Gothic Book" w:hAnsi="Franklin Gothic Book"/>
              </w:rPr>
            </w:pPr>
            <w:r>
              <w:rPr>
                <w:rFonts w:ascii="Franklin Gothic Book" w:hAnsi="Franklin Gothic Book"/>
              </w:rPr>
              <w:t>46</w:t>
            </w:r>
          </w:p>
        </w:tc>
      </w:tr>
    </w:tbl>
    <w:p w14:paraId="0E7E34E7" w14:textId="77777777" w:rsidR="000A1B38" w:rsidRPr="003C1C59" w:rsidRDefault="000A1B38" w:rsidP="0082637F">
      <w:pPr>
        <w:pStyle w:val="TableETitle"/>
      </w:pPr>
      <w:bookmarkStart w:id="241" w:name="_Toc211930043"/>
      <w:bookmarkStart w:id="242" w:name="_Toc230970173"/>
      <w:r w:rsidRPr="005055D7">
        <w:t>Table E</w:t>
      </w:r>
      <w:r>
        <w:t>13</w:t>
      </w:r>
      <w:r w:rsidRPr="005055D7">
        <w:t>.</w:t>
      </w:r>
      <w:r>
        <w:t xml:space="preserve"> </w:t>
      </w:r>
      <w:r w:rsidRPr="005055D7">
        <w:t xml:space="preserve">MCAS </w:t>
      </w:r>
      <w:r>
        <w:t>Mathematics Mean Student Growth Percentile</w:t>
      </w:r>
      <w:r w:rsidRPr="003979D4">
        <w:t xml:space="preserve"> by Student Group</w:t>
      </w:r>
      <w:r>
        <w:t xml:space="preserve">, </w:t>
      </w:r>
      <w:r w:rsidRPr="005055D7">
        <w:t>Grade</w:t>
      </w:r>
      <w:r>
        <w:t xml:space="preserve"> 10</w:t>
      </w:r>
      <w:r w:rsidRPr="005055D7">
        <w:t>, 202</w:t>
      </w:r>
      <w:r>
        <w:t>3</w:t>
      </w:r>
      <w:r w:rsidRPr="005055D7">
        <w:t>-202</w:t>
      </w:r>
      <w:r>
        <w:t>5</w:t>
      </w:r>
      <w:bookmarkEnd w:id="241"/>
      <w:bookmarkEnd w:id="242"/>
    </w:p>
    <w:tbl>
      <w:tblPr>
        <w:tblStyle w:val="MSVTable1"/>
        <w:tblW w:w="5000" w:type="pct"/>
        <w:tblLook w:val="0420" w:firstRow="1" w:lastRow="0" w:firstColumn="0" w:lastColumn="0" w:noHBand="0" w:noVBand="1"/>
        <w:tblCaption w:val="Table E13. MCAS Mathematics Mean Student Growth Percentile by Student Group, Grade 10, 2023-2025"/>
        <w:tblDescription w:val="MCAS Mathematics Mean Student Growth Percentile by Student Group, Grade 10, 2023-2025"/>
      </w:tblPr>
      <w:tblGrid>
        <w:gridCol w:w="3586"/>
        <w:gridCol w:w="1151"/>
        <w:gridCol w:w="1152"/>
        <w:gridCol w:w="1151"/>
        <w:gridCol w:w="1152"/>
        <w:gridCol w:w="1152"/>
      </w:tblGrid>
      <w:tr w:rsidR="000A1B38" w:rsidRPr="00976F70" w14:paraId="2B2090A2"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1AC040DC" w14:textId="77777777" w:rsidR="000A1B38" w:rsidRPr="00B85B0B" w:rsidRDefault="000A1B38">
            <w:pPr>
              <w:pStyle w:val="TableColHeadingLeft"/>
              <w:jc w:val="center"/>
            </w:pPr>
            <w:r w:rsidRPr="00B85B0B">
              <w:t>Group</w:t>
            </w:r>
          </w:p>
        </w:tc>
        <w:tc>
          <w:tcPr>
            <w:tcW w:w="1151" w:type="dxa"/>
            <w:vAlign w:val="center"/>
          </w:tcPr>
          <w:p w14:paraId="5C850193" w14:textId="77777777" w:rsidR="000A1B38" w:rsidRPr="00B85B0B" w:rsidRDefault="000A1B38">
            <w:pPr>
              <w:pStyle w:val="TableColHeadingCenter"/>
            </w:pPr>
            <w:r>
              <w:t># Included</w:t>
            </w:r>
            <w:r w:rsidRPr="00B85B0B">
              <w:t xml:space="preserve"> (202</w:t>
            </w:r>
            <w:r>
              <w:t>5</w:t>
            </w:r>
            <w:r w:rsidRPr="00B85B0B">
              <w:t>)</w:t>
            </w:r>
          </w:p>
        </w:tc>
        <w:tc>
          <w:tcPr>
            <w:tcW w:w="1152" w:type="dxa"/>
            <w:vAlign w:val="center"/>
          </w:tcPr>
          <w:p w14:paraId="759A5371" w14:textId="77777777" w:rsidR="000A1B38" w:rsidRPr="00B85B0B" w:rsidRDefault="000A1B38">
            <w:pPr>
              <w:pStyle w:val="TableColHeadingCenter"/>
            </w:pPr>
            <w:r w:rsidRPr="00B85B0B">
              <w:t>202</w:t>
            </w:r>
            <w:r>
              <w:t>3</w:t>
            </w:r>
          </w:p>
        </w:tc>
        <w:tc>
          <w:tcPr>
            <w:tcW w:w="1151" w:type="dxa"/>
            <w:vAlign w:val="center"/>
          </w:tcPr>
          <w:p w14:paraId="3C801D99" w14:textId="77777777" w:rsidR="000A1B38" w:rsidRPr="00B85B0B" w:rsidRDefault="000A1B38">
            <w:pPr>
              <w:pStyle w:val="TableColHeadingCenter"/>
            </w:pPr>
            <w:r w:rsidRPr="00B85B0B">
              <w:t>202</w:t>
            </w:r>
            <w:r>
              <w:t>4</w:t>
            </w:r>
          </w:p>
        </w:tc>
        <w:tc>
          <w:tcPr>
            <w:tcW w:w="1152" w:type="dxa"/>
            <w:vAlign w:val="center"/>
          </w:tcPr>
          <w:p w14:paraId="19FC40B0" w14:textId="77777777" w:rsidR="000A1B38" w:rsidRPr="00B85B0B" w:rsidRDefault="000A1B38">
            <w:pPr>
              <w:pStyle w:val="TableColHeadingCenter"/>
            </w:pPr>
            <w:r>
              <w:t>2025</w:t>
            </w:r>
          </w:p>
        </w:tc>
        <w:tc>
          <w:tcPr>
            <w:tcW w:w="1152" w:type="dxa"/>
            <w:vAlign w:val="center"/>
          </w:tcPr>
          <w:p w14:paraId="7D4A6C10" w14:textId="77777777" w:rsidR="000A1B38" w:rsidRPr="00B85B0B" w:rsidRDefault="000A1B38">
            <w:pPr>
              <w:pStyle w:val="TableColHeadingCenter"/>
            </w:pPr>
            <w:r w:rsidRPr="00B85B0B">
              <w:t>State (202</w:t>
            </w:r>
            <w:r>
              <w:t>5</w:t>
            </w:r>
            <w:r w:rsidRPr="00B85B0B">
              <w:t>)</w:t>
            </w:r>
          </w:p>
        </w:tc>
      </w:tr>
      <w:tr w:rsidR="000A1B38" w:rsidRPr="00976F70" w14:paraId="107CBDBB"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B596335"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4F3F9F40" w14:textId="77777777" w:rsidR="000A1B38" w:rsidRPr="00BD1632" w:rsidRDefault="000A1B38">
            <w:pPr>
              <w:pStyle w:val="TableTextCentered"/>
              <w:rPr>
                <w:rFonts w:ascii="Franklin Gothic Book" w:hAnsi="Franklin Gothic Book"/>
              </w:rPr>
            </w:pPr>
            <w:r>
              <w:rPr>
                <w:rFonts w:ascii="Franklin Gothic Book" w:hAnsi="Franklin Gothic Book"/>
              </w:rPr>
              <w:t>520</w:t>
            </w:r>
          </w:p>
        </w:tc>
        <w:tc>
          <w:tcPr>
            <w:tcW w:w="1152" w:type="dxa"/>
            <w:vAlign w:val="center"/>
          </w:tcPr>
          <w:p w14:paraId="56CD4087" w14:textId="77777777" w:rsidR="000A1B38" w:rsidRPr="00BD1632" w:rsidRDefault="000A1B38">
            <w:pPr>
              <w:pStyle w:val="TableTextCentered"/>
              <w:rPr>
                <w:rFonts w:ascii="Franklin Gothic Book" w:hAnsi="Franklin Gothic Book"/>
              </w:rPr>
            </w:pPr>
            <w:r>
              <w:rPr>
                <w:rFonts w:ascii="Franklin Gothic Book" w:hAnsi="Franklin Gothic Book"/>
              </w:rPr>
              <w:t>35</w:t>
            </w:r>
          </w:p>
        </w:tc>
        <w:tc>
          <w:tcPr>
            <w:tcW w:w="1151" w:type="dxa"/>
            <w:vAlign w:val="center"/>
          </w:tcPr>
          <w:p w14:paraId="1B315290" w14:textId="77777777" w:rsidR="000A1B38" w:rsidRPr="00BD1632" w:rsidRDefault="000A1B38">
            <w:pPr>
              <w:pStyle w:val="TableTextCentered"/>
              <w:rPr>
                <w:rFonts w:ascii="Franklin Gothic Book" w:hAnsi="Franklin Gothic Book"/>
              </w:rPr>
            </w:pPr>
            <w:r>
              <w:rPr>
                <w:rFonts w:ascii="Franklin Gothic Book" w:hAnsi="Franklin Gothic Book"/>
              </w:rPr>
              <w:t>38</w:t>
            </w:r>
          </w:p>
        </w:tc>
        <w:tc>
          <w:tcPr>
            <w:tcW w:w="1152" w:type="dxa"/>
            <w:vAlign w:val="center"/>
          </w:tcPr>
          <w:p w14:paraId="4E3917C8" w14:textId="77777777" w:rsidR="000A1B38" w:rsidRPr="00BD1632" w:rsidRDefault="000A1B38">
            <w:pPr>
              <w:pStyle w:val="TableTextCentered"/>
              <w:rPr>
                <w:rFonts w:ascii="Franklin Gothic Book" w:hAnsi="Franklin Gothic Book"/>
              </w:rPr>
            </w:pPr>
            <w:r>
              <w:rPr>
                <w:rFonts w:ascii="Franklin Gothic Book" w:hAnsi="Franklin Gothic Book"/>
              </w:rPr>
              <w:t>42</w:t>
            </w:r>
          </w:p>
        </w:tc>
        <w:tc>
          <w:tcPr>
            <w:tcW w:w="1152" w:type="dxa"/>
            <w:vAlign w:val="center"/>
          </w:tcPr>
          <w:p w14:paraId="7F5239B4"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077E9A80" w14:textId="77777777">
        <w:tc>
          <w:tcPr>
            <w:tcW w:w="3586" w:type="dxa"/>
          </w:tcPr>
          <w:p w14:paraId="1C8774D8"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139A4801" w14:textId="77777777" w:rsidR="000A1B38" w:rsidRPr="00BD1632" w:rsidRDefault="000A1B38">
            <w:pPr>
              <w:pStyle w:val="TableTextCentered"/>
              <w:rPr>
                <w:rFonts w:ascii="Franklin Gothic Book" w:hAnsi="Franklin Gothic Book"/>
              </w:rPr>
            </w:pPr>
            <w:r>
              <w:rPr>
                <w:rFonts w:ascii="Franklin Gothic Book" w:hAnsi="Franklin Gothic Book"/>
              </w:rPr>
              <w:t>1</w:t>
            </w:r>
          </w:p>
        </w:tc>
        <w:tc>
          <w:tcPr>
            <w:tcW w:w="1152" w:type="dxa"/>
            <w:vAlign w:val="center"/>
          </w:tcPr>
          <w:p w14:paraId="20C9176C" w14:textId="47A12BDC"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5D944188" w14:textId="15D14984"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1BA2DA32" w14:textId="65F86FE3"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51997732" w14:textId="77777777" w:rsidR="000A1B38" w:rsidRPr="00BD1632" w:rsidRDefault="000A1B38">
            <w:pPr>
              <w:pStyle w:val="TableTextCentered"/>
              <w:rPr>
                <w:rFonts w:ascii="Franklin Gothic Book" w:hAnsi="Franklin Gothic Book"/>
              </w:rPr>
            </w:pPr>
            <w:r>
              <w:rPr>
                <w:rFonts w:ascii="Franklin Gothic Book" w:hAnsi="Franklin Gothic Book"/>
              </w:rPr>
              <w:t>52</w:t>
            </w:r>
          </w:p>
        </w:tc>
      </w:tr>
      <w:tr w:rsidR="000A1B38" w:rsidRPr="00976F70" w14:paraId="024F17C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EF9D21B"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70FE12B9" w14:textId="77777777" w:rsidR="000A1B38" w:rsidRPr="00BD1632" w:rsidRDefault="000A1B38">
            <w:pPr>
              <w:pStyle w:val="TableTextCentered"/>
              <w:rPr>
                <w:rFonts w:ascii="Franklin Gothic Book" w:hAnsi="Franklin Gothic Book"/>
              </w:rPr>
            </w:pPr>
            <w:r>
              <w:rPr>
                <w:rFonts w:ascii="Franklin Gothic Book" w:hAnsi="Franklin Gothic Book"/>
              </w:rPr>
              <w:t>15</w:t>
            </w:r>
          </w:p>
        </w:tc>
        <w:tc>
          <w:tcPr>
            <w:tcW w:w="1152" w:type="dxa"/>
            <w:vAlign w:val="center"/>
          </w:tcPr>
          <w:p w14:paraId="5E2136E5" w14:textId="77777777" w:rsidR="000A1B38" w:rsidRPr="00BD1632" w:rsidRDefault="000A1B38">
            <w:pPr>
              <w:pStyle w:val="TableTextCentered"/>
              <w:rPr>
                <w:rFonts w:ascii="Franklin Gothic Book" w:hAnsi="Franklin Gothic Book"/>
              </w:rPr>
            </w:pPr>
            <w:r>
              <w:rPr>
                <w:rFonts w:ascii="Franklin Gothic Book" w:hAnsi="Franklin Gothic Book"/>
              </w:rPr>
              <w:t>31</w:t>
            </w:r>
          </w:p>
        </w:tc>
        <w:tc>
          <w:tcPr>
            <w:tcW w:w="1151" w:type="dxa"/>
            <w:vAlign w:val="center"/>
          </w:tcPr>
          <w:p w14:paraId="3B43DA6A" w14:textId="77777777" w:rsidR="000A1B38" w:rsidRPr="00BD1632" w:rsidRDefault="000A1B38">
            <w:pPr>
              <w:pStyle w:val="TableTextCentered"/>
              <w:rPr>
                <w:rFonts w:ascii="Franklin Gothic Book" w:hAnsi="Franklin Gothic Book"/>
              </w:rPr>
            </w:pPr>
            <w:r>
              <w:rPr>
                <w:rFonts w:ascii="Franklin Gothic Book" w:hAnsi="Franklin Gothic Book"/>
              </w:rPr>
              <w:t>37</w:t>
            </w:r>
          </w:p>
        </w:tc>
        <w:tc>
          <w:tcPr>
            <w:tcW w:w="1152" w:type="dxa"/>
            <w:vAlign w:val="center"/>
          </w:tcPr>
          <w:p w14:paraId="351EEB93" w14:textId="3CB33C63"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7E4042C9" w14:textId="77777777" w:rsidR="000A1B38" w:rsidRPr="00BD1632" w:rsidRDefault="000A1B38">
            <w:pPr>
              <w:pStyle w:val="TableTextCentered"/>
              <w:rPr>
                <w:rFonts w:ascii="Franklin Gothic Book" w:hAnsi="Franklin Gothic Book"/>
              </w:rPr>
            </w:pPr>
            <w:r>
              <w:rPr>
                <w:rFonts w:ascii="Franklin Gothic Book" w:hAnsi="Franklin Gothic Book"/>
              </w:rPr>
              <w:t>56</w:t>
            </w:r>
          </w:p>
        </w:tc>
      </w:tr>
      <w:tr w:rsidR="000A1B38" w:rsidRPr="00976F70" w14:paraId="11740692" w14:textId="77777777">
        <w:tc>
          <w:tcPr>
            <w:tcW w:w="3586" w:type="dxa"/>
          </w:tcPr>
          <w:p w14:paraId="2F50D3D6"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4ADB93B5" w14:textId="77777777" w:rsidR="000A1B38" w:rsidRPr="00BD1632" w:rsidRDefault="000A1B38">
            <w:pPr>
              <w:pStyle w:val="TableTextCentered"/>
              <w:rPr>
                <w:rFonts w:ascii="Franklin Gothic Book" w:hAnsi="Franklin Gothic Book"/>
              </w:rPr>
            </w:pPr>
            <w:r>
              <w:rPr>
                <w:rFonts w:ascii="Franklin Gothic Book" w:hAnsi="Franklin Gothic Book"/>
              </w:rPr>
              <w:t>331</w:t>
            </w:r>
          </w:p>
        </w:tc>
        <w:tc>
          <w:tcPr>
            <w:tcW w:w="1152" w:type="dxa"/>
            <w:vAlign w:val="center"/>
          </w:tcPr>
          <w:p w14:paraId="64BE64DD" w14:textId="77777777" w:rsidR="000A1B38" w:rsidRPr="00BD1632" w:rsidRDefault="000A1B38">
            <w:pPr>
              <w:pStyle w:val="TableTextCentered"/>
              <w:rPr>
                <w:rFonts w:ascii="Franklin Gothic Book" w:hAnsi="Franklin Gothic Book"/>
              </w:rPr>
            </w:pPr>
            <w:r>
              <w:rPr>
                <w:rFonts w:ascii="Franklin Gothic Book" w:hAnsi="Franklin Gothic Book"/>
              </w:rPr>
              <w:t>36</w:t>
            </w:r>
          </w:p>
        </w:tc>
        <w:tc>
          <w:tcPr>
            <w:tcW w:w="1151" w:type="dxa"/>
            <w:vAlign w:val="center"/>
          </w:tcPr>
          <w:p w14:paraId="77305184" w14:textId="77777777" w:rsidR="000A1B38" w:rsidRPr="00BD1632" w:rsidRDefault="000A1B38">
            <w:pPr>
              <w:pStyle w:val="TableTextCentered"/>
              <w:rPr>
                <w:rFonts w:ascii="Franklin Gothic Book" w:hAnsi="Franklin Gothic Book"/>
              </w:rPr>
            </w:pPr>
            <w:r>
              <w:rPr>
                <w:rFonts w:ascii="Franklin Gothic Book" w:hAnsi="Franklin Gothic Book"/>
              </w:rPr>
              <w:t>37</w:t>
            </w:r>
          </w:p>
        </w:tc>
        <w:tc>
          <w:tcPr>
            <w:tcW w:w="1152" w:type="dxa"/>
            <w:vAlign w:val="center"/>
          </w:tcPr>
          <w:p w14:paraId="13B42FFD" w14:textId="77777777" w:rsidR="000A1B38" w:rsidRPr="00BD1632" w:rsidRDefault="000A1B38">
            <w:pPr>
              <w:pStyle w:val="TableTextCentered"/>
              <w:rPr>
                <w:rFonts w:ascii="Franklin Gothic Book" w:hAnsi="Franklin Gothic Book"/>
              </w:rPr>
            </w:pPr>
            <w:r>
              <w:rPr>
                <w:rFonts w:ascii="Franklin Gothic Book" w:hAnsi="Franklin Gothic Book"/>
              </w:rPr>
              <w:t>41</w:t>
            </w:r>
          </w:p>
        </w:tc>
        <w:tc>
          <w:tcPr>
            <w:tcW w:w="1152" w:type="dxa"/>
            <w:vAlign w:val="center"/>
          </w:tcPr>
          <w:p w14:paraId="02A1BA48"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3B1A94A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B2CBB2D"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6E15774D" w14:textId="77777777" w:rsidR="000A1B38" w:rsidRPr="00BD1632" w:rsidRDefault="000A1B38">
            <w:pPr>
              <w:pStyle w:val="TableTextCentered"/>
              <w:rPr>
                <w:rFonts w:ascii="Franklin Gothic Book" w:hAnsi="Franklin Gothic Book"/>
              </w:rPr>
            </w:pPr>
            <w:r>
              <w:rPr>
                <w:rFonts w:ascii="Franklin Gothic Book" w:hAnsi="Franklin Gothic Book"/>
              </w:rPr>
              <w:t>96</w:t>
            </w:r>
          </w:p>
        </w:tc>
        <w:tc>
          <w:tcPr>
            <w:tcW w:w="1152" w:type="dxa"/>
            <w:vAlign w:val="center"/>
          </w:tcPr>
          <w:p w14:paraId="488EA987" w14:textId="77777777" w:rsidR="000A1B38" w:rsidRPr="00BD1632" w:rsidRDefault="000A1B38">
            <w:pPr>
              <w:pStyle w:val="TableTextCentered"/>
              <w:rPr>
                <w:rFonts w:ascii="Franklin Gothic Book" w:hAnsi="Franklin Gothic Book"/>
              </w:rPr>
            </w:pPr>
            <w:r>
              <w:rPr>
                <w:rFonts w:ascii="Franklin Gothic Book" w:hAnsi="Franklin Gothic Book"/>
              </w:rPr>
              <w:t>33</w:t>
            </w:r>
          </w:p>
        </w:tc>
        <w:tc>
          <w:tcPr>
            <w:tcW w:w="1151" w:type="dxa"/>
            <w:vAlign w:val="center"/>
          </w:tcPr>
          <w:p w14:paraId="240A70E5" w14:textId="77777777" w:rsidR="000A1B38" w:rsidRPr="00BD1632" w:rsidRDefault="000A1B38">
            <w:pPr>
              <w:pStyle w:val="TableTextCentered"/>
              <w:rPr>
                <w:rFonts w:ascii="Franklin Gothic Book" w:hAnsi="Franklin Gothic Book"/>
              </w:rPr>
            </w:pPr>
            <w:r>
              <w:rPr>
                <w:rFonts w:ascii="Franklin Gothic Book" w:hAnsi="Franklin Gothic Book"/>
              </w:rPr>
              <w:t>42</w:t>
            </w:r>
          </w:p>
        </w:tc>
        <w:tc>
          <w:tcPr>
            <w:tcW w:w="1152" w:type="dxa"/>
            <w:vAlign w:val="center"/>
          </w:tcPr>
          <w:p w14:paraId="3F99B44B" w14:textId="77777777" w:rsidR="000A1B38" w:rsidRPr="00BD1632" w:rsidRDefault="000A1B38">
            <w:pPr>
              <w:pStyle w:val="TableTextCentered"/>
              <w:rPr>
                <w:rFonts w:ascii="Franklin Gothic Book" w:hAnsi="Franklin Gothic Book"/>
              </w:rPr>
            </w:pPr>
            <w:r>
              <w:rPr>
                <w:rFonts w:ascii="Franklin Gothic Book" w:hAnsi="Franklin Gothic Book"/>
              </w:rPr>
              <w:t>46</w:t>
            </w:r>
          </w:p>
        </w:tc>
        <w:tc>
          <w:tcPr>
            <w:tcW w:w="1152" w:type="dxa"/>
            <w:vAlign w:val="center"/>
          </w:tcPr>
          <w:p w14:paraId="06A67672" w14:textId="77777777" w:rsidR="000A1B38" w:rsidRPr="00BD1632" w:rsidRDefault="000A1B38">
            <w:pPr>
              <w:pStyle w:val="TableTextCentered"/>
              <w:rPr>
                <w:rFonts w:ascii="Franklin Gothic Book" w:hAnsi="Franklin Gothic Book"/>
              </w:rPr>
            </w:pPr>
            <w:r>
              <w:rPr>
                <w:rFonts w:ascii="Franklin Gothic Book" w:hAnsi="Franklin Gothic Book"/>
              </w:rPr>
              <w:t>47</w:t>
            </w:r>
          </w:p>
        </w:tc>
      </w:tr>
      <w:tr w:rsidR="000A1B38" w:rsidRPr="00976F70" w14:paraId="22C1F5AB" w14:textId="77777777">
        <w:tc>
          <w:tcPr>
            <w:tcW w:w="3586" w:type="dxa"/>
          </w:tcPr>
          <w:p w14:paraId="05C6C9EE"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363D6676" w14:textId="77777777" w:rsidR="000A1B38" w:rsidRPr="00BD1632" w:rsidRDefault="000A1B38">
            <w:pPr>
              <w:pStyle w:val="TableTextCentered"/>
              <w:rPr>
                <w:rFonts w:ascii="Franklin Gothic Book" w:hAnsi="Franklin Gothic Book"/>
              </w:rPr>
            </w:pPr>
            <w:r>
              <w:rPr>
                <w:rFonts w:ascii="Franklin Gothic Book" w:hAnsi="Franklin Gothic Book"/>
              </w:rPr>
              <w:t>25</w:t>
            </w:r>
          </w:p>
        </w:tc>
        <w:tc>
          <w:tcPr>
            <w:tcW w:w="1152" w:type="dxa"/>
            <w:vAlign w:val="center"/>
          </w:tcPr>
          <w:p w14:paraId="6C907CC7" w14:textId="77777777" w:rsidR="000A1B38" w:rsidRPr="00BD1632" w:rsidRDefault="000A1B38">
            <w:pPr>
              <w:pStyle w:val="TableTextCentered"/>
              <w:rPr>
                <w:rFonts w:ascii="Franklin Gothic Book" w:hAnsi="Franklin Gothic Book"/>
              </w:rPr>
            </w:pPr>
            <w:r>
              <w:rPr>
                <w:rFonts w:ascii="Franklin Gothic Book" w:hAnsi="Franklin Gothic Book"/>
              </w:rPr>
              <w:t>39</w:t>
            </w:r>
          </w:p>
        </w:tc>
        <w:tc>
          <w:tcPr>
            <w:tcW w:w="1151" w:type="dxa"/>
            <w:vAlign w:val="center"/>
          </w:tcPr>
          <w:p w14:paraId="7E0FDC2B"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417E63D1"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28C82F0E"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623188B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5FA62D6"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71AE6AAE" w14:textId="77777777" w:rsidR="000A1B38" w:rsidRPr="00BD1632" w:rsidRDefault="000A1B38">
            <w:pPr>
              <w:pStyle w:val="TableTextCentered"/>
              <w:rPr>
                <w:rFonts w:ascii="Franklin Gothic Book" w:hAnsi="Franklin Gothic Book"/>
              </w:rPr>
            </w:pPr>
            <w:r>
              <w:rPr>
                <w:rFonts w:ascii="Franklin Gothic Book" w:hAnsi="Franklin Gothic Book"/>
              </w:rPr>
              <w:t>1</w:t>
            </w:r>
          </w:p>
        </w:tc>
        <w:tc>
          <w:tcPr>
            <w:tcW w:w="1152" w:type="dxa"/>
            <w:vAlign w:val="center"/>
          </w:tcPr>
          <w:p w14:paraId="4B3F853A" w14:textId="4D773F52"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5EE6F130" w14:textId="0DFD84BF"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5CBFA696" w14:textId="3F1F4F79"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3F66B4C4" w14:textId="77777777" w:rsidR="000A1B38" w:rsidRPr="00BD1632" w:rsidRDefault="000A1B38">
            <w:pPr>
              <w:pStyle w:val="TableTextCentered"/>
              <w:rPr>
                <w:rFonts w:ascii="Franklin Gothic Book" w:hAnsi="Franklin Gothic Book"/>
              </w:rPr>
            </w:pPr>
            <w:r>
              <w:rPr>
                <w:rFonts w:ascii="Franklin Gothic Book" w:hAnsi="Franklin Gothic Book"/>
              </w:rPr>
              <w:t>46</w:t>
            </w:r>
          </w:p>
        </w:tc>
      </w:tr>
      <w:tr w:rsidR="000A1B38" w:rsidRPr="00976F70" w14:paraId="0A634605" w14:textId="77777777">
        <w:tc>
          <w:tcPr>
            <w:tcW w:w="3586" w:type="dxa"/>
          </w:tcPr>
          <w:p w14:paraId="215783B8"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3564E124"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7A1DFDDD" w14:textId="77777777" w:rsidR="000A1B38" w:rsidRPr="00BD1632" w:rsidRDefault="000A1B38">
            <w:pPr>
              <w:pStyle w:val="TableTextCentered"/>
              <w:rPr>
                <w:rFonts w:ascii="Franklin Gothic Book" w:hAnsi="Franklin Gothic Book"/>
              </w:rPr>
            </w:pPr>
            <w:r>
              <w:rPr>
                <w:rFonts w:ascii="Franklin Gothic Book" w:hAnsi="Franklin Gothic Book"/>
              </w:rPr>
              <w:t>38</w:t>
            </w:r>
          </w:p>
        </w:tc>
        <w:tc>
          <w:tcPr>
            <w:tcW w:w="1151" w:type="dxa"/>
            <w:vAlign w:val="center"/>
          </w:tcPr>
          <w:p w14:paraId="6BA0F4AE" w14:textId="77777777" w:rsidR="000A1B38" w:rsidRPr="00BD1632" w:rsidRDefault="000A1B38">
            <w:pPr>
              <w:pStyle w:val="TableTextCentered"/>
              <w:rPr>
                <w:rFonts w:ascii="Franklin Gothic Book" w:hAnsi="Franklin Gothic Book"/>
              </w:rPr>
            </w:pPr>
            <w:r>
              <w:rPr>
                <w:rFonts w:ascii="Franklin Gothic Book" w:hAnsi="Franklin Gothic Book"/>
              </w:rPr>
              <w:t>36</w:t>
            </w:r>
          </w:p>
        </w:tc>
        <w:tc>
          <w:tcPr>
            <w:tcW w:w="1152" w:type="dxa"/>
            <w:vAlign w:val="center"/>
          </w:tcPr>
          <w:p w14:paraId="18D7988C" w14:textId="77777777" w:rsidR="000A1B38" w:rsidRPr="00BD1632" w:rsidRDefault="000A1B38">
            <w:pPr>
              <w:pStyle w:val="TableTextCentered"/>
              <w:rPr>
                <w:rFonts w:ascii="Franklin Gothic Book" w:hAnsi="Franklin Gothic Book"/>
              </w:rPr>
            </w:pPr>
            <w:r>
              <w:rPr>
                <w:rFonts w:ascii="Franklin Gothic Book" w:hAnsi="Franklin Gothic Book"/>
              </w:rPr>
              <w:t>35</w:t>
            </w:r>
          </w:p>
        </w:tc>
        <w:tc>
          <w:tcPr>
            <w:tcW w:w="1152" w:type="dxa"/>
            <w:vAlign w:val="center"/>
          </w:tcPr>
          <w:p w14:paraId="2203E48A" w14:textId="77777777" w:rsidR="000A1B38" w:rsidRPr="00BD1632" w:rsidRDefault="000A1B38">
            <w:pPr>
              <w:pStyle w:val="TableTextCentered"/>
              <w:rPr>
                <w:rFonts w:ascii="Franklin Gothic Book" w:hAnsi="Franklin Gothic Book"/>
              </w:rPr>
            </w:pPr>
            <w:r>
              <w:rPr>
                <w:rFonts w:ascii="Franklin Gothic Book" w:hAnsi="Franklin Gothic Book"/>
              </w:rPr>
              <w:t>50</w:t>
            </w:r>
          </w:p>
        </w:tc>
      </w:tr>
      <w:tr w:rsidR="000A1B38" w:rsidRPr="00976F70" w14:paraId="5207A55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D81F706"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1DEE666A" w14:textId="77777777" w:rsidR="000A1B38" w:rsidRPr="00BD1632" w:rsidRDefault="000A1B38">
            <w:pPr>
              <w:pStyle w:val="TableTextCentered"/>
              <w:rPr>
                <w:rFonts w:ascii="Franklin Gothic Book" w:hAnsi="Franklin Gothic Book"/>
              </w:rPr>
            </w:pPr>
            <w:r>
              <w:rPr>
                <w:rFonts w:ascii="Franklin Gothic Book" w:hAnsi="Franklin Gothic Book"/>
              </w:rPr>
              <w:t>401</w:t>
            </w:r>
          </w:p>
        </w:tc>
        <w:tc>
          <w:tcPr>
            <w:tcW w:w="1152" w:type="dxa"/>
            <w:vAlign w:val="center"/>
          </w:tcPr>
          <w:p w14:paraId="5DDBC40D" w14:textId="77777777" w:rsidR="000A1B38" w:rsidRPr="00BD1632" w:rsidRDefault="000A1B38">
            <w:pPr>
              <w:pStyle w:val="TableTextCentered"/>
              <w:rPr>
                <w:rFonts w:ascii="Franklin Gothic Book" w:hAnsi="Franklin Gothic Book"/>
              </w:rPr>
            </w:pPr>
            <w:r>
              <w:rPr>
                <w:rFonts w:ascii="Franklin Gothic Book" w:hAnsi="Franklin Gothic Book"/>
              </w:rPr>
              <w:t>34</w:t>
            </w:r>
          </w:p>
        </w:tc>
        <w:tc>
          <w:tcPr>
            <w:tcW w:w="1151" w:type="dxa"/>
            <w:vAlign w:val="center"/>
          </w:tcPr>
          <w:p w14:paraId="52FD14DE" w14:textId="77777777" w:rsidR="000A1B38" w:rsidRPr="00BD1632" w:rsidRDefault="000A1B38">
            <w:pPr>
              <w:pStyle w:val="TableTextCentered"/>
              <w:rPr>
                <w:rFonts w:ascii="Franklin Gothic Book" w:hAnsi="Franklin Gothic Book"/>
              </w:rPr>
            </w:pPr>
            <w:r>
              <w:rPr>
                <w:rFonts w:ascii="Franklin Gothic Book" w:hAnsi="Franklin Gothic Book"/>
              </w:rPr>
              <w:t>39</w:t>
            </w:r>
          </w:p>
        </w:tc>
        <w:tc>
          <w:tcPr>
            <w:tcW w:w="1152" w:type="dxa"/>
            <w:vAlign w:val="center"/>
          </w:tcPr>
          <w:p w14:paraId="521662F0" w14:textId="77777777" w:rsidR="000A1B38" w:rsidRPr="00BD1632" w:rsidRDefault="000A1B38">
            <w:pPr>
              <w:pStyle w:val="TableTextCentered"/>
              <w:rPr>
                <w:rFonts w:ascii="Franklin Gothic Book" w:hAnsi="Franklin Gothic Book"/>
              </w:rPr>
            </w:pPr>
            <w:r>
              <w:rPr>
                <w:rFonts w:ascii="Franklin Gothic Book" w:hAnsi="Franklin Gothic Book"/>
              </w:rPr>
              <w:t>43</w:t>
            </w:r>
          </w:p>
        </w:tc>
        <w:tc>
          <w:tcPr>
            <w:tcW w:w="1152" w:type="dxa"/>
            <w:vAlign w:val="center"/>
          </w:tcPr>
          <w:p w14:paraId="3FDE664E" w14:textId="77777777" w:rsidR="000A1B38" w:rsidRPr="00BD1632" w:rsidRDefault="000A1B38">
            <w:pPr>
              <w:pStyle w:val="TableTextCentered"/>
              <w:rPr>
                <w:rFonts w:ascii="Franklin Gothic Book" w:hAnsi="Franklin Gothic Book"/>
              </w:rPr>
            </w:pPr>
            <w:r>
              <w:rPr>
                <w:rFonts w:ascii="Franklin Gothic Book" w:hAnsi="Franklin Gothic Book"/>
              </w:rPr>
              <w:t>48</w:t>
            </w:r>
          </w:p>
        </w:tc>
      </w:tr>
      <w:tr w:rsidR="000A1B38" w:rsidRPr="00976F70" w14:paraId="52CC6E90" w14:textId="77777777">
        <w:tc>
          <w:tcPr>
            <w:tcW w:w="3586" w:type="dxa"/>
          </w:tcPr>
          <w:p w14:paraId="0A5FB143"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14200DF7" w14:textId="77777777" w:rsidR="000A1B38" w:rsidRPr="00BD1632" w:rsidRDefault="000A1B38">
            <w:pPr>
              <w:pStyle w:val="TableTextCentered"/>
              <w:rPr>
                <w:rFonts w:ascii="Franklin Gothic Book" w:hAnsi="Franklin Gothic Book"/>
              </w:rPr>
            </w:pPr>
            <w:r>
              <w:rPr>
                <w:rFonts w:ascii="Franklin Gothic Book" w:hAnsi="Franklin Gothic Book"/>
              </w:rPr>
              <w:t>121</w:t>
            </w:r>
          </w:p>
        </w:tc>
        <w:tc>
          <w:tcPr>
            <w:tcW w:w="1152" w:type="dxa"/>
            <w:vAlign w:val="center"/>
          </w:tcPr>
          <w:p w14:paraId="2CC4802B" w14:textId="77777777" w:rsidR="000A1B38" w:rsidRPr="00BD1632" w:rsidRDefault="000A1B38">
            <w:pPr>
              <w:pStyle w:val="TableTextCentered"/>
              <w:rPr>
                <w:rFonts w:ascii="Franklin Gothic Book" w:hAnsi="Franklin Gothic Book"/>
              </w:rPr>
            </w:pPr>
            <w:r>
              <w:rPr>
                <w:rFonts w:ascii="Franklin Gothic Book" w:hAnsi="Franklin Gothic Book"/>
              </w:rPr>
              <w:t>32</w:t>
            </w:r>
          </w:p>
        </w:tc>
        <w:tc>
          <w:tcPr>
            <w:tcW w:w="1151" w:type="dxa"/>
            <w:vAlign w:val="center"/>
          </w:tcPr>
          <w:p w14:paraId="0975B762" w14:textId="77777777" w:rsidR="000A1B38" w:rsidRPr="00BD1632" w:rsidRDefault="000A1B38">
            <w:pPr>
              <w:pStyle w:val="TableTextCentered"/>
              <w:rPr>
                <w:rFonts w:ascii="Franklin Gothic Book" w:hAnsi="Franklin Gothic Book"/>
              </w:rPr>
            </w:pPr>
            <w:r>
              <w:rPr>
                <w:rFonts w:ascii="Franklin Gothic Book" w:hAnsi="Franklin Gothic Book"/>
              </w:rPr>
              <w:t>37</w:t>
            </w:r>
          </w:p>
        </w:tc>
        <w:tc>
          <w:tcPr>
            <w:tcW w:w="1152" w:type="dxa"/>
            <w:vAlign w:val="center"/>
          </w:tcPr>
          <w:p w14:paraId="0408E234" w14:textId="77777777" w:rsidR="000A1B38" w:rsidRPr="00BD1632" w:rsidRDefault="000A1B38">
            <w:pPr>
              <w:pStyle w:val="TableTextCentered"/>
              <w:rPr>
                <w:rFonts w:ascii="Franklin Gothic Book" w:hAnsi="Franklin Gothic Book"/>
              </w:rPr>
            </w:pPr>
            <w:r>
              <w:rPr>
                <w:rFonts w:ascii="Franklin Gothic Book" w:hAnsi="Franklin Gothic Book"/>
              </w:rPr>
              <w:t>49</w:t>
            </w:r>
          </w:p>
        </w:tc>
        <w:tc>
          <w:tcPr>
            <w:tcW w:w="1152" w:type="dxa"/>
            <w:vAlign w:val="center"/>
          </w:tcPr>
          <w:p w14:paraId="63DA8FD3" w14:textId="77777777" w:rsidR="000A1B38" w:rsidRPr="00BD1632" w:rsidRDefault="000A1B38">
            <w:pPr>
              <w:pStyle w:val="TableTextCentered"/>
              <w:rPr>
                <w:rFonts w:ascii="Franklin Gothic Book" w:hAnsi="Franklin Gothic Book"/>
              </w:rPr>
            </w:pPr>
            <w:r>
              <w:rPr>
                <w:rFonts w:ascii="Franklin Gothic Book" w:hAnsi="Franklin Gothic Book"/>
              </w:rPr>
              <w:t>49</w:t>
            </w:r>
          </w:p>
        </w:tc>
      </w:tr>
      <w:tr w:rsidR="000A1B38" w:rsidRPr="00976F70" w14:paraId="2C63929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7BA6D26"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15F9EE53" w14:textId="77777777" w:rsidR="000A1B38" w:rsidRPr="00BD1632" w:rsidRDefault="000A1B38">
            <w:pPr>
              <w:pStyle w:val="TableTextCentered"/>
              <w:rPr>
                <w:rFonts w:ascii="Franklin Gothic Book" w:hAnsi="Franklin Gothic Book"/>
              </w:rPr>
            </w:pPr>
            <w:r>
              <w:rPr>
                <w:rFonts w:ascii="Franklin Gothic Book" w:hAnsi="Franklin Gothic Book"/>
              </w:rPr>
              <w:t>357</w:t>
            </w:r>
          </w:p>
        </w:tc>
        <w:tc>
          <w:tcPr>
            <w:tcW w:w="1152" w:type="dxa"/>
            <w:vAlign w:val="center"/>
          </w:tcPr>
          <w:p w14:paraId="30389D60" w14:textId="77777777" w:rsidR="000A1B38" w:rsidRPr="00BD1632" w:rsidRDefault="000A1B38">
            <w:pPr>
              <w:pStyle w:val="TableTextCentered"/>
              <w:rPr>
                <w:rFonts w:ascii="Franklin Gothic Book" w:hAnsi="Franklin Gothic Book"/>
              </w:rPr>
            </w:pPr>
            <w:r>
              <w:rPr>
                <w:rFonts w:ascii="Franklin Gothic Book" w:hAnsi="Franklin Gothic Book"/>
              </w:rPr>
              <w:t>35</w:t>
            </w:r>
          </w:p>
        </w:tc>
        <w:tc>
          <w:tcPr>
            <w:tcW w:w="1151" w:type="dxa"/>
            <w:vAlign w:val="center"/>
          </w:tcPr>
          <w:p w14:paraId="06FA40B3" w14:textId="77777777" w:rsidR="000A1B38" w:rsidRPr="00BD1632" w:rsidRDefault="000A1B38">
            <w:pPr>
              <w:pStyle w:val="TableTextCentered"/>
              <w:rPr>
                <w:rFonts w:ascii="Franklin Gothic Book" w:hAnsi="Franklin Gothic Book"/>
              </w:rPr>
            </w:pPr>
            <w:r>
              <w:rPr>
                <w:rFonts w:ascii="Franklin Gothic Book" w:hAnsi="Franklin Gothic Book"/>
              </w:rPr>
              <w:t>39</w:t>
            </w:r>
          </w:p>
        </w:tc>
        <w:tc>
          <w:tcPr>
            <w:tcW w:w="1152" w:type="dxa"/>
            <w:vAlign w:val="center"/>
          </w:tcPr>
          <w:p w14:paraId="4990B7D1" w14:textId="77777777" w:rsidR="000A1B38" w:rsidRPr="00BD1632" w:rsidRDefault="000A1B38">
            <w:pPr>
              <w:pStyle w:val="TableTextCentered"/>
              <w:rPr>
                <w:rFonts w:ascii="Franklin Gothic Book" w:hAnsi="Franklin Gothic Book"/>
              </w:rPr>
            </w:pPr>
            <w:r>
              <w:rPr>
                <w:rFonts w:ascii="Franklin Gothic Book" w:hAnsi="Franklin Gothic Book"/>
              </w:rPr>
              <w:t>43</w:t>
            </w:r>
          </w:p>
        </w:tc>
        <w:tc>
          <w:tcPr>
            <w:tcW w:w="1152" w:type="dxa"/>
            <w:vAlign w:val="center"/>
          </w:tcPr>
          <w:p w14:paraId="4FE8ADE2" w14:textId="77777777" w:rsidR="000A1B38" w:rsidRPr="00BD1632" w:rsidRDefault="000A1B38">
            <w:pPr>
              <w:pStyle w:val="TableTextCentered"/>
              <w:rPr>
                <w:rFonts w:ascii="Franklin Gothic Book" w:hAnsi="Franklin Gothic Book"/>
              </w:rPr>
            </w:pPr>
            <w:r>
              <w:rPr>
                <w:rFonts w:ascii="Franklin Gothic Book" w:hAnsi="Franklin Gothic Book"/>
              </w:rPr>
              <w:t>47</w:t>
            </w:r>
          </w:p>
        </w:tc>
      </w:tr>
      <w:tr w:rsidR="000A1B38" w:rsidRPr="00976F70" w14:paraId="60C94CB1" w14:textId="77777777">
        <w:tc>
          <w:tcPr>
            <w:tcW w:w="3586" w:type="dxa"/>
          </w:tcPr>
          <w:p w14:paraId="02FB7C62"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04DF60B2" w14:textId="77777777" w:rsidR="000A1B38" w:rsidRPr="00BD1632" w:rsidRDefault="000A1B38">
            <w:pPr>
              <w:pStyle w:val="TableTextCentered"/>
              <w:rPr>
                <w:rFonts w:ascii="Franklin Gothic Book" w:hAnsi="Franklin Gothic Book"/>
              </w:rPr>
            </w:pPr>
            <w:r>
              <w:rPr>
                <w:rFonts w:ascii="Franklin Gothic Book" w:hAnsi="Franklin Gothic Book"/>
              </w:rPr>
              <w:t>94</w:t>
            </w:r>
          </w:p>
        </w:tc>
        <w:tc>
          <w:tcPr>
            <w:tcW w:w="1152" w:type="dxa"/>
            <w:vAlign w:val="center"/>
          </w:tcPr>
          <w:p w14:paraId="088D3CC6" w14:textId="77777777" w:rsidR="000A1B38" w:rsidRPr="00BD1632" w:rsidRDefault="000A1B38">
            <w:pPr>
              <w:pStyle w:val="TableTextCentered"/>
              <w:rPr>
                <w:rFonts w:ascii="Franklin Gothic Book" w:hAnsi="Franklin Gothic Book"/>
              </w:rPr>
            </w:pPr>
            <w:r>
              <w:rPr>
                <w:rFonts w:ascii="Franklin Gothic Book" w:hAnsi="Franklin Gothic Book"/>
              </w:rPr>
              <w:t>30</w:t>
            </w:r>
          </w:p>
        </w:tc>
        <w:tc>
          <w:tcPr>
            <w:tcW w:w="1151" w:type="dxa"/>
            <w:vAlign w:val="center"/>
          </w:tcPr>
          <w:p w14:paraId="2D613391" w14:textId="77777777" w:rsidR="000A1B38" w:rsidRPr="00BD1632" w:rsidRDefault="000A1B38">
            <w:pPr>
              <w:pStyle w:val="TableTextCentered"/>
              <w:rPr>
                <w:rFonts w:ascii="Franklin Gothic Book" w:hAnsi="Franklin Gothic Book"/>
              </w:rPr>
            </w:pPr>
            <w:r>
              <w:rPr>
                <w:rFonts w:ascii="Franklin Gothic Book" w:hAnsi="Franklin Gothic Book"/>
              </w:rPr>
              <w:t>37</w:t>
            </w:r>
          </w:p>
        </w:tc>
        <w:tc>
          <w:tcPr>
            <w:tcW w:w="1152" w:type="dxa"/>
            <w:vAlign w:val="center"/>
          </w:tcPr>
          <w:p w14:paraId="0503FC60" w14:textId="77777777" w:rsidR="000A1B38" w:rsidRPr="00BD1632" w:rsidRDefault="000A1B38">
            <w:pPr>
              <w:pStyle w:val="TableTextCentered"/>
              <w:rPr>
                <w:rFonts w:ascii="Franklin Gothic Book" w:hAnsi="Franklin Gothic Book"/>
              </w:rPr>
            </w:pPr>
            <w:r>
              <w:rPr>
                <w:rFonts w:ascii="Franklin Gothic Book" w:hAnsi="Franklin Gothic Book"/>
              </w:rPr>
              <w:t>42</w:t>
            </w:r>
          </w:p>
        </w:tc>
        <w:tc>
          <w:tcPr>
            <w:tcW w:w="1152" w:type="dxa"/>
            <w:vAlign w:val="center"/>
          </w:tcPr>
          <w:p w14:paraId="04F5B264" w14:textId="77777777" w:rsidR="000A1B38" w:rsidRPr="00BD1632" w:rsidRDefault="000A1B38">
            <w:pPr>
              <w:pStyle w:val="TableTextCentered"/>
              <w:rPr>
                <w:rFonts w:ascii="Franklin Gothic Book" w:hAnsi="Franklin Gothic Book"/>
              </w:rPr>
            </w:pPr>
            <w:r>
              <w:rPr>
                <w:rFonts w:ascii="Franklin Gothic Book" w:hAnsi="Franklin Gothic Book"/>
              </w:rPr>
              <w:t>47</w:t>
            </w:r>
          </w:p>
        </w:tc>
      </w:tr>
    </w:tbl>
    <w:p w14:paraId="10A5484E" w14:textId="674EC91F" w:rsidR="000A1B38" w:rsidRDefault="000A1B38" w:rsidP="00EC51F0">
      <w:pPr>
        <w:pStyle w:val="BodyText"/>
        <w:sectPr w:rsidR="000A1B38" w:rsidSect="000A1B38">
          <w:pgSz w:w="12240" w:h="15840"/>
          <w:pgMar w:top="1440" w:right="1440" w:bottom="1440" w:left="1440" w:header="720" w:footer="720" w:gutter="0"/>
          <w:cols w:space="720"/>
          <w:docGrid w:linePitch="360"/>
        </w:sectPr>
      </w:pPr>
      <w:r>
        <w:br w:type="page"/>
      </w:r>
    </w:p>
    <w:p w14:paraId="2FD3A417" w14:textId="77777777" w:rsidR="000A1B38" w:rsidRPr="0091716A" w:rsidRDefault="000A1B38" w:rsidP="0082637F">
      <w:pPr>
        <w:pStyle w:val="TableETitle"/>
      </w:pPr>
      <w:bookmarkStart w:id="243" w:name="_Toc211930044"/>
      <w:bookmarkStart w:id="244" w:name="_Toc230970174"/>
      <w:r w:rsidRPr="0091716A">
        <w:t xml:space="preserve">Table E14. </w:t>
      </w:r>
      <w:r>
        <w:t>MCAS</w:t>
      </w:r>
      <w:r w:rsidRPr="0091716A">
        <w:t xml:space="preserve"> ELA Mean Student Growth Percentile by Grade, 202</w:t>
      </w:r>
      <w:r>
        <w:t>3-</w:t>
      </w:r>
      <w:r w:rsidRPr="0091716A">
        <w:t>202</w:t>
      </w:r>
      <w:r>
        <w:t>5</w:t>
      </w:r>
      <w:bookmarkEnd w:id="243"/>
      <w:bookmarkEnd w:id="244"/>
    </w:p>
    <w:tbl>
      <w:tblPr>
        <w:tblStyle w:val="MSVTable1"/>
        <w:tblW w:w="5000" w:type="pct"/>
        <w:tblLook w:val="0420" w:firstRow="1" w:lastRow="0" w:firstColumn="0" w:lastColumn="0" w:noHBand="0" w:noVBand="1"/>
        <w:tblCaption w:val="Table E14. MCAS ELA Mean Student Growth Percentile by Grade, 2023-2025"/>
        <w:tblDescription w:val="MCAS ELA Mean Student Growth Percentile by Grade, 2023-2025"/>
      </w:tblPr>
      <w:tblGrid>
        <w:gridCol w:w="1135"/>
        <w:gridCol w:w="1725"/>
        <w:gridCol w:w="1641"/>
        <w:gridCol w:w="1640"/>
        <w:gridCol w:w="1527"/>
        <w:gridCol w:w="1676"/>
      </w:tblGrid>
      <w:tr w:rsidR="000A1B38" w:rsidRPr="0091716A" w14:paraId="04B7ACFE" w14:textId="77777777">
        <w:trPr>
          <w:cnfStyle w:val="100000000000" w:firstRow="1" w:lastRow="0" w:firstColumn="0" w:lastColumn="0" w:oddVBand="0" w:evenVBand="0" w:oddHBand="0" w:evenHBand="0" w:firstRowFirstColumn="0" w:firstRowLastColumn="0" w:lastRowFirstColumn="0" w:lastRowLastColumn="0"/>
        </w:trPr>
        <w:tc>
          <w:tcPr>
            <w:tcW w:w="1135" w:type="dxa"/>
          </w:tcPr>
          <w:p w14:paraId="654AD255" w14:textId="77777777" w:rsidR="000A1B38" w:rsidRPr="007E5270" w:rsidRDefault="000A1B38">
            <w:pPr>
              <w:pStyle w:val="TableColHeadingCenter"/>
              <w:spacing w:before="30" w:after="30"/>
            </w:pPr>
            <w:r w:rsidRPr="007E5270">
              <w:t>Grade</w:t>
            </w:r>
          </w:p>
        </w:tc>
        <w:tc>
          <w:tcPr>
            <w:tcW w:w="1725" w:type="dxa"/>
          </w:tcPr>
          <w:p w14:paraId="0273E7C4" w14:textId="77777777" w:rsidR="000A1B38" w:rsidRPr="007E5270" w:rsidRDefault="000A1B38">
            <w:pPr>
              <w:pStyle w:val="TableColHeadingCenter"/>
              <w:spacing w:before="30" w:after="30"/>
            </w:pPr>
            <w:r w:rsidRPr="007E5270">
              <w:t># Included (202</w:t>
            </w:r>
            <w:r>
              <w:t>5</w:t>
            </w:r>
            <w:r w:rsidRPr="007E5270">
              <w:t>)</w:t>
            </w:r>
          </w:p>
        </w:tc>
        <w:tc>
          <w:tcPr>
            <w:tcW w:w="1641" w:type="dxa"/>
          </w:tcPr>
          <w:p w14:paraId="338EF85C" w14:textId="77777777" w:rsidR="000A1B38" w:rsidRPr="007E5270" w:rsidRDefault="000A1B38">
            <w:pPr>
              <w:pStyle w:val="TableColHeadingCenter"/>
              <w:spacing w:before="30" w:after="30"/>
            </w:pPr>
            <w:r w:rsidRPr="007E5270">
              <w:t>202</w:t>
            </w:r>
            <w:r>
              <w:t>3</w:t>
            </w:r>
          </w:p>
        </w:tc>
        <w:tc>
          <w:tcPr>
            <w:tcW w:w="1640" w:type="dxa"/>
          </w:tcPr>
          <w:p w14:paraId="0EDAB712" w14:textId="77777777" w:rsidR="000A1B38" w:rsidRPr="007E5270" w:rsidRDefault="000A1B38">
            <w:pPr>
              <w:pStyle w:val="TableColHeadingCenter"/>
              <w:spacing w:before="30" w:after="30"/>
            </w:pPr>
            <w:r w:rsidRPr="007E5270">
              <w:t>202</w:t>
            </w:r>
            <w:r>
              <w:t>4</w:t>
            </w:r>
          </w:p>
        </w:tc>
        <w:tc>
          <w:tcPr>
            <w:tcW w:w="1527" w:type="dxa"/>
          </w:tcPr>
          <w:p w14:paraId="77ADE941" w14:textId="77777777" w:rsidR="000A1B38" w:rsidRPr="007E5270" w:rsidRDefault="000A1B38">
            <w:pPr>
              <w:pStyle w:val="TableColHeadingCenter"/>
              <w:spacing w:before="30" w:after="30"/>
            </w:pPr>
            <w:r>
              <w:t>2025</w:t>
            </w:r>
          </w:p>
        </w:tc>
        <w:tc>
          <w:tcPr>
            <w:tcW w:w="1676" w:type="dxa"/>
          </w:tcPr>
          <w:p w14:paraId="65DA59E6" w14:textId="77777777" w:rsidR="000A1B38" w:rsidRPr="007E5270" w:rsidRDefault="000A1B38">
            <w:pPr>
              <w:pStyle w:val="TableColHeadingCenter"/>
              <w:spacing w:before="30" w:after="30"/>
            </w:pPr>
            <w:r w:rsidRPr="007E5270">
              <w:t>State (202</w:t>
            </w:r>
            <w:r>
              <w:t>5</w:t>
            </w:r>
            <w:r w:rsidRPr="007E5270">
              <w:t>)</w:t>
            </w:r>
          </w:p>
        </w:tc>
      </w:tr>
      <w:tr w:rsidR="000A1B38" w:rsidRPr="0091716A" w14:paraId="0483D9D2"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157436FC" w14:textId="77777777" w:rsidR="000A1B38" w:rsidRPr="001010E4" w:rsidRDefault="000A1B38">
            <w:pPr>
              <w:pStyle w:val="TableTextCentered"/>
              <w:spacing w:before="30" w:after="30"/>
              <w:rPr>
                <w:rFonts w:ascii="Franklin Gothic Book" w:hAnsi="Franklin Gothic Book"/>
              </w:rPr>
            </w:pPr>
            <w:r w:rsidRPr="001010E4">
              <w:rPr>
                <w:rFonts w:ascii="Franklin Gothic Book" w:hAnsi="Franklin Gothic Book"/>
              </w:rPr>
              <w:t>3</w:t>
            </w:r>
          </w:p>
        </w:tc>
        <w:tc>
          <w:tcPr>
            <w:tcW w:w="1725" w:type="dxa"/>
            <w:vAlign w:val="center"/>
          </w:tcPr>
          <w:p w14:paraId="266E298E" w14:textId="2C575CA1" w:rsidR="000A1B38" w:rsidRPr="00550C04" w:rsidRDefault="00527300">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6B3CF56A" w14:textId="646D211F" w:rsidR="000A1B38" w:rsidRPr="00550C04" w:rsidRDefault="00527300">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1C9FD2A1" w14:textId="1711D7ED" w:rsidR="000A1B38" w:rsidRPr="00550C04" w:rsidRDefault="00527300">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3A602C5A" w14:textId="562E9BD5" w:rsidR="000A1B38" w:rsidRPr="00550C04" w:rsidRDefault="00527300">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16924593" w14:textId="57753BD3" w:rsidR="000A1B38" w:rsidRPr="00550C04" w:rsidRDefault="00527300">
            <w:pPr>
              <w:pStyle w:val="TableTextCentered"/>
              <w:spacing w:before="30" w:after="30"/>
              <w:rPr>
                <w:rFonts w:ascii="Franklin Gothic Book" w:hAnsi="Franklin Gothic Book"/>
              </w:rPr>
            </w:pPr>
            <w:r>
              <w:rPr>
                <w:rFonts w:ascii="Franklin Gothic Book" w:hAnsi="Franklin Gothic Book"/>
              </w:rPr>
              <w:t>N/A</w:t>
            </w:r>
          </w:p>
        </w:tc>
      </w:tr>
      <w:tr w:rsidR="000A1B38" w:rsidRPr="0091716A" w14:paraId="678DF98F" w14:textId="77777777">
        <w:tc>
          <w:tcPr>
            <w:tcW w:w="1135" w:type="dxa"/>
          </w:tcPr>
          <w:p w14:paraId="5147F05B" w14:textId="77777777" w:rsidR="000A1B38" w:rsidRPr="001010E4" w:rsidRDefault="000A1B38">
            <w:pPr>
              <w:pStyle w:val="TableTextCentered"/>
              <w:spacing w:before="30" w:after="30"/>
              <w:rPr>
                <w:rFonts w:ascii="Franklin Gothic Book" w:hAnsi="Franklin Gothic Book"/>
              </w:rPr>
            </w:pPr>
            <w:r w:rsidRPr="001010E4">
              <w:rPr>
                <w:rFonts w:ascii="Franklin Gothic Book" w:hAnsi="Franklin Gothic Book"/>
              </w:rPr>
              <w:t>4</w:t>
            </w:r>
          </w:p>
        </w:tc>
        <w:tc>
          <w:tcPr>
            <w:tcW w:w="1725" w:type="dxa"/>
            <w:vAlign w:val="center"/>
          </w:tcPr>
          <w:p w14:paraId="4FDCAD32"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984</w:t>
            </w:r>
          </w:p>
        </w:tc>
        <w:tc>
          <w:tcPr>
            <w:tcW w:w="1641" w:type="dxa"/>
            <w:vAlign w:val="center"/>
          </w:tcPr>
          <w:p w14:paraId="5FED44B5"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45</w:t>
            </w:r>
          </w:p>
        </w:tc>
        <w:tc>
          <w:tcPr>
            <w:tcW w:w="1640" w:type="dxa"/>
            <w:vAlign w:val="center"/>
          </w:tcPr>
          <w:p w14:paraId="2C71C306"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48</w:t>
            </w:r>
          </w:p>
        </w:tc>
        <w:tc>
          <w:tcPr>
            <w:tcW w:w="1527" w:type="dxa"/>
            <w:vAlign w:val="center"/>
          </w:tcPr>
          <w:p w14:paraId="23538CE8"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44</w:t>
            </w:r>
          </w:p>
        </w:tc>
        <w:tc>
          <w:tcPr>
            <w:tcW w:w="1676" w:type="dxa"/>
            <w:vAlign w:val="bottom"/>
          </w:tcPr>
          <w:p w14:paraId="57515DF2"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r>
      <w:tr w:rsidR="000A1B38" w:rsidRPr="0091716A" w14:paraId="07F48625"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4CABCB53" w14:textId="77777777" w:rsidR="000A1B38" w:rsidRPr="001010E4" w:rsidRDefault="000A1B38">
            <w:pPr>
              <w:pStyle w:val="TableTextCentered"/>
              <w:spacing w:before="30" w:after="30"/>
              <w:rPr>
                <w:rFonts w:ascii="Franklin Gothic Book" w:hAnsi="Franklin Gothic Book"/>
              </w:rPr>
            </w:pPr>
            <w:r w:rsidRPr="001010E4">
              <w:rPr>
                <w:rFonts w:ascii="Franklin Gothic Book" w:hAnsi="Franklin Gothic Book"/>
              </w:rPr>
              <w:t>5</w:t>
            </w:r>
          </w:p>
        </w:tc>
        <w:tc>
          <w:tcPr>
            <w:tcW w:w="1725" w:type="dxa"/>
            <w:vAlign w:val="center"/>
          </w:tcPr>
          <w:p w14:paraId="75A409F6"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869</w:t>
            </w:r>
          </w:p>
        </w:tc>
        <w:tc>
          <w:tcPr>
            <w:tcW w:w="1641" w:type="dxa"/>
            <w:vAlign w:val="center"/>
          </w:tcPr>
          <w:p w14:paraId="311F2844"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55</w:t>
            </w:r>
          </w:p>
        </w:tc>
        <w:tc>
          <w:tcPr>
            <w:tcW w:w="1640" w:type="dxa"/>
            <w:vAlign w:val="center"/>
          </w:tcPr>
          <w:p w14:paraId="135882F6"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53</w:t>
            </w:r>
          </w:p>
        </w:tc>
        <w:tc>
          <w:tcPr>
            <w:tcW w:w="1527" w:type="dxa"/>
            <w:vAlign w:val="center"/>
          </w:tcPr>
          <w:p w14:paraId="45A4CB11"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48</w:t>
            </w:r>
          </w:p>
        </w:tc>
        <w:tc>
          <w:tcPr>
            <w:tcW w:w="1676" w:type="dxa"/>
            <w:vAlign w:val="bottom"/>
          </w:tcPr>
          <w:p w14:paraId="5E0F31C0"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r>
      <w:tr w:rsidR="000A1B38" w:rsidRPr="0091716A" w14:paraId="64E10592" w14:textId="77777777">
        <w:tc>
          <w:tcPr>
            <w:tcW w:w="1135" w:type="dxa"/>
          </w:tcPr>
          <w:p w14:paraId="4ACAE26D" w14:textId="77777777" w:rsidR="000A1B38" w:rsidRPr="001010E4" w:rsidRDefault="000A1B38">
            <w:pPr>
              <w:pStyle w:val="TableTextCentered"/>
              <w:spacing w:before="30" w:after="30"/>
              <w:rPr>
                <w:rFonts w:ascii="Franklin Gothic Book" w:hAnsi="Franklin Gothic Book"/>
              </w:rPr>
            </w:pPr>
            <w:r w:rsidRPr="001010E4">
              <w:rPr>
                <w:rFonts w:ascii="Franklin Gothic Book" w:hAnsi="Franklin Gothic Book"/>
              </w:rPr>
              <w:t>6</w:t>
            </w:r>
          </w:p>
        </w:tc>
        <w:tc>
          <w:tcPr>
            <w:tcW w:w="1725" w:type="dxa"/>
            <w:vAlign w:val="center"/>
          </w:tcPr>
          <w:p w14:paraId="645D5726"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788</w:t>
            </w:r>
          </w:p>
        </w:tc>
        <w:tc>
          <w:tcPr>
            <w:tcW w:w="1641" w:type="dxa"/>
            <w:vAlign w:val="center"/>
          </w:tcPr>
          <w:p w14:paraId="6BE527B1"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c>
          <w:tcPr>
            <w:tcW w:w="1640" w:type="dxa"/>
            <w:vAlign w:val="center"/>
          </w:tcPr>
          <w:p w14:paraId="513097CD"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51</w:t>
            </w:r>
          </w:p>
        </w:tc>
        <w:tc>
          <w:tcPr>
            <w:tcW w:w="1527" w:type="dxa"/>
            <w:vAlign w:val="center"/>
          </w:tcPr>
          <w:p w14:paraId="503C7FE5"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c>
          <w:tcPr>
            <w:tcW w:w="1676" w:type="dxa"/>
            <w:vAlign w:val="bottom"/>
          </w:tcPr>
          <w:p w14:paraId="3C0347A9"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r>
      <w:tr w:rsidR="000A1B38" w:rsidRPr="0091716A" w14:paraId="77E54AA3"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279F9073" w14:textId="77777777" w:rsidR="000A1B38" w:rsidRPr="001010E4" w:rsidRDefault="000A1B38">
            <w:pPr>
              <w:pStyle w:val="TableTextCentered"/>
              <w:spacing w:before="30" w:after="30"/>
              <w:rPr>
                <w:rFonts w:ascii="Franklin Gothic Book" w:hAnsi="Franklin Gothic Book"/>
              </w:rPr>
            </w:pPr>
            <w:r w:rsidRPr="001010E4">
              <w:rPr>
                <w:rFonts w:ascii="Franklin Gothic Book" w:hAnsi="Franklin Gothic Book"/>
              </w:rPr>
              <w:t>7</w:t>
            </w:r>
          </w:p>
        </w:tc>
        <w:tc>
          <w:tcPr>
            <w:tcW w:w="1725" w:type="dxa"/>
            <w:vAlign w:val="center"/>
          </w:tcPr>
          <w:p w14:paraId="2F756086"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870</w:t>
            </w:r>
          </w:p>
        </w:tc>
        <w:tc>
          <w:tcPr>
            <w:tcW w:w="1641" w:type="dxa"/>
            <w:vAlign w:val="center"/>
          </w:tcPr>
          <w:p w14:paraId="4504B8DD"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59</w:t>
            </w:r>
          </w:p>
        </w:tc>
        <w:tc>
          <w:tcPr>
            <w:tcW w:w="1640" w:type="dxa"/>
            <w:vAlign w:val="center"/>
          </w:tcPr>
          <w:p w14:paraId="6134DB5D"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53</w:t>
            </w:r>
          </w:p>
        </w:tc>
        <w:tc>
          <w:tcPr>
            <w:tcW w:w="1527" w:type="dxa"/>
            <w:vAlign w:val="center"/>
          </w:tcPr>
          <w:p w14:paraId="43D059E6"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51</w:t>
            </w:r>
          </w:p>
        </w:tc>
        <w:tc>
          <w:tcPr>
            <w:tcW w:w="1676" w:type="dxa"/>
            <w:vAlign w:val="bottom"/>
          </w:tcPr>
          <w:p w14:paraId="2B15A19A"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r>
      <w:tr w:rsidR="000A1B38" w:rsidRPr="0091716A" w14:paraId="105771CB" w14:textId="77777777">
        <w:tc>
          <w:tcPr>
            <w:tcW w:w="1135" w:type="dxa"/>
          </w:tcPr>
          <w:p w14:paraId="326D4A2C" w14:textId="77777777" w:rsidR="000A1B38" w:rsidRPr="001010E4" w:rsidRDefault="000A1B38">
            <w:pPr>
              <w:pStyle w:val="TableTextCentered"/>
              <w:spacing w:before="30" w:after="30"/>
              <w:rPr>
                <w:rFonts w:ascii="Franklin Gothic Book" w:hAnsi="Franklin Gothic Book"/>
              </w:rPr>
            </w:pPr>
            <w:r w:rsidRPr="001010E4">
              <w:rPr>
                <w:rFonts w:ascii="Franklin Gothic Book" w:hAnsi="Franklin Gothic Book"/>
              </w:rPr>
              <w:t>8</w:t>
            </w:r>
          </w:p>
        </w:tc>
        <w:tc>
          <w:tcPr>
            <w:tcW w:w="1725" w:type="dxa"/>
            <w:vAlign w:val="center"/>
          </w:tcPr>
          <w:p w14:paraId="25C356AC"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975</w:t>
            </w:r>
          </w:p>
        </w:tc>
        <w:tc>
          <w:tcPr>
            <w:tcW w:w="1641" w:type="dxa"/>
            <w:vAlign w:val="center"/>
          </w:tcPr>
          <w:p w14:paraId="51E0D269"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53</w:t>
            </w:r>
          </w:p>
        </w:tc>
        <w:tc>
          <w:tcPr>
            <w:tcW w:w="1640" w:type="dxa"/>
            <w:vAlign w:val="center"/>
          </w:tcPr>
          <w:p w14:paraId="38F4DC63"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54</w:t>
            </w:r>
          </w:p>
        </w:tc>
        <w:tc>
          <w:tcPr>
            <w:tcW w:w="1527" w:type="dxa"/>
            <w:vAlign w:val="center"/>
          </w:tcPr>
          <w:p w14:paraId="24B79E6E"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47</w:t>
            </w:r>
          </w:p>
        </w:tc>
        <w:tc>
          <w:tcPr>
            <w:tcW w:w="1676" w:type="dxa"/>
            <w:vAlign w:val="bottom"/>
          </w:tcPr>
          <w:p w14:paraId="33459AFC"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r>
      <w:tr w:rsidR="000A1B38" w:rsidRPr="0091716A" w14:paraId="71AEACE6"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05B52DB9" w14:textId="77777777" w:rsidR="000A1B38" w:rsidRPr="001010E4" w:rsidRDefault="000A1B38">
            <w:pPr>
              <w:pStyle w:val="TableTextCentered"/>
              <w:spacing w:before="30" w:after="30"/>
              <w:rPr>
                <w:rFonts w:ascii="Franklin Gothic Book" w:hAnsi="Franklin Gothic Book"/>
              </w:rPr>
            </w:pPr>
            <w:r w:rsidRPr="001010E4">
              <w:rPr>
                <w:rFonts w:ascii="Franklin Gothic Book" w:hAnsi="Franklin Gothic Book"/>
              </w:rPr>
              <w:t>3-8</w:t>
            </w:r>
          </w:p>
        </w:tc>
        <w:tc>
          <w:tcPr>
            <w:tcW w:w="1725" w:type="dxa"/>
            <w:vAlign w:val="center"/>
          </w:tcPr>
          <w:p w14:paraId="12A7D5CC"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4,486</w:t>
            </w:r>
          </w:p>
        </w:tc>
        <w:tc>
          <w:tcPr>
            <w:tcW w:w="1641" w:type="dxa"/>
            <w:vAlign w:val="center"/>
          </w:tcPr>
          <w:p w14:paraId="4BC1A071"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53</w:t>
            </w:r>
          </w:p>
        </w:tc>
        <w:tc>
          <w:tcPr>
            <w:tcW w:w="1640" w:type="dxa"/>
            <w:vAlign w:val="center"/>
          </w:tcPr>
          <w:p w14:paraId="5E34E4C4"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52</w:t>
            </w:r>
          </w:p>
        </w:tc>
        <w:tc>
          <w:tcPr>
            <w:tcW w:w="1527" w:type="dxa"/>
            <w:vAlign w:val="center"/>
          </w:tcPr>
          <w:p w14:paraId="2E392B9D"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48</w:t>
            </w:r>
          </w:p>
        </w:tc>
        <w:tc>
          <w:tcPr>
            <w:tcW w:w="1676" w:type="dxa"/>
            <w:vAlign w:val="bottom"/>
          </w:tcPr>
          <w:p w14:paraId="624AFBE7"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r>
      <w:tr w:rsidR="000A1B38" w:rsidRPr="0091716A" w14:paraId="10BF1D05" w14:textId="77777777">
        <w:tc>
          <w:tcPr>
            <w:tcW w:w="1135" w:type="dxa"/>
          </w:tcPr>
          <w:p w14:paraId="552BE78B" w14:textId="77777777" w:rsidR="000A1B38" w:rsidRPr="001010E4" w:rsidRDefault="000A1B38">
            <w:pPr>
              <w:pStyle w:val="TableTextCentered"/>
              <w:spacing w:before="30" w:after="30"/>
              <w:rPr>
                <w:rFonts w:ascii="Franklin Gothic Book" w:hAnsi="Franklin Gothic Book"/>
              </w:rPr>
            </w:pPr>
            <w:r w:rsidRPr="001010E4">
              <w:rPr>
                <w:rFonts w:ascii="Franklin Gothic Book" w:hAnsi="Franklin Gothic Book"/>
              </w:rPr>
              <w:t>10</w:t>
            </w:r>
          </w:p>
        </w:tc>
        <w:tc>
          <w:tcPr>
            <w:tcW w:w="1725" w:type="dxa"/>
            <w:vAlign w:val="center"/>
          </w:tcPr>
          <w:p w14:paraId="105EA03B"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515</w:t>
            </w:r>
          </w:p>
        </w:tc>
        <w:tc>
          <w:tcPr>
            <w:tcW w:w="1641" w:type="dxa"/>
            <w:vAlign w:val="center"/>
          </w:tcPr>
          <w:p w14:paraId="1935BE05"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46</w:t>
            </w:r>
          </w:p>
        </w:tc>
        <w:tc>
          <w:tcPr>
            <w:tcW w:w="1640" w:type="dxa"/>
            <w:vAlign w:val="center"/>
          </w:tcPr>
          <w:p w14:paraId="3DC77D57"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53</w:t>
            </w:r>
          </w:p>
        </w:tc>
        <w:tc>
          <w:tcPr>
            <w:tcW w:w="1527" w:type="dxa"/>
            <w:vAlign w:val="center"/>
          </w:tcPr>
          <w:p w14:paraId="29203CF0"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51</w:t>
            </w:r>
          </w:p>
        </w:tc>
        <w:tc>
          <w:tcPr>
            <w:tcW w:w="1676" w:type="dxa"/>
            <w:vAlign w:val="bottom"/>
          </w:tcPr>
          <w:p w14:paraId="54CE7DDB" w14:textId="77777777" w:rsidR="000A1B38" w:rsidRPr="00550C04" w:rsidRDefault="000A1B38">
            <w:pPr>
              <w:pStyle w:val="TableTextCentered"/>
              <w:spacing w:before="30" w:after="30"/>
              <w:rPr>
                <w:rFonts w:ascii="Franklin Gothic Book" w:hAnsi="Franklin Gothic Book"/>
              </w:rPr>
            </w:pPr>
            <w:r>
              <w:rPr>
                <w:rFonts w:ascii="Franklin Gothic Book" w:hAnsi="Franklin Gothic Book"/>
              </w:rPr>
              <w:t>50</w:t>
            </w:r>
          </w:p>
        </w:tc>
      </w:tr>
    </w:tbl>
    <w:p w14:paraId="4DA67063" w14:textId="77777777" w:rsidR="000A1B38" w:rsidRPr="00347FB2" w:rsidRDefault="000A1B38" w:rsidP="0082637F">
      <w:pPr>
        <w:pStyle w:val="TableETitle"/>
      </w:pPr>
      <w:bookmarkStart w:id="245" w:name="_Toc211930045"/>
      <w:bookmarkStart w:id="246" w:name="_Toc230970175"/>
      <w:r w:rsidRPr="00347FB2">
        <w:t xml:space="preserve">Table E15. </w:t>
      </w:r>
      <w:r>
        <w:t xml:space="preserve">MCAS </w:t>
      </w:r>
      <w:r w:rsidRPr="00347FB2">
        <w:t>Mathematics Mean Student Growth Percentile by Grade, 202</w:t>
      </w:r>
      <w:r>
        <w:t>3-</w:t>
      </w:r>
      <w:r w:rsidRPr="00347FB2">
        <w:t>202</w:t>
      </w:r>
      <w:r>
        <w:t>5</w:t>
      </w:r>
      <w:bookmarkEnd w:id="245"/>
      <w:bookmarkEnd w:id="246"/>
    </w:p>
    <w:tbl>
      <w:tblPr>
        <w:tblStyle w:val="MSVTable1"/>
        <w:tblW w:w="5000" w:type="pct"/>
        <w:tblLook w:val="0420" w:firstRow="1" w:lastRow="0" w:firstColumn="0" w:lastColumn="0" w:noHBand="0" w:noVBand="1"/>
        <w:tblCaption w:val="Table E15. MCAS Mathematics Mean Student Growth Percentile by Grade, 2023-2025"/>
        <w:tblDescription w:val="MCAS Mathematics Mean Student Growth Percentile by Grade, 2023-2025"/>
      </w:tblPr>
      <w:tblGrid>
        <w:gridCol w:w="1135"/>
        <w:gridCol w:w="1725"/>
        <w:gridCol w:w="1641"/>
        <w:gridCol w:w="1640"/>
        <w:gridCol w:w="1527"/>
        <w:gridCol w:w="1676"/>
      </w:tblGrid>
      <w:tr w:rsidR="000A1B38" w:rsidRPr="00347FB2" w14:paraId="3FB96F3F" w14:textId="77777777">
        <w:trPr>
          <w:cnfStyle w:val="100000000000" w:firstRow="1" w:lastRow="0" w:firstColumn="0" w:lastColumn="0" w:oddVBand="0" w:evenVBand="0" w:oddHBand="0" w:evenHBand="0" w:firstRowFirstColumn="0" w:firstRowLastColumn="0" w:lastRowFirstColumn="0" w:lastRowLastColumn="0"/>
        </w:trPr>
        <w:tc>
          <w:tcPr>
            <w:tcW w:w="1135" w:type="dxa"/>
          </w:tcPr>
          <w:p w14:paraId="053258EA" w14:textId="77777777" w:rsidR="000A1B38" w:rsidRPr="00706D05" w:rsidRDefault="000A1B38">
            <w:pPr>
              <w:pStyle w:val="TableColHeadingCenter"/>
              <w:keepNext/>
              <w:keepLines/>
            </w:pPr>
            <w:r w:rsidRPr="00706D05">
              <w:t>Grade</w:t>
            </w:r>
          </w:p>
        </w:tc>
        <w:tc>
          <w:tcPr>
            <w:tcW w:w="1725" w:type="dxa"/>
          </w:tcPr>
          <w:p w14:paraId="7789BF67" w14:textId="77777777" w:rsidR="000A1B38" w:rsidRPr="00706D05" w:rsidRDefault="000A1B38">
            <w:pPr>
              <w:pStyle w:val="TableColHeadingCenter"/>
            </w:pPr>
            <w:r>
              <w:t># Included</w:t>
            </w:r>
            <w:r w:rsidRPr="00706D05">
              <w:t xml:space="preserve"> (202</w:t>
            </w:r>
            <w:r>
              <w:t>5</w:t>
            </w:r>
            <w:r w:rsidRPr="00706D05">
              <w:t>)</w:t>
            </w:r>
          </w:p>
        </w:tc>
        <w:tc>
          <w:tcPr>
            <w:tcW w:w="1641" w:type="dxa"/>
          </w:tcPr>
          <w:p w14:paraId="7A80CDAC" w14:textId="77777777" w:rsidR="000A1B38" w:rsidRPr="00706D05" w:rsidRDefault="000A1B38">
            <w:pPr>
              <w:pStyle w:val="TableColHeadingCenter"/>
            </w:pPr>
            <w:r w:rsidRPr="00706D05">
              <w:t>202</w:t>
            </w:r>
            <w:r>
              <w:t>3</w:t>
            </w:r>
          </w:p>
        </w:tc>
        <w:tc>
          <w:tcPr>
            <w:tcW w:w="1640" w:type="dxa"/>
          </w:tcPr>
          <w:p w14:paraId="3A5F380B" w14:textId="77777777" w:rsidR="000A1B38" w:rsidRPr="00706D05" w:rsidRDefault="000A1B38">
            <w:pPr>
              <w:pStyle w:val="TableColHeadingCenter"/>
            </w:pPr>
            <w:r w:rsidRPr="00706D05">
              <w:t>202</w:t>
            </w:r>
            <w:r>
              <w:t>4</w:t>
            </w:r>
          </w:p>
        </w:tc>
        <w:tc>
          <w:tcPr>
            <w:tcW w:w="1527" w:type="dxa"/>
          </w:tcPr>
          <w:p w14:paraId="71F5E1DF" w14:textId="77777777" w:rsidR="000A1B38" w:rsidRPr="00706D05" w:rsidRDefault="000A1B38">
            <w:pPr>
              <w:pStyle w:val="TableColHeadingCenter"/>
            </w:pPr>
            <w:r>
              <w:t>2025</w:t>
            </w:r>
          </w:p>
        </w:tc>
        <w:tc>
          <w:tcPr>
            <w:tcW w:w="1676" w:type="dxa"/>
          </w:tcPr>
          <w:p w14:paraId="00E72D17" w14:textId="77777777" w:rsidR="000A1B38" w:rsidRPr="00706D05" w:rsidRDefault="000A1B38">
            <w:pPr>
              <w:pStyle w:val="TableColHeadingCenter"/>
            </w:pPr>
            <w:r w:rsidRPr="00706D05">
              <w:t>State (202</w:t>
            </w:r>
            <w:r>
              <w:t>5</w:t>
            </w:r>
            <w:r w:rsidRPr="00706D05">
              <w:t>)</w:t>
            </w:r>
          </w:p>
        </w:tc>
      </w:tr>
      <w:tr w:rsidR="000A1B38" w:rsidRPr="00347FB2" w14:paraId="609DC8FE"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47ED9DF4" w14:textId="77777777" w:rsidR="000A1B38" w:rsidRPr="001010E4" w:rsidRDefault="000A1B38">
            <w:pPr>
              <w:pStyle w:val="TableTextCentered"/>
              <w:keepNext/>
              <w:keepLines/>
              <w:rPr>
                <w:rFonts w:ascii="Franklin Gothic Book" w:hAnsi="Franklin Gothic Book"/>
              </w:rPr>
            </w:pPr>
            <w:r w:rsidRPr="001010E4">
              <w:rPr>
                <w:rFonts w:ascii="Franklin Gothic Book" w:hAnsi="Franklin Gothic Book"/>
              </w:rPr>
              <w:t>3</w:t>
            </w:r>
          </w:p>
        </w:tc>
        <w:tc>
          <w:tcPr>
            <w:tcW w:w="1725" w:type="dxa"/>
            <w:vAlign w:val="center"/>
          </w:tcPr>
          <w:p w14:paraId="01D16553" w14:textId="5385FDDB" w:rsidR="000A1B38" w:rsidRPr="00766A72" w:rsidRDefault="00527300">
            <w:pPr>
              <w:pStyle w:val="TableTextCentered"/>
              <w:rPr>
                <w:rFonts w:ascii="Franklin Gothic Book" w:hAnsi="Franklin Gothic Book"/>
              </w:rPr>
            </w:pPr>
            <w:r>
              <w:rPr>
                <w:rFonts w:ascii="Franklin Gothic Book" w:hAnsi="Franklin Gothic Book"/>
              </w:rPr>
              <w:t>N/A</w:t>
            </w:r>
          </w:p>
        </w:tc>
        <w:tc>
          <w:tcPr>
            <w:tcW w:w="1641" w:type="dxa"/>
            <w:vAlign w:val="center"/>
          </w:tcPr>
          <w:p w14:paraId="5928BFCC" w14:textId="0499242A" w:rsidR="000A1B38" w:rsidRPr="00766A72" w:rsidRDefault="00527300">
            <w:pPr>
              <w:pStyle w:val="TableTextCentered"/>
              <w:rPr>
                <w:rFonts w:ascii="Franklin Gothic Book" w:hAnsi="Franklin Gothic Book"/>
              </w:rPr>
            </w:pPr>
            <w:r>
              <w:rPr>
                <w:rFonts w:ascii="Franklin Gothic Book" w:hAnsi="Franklin Gothic Book"/>
              </w:rPr>
              <w:t>N/A</w:t>
            </w:r>
          </w:p>
        </w:tc>
        <w:tc>
          <w:tcPr>
            <w:tcW w:w="1640" w:type="dxa"/>
            <w:vAlign w:val="center"/>
          </w:tcPr>
          <w:p w14:paraId="0B52DA1E" w14:textId="47B4A913" w:rsidR="000A1B38" w:rsidRPr="00766A72" w:rsidRDefault="00527300">
            <w:pPr>
              <w:pStyle w:val="TableTextCentered"/>
              <w:rPr>
                <w:rFonts w:ascii="Franklin Gothic Book" w:hAnsi="Franklin Gothic Book"/>
              </w:rPr>
            </w:pPr>
            <w:r>
              <w:rPr>
                <w:rFonts w:ascii="Franklin Gothic Book" w:hAnsi="Franklin Gothic Book"/>
              </w:rPr>
              <w:t>N/A</w:t>
            </w:r>
          </w:p>
        </w:tc>
        <w:tc>
          <w:tcPr>
            <w:tcW w:w="1527" w:type="dxa"/>
            <w:vAlign w:val="center"/>
          </w:tcPr>
          <w:p w14:paraId="048675B0" w14:textId="0BB55C5F" w:rsidR="000A1B38" w:rsidRPr="00766A72" w:rsidRDefault="00527300">
            <w:pPr>
              <w:pStyle w:val="TableTextCentered"/>
              <w:rPr>
                <w:rFonts w:ascii="Franklin Gothic Book" w:hAnsi="Franklin Gothic Book"/>
              </w:rPr>
            </w:pPr>
            <w:r>
              <w:rPr>
                <w:rFonts w:ascii="Franklin Gothic Book" w:hAnsi="Franklin Gothic Book"/>
              </w:rPr>
              <w:t>N/A</w:t>
            </w:r>
          </w:p>
        </w:tc>
        <w:tc>
          <w:tcPr>
            <w:tcW w:w="1676" w:type="dxa"/>
            <w:vAlign w:val="bottom"/>
          </w:tcPr>
          <w:p w14:paraId="355D8AAC" w14:textId="2D31514F" w:rsidR="000A1B38" w:rsidRPr="00766A72" w:rsidRDefault="00527300">
            <w:pPr>
              <w:pStyle w:val="TableTextCentered"/>
              <w:rPr>
                <w:rFonts w:ascii="Franklin Gothic Book" w:hAnsi="Franklin Gothic Book"/>
              </w:rPr>
            </w:pPr>
            <w:r>
              <w:rPr>
                <w:rFonts w:ascii="Franklin Gothic Book" w:hAnsi="Franklin Gothic Book"/>
              </w:rPr>
              <w:t>N/A</w:t>
            </w:r>
          </w:p>
        </w:tc>
      </w:tr>
      <w:tr w:rsidR="000A1B38" w:rsidRPr="00347FB2" w14:paraId="02CBD986" w14:textId="77777777">
        <w:tc>
          <w:tcPr>
            <w:tcW w:w="1135" w:type="dxa"/>
          </w:tcPr>
          <w:p w14:paraId="20349051" w14:textId="77777777" w:rsidR="000A1B38" w:rsidRPr="001010E4" w:rsidRDefault="000A1B38">
            <w:pPr>
              <w:pStyle w:val="TableTextCentered"/>
              <w:keepNext/>
              <w:keepLines/>
              <w:rPr>
                <w:rFonts w:ascii="Franklin Gothic Book" w:hAnsi="Franklin Gothic Book"/>
              </w:rPr>
            </w:pPr>
            <w:r w:rsidRPr="001010E4">
              <w:rPr>
                <w:rFonts w:ascii="Franklin Gothic Book" w:hAnsi="Franklin Gothic Book"/>
              </w:rPr>
              <w:t>4</w:t>
            </w:r>
          </w:p>
        </w:tc>
        <w:tc>
          <w:tcPr>
            <w:tcW w:w="1725" w:type="dxa"/>
            <w:vAlign w:val="center"/>
          </w:tcPr>
          <w:p w14:paraId="1B913750" w14:textId="77777777" w:rsidR="000A1B38" w:rsidRPr="00766A72" w:rsidRDefault="000A1B38">
            <w:pPr>
              <w:pStyle w:val="TableTextCentered"/>
              <w:rPr>
                <w:rFonts w:ascii="Franklin Gothic Book" w:hAnsi="Franklin Gothic Book"/>
              </w:rPr>
            </w:pPr>
            <w:r>
              <w:rPr>
                <w:rFonts w:ascii="Franklin Gothic Book" w:hAnsi="Franklin Gothic Book"/>
              </w:rPr>
              <w:t>1,001</w:t>
            </w:r>
          </w:p>
        </w:tc>
        <w:tc>
          <w:tcPr>
            <w:tcW w:w="1641" w:type="dxa"/>
            <w:vAlign w:val="center"/>
          </w:tcPr>
          <w:p w14:paraId="2D03C145" w14:textId="77777777" w:rsidR="000A1B38" w:rsidRPr="00766A72" w:rsidRDefault="000A1B38">
            <w:pPr>
              <w:pStyle w:val="TableTextCentered"/>
              <w:rPr>
                <w:rFonts w:ascii="Franklin Gothic Book" w:hAnsi="Franklin Gothic Book"/>
              </w:rPr>
            </w:pPr>
            <w:r>
              <w:rPr>
                <w:rFonts w:ascii="Franklin Gothic Book" w:hAnsi="Franklin Gothic Book"/>
              </w:rPr>
              <w:t>48</w:t>
            </w:r>
          </w:p>
        </w:tc>
        <w:tc>
          <w:tcPr>
            <w:tcW w:w="1640" w:type="dxa"/>
            <w:vAlign w:val="center"/>
          </w:tcPr>
          <w:p w14:paraId="041A394E" w14:textId="77777777" w:rsidR="000A1B38" w:rsidRPr="00766A72" w:rsidRDefault="000A1B38">
            <w:pPr>
              <w:pStyle w:val="TableTextCentered"/>
              <w:rPr>
                <w:rFonts w:ascii="Franklin Gothic Book" w:hAnsi="Franklin Gothic Book"/>
              </w:rPr>
            </w:pPr>
            <w:r>
              <w:rPr>
                <w:rFonts w:ascii="Franklin Gothic Book" w:hAnsi="Franklin Gothic Book"/>
              </w:rPr>
              <w:t>47</w:t>
            </w:r>
          </w:p>
        </w:tc>
        <w:tc>
          <w:tcPr>
            <w:tcW w:w="1527" w:type="dxa"/>
            <w:vAlign w:val="center"/>
          </w:tcPr>
          <w:p w14:paraId="7D151284" w14:textId="77777777" w:rsidR="000A1B38" w:rsidRPr="00766A72" w:rsidRDefault="000A1B38">
            <w:pPr>
              <w:pStyle w:val="TableTextCentered"/>
              <w:rPr>
                <w:rFonts w:ascii="Franklin Gothic Book" w:hAnsi="Franklin Gothic Book"/>
              </w:rPr>
            </w:pPr>
            <w:r>
              <w:rPr>
                <w:rFonts w:ascii="Franklin Gothic Book" w:hAnsi="Franklin Gothic Book"/>
              </w:rPr>
              <w:t>45</w:t>
            </w:r>
          </w:p>
        </w:tc>
        <w:tc>
          <w:tcPr>
            <w:tcW w:w="1676" w:type="dxa"/>
            <w:vAlign w:val="bottom"/>
          </w:tcPr>
          <w:p w14:paraId="2C744019" w14:textId="77777777" w:rsidR="000A1B38" w:rsidRPr="00766A72" w:rsidRDefault="000A1B38">
            <w:pPr>
              <w:pStyle w:val="TableTextCentered"/>
              <w:rPr>
                <w:rFonts w:ascii="Franklin Gothic Book" w:hAnsi="Franklin Gothic Book"/>
              </w:rPr>
            </w:pPr>
            <w:r>
              <w:rPr>
                <w:rFonts w:ascii="Franklin Gothic Book" w:hAnsi="Franklin Gothic Book"/>
              </w:rPr>
              <w:t>50</w:t>
            </w:r>
          </w:p>
        </w:tc>
      </w:tr>
      <w:tr w:rsidR="000A1B38" w:rsidRPr="00347FB2" w14:paraId="0D45CAA3"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6164A65F" w14:textId="77777777" w:rsidR="000A1B38" w:rsidRPr="001010E4" w:rsidRDefault="000A1B38">
            <w:pPr>
              <w:pStyle w:val="TableTextCentered"/>
              <w:rPr>
                <w:rFonts w:ascii="Franklin Gothic Book" w:hAnsi="Franklin Gothic Book"/>
              </w:rPr>
            </w:pPr>
            <w:r w:rsidRPr="001010E4">
              <w:rPr>
                <w:rFonts w:ascii="Franklin Gothic Book" w:hAnsi="Franklin Gothic Book"/>
              </w:rPr>
              <w:t>5</w:t>
            </w:r>
          </w:p>
        </w:tc>
        <w:tc>
          <w:tcPr>
            <w:tcW w:w="1725" w:type="dxa"/>
            <w:vAlign w:val="center"/>
          </w:tcPr>
          <w:p w14:paraId="6D4F694C" w14:textId="77777777" w:rsidR="000A1B38" w:rsidRPr="00766A72" w:rsidRDefault="000A1B38">
            <w:pPr>
              <w:pStyle w:val="TableTextCentered"/>
              <w:rPr>
                <w:rFonts w:ascii="Franklin Gothic Book" w:hAnsi="Franklin Gothic Book"/>
              </w:rPr>
            </w:pPr>
            <w:r>
              <w:rPr>
                <w:rFonts w:ascii="Franklin Gothic Book" w:hAnsi="Franklin Gothic Book"/>
              </w:rPr>
              <w:t>879</w:t>
            </w:r>
          </w:p>
        </w:tc>
        <w:tc>
          <w:tcPr>
            <w:tcW w:w="1641" w:type="dxa"/>
            <w:vAlign w:val="center"/>
          </w:tcPr>
          <w:p w14:paraId="1A8770D6" w14:textId="77777777" w:rsidR="000A1B38" w:rsidRPr="00766A72" w:rsidRDefault="000A1B38">
            <w:pPr>
              <w:pStyle w:val="TableTextCentered"/>
              <w:rPr>
                <w:rFonts w:ascii="Franklin Gothic Book" w:hAnsi="Franklin Gothic Book"/>
              </w:rPr>
            </w:pPr>
            <w:r>
              <w:rPr>
                <w:rFonts w:ascii="Franklin Gothic Book" w:hAnsi="Franklin Gothic Book"/>
              </w:rPr>
              <w:t>53</w:t>
            </w:r>
          </w:p>
        </w:tc>
        <w:tc>
          <w:tcPr>
            <w:tcW w:w="1640" w:type="dxa"/>
            <w:vAlign w:val="center"/>
          </w:tcPr>
          <w:p w14:paraId="59008EB1" w14:textId="77777777" w:rsidR="000A1B38" w:rsidRPr="00766A72" w:rsidRDefault="000A1B38">
            <w:pPr>
              <w:pStyle w:val="TableTextCentered"/>
              <w:rPr>
                <w:rFonts w:ascii="Franklin Gothic Book" w:hAnsi="Franklin Gothic Book"/>
              </w:rPr>
            </w:pPr>
            <w:r>
              <w:rPr>
                <w:rFonts w:ascii="Franklin Gothic Book" w:hAnsi="Franklin Gothic Book"/>
              </w:rPr>
              <w:t>45</w:t>
            </w:r>
          </w:p>
        </w:tc>
        <w:tc>
          <w:tcPr>
            <w:tcW w:w="1527" w:type="dxa"/>
            <w:vAlign w:val="center"/>
          </w:tcPr>
          <w:p w14:paraId="056F0B0C" w14:textId="77777777" w:rsidR="000A1B38" w:rsidRPr="00766A72" w:rsidRDefault="000A1B38">
            <w:pPr>
              <w:pStyle w:val="TableTextCentered"/>
              <w:rPr>
                <w:rFonts w:ascii="Franklin Gothic Book" w:hAnsi="Franklin Gothic Book"/>
              </w:rPr>
            </w:pPr>
            <w:r>
              <w:rPr>
                <w:rFonts w:ascii="Franklin Gothic Book" w:hAnsi="Franklin Gothic Book"/>
              </w:rPr>
              <w:t>44</w:t>
            </w:r>
          </w:p>
        </w:tc>
        <w:tc>
          <w:tcPr>
            <w:tcW w:w="1676" w:type="dxa"/>
            <w:vAlign w:val="bottom"/>
          </w:tcPr>
          <w:p w14:paraId="100790AC" w14:textId="77777777" w:rsidR="000A1B38" w:rsidRPr="00766A72" w:rsidRDefault="000A1B38">
            <w:pPr>
              <w:pStyle w:val="TableTextCentered"/>
              <w:rPr>
                <w:rFonts w:ascii="Franklin Gothic Book" w:hAnsi="Franklin Gothic Book"/>
              </w:rPr>
            </w:pPr>
            <w:r>
              <w:rPr>
                <w:rFonts w:ascii="Franklin Gothic Book" w:hAnsi="Franklin Gothic Book"/>
              </w:rPr>
              <w:t>50</w:t>
            </w:r>
          </w:p>
        </w:tc>
      </w:tr>
      <w:tr w:rsidR="000A1B38" w:rsidRPr="00347FB2" w14:paraId="7E89BCE4" w14:textId="77777777">
        <w:tc>
          <w:tcPr>
            <w:tcW w:w="1135" w:type="dxa"/>
          </w:tcPr>
          <w:p w14:paraId="497B92E0" w14:textId="77777777" w:rsidR="000A1B38" w:rsidRPr="001010E4" w:rsidRDefault="000A1B38">
            <w:pPr>
              <w:pStyle w:val="TableTextCentered"/>
              <w:rPr>
                <w:rFonts w:ascii="Franklin Gothic Book" w:hAnsi="Franklin Gothic Book"/>
              </w:rPr>
            </w:pPr>
            <w:r w:rsidRPr="001010E4">
              <w:rPr>
                <w:rFonts w:ascii="Franklin Gothic Book" w:hAnsi="Franklin Gothic Book"/>
              </w:rPr>
              <w:t>6</w:t>
            </w:r>
          </w:p>
        </w:tc>
        <w:tc>
          <w:tcPr>
            <w:tcW w:w="1725" w:type="dxa"/>
            <w:vAlign w:val="center"/>
          </w:tcPr>
          <w:p w14:paraId="24BE760A" w14:textId="77777777" w:rsidR="000A1B38" w:rsidRPr="00766A72" w:rsidRDefault="000A1B38">
            <w:pPr>
              <w:pStyle w:val="TableTextCentered"/>
              <w:rPr>
                <w:rFonts w:ascii="Franklin Gothic Book" w:hAnsi="Franklin Gothic Book"/>
              </w:rPr>
            </w:pPr>
            <w:r>
              <w:rPr>
                <w:rFonts w:ascii="Franklin Gothic Book" w:hAnsi="Franklin Gothic Book"/>
              </w:rPr>
              <w:t>801</w:t>
            </w:r>
          </w:p>
        </w:tc>
        <w:tc>
          <w:tcPr>
            <w:tcW w:w="1641" w:type="dxa"/>
            <w:vAlign w:val="center"/>
          </w:tcPr>
          <w:p w14:paraId="39C32F3B" w14:textId="77777777" w:rsidR="000A1B38" w:rsidRPr="00766A72" w:rsidRDefault="000A1B38">
            <w:pPr>
              <w:pStyle w:val="TableTextCentered"/>
              <w:rPr>
                <w:rFonts w:ascii="Franklin Gothic Book" w:hAnsi="Franklin Gothic Book"/>
              </w:rPr>
            </w:pPr>
            <w:r>
              <w:rPr>
                <w:rFonts w:ascii="Franklin Gothic Book" w:hAnsi="Franklin Gothic Book"/>
              </w:rPr>
              <w:t>48</w:t>
            </w:r>
          </w:p>
        </w:tc>
        <w:tc>
          <w:tcPr>
            <w:tcW w:w="1640" w:type="dxa"/>
            <w:vAlign w:val="center"/>
          </w:tcPr>
          <w:p w14:paraId="0FF7BCDC" w14:textId="77777777" w:rsidR="000A1B38" w:rsidRPr="00766A72" w:rsidRDefault="000A1B38">
            <w:pPr>
              <w:pStyle w:val="TableTextCentered"/>
              <w:rPr>
                <w:rFonts w:ascii="Franklin Gothic Book" w:hAnsi="Franklin Gothic Book"/>
              </w:rPr>
            </w:pPr>
            <w:r>
              <w:rPr>
                <w:rFonts w:ascii="Franklin Gothic Book" w:hAnsi="Franklin Gothic Book"/>
              </w:rPr>
              <w:t>54</w:t>
            </w:r>
          </w:p>
        </w:tc>
        <w:tc>
          <w:tcPr>
            <w:tcW w:w="1527" w:type="dxa"/>
            <w:vAlign w:val="center"/>
          </w:tcPr>
          <w:p w14:paraId="2E14EFE8" w14:textId="77777777" w:rsidR="000A1B38" w:rsidRPr="00766A72" w:rsidRDefault="000A1B38">
            <w:pPr>
              <w:pStyle w:val="TableTextCentered"/>
              <w:rPr>
                <w:rFonts w:ascii="Franklin Gothic Book" w:hAnsi="Franklin Gothic Book"/>
              </w:rPr>
            </w:pPr>
            <w:r>
              <w:rPr>
                <w:rFonts w:ascii="Franklin Gothic Book" w:hAnsi="Franklin Gothic Book"/>
              </w:rPr>
              <w:t>59</w:t>
            </w:r>
          </w:p>
        </w:tc>
        <w:tc>
          <w:tcPr>
            <w:tcW w:w="1676" w:type="dxa"/>
            <w:vAlign w:val="bottom"/>
          </w:tcPr>
          <w:p w14:paraId="744462A8" w14:textId="77777777" w:rsidR="000A1B38" w:rsidRPr="00766A72" w:rsidRDefault="000A1B38">
            <w:pPr>
              <w:pStyle w:val="TableTextCentered"/>
              <w:rPr>
                <w:rFonts w:ascii="Franklin Gothic Book" w:hAnsi="Franklin Gothic Book"/>
              </w:rPr>
            </w:pPr>
            <w:r>
              <w:rPr>
                <w:rFonts w:ascii="Franklin Gothic Book" w:hAnsi="Franklin Gothic Book"/>
              </w:rPr>
              <w:t>50</w:t>
            </w:r>
          </w:p>
        </w:tc>
      </w:tr>
      <w:tr w:rsidR="000A1B38" w:rsidRPr="00347FB2" w14:paraId="46C0D500"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05206C65" w14:textId="77777777" w:rsidR="000A1B38" w:rsidRPr="001010E4" w:rsidRDefault="000A1B38">
            <w:pPr>
              <w:pStyle w:val="TableTextCentered"/>
              <w:rPr>
                <w:rFonts w:ascii="Franklin Gothic Book" w:hAnsi="Franklin Gothic Book"/>
              </w:rPr>
            </w:pPr>
            <w:r w:rsidRPr="001010E4">
              <w:rPr>
                <w:rFonts w:ascii="Franklin Gothic Book" w:hAnsi="Franklin Gothic Book"/>
              </w:rPr>
              <w:t>7</w:t>
            </w:r>
          </w:p>
        </w:tc>
        <w:tc>
          <w:tcPr>
            <w:tcW w:w="1725" w:type="dxa"/>
            <w:vAlign w:val="center"/>
          </w:tcPr>
          <w:p w14:paraId="47EB1204" w14:textId="77777777" w:rsidR="000A1B38" w:rsidRPr="00766A72" w:rsidRDefault="000A1B38">
            <w:pPr>
              <w:pStyle w:val="TableTextCentered"/>
              <w:rPr>
                <w:rFonts w:ascii="Franklin Gothic Book" w:hAnsi="Franklin Gothic Book"/>
              </w:rPr>
            </w:pPr>
            <w:r>
              <w:rPr>
                <w:rFonts w:ascii="Franklin Gothic Book" w:hAnsi="Franklin Gothic Book"/>
              </w:rPr>
              <w:t>891</w:t>
            </w:r>
          </w:p>
        </w:tc>
        <w:tc>
          <w:tcPr>
            <w:tcW w:w="1641" w:type="dxa"/>
            <w:vAlign w:val="center"/>
          </w:tcPr>
          <w:p w14:paraId="201F0D8E" w14:textId="77777777" w:rsidR="000A1B38" w:rsidRPr="00766A72" w:rsidRDefault="000A1B38">
            <w:pPr>
              <w:pStyle w:val="TableTextCentered"/>
              <w:rPr>
                <w:rFonts w:ascii="Franklin Gothic Book" w:hAnsi="Franklin Gothic Book"/>
              </w:rPr>
            </w:pPr>
            <w:r>
              <w:rPr>
                <w:rFonts w:ascii="Franklin Gothic Book" w:hAnsi="Franklin Gothic Book"/>
              </w:rPr>
              <w:t>53</w:t>
            </w:r>
          </w:p>
        </w:tc>
        <w:tc>
          <w:tcPr>
            <w:tcW w:w="1640" w:type="dxa"/>
            <w:vAlign w:val="center"/>
          </w:tcPr>
          <w:p w14:paraId="6257BBDA" w14:textId="77777777" w:rsidR="000A1B38" w:rsidRPr="00766A72" w:rsidRDefault="000A1B38">
            <w:pPr>
              <w:pStyle w:val="TableTextCentered"/>
              <w:rPr>
                <w:rFonts w:ascii="Franklin Gothic Book" w:hAnsi="Franklin Gothic Book"/>
              </w:rPr>
            </w:pPr>
            <w:r>
              <w:rPr>
                <w:rFonts w:ascii="Franklin Gothic Book" w:hAnsi="Franklin Gothic Book"/>
              </w:rPr>
              <w:t>52</w:t>
            </w:r>
          </w:p>
        </w:tc>
        <w:tc>
          <w:tcPr>
            <w:tcW w:w="1527" w:type="dxa"/>
            <w:vAlign w:val="center"/>
          </w:tcPr>
          <w:p w14:paraId="5ACE8E08" w14:textId="77777777" w:rsidR="000A1B38" w:rsidRPr="00766A72" w:rsidRDefault="000A1B38">
            <w:pPr>
              <w:pStyle w:val="TableTextCentered"/>
              <w:rPr>
                <w:rFonts w:ascii="Franklin Gothic Book" w:hAnsi="Franklin Gothic Book"/>
              </w:rPr>
            </w:pPr>
            <w:r>
              <w:rPr>
                <w:rFonts w:ascii="Franklin Gothic Book" w:hAnsi="Franklin Gothic Book"/>
              </w:rPr>
              <w:t>44</w:t>
            </w:r>
          </w:p>
        </w:tc>
        <w:tc>
          <w:tcPr>
            <w:tcW w:w="1676" w:type="dxa"/>
            <w:vAlign w:val="bottom"/>
          </w:tcPr>
          <w:p w14:paraId="412BC211" w14:textId="77777777" w:rsidR="000A1B38" w:rsidRPr="00766A72" w:rsidRDefault="000A1B38">
            <w:pPr>
              <w:pStyle w:val="TableTextCentered"/>
              <w:rPr>
                <w:rFonts w:ascii="Franklin Gothic Book" w:hAnsi="Franklin Gothic Book"/>
              </w:rPr>
            </w:pPr>
            <w:r>
              <w:rPr>
                <w:rFonts w:ascii="Franklin Gothic Book" w:hAnsi="Franklin Gothic Book"/>
              </w:rPr>
              <w:t>50</w:t>
            </w:r>
          </w:p>
        </w:tc>
      </w:tr>
      <w:tr w:rsidR="000A1B38" w:rsidRPr="00347FB2" w14:paraId="46252CC7" w14:textId="77777777">
        <w:tc>
          <w:tcPr>
            <w:tcW w:w="1135" w:type="dxa"/>
          </w:tcPr>
          <w:p w14:paraId="6EB83E22" w14:textId="77777777" w:rsidR="000A1B38" w:rsidRPr="001010E4" w:rsidRDefault="000A1B38">
            <w:pPr>
              <w:pStyle w:val="TableTextCentered"/>
              <w:rPr>
                <w:rFonts w:ascii="Franklin Gothic Book" w:hAnsi="Franklin Gothic Book"/>
              </w:rPr>
            </w:pPr>
            <w:r w:rsidRPr="001010E4">
              <w:rPr>
                <w:rFonts w:ascii="Franklin Gothic Book" w:hAnsi="Franklin Gothic Book"/>
              </w:rPr>
              <w:t>8</w:t>
            </w:r>
          </w:p>
        </w:tc>
        <w:tc>
          <w:tcPr>
            <w:tcW w:w="1725" w:type="dxa"/>
            <w:vAlign w:val="center"/>
          </w:tcPr>
          <w:p w14:paraId="2D349617" w14:textId="77777777" w:rsidR="000A1B38" w:rsidRPr="00766A72" w:rsidRDefault="000A1B38">
            <w:pPr>
              <w:pStyle w:val="TableTextCentered"/>
              <w:rPr>
                <w:rFonts w:ascii="Franklin Gothic Book" w:hAnsi="Franklin Gothic Book"/>
              </w:rPr>
            </w:pPr>
            <w:r>
              <w:rPr>
                <w:rFonts w:ascii="Franklin Gothic Book" w:hAnsi="Franklin Gothic Book"/>
              </w:rPr>
              <w:t>997</w:t>
            </w:r>
          </w:p>
        </w:tc>
        <w:tc>
          <w:tcPr>
            <w:tcW w:w="1641" w:type="dxa"/>
            <w:vAlign w:val="center"/>
          </w:tcPr>
          <w:p w14:paraId="556EAE05" w14:textId="77777777" w:rsidR="000A1B38" w:rsidRPr="00766A72" w:rsidRDefault="000A1B38">
            <w:pPr>
              <w:pStyle w:val="TableTextCentered"/>
              <w:rPr>
                <w:rFonts w:ascii="Franklin Gothic Book" w:hAnsi="Franklin Gothic Book"/>
              </w:rPr>
            </w:pPr>
            <w:r>
              <w:rPr>
                <w:rFonts w:ascii="Franklin Gothic Book" w:hAnsi="Franklin Gothic Book"/>
              </w:rPr>
              <w:t>55</w:t>
            </w:r>
          </w:p>
        </w:tc>
        <w:tc>
          <w:tcPr>
            <w:tcW w:w="1640" w:type="dxa"/>
            <w:vAlign w:val="center"/>
          </w:tcPr>
          <w:p w14:paraId="1216E277" w14:textId="77777777" w:rsidR="000A1B38" w:rsidRPr="00766A72" w:rsidRDefault="000A1B38">
            <w:pPr>
              <w:pStyle w:val="TableTextCentered"/>
              <w:rPr>
                <w:rFonts w:ascii="Franklin Gothic Book" w:hAnsi="Franklin Gothic Book"/>
              </w:rPr>
            </w:pPr>
            <w:r>
              <w:rPr>
                <w:rFonts w:ascii="Franklin Gothic Book" w:hAnsi="Franklin Gothic Book"/>
              </w:rPr>
              <w:t>56</w:t>
            </w:r>
          </w:p>
        </w:tc>
        <w:tc>
          <w:tcPr>
            <w:tcW w:w="1527" w:type="dxa"/>
            <w:vAlign w:val="center"/>
          </w:tcPr>
          <w:p w14:paraId="12FAB13F" w14:textId="77777777" w:rsidR="000A1B38" w:rsidRPr="00766A72" w:rsidRDefault="000A1B38">
            <w:pPr>
              <w:pStyle w:val="TableTextCentered"/>
              <w:rPr>
                <w:rFonts w:ascii="Franklin Gothic Book" w:hAnsi="Franklin Gothic Book"/>
              </w:rPr>
            </w:pPr>
            <w:r>
              <w:rPr>
                <w:rFonts w:ascii="Franklin Gothic Book" w:hAnsi="Franklin Gothic Book"/>
              </w:rPr>
              <w:t>54</w:t>
            </w:r>
          </w:p>
        </w:tc>
        <w:tc>
          <w:tcPr>
            <w:tcW w:w="1676" w:type="dxa"/>
            <w:vAlign w:val="bottom"/>
          </w:tcPr>
          <w:p w14:paraId="366E7256" w14:textId="77777777" w:rsidR="000A1B38" w:rsidRPr="00766A72" w:rsidRDefault="000A1B38">
            <w:pPr>
              <w:pStyle w:val="TableTextCentered"/>
              <w:rPr>
                <w:rFonts w:ascii="Franklin Gothic Book" w:hAnsi="Franklin Gothic Book"/>
              </w:rPr>
            </w:pPr>
            <w:r>
              <w:rPr>
                <w:rFonts w:ascii="Franklin Gothic Book" w:hAnsi="Franklin Gothic Book"/>
              </w:rPr>
              <w:t>50</w:t>
            </w:r>
          </w:p>
        </w:tc>
      </w:tr>
      <w:tr w:rsidR="000A1B38" w:rsidRPr="00347FB2" w14:paraId="4233335C" w14:textId="77777777">
        <w:trPr>
          <w:cnfStyle w:val="000000100000" w:firstRow="0" w:lastRow="0" w:firstColumn="0" w:lastColumn="0" w:oddVBand="0" w:evenVBand="0" w:oddHBand="1" w:evenHBand="0" w:firstRowFirstColumn="0" w:firstRowLastColumn="0" w:lastRowFirstColumn="0" w:lastRowLastColumn="0"/>
          <w:trHeight w:val="80"/>
        </w:trPr>
        <w:tc>
          <w:tcPr>
            <w:tcW w:w="1135" w:type="dxa"/>
          </w:tcPr>
          <w:p w14:paraId="1B339879" w14:textId="77777777" w:rsidR="000A1B38" w:rsidRPr="001010E4" w:rsidRDefault="000A1B38">
            <w:pPr>
              <w:pStyle w:val="TableTextCentered"/>
              <w:rPr>
                <w:rFonts w:ascii="Franklin Gothic Book" w:hAnsi="Franklin Gothic Book"/>
              </w:rPr>
            </w:pPr>
            <w:r w:rsidRPr="001010E4">
              <w:rPr>
                <w:rFonts w:ascii="Franklin Gothic Book" w:hAnsi="Franklin Gothic Book"/>
              </w:rPr>
              <w:t>3-8</w:t>
            </w:r>
          </w:p>
        </w:tc>
        <w:tc>
          <w:tcPr>
            <w:tcW w:w="1725" w:type="dxa"/>
            <w:vAlign w:val="center"/>
          </w:tcPr>
          <w:p w14:paraId="256D2D0E" w14:textId="77777777" w:rsidR="000A1B38" w:rsidRPr="00766A72" w:rsidRDefault="000A1B38">
            <w:pPr>
              <w:pStyle w:val="TableTextCentered"/>
              <w:rPr>
                <w:rFonts w:ascii="Franklin Gothic Book" w:hAnsi="Franklin Gothic Book"/>
              </w:rPr>
            </w:pPr>
            <w:r>
              <w:rPr>
                <w:rFonts w:ascii="Franklin Gothic Book" w:hAnsi="Franklin Gothic Book"/>
              </w:rPr>
              <w:t>4,569</w:t>
            </w:r>
          </w:p>
        </w:tc>
        <w:tc>
          <w:tcPr>
            <w:tcW w:w="1641" w:type="dxa"/>
            <w:vAlign w:val="center"/>
          </w:tcPr>
          <w:p w14:paraId="6866366B" w14:textId="77777777" w:rsidR="000A1B38" w:rsidRPr="00766A72" w:rsidRDefault="000A1B38">
            <w:pPr>
              <w:pStyle w:val="TableTextCentered"/>
              <w:rPr>
                <w:rFonts w:ascii="Franklin Gothic Book" w:hAnsi="Franklin Gothic Book"/>
              </w:rPr>
            </w:pPr>
            <w:r>
              <w:rPr>
                <w:rFonts w:ascii="Franklin Gothic Book" w:hAnsi="Franklin Gothic Book"/>
              </w:rPr>
              <w:t>51</w:t>
            </w:r>
          </w:p>
        </w:tc>
        <w:tc>
          <w:tcPr>
            <w:tcW w:w="1640" w:type="dxa"/>
            <w:vAlign w:val="center"/>
          </w:tcPr>
          <w:p w14:paraId="344299E3" w14:textId="77777777" w:rsidR="000A1B38" w:rsidRPr="00766A72" w:rsidRDefault="000A1B38">
            <w:pPr>
              <w:pStyle w:val="TableTextCentered"/>
              <w:rPr>
                <w:rFonts w:ascii="Franklin Gothic Book" w:hAnsi="Franklin Gothic Book"/>
              </w:rPr>
            </w:pPr>
            <w:r>
              <w:rPr>
                <w:rFonts w:ascii="Franklin Gothic Book" w:hAnsi="Franklin Gothic Book"/>
              </w:rPr>
              <w:t>51</w:t>
            </w:r>
          </w:p>
        </w:tc>
        <w:tc>
          <w:tcPr>
            <w:tcW w:w="1527" w:type="dxa"/>
            <w:vAlign w:val="center"/>
          </w:tcPr>
          <w:p w14:paraId="7A166C55" w14:textId="77777777" w:rsidR="000A1B38" w:rsidRPr="00766A72" w:rsidRDefault="000A1B38">
            <w:pPr>
              <w:pStyle w:val="TableTextCentered"/>
              <w:rPr>
                <w:rFonts w:ascii="Franklin Gothic Book" w:hAnsi="Franklin Gothic Book"/>
              </w:rPr>
            </w:pPr>
            <w:r>
              <w:rPr>
                <w:rFonts w:ascii="Franklin Gothic Book" w:hAnsi="Franklin Gothic Book"/>
              </w:rPr>
              <w:t>49</w:t>
            </w:r>
          </w:p>
        </w:tc>
        <w:tc>
          <w:tcPr>
            <w:tcW w:w="1676" w:type="dxa"/>
            <w:vAlign w:val="bottom"/>
          </w:tcPr>
          <w:p w14:paraId="4946F509" w14:textId="77777777" w:rsidR="000A1B38" w:rsidRPr="00766A72" w:rsidRDefault="000A1B38">
            <w:pPr>
              <w:pStyle w:val="TableTextCentered"/>
              <w:rPr>
                <w:rFonts w:ascii="Franklin Gothic Book" w:hAnsi="Franklin Gothic Book"/>
              </w:rPr>
            </w:pPr>
            <w:r>
              <w:rPr>
                <w:rFonts w:ascii="Franklin Gothic Book" w:hAnsi="Franklin Gothic Book"/>
              </w:rPr>
              <w:t>50</w:t>
            </w:r>
          </w:p>
        </w:tc>
      </w:tr>
      <w:tr w:rsidR="000A1B38" w:rsidRPr="00347FB2" w14:paraId="309B568C" w14:textId="77777777">
        <w:tc>
          <w:tcPr>
            <w:tcW w:w="1135" w:type="dxa"/>
          </w:tcPr>
          <w:p w14:paraId="41462923" w14:textId="77777777" w:rsidR="000A1B38" w:rsidRPr="001010E4" w:rsidRDefault="000A1B38">
            <w:pPr>
              <w:pStyle w:val="TableTextCentered"/>
              <w:rPr>
                <w:rFonts w:ascii="Franklin Gothic Book" w:hAnsi="Franklin Gothic Book"/>
              </w:rPr>
            </w:pPr>
            <w:r w:rsidRPr="001010E4">
              <w:rPr>
                <w:rFonts w:ascii="Franklin Gothic Book" w:hAnsi="Franklin Gothic Book"/>
              </w:rPr>
              <w:t>10</w:t>
            </w:r>
          </w:p>
        </w:tc>
        <w:tc>
          <w:tcPr>
            <w:tcW w:w="1725" w:type="dxa"/>
            <w:vAlign w:val="center"/>
          </w:tcPr>
          <w:p w14:paraId="3BA4FFF4" w14:textId="77777777" w:rsidR="000A1B38" w:rsidRPr="00766A72" w:rsidRDefault="000A1B38">
            <w:pPr>
              <w:pStyle w:val="TableTextCentered"/>
              <w:rPr>
                <w:rFonts w:ascii="Franklin Gothic Book" w:hAnsi="Franklin Gothic Book"/>
              </w:rPr>
            </w:pPr>
            <w:r>
              <w:rPr>
                <w:rFonts w:ascii="Franklin Gothic Book" w:hAnsi="Franklin Gothic Book"/>
              </w:rPr>
              <w:t>520</w:t>
            </w:r>
          </w:p>
        </w:tc>
        <w:tc>
          <w:tcPr>
            <w:tcW w:w="1641" w:type="dxa"/>
            <w:vAlign w:val="center"/>
          </w:tcPr>
          <w:p w14:paraId="43FBFE1F" w14:textId="77777777" w:rsidR="000A1B38" w:rsidRPr="00766A72" w:rsidRDefault="000A1B38">
            <w:pPr>
              <w:pStyle w:val="TableTextCentered"/>
              <w:rPr>
                <w:rFonts w:ascii="Franklin Gothic Book" w:hAnsi="Franklin Gothic Book"/>
              </w:rPr>
            </w:pPr>
            <w:r>
              <w:rPr>
                <w:rFonts w:ascii="Franklin Gothic Book" w:hAnsi="Franklin Gothic Book"/>
              </w:rPr>
              <w:t>35</w:t>
            </w:r>
          </w:p>
        </w:tc>
        <w:tc>
          <w:tcPr>
            <w:tcW w:w="1640" w:type="dxa"/>
            <w:vAlign w:val="center"/>
          </w:tcPr>
          <w:p w14:paraId="3550B3DE" w14:textId="77777777" w:rsidR="000A1B38" w:rsidRPr="00766A72" w:rsidRDefault="000A1B38">
            <w:pPr>
              <w:pStyle w:val="TableTextCentered"/>
              <w:rPr>
                <w:rFonts w:ascii="Franklin Gothic Book" w:hAnsi="Franklin Gothic Book"/>
              </w:rPr>
            </w:pPr>
            <w:r>
              <w:rPr>
                <w:rFonts w:ascii="Franklin Gothic Book" w:hAnsi="Franklin Gothic Book"/>
              </w:rPr>
              <w:t>38</w:t>
            </w:r>
          </w:p>
        </w:tc>
        <w:tc>
          <w:tcPr>
            <w:tcW w:w="1527" w:type="dxa"/>
            <w:vAlign w:val="center"/>
          </w:tcPr>
          <w:p w14:paraId="741125DC" w14:textId="77777777" w:rsidR="000A1B38" w:rsidRPr="00766A72" w:rsidRDefault="000A1B38">
            <w:pPr>
              <w:pStyle w:val="TableTextCentered"/>
              <w:rPr>
                <w:rFonts w:ascii="Franklin Gothic Book" w:hAnsi="Franklin Gothic Book"/>
              </w:rPr>
            </w:pPr>
            <w:r>
              <w:rPr>
                <w:rFonts w:ascii="Franklin Gothic Book" w:hAnsi="Franklin Gothic Book"/>
              </w:rPr>
              <w:t>42</w:t>
            </w:r>
          </w:p>
        </w:tc>
        <w:tc>
          <w:tcPr>
            <w:tcW w:w="1676" w:type="dxa"/>
            <w:vAlign w:val="bottom"/>
          </w:tcPr>
          <w:p w14:paraId="50E65D6F" w14:textId="77777777" w:rsidR="000A1B38" w:rsidRPr="00766A72" w:rsidRDefault="000A1B38">
            <w:pPr>
              <w:pStyle w:val="TableTextCentered"/>
              <w:rPr>
                <w:rFonts w:ascii="Franklin Gothic Book" w:hAnsi="Franklin Gothic Book"/>
              </w:rPr>
            </w:pPr>
            <w:r>
              <w:rPr>
                <w:rFonts w:ascii="Franklin Gothic Book" w:hAnsi="Franklin Gothic Book"/>
              </w:rPr>
              <w:t>50</w:t>
            </w:r>
          </w:p>
        </w:tc>
      </w:tr>
    </w:tbl>
    <w:p w14:paraId="7DF3D37B" w14:textId="77777777" w:rsidR="000A1B38" w:rsidRPr="003C1C59" w:rsidRDefault="000A1B38" w:rsidP="0082637F">
      <w:pPr>
        <w:pStyle w:val="TableETitle"/>
      </w:pPr>
      <w:bookmarkStart w:id="247" w:name="_Toc211930046"/>
      <w:bookmarkStart w:id="248" w:name="_Toc230970176"/>
      <w:r w:rsidRPr="008759FC">
        <w:t>Table E16.</w:t>
      </w:r>
      <w:r>
        <w:t xml:space="preserve"> </w:t>
      </w:r>
      <w:r w:rsidRPr="008759FC">
        <w:t>Four-Year Cohort Graduation Rates by Student Group, 202</w:t>
      </w:r>
      <w:r>
        <w:t>2</w:t>
      </w:r>
      <w:r w:rsidRPr="008759FC">
        <w:t>-202</w:t>
      </w:r>
      <w:r>
        <w:t>4</w:t>
      </w:r>
      <w:bookmarkEnd w:id="247"/>
      <w:bookmarkEnd w:id="248"/>
    </w:p>
    <w:tbl>
      <w:tblPr>
        <w:tblStyle w:val="MSVTable1"/>
        <w:tblW w:w="5000" w:type="pct"/>
        <w:tblLook w:val="0420" w:firstRow="1" w:lastRow="0" w:firstColumn="0" w:lastColumn="0" w:noHBand="0" w:noVBand="1"/>
        <w:tblCaption w:val="Table E16. Four-Year Cohort Graduation Rates by Student Group, 2022-2024"/>
        <w:tblDescription w:val="Four-Year Cohort Graduation Rates by Student Group, 2022-2024"/>
      </w:tblPr>
      <w:tblGrid>
        <w:gridCol w:w="3586"/>
        <w:gridCol w:w="1151"/>
        <w:gridCol w:w="1152"/>
        <w:gridCol w:w="1151"/>
        <w:gridCol w:w="1152"/>
        <w:gridCol w:w="1152"/>
      </w:tblGrid>
      <w:tr w:rsidR="000A1B38" w:rsidRPr="00976F70" w14:paraId="5317F8E2"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0E051477" w14:textId="77777777" w:rsidR="000A1B38" w:rsidRPr="00B85B0B" w:rsidRDefault="000A1B38">
            <w:pPr>
              <w:pStyle w:val="TableColHeadingLeft"/>
              <w:jc w:val="center"/>
            </w:pPr>
            <w:r w:rsidRPr="00B85B0B">
              <w:t>Group</w:t>
            </w:r>
          </w:p>
        </w:tc>
        <w:tc>
          <w:tcPr>
            <w:tcW w:w="1151" w:type="dxa"/>
            <w:vAlign w:val="center"/>
          </w:tcPr>
          <w:p w14:paraId="73EED997" w14:textId="77777777" w:rsidR="000A1B38" w:rsidRPr="00B85B0B" w:rsidRDefault="000A1B38">
            <w:pPr>
              <w:pStyle w:val="TableColHeadingCenter"/>
            </w:pPr>
            <w:r>
              <w:t># Included</w:t>
            </w:r>
            <w:r w:rsidRPr="00B85B0B">
              <w:t xml:space="preserve"> (202</w:t>
            </w:r>
            <w:r>
              <w:t>4</w:t>
            </w:r>
            <w:r w:rsidRPr="00B85B0B">
              <w:t>)</w:t>
            </w:r>
          </w:p>
        </w:tc>
        <w:tc>
          <w:tcPr>
            <w:tcW w:w="1152" w:type="dxa"/>
            <w:vAlign w:val="center"/>
          </w:tcPr>
          <w:p w14:paraId="2D1E772F" w14:textId="77777777" w:rsidR="000A1B38" w:rsidRPr="00B85B0B" w:rsidRDefault="000A1B38">
            <w:pPr>
              <w:pStyle w:val="TableColHeadingCenter"/>
            </w:pPr>
            <w:r w:rsidRPr="00B85B0B">
              <w:t>202</w:t>
            </w:r>
            <w:r>
              <w:t>2</w:t>
            </w:r>
          </w:p>
        </w:tc>
        <w:tc>
          <w:tcPr>
            <w:tcW w:w="1151" w:type="dxa"/>
            <w:vAlign w:val="center"/>
          </w:tcPr>
          <w:p w14:paraId="04CF0D56" w14:textId="77777777" w:rsidR="000A1B38" w:rsidRPr="00B85B0B" w:rsidRDefault="000A1B38">
            <w:pPr>
              <w:pStyle w:val="TableColHeadingCenter"/>
            </w:pPr>
            <w:r w:rsidRPr="00B85B0B">
              <w:t>202</w:t>
            </w:r>
            <w:r>
              <w:t>3</w:t>
            </w:r>
          </w:p>
        </w:tc>
        <w:tc>
          <w:tcPr>
            <w:tcW w:w="1152" w:type="dxa"/>
            <w:vAlign w:val="center"/>
          </w:tcPr>
          <w:p w14:paraId="163F45C1" w14:textId="77777777" w:rsidR="000A1B38" w:rsidRPr="00B85B0B" w:rsidRDefault="000A1B38">
            <w:pPr>
              <w:pStyle w:val="TableColHeadingCenter"/>
            </w:pPr>
            <w:r>
              <w:t>2024</w:t>
            </w:r>
          </w:p>
        </w:tc>
        <w:tc>
          <w:tcPr>
            <w:tcW w:w="1152" w:type="dxa"/>
            <w:vAlign w:val="center"/>
          </w:tcPr>
          <w:p w14:paraId="1463C8B8" w14:textId="77777777" w:rsidR="000A1B38" w:rsidRPr="00B85B0B" w:rsidRDefault="000A1B38">
            <w:pPr>
              <w:pStyle w:val="TableColHeadingCenter"/>
            </w:pPr>
            <w:r w:rsidRPr="00B85B0B">
              <w:t>State (202</w:t>
            </w:r>
            <w:r>
              <w:t>4</w:t>
            </w:r>
            <w:r w:rsidRPr="00B85B0B">
              <w:t>)</w:t>
            </w:r>
          </w:p>
        </w:tc>
      </w:tr>
      <w:tr w:rsidR="000A1B38" w:rsidRPr="00976F70" w14:paraId="3014464B"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9B3DF3A"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648787D7" w14:textId="77777777" w:rsidR="000A1B38" w:rsidRPr="00BD1632" w:rsidRDefault="000A1B38">
            <w:pPr>
              <w:pStyle w:val="TableTextCentered"/>
              <w:rPr>
                <w:rFonts w:ascii="Franklin Gothic Book" w:hAnsi="Franklin Gothic Book"/>
              </w:rPr>
            </w:pPr>
            <w:r>
              <w:rPr>
                <w:rFonts w:ascii="Franklin Gothic Book" w:hAnsi="Franklin Gothic Book"/>
              </w:rPr>
              <w:t>1,110</w:t>
            </w:r>
          </w:p>
        </w:tc>
        <w:tc>
          <w:tcPr>
            <w:tcW w:w="1152" w:type="dxa"/>
            <w:vAlign w:val="center"/>
          </w:tcPr>
          <w:p w14:paraId="3E731FCB" w14:textId="77777777" w:rsidR="000A1B38" w:rsidRPr="00BD1632" w:rsidRDefault="000A1B38">
            <w:pPr>
              <w:pStyle w:val="TableTextCentered"/>
              <w:rPr>
                <w:rFonts w:ascii="Franklin Gothic Book" w:hAnsi="Franklin Gothic Book"/>
              </w:rPr>
            </w:pPr>
            <w:r>
              <w:rPr>
                <w:rFonts w:ascii="Franklin Gothic Book" w:hAnsi="Franklin Gothic Book"/>
              </w:rPr>
              <w:t>79.2</w:t>
            </w:r>
          </w:p>
        </w:tc>
        <w:tc>
          <w:tcPr>
            <w:tcW w:w="1151" w:type="dxa"/>
            <w:vAlign w:val="center"/>
          </w:tcPr>
          <w:p w14:paraId="61977CAB" w14:textId="77777777" w:rsidR="000A1B38" w:rsidRPr="00BD1632" w:rsidRDefault="000A1B38">
            <w:pPr>
              <w:pStyle w:val="TableTextCentered"/>
              <w:rPr>
                <w:rFonts w:ascii="Franklin Gothic Book" w:hAnsi="Franklin Gothic Book"/>
              </w:rPr>
            </w:pPr>
            <w:r>
              <w:rPr>
                <w:rFonts w:ascii="Franklin Gothic Book" w:hAnsi="Franklin Gothic Book"/>
              </w:rPr>
              <w:t>74.2</w:t>
            </w:r>
          </w:p>
        </w:tc>
        <w:tc>
          <w:tcPr>
            <w:tcW w:w="1152" w:type="dxa"/>
            <w:vAlign w:val="center"/>
          </w:tcPr>
          <w:p w14:paraId="0B96A8BB" w14:textId="77777777" w:rsidR="000A1B38" w:rsidRPr="00BD1632" w:rsidRDefault="000A1B38">
            <w:pPr>
              <w:pStyle w:val="TableTextCentered"/>
              <w:rPr>
                <w:rFonts w:ascii="Franklin Gothic Book" w:hAnsi="Franklin Gothic Book"/>
              </w:rPr>
            </w:pPr>
            <w:r>
              <w:rPr>
                <w:rFonts w:ascii="Franklin Gothic Book" w:hAnsi="Franklin Gothic Book"/>
              </w:rPr>
              <w:t>65.3</w:t>
            </w:r>
          </w:p>
        </w:tc>
        <w:tc>
          <w:tcPr>
            <w:tcW w:w="1152" w:type="dxa"/>
            <w:vAlign w:val="center"/>
          </w:tcPr>
          <w:p w14:paraId="2DD3C409" w14:textId="77777777" w:rsidR="000A1B38" w:rsidRPr="00BD1632" w:rsidRDefault="000A1B38">
            <w:pPr>
              <w:pStyle w:val="TableTextCentered"/>
              <w:rPr>
                <w:rFonts w:ascii="Franklin Gothic Book" w:hAnsi="Franklin Gothic Book"/>
              </w:rPr>
            </w:pPr>
            <w:r>
              <w:rPr>
                <w:rFonts w:ascii="Franklin Gothic Book" w:hAnsi="Franklin Gothic Book"/>
              </w:rPr>
              <w:t>88.4</w:t>
            </w:r>
          </w:p>
        </w:tc>
      </w:tr>
      <w:tr w:rsidR="000A1B38" w:rsidRPr="00976F70" w14:paraId="3B350ACA" w14:textId="77777777">
        <w:tc>
          <w:tcPr>
            <w:tcW w:w="3586" w:type="dxa"/>
          </w:tcPr>
          <w:p w14:paraId="14D9677E"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736401BF" w14:textId="77777777" w:rsidR="000A1B38" w:rsidRPr="00BD1632" w:rsidRDefault="000A1B38">
            <w:pPr>
              <w:pStyle w:val="TableTextCentered"/>
              <w:rPr>
                <w:rFonts w:ascii="Franklin Gothic Book" w:hAnsi="Franklin Gothic Book"/>
              </w:rPr>
            </w:pPr>
            <w:r>
              <w:rPr>
                <w:rFonts w:ascii="Franklin Gothic Book" w:hAnsi="Franklin Gothic Book"/>
              </w:rPr>
              <w:t>1</w:t>
            </w:r>
          </w:p>
        </w:tc>
        <w:tc>
          <w:tcPr>
            <w:tcW w:w="1152" w:type="dxa"/>
            <w:vAlign w:val="center"/>
          </w:tcPr>
          <w:p w14:paraId="5EA3E655" w14:textId="6E4C64FF"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50C84516" w14:textId="2F30532B"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2E0F40A6" w14:textId="747B160C"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1A2FEA1D" w14:textId="77777777" w:rsidR="000A1B38" w:rsidRPr="00BD1632" w:rsidRDefault="000A1B38">
            <w:pPr>
              <w:pStyle w:val="TableTextCentered"/>
              <w:rPr>
                <w:rFonts w:ascii="Franklin Gothic Book" w:hAnsi="Franklin Gothic Book"/>
              </w:rPr>
            </w:pPr>
            <w:r>
              <w:rPr>
                <w:rFonts w:ascii="Franklin Gothic Book" w:hAnsi="Franklin Gothic Book"/>
              </w:rPr>
              <w:t>81.6</w:t>
            </w:r>
          </w:p>
        </w:tc>
      </w:tr>
      <w:tr w:rsidR="000A1B38" w:rsidRPr="00976F70" w14:paraId="060933E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CEBC052"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7B3DFAED" w14:textId="77777777" w:rsidR="000A1B38" w:rsidRPr="00BD1632" w:rsidRDefault="000A1B38">
            <w:pPr>
              <w:pStyle w:val="TableTextCentered"/>
              <w:rPr>
                <w:rFonts w:ascii="Franklin Gothic Book" w:hAnsi="Franklin Gothic Book"/>
              </w:rPr>
            </w:pPr>
            <w:r>
              <w:rPr>
                <w:rFonts w:ascii="Franklin Gothic Book" w:hAnsi="Franklin Gothic Book"/>
              </w:rPr>
              <w:t>27</w:t>
            </w:r>
          </w:p>
        </w:tc>
        <w:tc>
          <w:tcPr>
            <w:tcW w:w="1152" w:type="dxa"/>
            <w:vAlign w:val="center"/>
          </w:tcPr>
          <w:p w14:paraId="13D06118" w14:textId="77777777" w:rsidR="000A1B38" w:rsidRPr="00BD1632" w:rsidRDefault="000A1B38">
            <w:pPr>
              <w:pStyle w:val="TableTextCentered"/>
              <w:rPr>
                <w:rFonts w:ascii="Franklin Gothic Book" w:hAnsi="Franklin Gothic Book"/>
              </w:rPr>
            </w:pPr>
            <w:r>
              <w:rPr>
                <w:rFonts w:ascii="Franklin Gothic Book" w:hAnsi="Franklin Gothic Book"/>
              </w:rPr>
              <w:t>100.0</w:t>
            </w:r>
          </w:p>
        </w:tc>
        <w:tc>
          <w:tcPr>
            <w:tcW w:w="1151" w:type="dxa"/>
            <w:vAlign w:val="center"/>
          </w:tcPr>
          <w:p w14:paraId="3C298719" w14:textId="77777777" w:rsidR="000A1B38" w:rsidRPr="00BD1632" w:rsidRDefault="000A1B38">
            <w:pPr>
              <w:pStyle w:val="TableTextCentered"/>
              <w:rPr>
                <w:rFonts w:ascii="Franklin Gothic Book" w:hAnsi="Franklin Gothic Book"/>
              </w:rPr>
            </w:pPr>
            <w:r>
              <w:rPr>
                <w:rFonts w:ascii="Franklin Gothic Book" w:hAnsi="Franklin Gothic Book"/>
              </w:rPr>
              <w:t>92.0</w:t>
            </w:r>
          </w:p>
        </w:tc>
        <w:tc>
          <w:tcPr>
            <w:tcW w:w="1152" w:type="dxa"/>
            <w:vAlign w:val="center"/>
          </w:tcPr>
          <w:p w14:paraId="20309876" w14:textId="77777777" w:rsidR="000A1B38" w:rsidRPr="00BD1632" w:rsidRDefault="000A1B38">
            <w:pPr>
              <w:pStyle w:val="TableTextCentered"/>
              <w:rPr>
                <w:rFonts w:ascii="Franklin Gothic Book" w:hAnsi="Franklin Gothic Book"/>
              </w:rPr>
            </w:pPr>
            <w:r>
              <w:rPr>
                <w:rFonts w:ascii="Franklin Gothic Book" w:hAnsi="Franklin Gothic Book"/>
              </w:rPr>
              <w:t>85.2</w:t>
            </w:r>
          </w:p>
        </w:tc>
        <w:tc>
          <w:tcPr>
            <w:tcW w:w="1152" w:type="dxa"/>
            <w:vAlign w:val="center"/>
          </w:tcPr>
          <w:p w14:paraId="03559A32" w14:textId="77777777" w:rsidR="000A1B38" w:rsidRPr="00BD1632" w:rsidRDefault="000A1B38">
            <w:pPr>
              <w:pStyle w:val="TableTextCentered"/>
              <w:rPr>
                <w:rFonts w:ascii="Franklin Gothic Book" w:hAnsi="Franklin Gothic Book"/>
              </w:rPr>
            </w:pPr>
            <w:r>
              <w:rPr>
                <w:rFonts w:ascii="Franklin Gothic Book" w:hAnsi="Franklin Gothic Book"/>
              </w:rPr>
              <w:t>95.5</w:t>
            </w:r>
          </w:p>
        </w:tc>
      </w:tr>
      <w:tr w:rsidR="000A1B38" w:rsidRPr="00976F70" w14:paraId="60FC2A0B" w14:textId="77777777">
        <w:tc>
          <w:tcPr>
            <w:tcW w:w="3586" w:type="dxa"/>
          </w:tcPr>
          <w:p w14:paraId="2A18E030"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175D5EEB" w14:textId="77777777" w:rsidR="000A1B38" w:rsidRPr="00BD1632" w:rsidRDefault="000A1B38">
            <w:pPr>
              <w:pStyle w:val="TableTextCentered"/>
              <w:rPr>
                <w:rFonts w:ascii="Franklin Gothic Book" w:hAnsi="Franklin Gothic Book"/>
              </w:rPr>
            </w:pPr>
            <w:r>
              <w:rPr>
                <w:rFonts w:ascii="Franklin Gothic Book" w:hAnsi="Franklin Gothic Book"/>
              </w:rPr>
              <w:t>666</w:t>
            </w:r>
          </w:p>
        </w:tc>
        <w:tc>
          <w:tcPr>
            <w:tcW w:w="1152" w:type="dxa"/>
            <w:vAlign w:val="center"/>
          </w:tcPr>
          <w:p w14:paraId="740F09CD" w14:textId="77777777" w:rsidR="000A1B38" w:rsidRPr="00BD1632" w:rsidRDefault="000A1B38">
            <w:pPr>
              <w:pStyle w:val="TableTextCentered"/>
              <w:rPr>
                <w:rFonts w:ascii="Franklin Gothic Book" w:hAnsi="Franklin Gothic Book"/>
              </w:rPr>
            </w:pPr>
            <w:r>
              <w:rPr>
                <w:rFonts w:ascii="Franklin Gothic Book" w:hAnsi="Franklin Gothic Book"/>
              </w:rPr>
              <w:t>79.5</w:t>
            </w:r>
          </w:p>
        </w:tc>
        <w:tc>
          <w:tcPr>
            <w:tcW w:w="1151" w:type="dxa"/>
            <w:vAlign w:val="center"/>
          </w:tcPr>
          <w:p w14:paraId="7FF7F2A8" w14:textId="77777777" w:rsidR="000A1B38" w:rsidRPr="00BD1632" w:rsidRDefault="000A1B38">
            <w:pPr>
              <w:pStyle w:val="TableTextCentered"/>
              <w:rPr>
                <w:rFonts w:ascii="Franklin Gothic Book" w:hAnsi="Franklin Gothic Book"/>
              </w:rPr>
            </w:pPr>
            <w:r>
              <w:rPr>
                <w:rFonts w:ascii="Franklin Gothic Book" w:hAnsi="Franklin Gothic Book"/>
              </w:rPr>
              <w:t>76.3</w:t>
            </w:r>
          </w:p>
        </w:tc>
        <w:tc>
          <w:tcPr>
            <w:tcW w:w="1152" w:type="dxa"/>
            <w:vAlign w:val="center"/>
          </w:tcPr>
          <w:p w14:paraId="66251A87" w14:textId="77777777" w:rsidR="000A1B38" w:rsidRPr="00BD1632" w:rsidRDefault="000A1B38">
            <w:pPr>
              <w:pStyle w:val="TableTextCentered"/>
              <w:rPr>
                <w:rFonts w:ascii="Franklin Gothic Book" w:hAnsi="Franklin Gothic Book"/>
              </w:rPr>
            </w:pPr>
            <w:r>
              <w:rPr>
                <w:rFonts w:ascii="Franklin Gothic Book" w:hAnsi="Franklin Gothic Book"/>
              </w:rPr>
              <w:t>65.6</w:t>
            </w:r>
          </w:p>
        </w:tc>
        <w:tc>
          <w:tcPr>
            <w:tcW w:w="1152" w:type="dxa"/>
            <w:vAlign w:val="center"/>
          </w:tcPr>
          <w:p w14:paraId="3877A4DB" w14:textId="77777777" w:rsidR="000A1B38" w:rsidRPr="00BD1632" w:rsidRDefault="000A1B38">
            <w:pPr>
              <w:pStyle w:val="TableTextCentered"/>
              <w:rPr>
                <w:rFonts w:ascii="Franklin Gothic Book" w:hAnsi="Franklin Gothic Book"/>
              </w:rPr>
            </w:pPr>
            <w:r>
              <w:rPr>
                <w:rFonts w:ascii="Franklin Gothic Book" w:hAnsi="Franklin Gothic Book"/>
              </w:rPr>
              <w:t>82.5</w:t>
            </w:r>
          </w:p>
        </w:tc>
      </w:tr>
      <w:tr w:rsidR="000A1B38" w:rsidRPr="00976F70" w14:paraId="1EBE57B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4E5C296"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3D66BF1F" w14:textId="77777777" w:rsidR="000A1B38" w:rsidRPr="00BD1632" w:rsidRDefault="000A1B38">
            <w:pPr>
              <w:pStyle w:val="TableTextCentered"/>
              <w:rPr>
                <w:rFonts w:ascii="Franklin Gothic Book" w:hAnsi="Franklin Gothic Book"/>
              </w:rPr>
            </w:pPr>
            <w:r>
              <w:rPr>
                <w:rFonts w:ascii="Franklin Gothic Book" w:hAnsi="Franklin Gothic Book"/>
              </w:rPr>
              <w:t>205</w:t>
            </w:r>
          </w:p>
        </w:tc>
        <w:tc>
          <w:tcPr>
            <w:tcW w:w="1152" w:type="dxa"/>
            <w:vAlign w:val="center"/>
          </w:tcPr>
          <w:p w14:paraId="29BEDECE" w14:textId="77777777" w:rsidR="000A1B38" w:rsidRPr="00BD1632" w:rsidRDefault="000A1B38">
            <w:pPr>
              <w:pStyle w:val="TableTextCentered"/>
              <w:rPr>
                <w:rFonts w:ascii="Franklin Gothic Book" w:hAnsi="Franklin Gothic Book"/>
              </w:rPr>
            </w:pPr>
            <w:r>
              <w:rPr>
                <w:rFonts w:ascii="Franklin Gothic Book" w:hAnsi="Franklin Gothic Book"/>
              </w:rPr>
              <w:t>76.0</w:t>
            </w:r>
          </w:p>
        </w:tc>
        <w:tc>
          <w:tcPr>
            <w:tcW w:w="1151" w:type="dxa"/>
            <w:vAlign w:val="center"/>
          </w:tcPr>
          <w:p w14:paraId="1A7656CF" w14:textId="77777777" w:rsidR="000A1B38" w:rsidRPr="00BD1632" w:rsidRDefault="000A1B38">
            <w:pPr>
              <w:pStyle w:val="TableTextCentered"/>
              <w:rPr>
                <w:rFonts w:ascii="Franklin Gothic Book" w:hAnsi="Franklin Gothic Book"/>
              </w:rPr>
            </w:pPr>
            <w:r>
              <w:rPr>
                <w:rFonts w:ascii="Franklin Gothic Book" w:hAnsi="Franklin Gothic Book"/>
              </w:rPr>
              <w:t>67.1</w:t>
            </w:r>
          </w:p>
        </w:tc>
        <w:tc>
          <w:tcPr>
            <w:tcW w:w="1152" w:type="dxa"/>
            <w:vAlign w:val="center"/>
          </w:tcPr>
          <w:p w14:paraId="48ED1219" w14:textId="77777777" w:rsidR="000A1B38" w:rsidRPr="00BD1632" w:rsidRDefault="000A1B38">
            <w:pPr>
              <w:pStyle w:val="TableTextCentered"/>
              <w:rPr>
                <w:rFonts w:ascii="Franklin Gothic Book" w:hAnsi="Franklin Gothic Book"/>
              </w:rPr>
            </w:pPr>
            <w:r>
              <w:rPr>
                <w:rFonts w:ascii="Franklin Gothic Book" w:hAnsi="Franklin Gothic Book"/>
              </w:rPr>
              <w:t>57.6</w:t>
            </w:r>
          </w:p>
        </w:tc>
        <w:tc>
          <w:tcPr>
            <w:tcW w:w="1152" w:type="dxa"/>
            <w:vAlign w:val="center"/>
          </w:tcPr>
          <w:p w14:paraId="49DC2D30" w14:textId="77777777" w:rsidR="000A1B38" w:rsidRPr="00BD1632" w:rsidRDefault="000A1B38">
            <w:pPr>
              <w:pStyle w:val="TableTextCentered"/>
              <w:rPr>
                <w:rFonts w:ascii="Franklin Gothic Book" w:hAnsi="Franklin Gothic Book"/>
              </w:rPr>
            </w:pPr>
            <w:r>
              <w:rPr>
                <w:rFonts w:ascii="Franklin Gothic Book" w:hAnsi="Franklin Gothic Book"/>
              </w:rPr>
              <w:t>78.9</w:t>
            </w:r>
          </w:p>
        </w:tc>
      </w:tr>
      <w:tr w:rsidR="000A1B38" w:rsidRPr="00976F70" w14:paraId="4EFD3F0A" w14:textId="77777777">
        <w:tc>
          <w:tcPr>
            <w:tcW w:w="3586" w:type="dxa"/>
          </w:tcPr>
          <w:p w14:paraId="0736DF32"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F1D35FD"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7EAD06EB" w14:textId="77777777" w:rsidR="000A1B38" w:rsidRPr="00BD1632" w:rsidRDefault="000A1B38">
            <w:pPr>
              <w:pStyle w:val="TableTextCentered"/>
              <w:rPr>
                <w:rFonts w:ascii="Franklin Gothic Book" w:hAnsi="Franklin Gothic Book"/>
              </w:rPr>
            </w:pPr>
            <w:r>
              <w:rPr>
                <w:rFonts w:ascii="Franklin Gothic Book" w:hAnsi="Franklin Gothic Book"/>
              </w:rPr>
              <w:t>77.6</w:t>
            </w:r>
          </w:p>
        </w:tc>
        <w:tc>
          <w:tcPr>
            <w:tcW w:w="1151" w:type="dxa"/>
            <w:vAlign w:val="center"/>
          </w:tcPr>
          <w:p w14:paraId="4EEF67AC" w14:textId="77777777" w:rsidR="000A1B38" w:rsidRPr="00BD1632" w:rsidRDefault="000A1B38">
            <w:pPr>
              <w:pStyle w:val="TableTextCentered"/>
              <w:rPr>
                <w:rFonts w:ascii="Franklin Gothic Book" w:hAnsi="Franklin Gothic Book"/>
              </w:rPr>
            </w:pPr>
            <w:r>
              <w:rPr>
                <w:rFonts w:ascii="Franklin Gothic Book" w:hAnsi="Franklin Gothic Book"/>
              </w:rPr>
              <w:t>76.7</w:t>
            </w:r>
          </w:p>
        </w:tc>
        <w:tc>
          <w:tcPr>
            <w:tcW w:w="1152" w:type="dxa"/>
            <w:vAlign w:val="center"/>
          </w:tcPr>
          <w:p w14:paraId="51690687" w14:textId="77777777" w:rsidR="000A1B38" w:rsidRPr="00BD1632" w:rsidRDefault="000A1B38">
            <w:pPr>
              <w:pStyle w:val="TableTextCentered"/>
              <w:rPr>
                <w:rFonts w:ascii="Franklin Gothic Book" w:hAnsi="Franklin Gothic Book"/>
              </w:rPr>
            </w:pPr>
            <w:r>
              <w:rPr>
                <w:rFonts w:ascii="Franklin Gothic Book" w:hAnsi="Franklin Gothic Book"/>
              </w:rPr>
              <w:t>64.6</w:t>
            </w:r>
          </w:p>
        </w:tc>
        <w:tc>
          <w:tcPr>
            <w:tcW w:w="1152" w:type="dxa"/>
            <w:vAlign w:val="center"/>
          </w:tcPr>
          <w:p w14:paraId="452C491A" w14:textId="77777777" w:rsidR="000A1B38" w:rsidRPr="00BD1632" w:rsidRDefault="000A1B38">
            <w:pPr>
              <w:pStyle w:val="TableTextCentered"/>
              <w:rPr>
                <w:rFonts w:ascii="Franklin Gothic Book" w:hAnsi="Franklin Gothic Book"/>
              </w:rPr>
            </w:pPr>
            <w:r>
              <w:rPr>
                <w:rFonts w:ascii="Franklin Gothic Book" w:hAnsi="Franklin Gothic Book"/>
              </w:rPr>
              <w:t>88.6</w:t>
            </w:r>
          </w:p>
        </w:tc>
      </w:tr>
      <w:tr w:rsidR="000A1B38" w:rsidRPr="00976F70" w14:paraId="4C0005C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4683F3E"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0E4F1AD9" w14:textId="77777777" w:rsidR="000A1B38" w:rsidRPr="00BD1632" w:rsidRDefault="000A1B38">
            <w:pPr>
              <w:pStyle w:val="TableTextCentered"/>
              <w:rPr>
                <w:rFonts w:ascii="Franklin Gothic Book" w:hAnsi="Franklin Gothic Book"/>
              </w:rPr>
            </w:pPr>
            <w:r>
              <w:rPr>
                <w:rFonts w:ascii="Franklin Gothic Book" w:hAnsi="Franklin Gothic Book"/>
              </w:rPr>
              <w:t>2</w:t>
            </w:r>
          </w:p>
        </w:tc>
        <w:tc>
          <w:tcPr>
            <w:tcW w:w="1152" w:type="dxa"/>
            <w:vAlign w:val="center"/>
          </w:tcPr>
          <w:p w14:paraId="0BC5AAD6" w14:textId="77777777" w:rsidR="000A1B38" w:rsidRPr="00BD1632" w:rsidRDefault="000A1B38">
            <w:pPr>
              <w:pStyle w:val="TableTextCentered"/>
              <w:rPr>
                <w:rFonts w:ascii="Franklin Gothic Book" w:hAnsi="Franklin Gothic Book"/>
              </w:rPr>
            </w:pPr>
            <w:r>
              <w:rPr>
                <w:rFonts w:ascii="Franklin Gothic Book" w:hAnsi="Franklin Gothic Book"/>
              </w:rPr>
              <w:t>50.0</w:t>
            </w:r>
          </w:p>
        </w:tc>
        <w:tc>
          <w:tcPr>
            <w:tcW w:w="1151" w:type="dxa"/>
            <w:vAlign w:val="center"/>
          </w:tcPr>
          <w:p w14:paraId="39378977" w14:textId="5D17A5CE"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22A17D23" w14:textId="1E050BAB"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284A7890" w14:textId="77777777" w:rsidR="000A1B38" w:rsidRPr="00BD1632" w:rsidRDefault="000A1B38">
            <w:pPr>
              <w:pStyle w:val="TableTextCentered"/>
              <w:rPr>
                <w:rFonts w:ascii="Franklin Gothic Book" w:hAnsi="Franklin Gothic Book"/>
              </w:rPr>
            </w:pPr>
            <w:r>
              <w:rPr>
                <w:rFonts w:ascii="Franklin Gothic Book" w:hAnsi="Franklin Gothic Book"/>
              </w:rPr>
              <w:t>80.7</w:t>
            </w:r>
          </w:p>
        </w:tc>
      </w:tr>
      <w:tr w:rsidR="000A1B38" w:rsidRPr="00976F70" w14:paraId="730856FD" w14:textId="77777777">
        <w:tc>
          <w:tcPr>
            <w:tcW w:w="3586" w:type="dxa"/>
          </w:tcPr>
          <w:p w14:paraId="37EA787D"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391D1B0B" w14:textId="77777777" w:rsidR="000A1B38" w:rsidRPr="00BD1632" w:rsidRDefault="000A1B38">
            <w:pPr>
              <w:pStyle w:val="TableTextCentered"/>
              <w:rPr>
                <w:rFonts w:ascii="Franklin Gothic Book" w:hAnsi="Franklin Gothic Book"/>
              </w:rPr>
            </w:pPr>
            <w:r>
              <w:rPr>
                <w:rFonts w:ascii="Franklin Gothic Book" w:hAnsi="Franklin Gothic Book"/>
              </w:rPr>
              <w:t>161</w:t>
            </w:r>
          </w:p>
        </w:tc>
        <w:tc>
          <w:tcPr>
            <w:tcW w:w="1152" w:type="dxa"/>
            <w:vAlign w:val="center"/>
          </w:tcPr>
          <w:p w14:paraId="2CA34159" w14:textId="77777777" w:rsidR="000A1B38" w:rsidRPr="00BD1632" w:rsidRDefault="000A1B38">
            <w:pPr>
              <w:pStyle w:val="TableTextCentered"/>
              <w:rPr>
                <w:rFonts w:ascii="Franklin Gothic Book" w:hAnsi="Franklin Gothic Book"/>
              </w:rPr>
            </w:pPr>
            <w:r>
              <w:rPr>
                <w:rFonts w:ascii="Franklin Gothic Book" w:hAnsi="Franklin Gothic Book"/>
              </w:rPr>
              <w:t>80.4</w:t>
            </w:r>
          </w:p>
        </w:tc>
        <w:tc>
          <w:tcPr>
            <w:tcW w:w="1151" w:type="dxa"/>
            <w:vAlign w:val="center"/>
          </w:tcPr>
          <w:p w14:paraId="0E0ED0B2" w14:textId="77777777" w:rsidR="000A1B38" w:rsidRPr="00BD1632" w:rsidRDefault="000A1B38">
            <w:pPr>
              <w:pStyle w:val="TableTextCentered"/>
              <w:rPr>
                <w:rFonts w:ascii="Franklin Gothic Book" w:hAnsi="Franklin Gothic Book"/>
              </w:rPr>
            </w:pPr>
            <w:r>
              <w:rPr>
                <w:rFonts w:ascii="Franklin Gothic Book" w:hAnsi="Franklin Gothic Book"/>
              </w:rPr>
              <w:t>72.2</w:t>
            </w:r>
          </w:p>
        </w:tc>
        <w:tc>
          <w:tcPr>
            <w:tcW w:w="1152" w:type="dxa"/>
            <w:vAlign w:val="center"/>
          </w:tcPr>
          <w:p w14:paraId="6968FC93" w14:textId="77777777" w:rsidR="000A1B38" w:rsidRPr="00BD1632" w:rsidRDefault="000A1B38">
            <w:pPr>
              <w:pStyle w:val="TableTextCentered"/>
              <w:rPr>
                <w:rFonts w:ascii="Franklin Gothic Book" w:hAnsi="Franklin Gothic Book"/>
              </w:rPr>
            </w:pPr>
            <w:r>
              <w:rPr>
                <w:rFonts w:ascii="Franklin Gothic Book" w:hAnsi="Franklin Gothic Book"/>
              </w:rPr>
              <w:t>70.2</w:t>
            </w:r>
          </w:p>
        </w:tc>
        <w:tc>
          <w:tcPr>
            <w:tcW w:w="1152" w:type="dxa"/>
            <w:vAlign w:val="center"/>
          </w:tcPr>
          <w:p w14:paraId="7BAE9147" w14:textId="77777777" w:rsidR="000A1B38" w:rsidRPr="00BD1632" w:rsidRDefault="000A1B38">
            <w:pPr>
              <w:pStyle w:val="TableTextCentered"/>
              <w:rPr>
                <w:rFonts w:ascii="Franklin Gothic Book" w:hAnsi="Franklin Gothic Book"/>
              </w:rPr>
            </w:pPr>
            <w:r>
              <w:rPr>
                <w:rFonts w:ascii="Franklin Gothic Book" w:hAnsi="Franklin Gothic Book"/>
              </w:rPr>
              <w:t>92.6</w:t>
            </w:r>
          </w:p>
        </w:tc>
      </w:tr>
      <w:tr w:rsidR="000A1B38" w:rsidRPr="00976F70" w14:paraId="697E904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1FE0E0A"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A6D5F4A" w14:textId="77777777" w:rsidR="000A1B38" w:rsidRPr="00BD1632" w:rsidRDefault="000A1B38">
            <w:pPr>
              <w:pStyle w:val="TableTextCentered"/>
              <w:rPr>
                <w:rFonts w:ascii="Franklin Gothic Book" w:hAnsi="Franklin Gothic Book"/>
              </w:rPr>
            </w:pPr>
            <w:r>
              <w:rPr>
                <w:rFonts w:ascii="Franklin Gothic Book" w:hAnsi="Franklin Gothic Book"/>
              </w:rPr>
              <w:t>986</w:t>
            </w:r>
          </w:p>
        </w:tc>
        <w:tc>
          <w:tcPr>
            <w:tcW w:w="1152" w:type="dxa"/>
            <w:vAlign w:val="center"/>
          </w:tcPr>
          <w:p w14:paraId="40ED6290" w14:textId="77777777" w:rsidR="000A1B38" w:rsidRPr="00BD1632" w:rsidRDefault="000A1B38">
            <w:pPr>
              <w:pStyle w:val="TableTextCentered"/>
              <w:rPr>
                <w:rFonts w:ascii="Franklin Gothic Book" w:hAnsi="Franklin Gothic Book"/>
              </w:rPr>
            </w:pPr>
            <w:r>
              <w:rPr>
                <w:rFonts w:ascii="Franklin Gothic Book" w:hAnsi="Franklin Gothic Book"/>
              </w:rPr>
              <w:t>76.7</w:t>
            </w:r>
          </w:p>
        </w:tc>
        <w:tc>
          <w:tcPr>
            <w:tcW w:w="1151" w:type="dxa"/>
            <w:vAlign w:val="center"/>
          </w:tcPr>
          <w:p w14:paraId="6DEB0F7E" w14:textId="77777777" w:rsidR="000A1B38" w:rsidRPr="00BD1632" w:rsidRDefault="000A1B38">
            <w:pPr>
              <w:pStyle w:val="TableTextCentered"/>
              <w:rPr>
                <w:rFonts w:ascii="Franklin Gothic Book" w:hAnsi="Franklin Gothic Book"/>
              </w:rPr>
            </w:pPr>
            <w:r>
              <w:rPr>
                <w:rFonts w:ascii="Franklin Gothic Book" w:hAnsi="Franklin Gothic Book"/>
              </w:rPr>
              <w:t>71.8</w:t>
            </w:r>
          </w:p>
        </w:tc>
        <w:tc>
          <w:tcPr>
            <w:tcW w:w="1152" w:type="dxa"/>
            <w:vAlign w:val="center"/>
          </w:tcPr>
          <w:p w14:paraId="6DBE452A" w14:textId="77777777" w:rsidR="000A1B38" w:rsidRPr="00BD1632" w:rsidRDefault="000A1B38">
            <w:pPr>
              <w:pStyle w:val="TableTextCentered"/>
              <w:rPr>
                <w:rFonts w:ascii="Franklin Gothic Book" w:hAnsi="Franklin Gothic Book"/>
              </w:rPr>
            </w:pPr>
            <w:r>
              <w:rPr>
                <w:rFonts w:ascii="Franklin Gothic Book" w:hAnsi="Franklin Gothic Book"/>
              </w:rPr>
              <w:t>62.3</w:t>
            </w:r>
          </w:p>
        </w:tc>
        <w:tc>
          <w:tcPr>
            <w:tcW w:w="1152" w:type="dxa"/>
            <w:vAlign w:val="center"/>
          </w:tcPr>
          <w:p w14:paraId="377047C8" w14:textId="77777777" w:rsidR="000A1B38" w:rsidRPr="00BD1632" w:rsidRDefault="000A1B38">
            <w:pPr>
              <w:pStyle w:val="TableTextCentered"/>
              <w:rPr>
                <w:rFonts w:ascii="Franklin Gothic Book" w:hAnsi="Franklin Gothic Book"/>
              </w:rPr>
            </w:pPr>
            <w:r>
              <w:rPr>
                <w:rFonts w:ascii="Franklin Gothic Book" w:hAnsi="Franklin Gothic Book"/>
              </w:rPr>
              <w:t>82.2</w:t>
            </w:r>
          </w:p>
        </w:tc>
      </w:tr>
      <w:tr w:rsidR="000A1B38" w:rsidRPr="00976F70" w14:paraId="0FAC271A" w14:textId="77777777">
        <w:tc>
          <w:tcPr>
            <w:tcW w:w="3586" w:type="dxa"/>
          </w:tcPr>
          <w:p w14:paraId="3772F992"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50DD2BD5" w14:textId="77777777" w:rsidR="000A1B38" w:rsidRPr="00BD1632" w:rsidRDefault="000A1B38">
            <w:pPr>
              <w:pStyle w:val="TableTextCentered"/>
              <w:rPr>
                <w:rFonts w:ascii="Franklin Gothic Book" w:hAnsi="Franklin Gothic Book"/>
              </w:rPr>
            </w:pPr>
            <w:r>
              <w:rPr>
                <w:rFonts w:ascii="Franklin Gothic Book" w:hAnsi="Franklin Gothic Book"/>
              </w:rPr>
              <w:t>401</w:t>
            </w:r>
          </w:p>
        </w:tc>
        <w:tc>
          <w:tcPr>
            <w:tcW w:w="1152" w:type="dxa"/>
            <w:vAlign w:val="center"/>
          </w:tcPr>
          <w:p w14:paraId="4FE76365" w14:textId="77777777" w:rsidR="000A1B38" w:rsidRPr="00BD1632" w:rsidRDefault="000A1B38">
            <w:pPr>
              <w:pStyle w:val="TableTextCentered"/>
              <w:rPr>
                <w:rFonts w:ascii="Franklin Gothic Book" w:hAnsi="Franklin Gothic Book"/>
              </w:rPr>
            </w:pPr>
            <w:r>
              <w:rPr>
                <w:rFonts w:ascii="Franklin Gothic Book" w:hAnsi="Franklin Gothic Book"/>
              </w:rPr>
              <w:t>71.4</w:t>
            </w:r>
          </w:p>
        </w:tc>
        <w:tc>
          <w:tcPr>
            <w:tcW w:w="1151" w:type="dxa"/>
            <w:vAlign w:val="center"/>
          </w:tcPr>
          <w:p w14:paraId="7ADCEB6F" w14:textId="77777777" w:rsidR="000A1B38" w:rsidRPr="00BD1632" w:rsidRDefault="000A1B38">
            <w:pPr>
              <w:pStyle w:val="TableTextCentered"/>
              <w:rPr>
                <w:rFonts w:ascii="Franklin Gothic Book" w:hAnsi="Franklin Gothic Book"/>
              </w:rPr>
            </w:pPr>
            <w:r>
              <w:rPr>
                <w:rFonts w:ascii="Franklin Gothic Book" w:hAnsi="Franklin Gothic Book"/>
              </w:rPr>
              <w:t>60.7</w:t>
            </w:r>
          </w:p>
        </w:tc>
        <w:tc>
          <w:tcPr>
            <w:tcW w:w="1152" w:type="dxa"/>
            <w:vAlign w:val="center"/>
          </w:tcPr>
          <w:p w14:paraId="0841080D" w14:textId="77777777" w:rsidR="000A1B38" w:rsidRPr="00BD1632" w:rsidRDefault="000A1B38">
            <w:pPr>
              <w:pStyle w:val="TableTextCentered"/>
              <w:rPr>
                <w:rFonts w:ascii="Franklin Gothic Book" w:hAnsi="Franklin Gothic Book"/>
              </w:rPr>
            </w:pPr>
            <w:r>
              <w:rPr>
                <w:rFonts w:ascii="Franklin Gothic Book" w:hAnsi="Franklin Gothic Book"/>
              </w:rPr>
              <w:t>50.9</w:t>
            </w:r>
          </w:p>
        </w:tc>
        <w:tc>
          <w:tcPr>
            <w:tcW w:w="1152" w:type="dxa"/>
            <w:vAlign w:val="center"/>
          </w:tcPr>
          <w:p w14:paraId="41DE7E9D" w14:textId="77777777" w:rsidR="000A1B38" w:rsidRPr="00BD1632" w:rsidRDefault="000A1B38">
            <w:pPr>
              <w:pStyle w:val="TableTextCentered"/>
              <w:rPr>
                <w:rFonts w:ascii="Franklin Gothic Book" w:hAnsi="Franklin Gothic Book"/>
              </w:rPr>
            </w:pPr>
            <w:r>
              <w:rPr>
                <w:rFonts w:ascii="Franklin Gothic Book" w:hAnsi="Franklin Gothic Book"/>
              </w:rPr>
              <w:t>66.7</w:t>
            </w:r>
          </w:p>
        </w:tc>
      </w:tr>
      <w:tr w:rsidR="000A1B38" w:rsidRPr="00976F70" w14:paraId="743D848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A64D0A8"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68A5B06B" w14:textId="77777777" w:rsidR="000A1B38" w:rsidRPr="00BD1632" w:rsidRDefault="000A1B38">
            <w:pPr>
              <w:pStyle w:val="TableTextCentered"/>
              <w:rPr>
                <w:rFonts w:ascii="Franklin Gothic Book" w:hAnsi="Franklin Gothic Book"/>
              </w:rPr>
            </w:pPr>
            <w:r>
              <w:rPr>
                <w:rFonts w:ascii="Franklin Gothic Book" w:hAnsi="Franklin Gothic Book"/>
              </w:rPr>
              <w:t>951</w:t>
            </w:r>
          </w:p>
        </w:tc>
        <w:tc>
          <w:tcPr>
            <w:tcW w:w="1152" w:type="dxa"/>
            <w:vAlign w:val="center"/>
          </w:tcPr>
          <w:p w14:paraId="376DEE96" w14:textId="77777777" w:rsidR="000A1B38" w:rsidRPr="00BD1632" w:rsidRDefault="000A1B38">
            <w:pPr>
              <w:pStyle w:val="TableTextCentered"/>
              <w:rPr>
                <w:rFonts w:ascii="Franklin Gothic Book" w:hAnsi="Franklin Gothic Book"/>
              </w:rPr>
            </w:pPr>
            <w:r>
              <w:rPr>
                <w:rFonts w:ascii="Franklin Gothic Book" w:hAnsi="Franklin Gothic Book"/>
              </w:rPr>
              <w:t>77.1</w:t>
            </w:r>
          </w:p>
        </w:tc>
        <w:tc>
          <w:tcPr>
            <w:tcW w:w="1151" w:type="dxa"/>
            <w:vAlign w:val="center"/>
          </w:tcPr>
          <w:p w14:paraId="0F66B1AF" w14:textId="77777777" w:rsidR="000A1B38" w:rsidRPr="00BD1632" w:rsidRDefault="000A1B38">
            <w:pPr>
              <w:pStyle w:val="TableTextCentered"/>
              <w:rPr>
                <w:rFonts w:ascii="Franklin Gothic Book" w:hAnsi="Franklin Gothic Book"/>
              </w:rPr>
            </w:pPr>
            <w:r>
              <w:rPr>
                <w:rFonts w:ascii="Franklin Gothic Book" w:hAnsi="Franklin Gothic Book"/>
              </w:rPr>
              <w:t>72.2</w:t>
            </w:r>
          </w:p>
        </w:tc>
        <w:tc>
          <w:tcPr>
            <w:tcW w:w="1152" w:type="dxa"/>
            <w:vAlign w:val="center"/>
          </w:tcPr>
          <w:p w14:paraId="71BB3B19" w14:textId="77777777" w:rsidR="000A1B38" w:rsidRPr="00BD1632" w:rsidRDefault="000A1B38">
            <w:pPr>
              <w:pStyle w:val="TableTextCentered"/>
              <w:rPr>
                <w:rFonts w:ascii="Franklin Gothic Book" w:hAnsi="Franklin Gothic Book"/>
              </w:rPr>
            </w:pPr>
            <w:r>
              <w:rPr>
                <w:rFonts w:ascii="Franklin Gothic Book" w:hAnsi="Franklin Gothic Book"/>
              </w:rPr>
              <w:t>62.7</w:t>
            </w:r>
          </w:p>
        </w:tc>
        <w:tc>
          <w:tcPr>
            <w:tcW w:w="1152" w:type="dxa"/>
            <w:vAlign w:val="center"/>
          </w:tcPr>
          <w:p w14:paraId="36D71496" w14:textId="77777777" w:rsidR="000A1B38" w:rsidRPr="00BD1632" w:rsidRDefault="000A1B38">
            <w:pPr>
              <w:pStyle w:val="TableTextCentered"/>
              <w:rPr>
                <w:rFonts w:ascii="Franklin Gothic Book" w:hAnsi="Franklin Gothic Book"/>
              </w:rPr>
            </w:pPr>
            <w:r>
              <w:rPr>
                <w:rFonts w:ascii="Franklin Gothic Book" w:hAnsi="Franklin Gothic Book"/>
              </w:rPr>
              <w:t>81.6</w:t>
            </w:r>
          </w:p>
        </w:tc>
      </w:tr>
      <w:tr w:rsidR="000A1B38" w:rsidRPr="00976F70" w14:paraId="5BC307DD" w14:textId="77777777">
        <w:tc>
          <w:tcPr>
            <w:tcW w:w="3586" w:type="dxa"/>
          </w:tcPr>
          <w:p w14:paraId="7712E8B1"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2B75B5A1" w14:textId="77777777" w:rsidR="000A1B38" w:rsidRPr="00BD1632" w:rsidRDefault="000A1B38">
            <w:pPr>
              <w:pStyle w:val="TableTextCentered"/>
              <w:rPr>
                <w:rFonts w:ascii="Franklin Gothic Book" w:hAnsi="Franklin Gothic Book"/>
              </w:rPr>
            </w:pPr>
            <w:r>
              <w:rPr>
                <w:rFonts w:ascii="Franklin Gothic Book" w:hAnsi="Franklin Gothic Book"/>
              </w:rPr>
              <w:t>197</w:t>
            </w:r>
          </w:p>
        </w:tc>
        <w:tc>
          <w:tcPr>
            <w:tcW w:w="1152" w:type="dxa"/>
            <w:vAlign w:val="center"/>
          </w:tcPr>
          <w:p w14:paraId="5DC5A78B" w14:textId="77777777" w:rsidR="000A1B38" w:rsidRPr="00BD1632" w:rsidRDefault="000A1B38">
            <w:pPr>
              <w:pStyle w:val="TableTextCentered"/>
              <w:rPr>
                <w:rFonts w:ascii="Franklin Gothic Book" w:hAnsi="Franklin Gothic Book"/>
              </w:rPr>
            </w:pPr>
            <w:r>
              <w:rPr>
                <w:rFonts w:ascii="Franklin Gothic Book" w:hAnsi="Franklin Gothic Book"/>
              </w:rPr>
              <w:t>57.1</w:t>
            </w:r>
          </w:p>
        </w:tc>
        <w:tc>
          <w:tcPr>
            <w:tcW w:w="1151" w:type="dxa"/>
            <w:vAlign w:val="center"/>
          </w:tcPr>
          <w:p w14:paraId="02B97955" w14:textId="77777777" w:rsidR="000A1B38" w:rsidRPr="00BD1632" w:rsidRDefault="000A1B38">
            <w:pPr>
              <w:pStyle w:val="TableTextCentered"/>
              <w:rPr>
                <w:rFonts w:ascii="Franklin Gothic Book" w:hAnsi="Franklin Gothic Book"/>
              </w:rPr>
            </w:pPr>
            <w:r>
              <w:rPr>
                <w:rFonts w:ascii="Franklin Gothic Book" w:hAnsi="Franklin Gothic Book"/>
              </w:rPr>
              <w:t>54.9</w:t>
            </w:r>
          </w:p>
        </w:tc>
        <w:tc>
          <w:tcPr>
            <w:tcW w:w="1152" w:type="dxa"/>
            <w:vAlign w:val="center"/>
          </w:tcPr>
          <w:p w14:paraId="207072B2" w14:textId="77777777" w:rsidR="000A1B38" w:rsidRPr="00BD1632" w:rsidRDefault="000A1B38">
            <w:pPr>
              <w:pStyle w:val="TableTextCentered"/>
              <w:rPr>
                <w:rFonts w:ascii="Franklin Gothic Book" w:hAnsi="Franklin Gothic Book"/>
              </w:rPr>
            </w:pPr>
            <w:r>
              <w:rPr>
                <w:rFonts w:ascii="Franklin Gothic Book" w:hAnsi="Franklin Gothic Book"/>
              </w:rPr>
              <w:t>48.7</w:t>
            </w:r>
          </w:p>
        </w:tc>
        <w:tc>
          <w:tcPr>
            <w:tcW w:w="1152" w:type="dxa"/>
            <w:vAlign w:val="center"/>
          </w:tcPr>
          <w:p w14:paraId="14ECCEB7" w14:textId="77777777" w:rsidR="000A1B38" w:rsidRPr="00BD1632" w:rsidRDefault="000A1B38">
            <w:pPr>
              <w:pStyle w:val="TableTextCentered"/>
              <w:rPr>
                <w:rFonts w:ascii="Franklin Gothic Book" w:hAnsi="Franklin Gothic Book"/>
              </w:rPr>
            </w:pPr>
            <w:r>
              <w:rPr>
                <w:rFonts w:ascii="Franklin Gothic Book" w:hAnsi="Franklin Gothic Book"/>
              </w:rPr>
              <w:t>75.4</w:t>
            </w:r>
          </w:p>
        </w:tc>
      </w:tr>
    </w:tbl>
    <w:p w14:paraId="3A5151D9" w14:textId="77777777" w:rsidR="000A1B38" w:rsidRDefault="000A1B38" w:rsidP="00EC51F0">
      <w:pPr>
        <w:pStyle w:val="BodyText"/>
      </w:pPr>
      <w:r>
        <w:br w:type="page"/>
      </w:r>
    </w:p>
    <w:p w14:paraId="76780B75" w14:textId="77777777" w:rsidR="000A1B38" w:rsidRPr="003C1C59" w:rsidRDefault="000A1B38" w:rsidP="0082637F">
      <w:pPr>
        <w:pStyle w:val="TableETitle"/>
      </w:pPr>
      <w:bookmarkStart w:id="249" w:name="_Toc211930047"/>
      <w:bookmarkStart w:id="250" w:name="_Toc230970177"/>
      <w:bookmarkStart w:id="251" w:name="_Hlk138323648"/>
      <w:r w:rsidRPr="00A471CE">
        <w:t>Table E17.</w:t>
      </w:r>
      <w:r>
        <w:t xml:space="preserve"> </w:t>
      </w:r>
      <w:r w:rsidRPr="00A471CE">
        <w:t>Five-Year Cohort Graduation Rates by Student Group, 202</w:t>
      </w:r>
      <w:r>
        <w:t>1</w:t>
      </w:r>
      <w:r w:rsidRPr="00A471CE">
        <w:t>-202</w:t>
      </w:r>
      <w:r>
        <w:t>3</w:t>
      </w:r>
      <w:bookmarkEnd w:id="249"/>
      <w:bookmarkEnd w:id="250"/>
    </w:p>
    <w:tbl>
      <w:tblPr>
        <w:tblStyle w:val="MSVTable1"/>
        <w:tblW w:w="5000" w:type="pct"/>
        <w:tblLook w:val="0420" w:firstRow="1" w:lastRow="0" w:firstColumn="0" w:lastColumn="0" w:noHBand="0" w:noVBand="1"/>
        <w:tblCaption w:val="Table E17. Five-Year Cohort Graduation Rates by Student Group, 2021-2023"/>
        <w:tblDescription w:val="Five-Year Cohort Graduation Rates by Student Group, 2021-2023"/>
      </w:tblPr>
      <w:tblGrid>
        <w:gridCol w:w="3586"/>
        <w:gridCol w:w="1151"/>
        <w:gridCol w:w="1152"/>
        <w:gridCol w:w="1151"/>
        <w:gridCol w:w="1152"/>
        <w:gridCol w:w="1152"/>
      </w:tblGrid>
      <w:tr w:rsidR="000A1B38" w:rsidRPr="00976F70" w14:paraId="1DB4E4B5"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765C8215" w14:textId="77777777" w:rsidR="000A1B38" w:rsidRPr="00B85B0B" w:rsidRDefault="000A1B38">
            <w:pPr>
              <w:pStyle w:val="TableColHeadingLeft"/>
              <w:jc w:val="center"/>
            </w:pPr>
            <w:r w:rsidRPr="00B85B0B">
              <w:t>Group</w:t>
            </w:r>
          </w:p>
        </w:tc>
        <w:tc>
          <w:tcPr>
            <w:tcW w:w="1151" w:type="dxa"/>
            <w:vAlign w:val="center"/>
          </w:tcPr>
          <w:p w14:paraId="55F76620" w14:textId="77777777" w:rsidR="000A1B38" w:rsidRPr="00B85B0B" w:rsidRDefault="000A1B38">
            <w:pPr>
              <w:pStyle w:val="TableColHeadingCenter"/>
            </w:pPr>
            <w:r>
              <w:t># Included</w:t>
            </w:r>
            <w:r w:rsidRPr="00B85B0B">
              <w:t xml:space="preserve"> (202</w:t>
            </w:r>
            <w:r>
              <w:t>1</w:t>
            </w:r>
            <w:r w:rsidRPr="00B85B0B">
              <w:t>)</w:t>
            </w:r>
          </w:p>
        </w:tc>
        <w:tc>
          <w:tcPr>
            <w:tcW w:w="1152" w:type="dxa"/>
            <w:vAlign w:val="center"/>
          </w:tcPr>
          <w:p w14:paraId="0F15B544" w14:textId="77777777" w:rsidR="000A1B38" w:rsidRPr="00B85B0B" w:rsidRDefault="000A1B38">
            <w:pPr>
              <w:pStyle w:val="TableColHeadingCenter"/>
            </w:pPr>
            <w:r w:rsidRPr="00B85B0B">
              <w:t>202</w:t>
            </w:r>
            <w:r>
              <w:t>1</w:t>
            </w:r>
          </w:p>
        </w:tc>
        <w:tc>
          <w:tcPr>
            <w:tcW w:w="1151" w:type="dxa"/>
            <w:vAlign w:val="center"/>
          </w:tcPr>
          <w:p w14:paraId="4ED7AACC" w14:textId="77777777" w:rsidR="000A1B38" w:rsidRPr="00B85B0B" w:rsidRDefault="000A1B38">
            <w:pPr>
              <w:pStyle w:val="TableColHeadingCenter"/>
            </w:pPr>
            <w:r w:rsidRPr="00B85B0B">
              <w:t>202</w:t>
            </w:r>
            <w:r>
              <w:t>2</w:t>
            </w:r>
          </w:p>
        </w:tc>
        <w:tc>
          <w:tcPr>
            <w:tcW w:w="1152" w:type="dxa"/>
            <w:vAlign w:val="center"/>
          </w:tcPr>
          <w:p w14:paraId="42C03DAF" w14:textId="77777777" w:rsidR="000A1B38" w:rsidRPr="00B85B0B" w:rsidRDefault="000A1B38">
            <w:pPr>
              <w:pStyle w:val="TableColHeadingCenter"/>
            </w:pPr>
            <w:r>
              <w:t>2023</w:t>
            </w:r>
          </w:p>
        </w:tc>
        <w:tc>
          <w:tcPr>
            <w:tcW w:w="1152" w:type="dxa"/>
            <w:vAlign w:val="center"/>
          </w:tcPr>
          <w:p w14:paraId="640B39CA" w14:textId="77777777" w:rsidR="000A1B38" w:rsidRPr="00B85B0B" w:rsidRDefault="000A1B38">
            <w:pPr>
              <w:pStyle w:val="TableColHeadingCenter"/>
            </w:pPr>
            <w:r w:rsidRPr="00B85B0B">
              <w:t>State (202</w:t>
            </w:r>
            <w:r>
              <w:t>3</w:t>
            </w:r>
            <w:r w:rsidRPr="00B85B0B">
              <w:t>)</w:t>
            </w:r>
          </w:p>
        </w:tc>
      </w:tr>
      <w:tr w:rsidR="000A1B38" w:rsidRPr="00976F70" w14:paraId="563BC82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FB6C3ED"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61874292" w14:textId="77777777" w:rsidR="000A1B38" w:rsidRPr="00BD1632" w:rsidRDefault="000A1B38">
            <w:pPr>
              <w:pStyle w:val="TableTextCentered"/>
              <w:rPr>
                <w:rFonts w:ascii="Franklin Gothic Book" w:hAnsi="Franklin Gothic Book"/>
              </w:rPr>
            </w:pPr>
            <w:r>
              <w:rPr>
                <w:rFonts w:ascii="Franklin Gothic Book" w:hAnsi="Franklin Gothic Book"/>
              </w:rPr>
              <w:t>1,203</w:t>
            </w:r>
          </w:p>
        </w:tc>
        <w:tc>
          <w:tcPr>
            <w:tcW w:w="1152" w:type="dxa"/>
            <w:vAlign w:val="center"/>
          </w:tcPr>
          <w:p w14:paraId="1D11D553" w14:textId="77777777" w:rsidR="000A1B38" w:rsidRPr="00BD1632" w:rsidRDefault="000A1B38">
            <w:pPr>
              <w:pStyle w:val="TableTextCentered"/>
              <w:rPr>
                <w:rFonts w:ascii="Franklin Gothic Book" w:hAnsi="Franklin Gothic Book"/>
              </w:rPr>
            </w:pPr>
            <w:r>
              <w:rPr>
                <w:rFonts w:ascii="Franklin Gothic Book" w:hAnsi="Franklin Gothic Book"/>
              </w:rPr>
              <w:t>81.7</w:t>
            </w:r>
          </w:p>
        </w:tc>
        <w:tc>
          <w:tcPr>
            <w:tcW w:w="1151" w:type="dxa"/>
            <w:vAlign w:val="center"/>
          </w:tcPr>
          <w:p w14:paraId="50319569" w14:textId="77777777" w:rsidR="000A1B38" w:rsidRPr="00BD1632" w:rsidRDefault="000A1B38">
            <w:pPr>
              <w:pStyle w:val="TableTextCentered"/>
              <w:rPr>
                <w:rFonts w:ascii="Franklin Gothic Book" w:hAnsi="Franklin Gothic Book"/>
              </w:rPr>
            </w:pPr>
            <w:r>
              <w:rPr>
                <w:rFonts w:ascii="Franklin Gothic Book" w:hAnsi="Franklin Gothic Book"/>
              </w:rPr>
              <w:t>84.2</w:t>
            </w:r>
          </w:p>
        </w:tc>
        <w:tc>
          <w:tcPr>
            <w:tcW w:w="1152" w:type="dxa"/>
            <w:vAlign w:val="center"/>
          </w:tcPr>
          <w:p w14:paraId="193DC932" w14:textId="77777777" w:rsidR="000A1B38" w:rsidRPr="00BD1632" w:rsidRDefault="000A1B38">
            <w:pPr>
              <w:pStyle w:val="TableTextCentered"/>
              <w:rPr>
                <w:rFonts w:ascii="Franklin Gothic Book" w:hAnsi="Franklin Gothic Book"/>
              </w:rPr>
            </w:pPr>
            <w:r>
              <w:rPr>
                <w:rFonts w:ascii="Franklin Gothic Book" w:hAnsi="Franklin Gothic Book"/>
              </w:rPr>
              <w:t>78.6</w:t>
            </w:r>
          </w:p>
        </w:tc>
        <w:tc>
          <w:tcPr>
            <w:tcW w:w="1152" w:type="dxa"/>
            <w:vAlign w:val="center"/>
          </w:tcPr>
          <w:p w14:paraId="725C33CA" w14:textId="77777777" w:rsidR="000A1B38" w:rsidRPr="00BD1632" w:rsidRDefault="000A1B38">
            <w:pPr>
              <w:pStyle w:val="TableTextCentered"/>
              <w:rPr>
                <w:rFonts w:ascii="Franklin Gothic Book" w:hAnsi="Franklin Gothic Book"/>
              </w:rPr>
            </w:pPr>
            <w:r>
              <w:rPr>
                <w:rFonts w:ascii="Franklin Gothic Book" w:hAnsi="Franklin Gothic Book"/>
              </w:rPr>
              <w:t>90.9</w:t>
            </w:r>
          </w:p>
        </w:tc>
      </w:tr>
      <w:tr w:rsidR="000A1B38" w:rsidRPr="00976F70" w14:paraId="6560451E" w14:textId="77777777">
        <w:tc>
          <w:tcPr>
            <w:tcW w:w="3586" w:type="dxa"/>
          </w:tcPr>
          <w:p w14:paraId="4E7ACFCB"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58828519" w14:textId="77777777" w:rsidR="000A1B38" w:rsidRPr="00BD1632" w:rsidRDefault="000A1B38">
            <w:pPr>
              <w:pStyle w:val="TableTextCentered"/>
              <w:rPr>
                <w:rFonts w:ascii="Franklin Gothic Book" w:hAnsi="Franklin Gothic Book"/>
              </w:rPr>
            </w:pPr>
            <w:r>
              <w:rPr>
                <w:rFonts w:ascii="Franklin Gothic Book" w:hAnsi="Franklin Gothic Book"/>
              </w:rPr>
              <w:t>4</w:t>
            </w:r>
          </w:p>
        </w:tc>
        <w:tc>
          <w:tcPr>
            <w:tcW w:w="1152" w:type="dxa"/>
            <w:vAlign w:val="center"/>
          </w:tcPr>
          <w:p w14:paraId="2238EE92" w14:textId="2CD1D714"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7D250C62" w14:textId="4B8BEF43"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11591865" w14:textId="49A53059"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220999DC" w14:textId="77777777" w:rsidR="000A1B38" w:rsidRPr="00BD1632" w:rsidRDefault="000A1B38">
            <w:pPr>
              <w:pStyle w:val="TableTextCentered"/>
              <w:rPr>
                <w:rFonts w:ascii="Franklin Gothic Book" w:hAnsi="Franklin Gothic Book"/>
              </w:rPr>
            </w:pPr>
            <w:r>
              <w:rPr>
                <w:rFonts w:ascii="Franklin Gothic Book" w:hAnsi="Franklin Gothic Book"/>
              </w:rPr>
              <w:t>85.7</w:t>
            </w:r>
          </w:p>
        </w:tc>
      </w:tr>
      <w:tr w:rsidR="000A1B38" w:rsidRPr="00976F70" w14:paraId="60907DE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9487294"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2B607A13" w14:textId="77777777" w:rsidR="000A1B38" w:rsidRPr="00BD1632" w:rsidRDefault="000A1B38">
            <w:pPr>
              <w:pStyle w:val="TableTextCentered"/>
              <w:rPr>
                <w:rFonts w:ascii="Franklin Gothic Book" w:hAnsi="Franklin Gothic Book"/>
              </w:rPr>
            </w:pPr>
            <w:r>
              <w:rPr>
                <w:rFonts w:ascii="Franklin Gothic Book" w:hAnsi="Franklin Gothic Book"/>
              </w:rPr>
              <w:t>25</w:t>
            </w:r>
          </w:p>
        </w:tc>
        <w:tc>
          <w:tcPr>
            <w:tcW w:w="1152" w:type="dxa"/>
            <w:vAlign w:val="center"/>
          </w:tcPr>
          <w:p w14:paraId="2F37EA5E" w14:textId="77777777" w:rsidR="000A1B38" w:rsidRPr="00BD1632" w:rsidRDefault="000A1B38">
            <w:pPr>
              <w:pStyle w:val="TableTextCentered"/>
              <w:rPr>
                <w:rFonts w:ascii="Franklin Gothic Book" w:hAnsi="Franklin Gothic Book"/>
              </w:rPr>
            </w:pPr>
            <w:r>
              <w:rPr>
                <w:rFonts w:ascii="Franklin Gothic Book" w:hAnsi="Franklin Gothic Book"/>
              </w:rPr>
              <w:t>95.2</w:t>
            </w:r>
          </w:p>
        </w:tc>
        <w:tc>
          <w:tcPr>
            <w:tcW w:w="1151" w:type="dxa"/>
            <w:vAlign w:val="center"/>
          </w:tcPr>
          <w:p w14:paraId="0F26EC39" w14:textId="77777777" w:rsidR="000A1B38" w:rsidRPr="00BD1632" w:rsidRDefault="000A1B38">
            <w:pPr>
              <w:pStyle w:val="TableTextCentered"/>
              <w:rPr>
                <w:rFonts w:ascii="Franklin Gothic Book" w:hAnsi="Franklin Gothic Book"/>
              </w:rPr>
            </w:pPr>
            <w:r>
              <w:rPr>
                <w:rFonts w:ascii="Franklin Gothic Book" w:hAnsi="Franklin Gothic Book"/>
              </w:rPr>
              <w:t>100.0</w:t>
            </w:r>
          </w:p>
        </w:tc>
        <w:tc>
          <w:tcPr>
            <w:tcW w:w="1152" w:type="dxa"/>
            <w:vAlign w:val="center"/>
          </w:tcPr>
          <w:p w14:paraId="6340F28A" w14:textId="77777777" w:rsidR="000A1B38" w:rsidRPr="00BD1632" w:rsidRDefault="000A1B38">
            <w:pPr>
              <w:pStyle w:val="TableTextCentered"/>
              <w:rPr>
                <w:rFonts w:ascii="Franklin Gothic Book" w:hAnsi="Franklin Gothic Book"/>
              </w:rPr>
            </w:pPr>
            <w:r>
              <w:rPr>
                <w:rFonts w:ascii="Franklin Gothic Book" w:hAnsi="Franklin Gothic Book"/>
              </w:rPr>
              <w:t>92.0</w:t>
            </w:r>
          </w:p>
        </w:tc>
        <w:tc>
          <w:tcPr>
            <w:tcW w:w="1152" w:type="dxa"/>
            <w:vAlign w:val="center"/>
          </w:tcPr>
          <w:p w14:paraId="4DA57BF0" w14:textId="77777777" w:rsidR="000A1B38" w:rsidRPr="00BD1632" w:rsidRDefault="000A1B38">
            <w:pPr>
              <w:pStyle w:val="TableTextCentered"/>
              <w:rPr>
                <w:rFonts w:ascii="Franklin Gothic Book" w:hAnsi="Franklin Gothic Book"/>
              </w:rPr>
            </w:pPr>
            <w:r>
              <w:rPr>
                <w:rFonts w:ascii="Franklin Gothic Book" w:hAnsi="Franklin Gothic Book"/>
              </w:rPr>
              <w:t>96.3</w:t>
            </w:r>
          </w:p>
        </w:tc>
      </w:tr>
      <w:tr w:rsidR="000A1B38" w:rsidRPr="00976F70" w14:paraId="4A15ED22" w14:textId="77777777">
        <w:tc>
          <w:tcPr>
            <w:tcW w:w="3586" w:type="dxa"/>
          </w:tcPr>
          <w:p w14:paraId="223BE1D7"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6E53A86E" w14:textId="77777777" w:rsidR="000A1B38" w:rsidRPr="00BD1632" w:rsidRDefault="000A1B38">
            <w:pPr>
              <w:pStyle w:val="TableTextCentered"/>
              <w:rPr>
                <w:rFonts w:ascii="Franklin Gothic Book" w:hAnsi="Franklin Gothic Book"/>
              </w:rPr>
            </w:pPr>
            <w:r>
              <w:rPr>
                <w:rFonts w:ascii="Franklin Gothic Book" w:hAnsi="Franklin Gothic Book"/>
              </w:rPr>
              <w:t>758</w:t>
            </w:r>
          </w:p>
        </w:tc>
        <w:tc>
          <w:tcPr>
            <w:tcW w:w="1152" w:type="dxa"/>
            <w:vAlign w:val="center"/>
          </w:tcPr>
          <w:p w14:paraId="1A716E10" w14:textId="77777777" w:rsidR="000A1B38" w:rsidRPr="00BD1632" w:rsidRDefault="000A1B38">
            <w:pPr>
              <w:pStyle w:val="TableTextCentered"/>
              <w:rPr>
                <w:rFonts w:ascii="Franklin Gothic Book" w:hAnsi="Franklin Gothic Book"/>
              </w:rPr>
            </w:pPr>
            <w:r>
              <w:rPr>
                <w:rFonts w:ascii="Franklin Gothic Book" w:hAnsi="Franklin Gothic Book"/>
              </w:rPr>
              <w:t>80.9</w:t>
            </w:r>
          </w:p>
        </w:tc>
        <w:tc>
          <w:tcPr>
            <w:tcW w:w="1151" w:type="dxa"/>
            <w:vAlign w:val="center"/>
          </w:tcPr>
          <w:p w14:paraId="0C981716" w14:textId="77777777" w:rsidR="000A1B38" w:rsidRPr="00BD1632" w:rsidRDefault="000A1B38">
            <w:pPr>
              <w:pStyle w:val="TableTextCentered"/>
              <w:rPr>
                <w:rFonts w:ascii="Franklin Gothic Book" w:hAnsi="Franklin Gothic Book"/>
              </w:rPr>
            </w:pPr>
            <w:r>
              <w:rPr>
                <w:rFonts w:ascii="Franklin Gothic Book" w:hAnsi="Franklin Gothic Book"/>
              </w:rPr>
              <w:t>85.2</w:t>
            </w:r>
          </w:p>
        </w:tc>
        <w:tc>
          <w:tcPr>
            <w:tcW w:w="1152" w:type="dxa"/>
            <w:vAlign w:val="center"/>
          </w:tcPr>
          <w:p w14:paraId="41BA4E1B" w14:textId="77777777" w:rsidR="000A1B38" w:rsidRPr="00BD1632" w:rsidRDefault="000A1B38">
            <w:pPr>
              <w:pStyle w:val="TableTextCentered"/>
              <w:rPr>
                <w:rFonts w:ascii="Franklin Gothic Book" w:hAnsi="Franklin Gothic Book"/>
              </w:rPr>
            </w:pPr>
            <w:r>
              <w:rPr>
                <w:rFonts w:ascii="Franklin Gothic Book" w:hAnsi="Franklin Gothic Book"/>
              </w:rPr>
              <w:t>81.0</w:t>
            </w:r>
          </w:p>
        </w:tc>
        <w:tc>
          <w:tcPr>
            <w:tcW w:w="1152" w:type="dxa"/>
            <w:vAlign w:val="center"/>
          </w:tcPr>
          <w:p w14:paraId="2353349B" w14:textId="77777777" w:rsidR="000A1B38" w:rsidRPr="00BD1632" w:rsidRDefault="000A1B38">
            <w:pPr>
              <w:pStyle w:val="TableTextCentered"/>
              <w:rPr>
                <w:rFonts w:ascii="Franklin Gothic Book" w:hAnsi="Franklin Gothic Book"/>
              </w:rPr>
            </w:pPr>
            <w:r>
              <w:rPr>
                <w:rFonts w:ascii="Franklin Gothic Book" w:hAnsi="Franklin Gothic Book"/>
              </w:rPr>
              <w:t>88.5</w:t>
            </w:r>
          </w:p>
        </w:tc>
      </w:tr>
      <w:tr w:rsidR="000A1B38" w:rsidRPr="00976F70" w14:paraId="4450F6D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6370E7D"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4933A2C8" w14:textId="77777777" w:rsidR="000A1B38" w:rsidRPr="00BD1632" w:rsidRDefault="000A1B38">
            <w:pPr>
              <w:pStyle w:val="TableTextCentered"/>
              <w:rPr>
                <w:rFonts w:ascii="Franklin Gothic Book" w:hAnsi="Franklin Gothic Book"/>
              </w:rPr>
            </w:pPr>
            <w:r>
              <w:rPr>
                <w:rFonts w:ascii="Franklin Gothic Book" w:hAnsi="Franklin Gothic Book"/>
              </w:rPr>
              <w:t>237</w:t>
            </w:r>
          </w:p>
        </w:tc>
        <w:tc>
          <w:tcPr>
            <w:tcW w:w="1152" w:type="dxa"/>
            <w:vAlign w:val="center"/>
          </w:tcPr>
          <w:p w14:paraId="5CF8B689" w14:textId="77777777" w:rsidR="000A1B38" w:rsidRPr="00BD1632" w:rsidRDefault="000A1B38">
            <w:pPr>
              <w:pStyle w:val="TableTextCentered"/>
              <w:rPr>
                <w:rFonts w:ascii="Franklin Gothic Book" w:hAnsi="Franklin Gothic Book"/>
              </w:rPr>
            </w:pPr>
            <w:r>
              <w:rPr>
                <w:rFonts w:ascii="Franklin Gothic Book" w:hAnsi="Franklin Gothic Book"/>
              </w:rPr>
              <w:t>76.5</w:t>
            </w:r>
          </w:p>
        </w:tc>
        <w:tc>
          <w:tcPr>
            <w:tcW w:w="1151" w:type="dxa"/>
            <w:vAlign w:val="center"/>
          </w:tcPr>
          <w:p w14:paraId="4C7F847A" w14:textId="77777777" w:rsidR="000A1B38" w:rsidRPr="00BD1632" w:rsidRDefault="000A1B38">
            <w:pPr>
              <w:pStyle w:val="TableTextCentered"/>
              <w:rPr>
                <w:rFonts w:ascii="Franklin Gothic Book" w:hAnsi="Franklin Gothic Book"/>
              </w:rPr>
            </w:pPr>
            <w:r>
              <w:rPr>
                <w:rFonts w:ascii="Franklin Gothic Book" w:hAnsi="Franklin Gothic Book"/>
              </w:rPr>
              <w:t>79.8</w:t>
            </w:r>
          </w:p>
        </w:tc>
        <w:tc>
          <w:tcPr>
            <w:tcW w:w="1152" w:type="dxa"/>
            <w:vAlign w:val="center"/>
          </w:tcPr>
          <w:p w14:paraId="530A2CF0" w14:textId="77777777" w:rsidR="000A1B38" w:rsidRPr="00BD1632" w:rsidRDefault="000A1B38">
            <w:pPr>
              <w:pStyle w:val="TableTextCentered"/>
              <w:rPr>
                <w:rFonts w:ascii="Franklin Gothic Book" w:hAnsi="Franklin Gothic Book"/>
              </w:rPr>
            </w:pPr>
            <w:r>
              <w:rPr>
                <w:rFonts w:ascii="Franklin Gothic Book" w:hAnsi="Franklin Gothic Book"/>
              </w:rPr>
              <w:t>72.2</w:t>
            </w:r>
          </w:p>
        </w:tc>
        <w:tc>
          <w:tcPr>
            <w:tcW w:w="1152" w:type="dxa"/>
            <w:vAlign w:val="center"/>
          </w:tcPr>
          <w:p w14:paraId="486ACD40" w14:textId="77777777" w:rsidR="000A1B38" w:rsidRPr="00BD1632" w:rsidRDefault="000A1B38">
            <w:pPr>
              <w:pStyle w:val="TableTextCentered"/>
              <w:rPr>
                <w:rFonts w:ascii="Franklin Gothic Book" w:hAnsi="Franklin Gothic Book"/>
              </w:rPr>
            </w:pPr>
            <w:r>
              <w:rPr>
                <w:rFonts w:ascii="Franklin Gothic Book" w:hAnsi="Franklin Gothic Book"/>
              </w:rPr>
              <w:t>81.7</w:t>
            </w:r>
          </w:p>
        </w:tc>
      </w:tr>
      <w:tr w:rsidR="000A1B38" w:rsidRPr="00976F70" w14:paraId="065A2698" w14:textId="77777777">
        <w:tc>
          <w:tcPr>
            <w:tcW w:w="3586" w:type="dxa"/>
          </w:tcPr>
          <w:p w14:paraId="7119F00A"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0B1AA559" w14:textId="77777777" w:rsidR="000A1B38" w:rsidRPr="00BD1632" w:rsidRDefault="000A1B38">
            <w:pPr>
              <w:pStyle w:val="TableTextCentered"/>
              <w:rPr>
                <w:rFonts w:ascii="Franklin Gothic Book" w:hAnsi="Franklin Gothic Book"/>
              </w:rPr>
            </w:pPr>
            <w:r>
              <w:rPr>
                <w:rFonts w:ascii="Franklin Gothic Book" w:hAnsi="Franklin Gothic Book"/>
              </w:rPr>
              <w:t>43</w:t>
            </w:r>
          </w:p>
        </w:tc>
        <w:tc>
          <w:tcPr>
            <w:tcW w:w="1152" w:type="dxa"/>
            <w:vAlign w:val="center"/>
          </w:tcPr>
          <w:p w14:paraId="18460899" w14:textId="77777777" w:rsidR="000A1B38" w:rsidRPr="00BD1632" w:rsidRDefault="000A1B38">
            <w:pPr>
              <w:pStyle w:val="TableTextCentered"/>
              <w:rPr>
                <w:rFonts w:ascii="Franklin Gothic Book" w:hAnsi="Franklin Gothic Book"/>
              </w:rPr>
            </w:pPr>
            <w:r>
              <w:rPr>
                <w:rFonts w:ascii="Franklin Gothic Book" w:hAnsi="Franklin Gothic Book"/>
              </w:rPr>
              <w:t>80.5</w:t>
            </w:r>
          </w:p>
        </w:tc>
        <w:tc>
          <w:tcPr>
            <w:tcW w:w="1151" w:type="dxa"/>
            <w:vAlign w:val="center"/>
          </w:tcPr>
          <w:p w14:paraId="51C49113" w14:textId="77777777" w:rsidR="000A1B38" w:rsidRPr="00BD1632" w:rsidRDefault="000A1B38">
            <w:pPr>
              <w:pStyle w:val="TableTextCentered"/>
              <w:rPr>
                <w:rFonts w:ascii="Franklin Gothic Book" w:hAnsi="Franklin Gothic Book"/>
              </w:rPr>
            </w:pPr>
            <w:r>
              <w:rPr>
                <w:rFonts w:ascii="Franklin Gothic Book" w:hAnsi="Franklin Gothic Book"/>
              </w:rPr>
              <w:t>85.7</w:t>
            </w:r>
          </w:p>
        </w:tc>
        <w:tc>
          <w:tcPr>
            <w:tcW w:w="1152" w:type="dxa"/>
            <w:vAlign w:val="center"/>
          </w:tcPr>
          <w:p w14:paraId="7CFE6848" w14:textId="77777777" w:rsidR="000A1B38" w:rsidRPr="00BD1632" w:rsidRDefault="000A1B38">
            <w:pPr>
              <w:pStyle w:val="TableTextCentered"/>
              <w:rPr>
                <w:rFonts w:ascii="Franklin Gothic Book" w:hAnsi="Franklin Gothic Book"/>
              </w:rPr>
            </w:pPr>
            <w:r>
              <w:rPr>
                <w:rFonts w:ascii="Franklin Gothic Book" w:hAnsi="Franklin Gothic Book"/>
              </w:rPr>
              <w:t>76.7</w:t>
            </w:r>
          </w:p>
        </w:tc>
        <w:tc>
          <w:tcPr>
            <w:tcW w:w="1152" w:type="dxa"/>
            <w:vAlign w:val="center"/>
          </w:tcPr>
          <w:p w14:paraId="46F37EF4" w14:textId="77777777" w:rsidR="000A1B38" w:rsidRPr="00BD1632" w:rsidRDefault="000A1B38">
            <w:pPr>
              <w:pStyle w:val="TableTextCentered"/>
              <w:rPr>
                <w:rFonts w:ascii="Franklin Gothic Book" w:hAnsi="Franklin Gothic Book"/>
              </w:rPr>
            </w:pPr>
            <w:r>
              <w:rPr>
                <w:rFonts w:ascii="Franklin Gothic Book" w:hAnsi="Franklin Gothic Book"/>
              </w:rPr>
              <w:t>91.1</w:t>
            </w:r>
          </w:p>
        </w:tc>
      </w:tr>
      <w:tr w:rsidR="000A1B38" w:rsidRPr="00976F70" w14:paraId="5EFD5C8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B87416D"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1EE5D2E2" w14:textId="77777777" w:rsidR="000A1B38" w:rsidRPr="00BD1632" w:rsidRDefault="000A1B38">
            <w:pPr>
              <w:pStyle w:val="TableTextCentered"/>
              <w:rPr>
                <w:rFonts w:ascii="Franklin Gothic Book" w:hAnsi="Franklin Gothic Book"/>
              </w:rPr>
            </w:pPr>
            <w:r>
              <w:rPr>
                <w:rFonts w:ascii="Franklin Gothic Book" w:hAnsi="Franklin Gothic Book"/>
              </w:rPr>
              <w:t>3</w:t>
            </w:r>
          </w:p>
        </w:tc>
        <w:tc>
          <w:tcPr>
            <w:tcW w:w="1152" w:type="dxa"/>
            <w:vAlign w:val="center"/>
          </w:tcPr>
          <w:p w14:paraId="71D7EB3C" w14:textId="6E97411E"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0368536A" w14:textId="77777777" w:rsidR="000A1B38" w:rsidRPr="00BD1632" w:rsidRDefault="000A1B38">
            <w:pPr>
              <w:pStyle w:val="TableTextCentered"/>
              <w:rPr>
                <w:rFonts w:ascii="Franklin Gothic Book" w:hAnsi="Franklin Gothic Book"/>
              </w:rPr>
            </w:pPr>
            <w:r>
              <w:rPr>
                <w:rFonts w:ascii="Franklin Gothic Book" w:hAnsi="Franklin Gothic Book"/>
              </w:rPr>
              <w:t>50.0</w:t>
            </w:r>
          </w:p>
        </w:tc>
        <w:tc>
          <w:tcPr>
            <w:tcW w:w="1152" w:type="dxa"/>
            <w:vAlign w:val="center"/>
          </w:tcPr>
          <w:p w14:paraId="5454AB4D" w14:textId="076F69EC"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4F3C7FBD" w14:textId="77777777" w:rsidR="000A1B38" w:rsidRPr="00BD1632" w:rsidRDefault="000A1B38">
            <w:pPr>
              <w:pStyle w:val="TableTextCentered"/>
              <w:rPr>
                <w:rFonts w:ascii="Franklin Gothic Book" w:hAnsi="Franklin Gothic Book"/>
              </w:rPr>
            </w:pPr>
            <w:r>
              <w:rPr>
                <w:rFonts w:ascii="Franklin Gothic Book" w:hAnsi="Franklin Gothic Book"/>
              </w:rPr>
              <w:t>92.8</w:t>
            </w:r>
          </w:p>
        </w:tc>
      </w:tr>
      <w:tr w:rsidR="000A1B38" w:rsidRPr="00976F70" w14:paraId="14E7BB87" w14:textId="77777777">
        <w:tc>
          <w:tcPr>
            <w:tcW w:w="3586" w:type="dxa"/>
          </w:tcPr>
          <w:p w14:paraId="38D3DCAB"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32C5715A" w14:textId="77777777" w:rsidR="000A1B38" w:rsidRPr="00BD1632" w:rsidRDefault="000A1B38">
            <w:pPr>
              <w:pStyle w:val="TableTextCentered"/>
              <w:rPr>
                <w:rFonts w:ascii="Franklin Gothic Book" w:hAnsi="Franklin Gothic Book"/>
              </w:rPr>
            </w:pPr>
            <w:r>
              <w:rPr>
                <w:rFonts w:ascii="Franklin Gothic Book" w:hAnsi="Franklin Gothic Book"/>
              </w:rPr>
              <w:t>133</w:t>
            </w:r>
          </w:p>
        </w:tc>
        <w:tc>
          <w:tcPr>
            <w:tcW w:w="1152" w:type="dxa"/>
            <w:vAlign w:val="center"/>
          </w:tcPr>
          <w:p w14:paraId="5B9A4C61" w14:textId="77777777" w:rsidR="000A1B38" w:rsidRPr="00BD1632" w:rsidRDefault="000A1B38">
            <w:pPr>
              <w:pStyle w:val="TableTextCentered"/>
              <w:rPr>
                <w:rFonts w:ascii="Franklin Gothic Book" w:hAnsi="Franklin Gothic Book"/>
              </w:rPr>
            </w:pPr>
            <w:r>
              <w:rPr>
                <w:rFonts w:ascii="Franklin Gothic Book" w:hAnsi="Franklin Gothic Book"/>
              </w:rPr>
              <w:t>87.5</w:t>
            </w:r>
          </w:p>
        </w:tc>
        <w:tc>
          <w:tcPr>
            <w:tcW w:w="1151" w:type="dxa"/>
            <w:vAlign w:val="center"/>
          </w:tcPr>
          <w:p w14:paraId="49711867" w14:textId="77777777" w:rsidR="000A1B38" w:rsidRPr="00BD1632" w:rsidRDefault="000A1B38">
            <w:pPr>
              <w:pStyle w:val="TableTextCentered"/>
              <w:rPr>
                <w:rFonts w:ascii="Franklin Gothic Book" w:hAnsi="Franklin Gothic Book"/>
              </w:rPr>
            </w:pPr>
            <w:r>
              <w:rPr>
                <w:rFonts w:ascii="Franklin Gothic Book" w:hAnsi="Franklin Gothic Book"/>
              </w:rPr>
              <w:t>83.2</w:t>
            </w:r>
          </w:p>
        </w:tc>
        <w:tc>
          <w:tcPr>
            <w:tcW w:w="1152" w:type="dxa"/>
            <w:vAlign w:val="center"/>
          </w:tcPr>
          <w:p w14:paraId="12C2083A" w14:textId="77777777" w:rsidR="000A1B38" w:rsidRPr="00BD1632" w:rsidRDefault="000A1B38">
            <w:pPr>
              <w:pStyle w:val="TableTextCentered"/>
              <w:rPr>
                <w:rFonts w:ascii="Franklin Gothic Book" w:hAnsi="Franklin Gothic Book"/>
              </w:rPr>
            </w:pPr>
            <w:r>
              <w:rPr>
                <w:rFonts w:ascii="Franklin Gothic Book" w:hAnsi="Franklin Gothic Book"/>
              </w:rPr>
              <w:t>74.4</w:t>
            </w:r>
          </w:p>
        </w:tc>
        <w:tc>
          <w:tcPr>
            <w:tcW w:w="1152" w:type="dxa"/>
            <w:vAlign w:val="center"/>
          </w:tcPr>
          <w:p w14:paraId="38C2669F" w14:textId="77777777" w:rsidR="000A1B38" w:rsidRPr="00BD1632" w:rsidRDefault="000A1B38">
            <w:pPr>
              <w:pStyle w:val="TableTextCentered"/>
              <w:rPr>
                <w:rFonts w:ascii="Franklin Gothic Book" w:hAnsi="Franklin Gothic Book"/>
              </w:rPr>
            </w:pPr>
            <w:r>
              <w:rPr>
                <w:rFonts w:ascii="Franklin Gothic Book" w:hAnsi="Franklin Gothic Book"/>
              </w:rPr>
              <w:t>94.2</w:t>
            </w:r>
          </w:p>
        </w:tc>
      </w:tr>
      <w:tr w:rsidR="000A1B38" w:rsidRPr="00976F70" w14:paraId="3FC76A1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911F4C0"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60E720E5" w14:textId="77777777" w:rsidR="000A1B38" w:rsidRPr="00BD1632" w:rsidRDefault="000A1B38">
            <w:pPr>
              <w:pStyle w:val="TableTextCentered"/>
              <w:rPr>
                <w:rFonts w:ascii="Franklin Gothic Book" w:hAnsi="Franklin Gothic Book"/>
              </w:rPr>
            </w:pPr>
            <w:r>
              <w:rPr>
                <w:rFonts w:ascii="Franklin Gothic Book" w:hAnsi="Franklin Gothic Book"/>
              </w:rPr>
              <w:t>1,064</w:t>
            </w:r>
          </w:p>
        </w:tc>
        <w:tc>
          <w:tcPr>
            <w:tcW w:w="1152" w:type="dxa"/>
            <w:vAlign w:val="center"/>
          </w:tcPr>
          <w:p w14:paraId="1DE5E568" w14:textId="77777777" w:rsidR="000A1B38" w:rsidRPr="00BD1632" w:rsidRDefault="000A1B38">
            <w:pPr>
              <w:pStyle w:val="TableTextCentered"/>
              <w:rPr>
                <w:rFonts w:ascii="Franklin Gothic Book" w:hAnsi="Franklin Gothic Book"/>
              </w:rPr>
            </w:pPr>
            <w:r>
              <w:rPr>
                <w:rFonts w:ascii="Franklin Gothic Book" w:hAnsi="Franklin Gothic Book"/>
              </w:rPr>
              <w:t>78.6</w:t>
            </w:r>
          </w:p>
        </w:tc>
        <w:tc>
          <w:tcPr>
            <w:tcW w:w="1151" w:type="dxa"/>
            <w:vAlign w:val="center"/>
          </w:tcPr>
          <w:p w14:paraId="179E960F" w14:textId="77777777" w:rsidR="000A1B38" w:rsidRPr="00BD1632" w:rsidRDefault="000A1B38">
            <w:pPr>
              <w:pStyle w:val="TableTextCentered"/>
              <w:rPr>
                <w:rFonts w:ascii="Franklin Gothic Book" w:hAnsi="Franklin Gothic Book"/>
              </w:rPr>
            </w:pPr>
            <w:r>
              <w:rPr>
                <w:rFonts w:ascii="Franklin Gothic Book" w:hAnsi="Franklin Gothic Book"/>
              </w:rPr>
              <w:t>82.4</w:t>
            </w:r>
          </w:p>
        </w:tc>
        <w:tc>
          <w:tcPr>
            <w:tcW w:w="1152" w:type="dxa"/>
            <w:vAlign w:val="center"/>
          </w:tcPr>
          <w:p w14:paraId="39EF77AB" w14:textId="77777777" w:rsidR="000A1B38" w:rsidRPr="00BD1632" w:rsidRDefault="000A1B38">
            <w:pPr>
              <w:pStyle w:val="TableTextCentered"/>
              <w:rPr>
                <w:rFonts w:ascii="Franklin Gothic Book" w:hAnsi="Franklin Gothic Book"/>
              </w:rPr>
            </w:pPr>
            <w:r>
              <w:rPr>
                <w:rFonts w:ascii="Franklin Gothic Book" w:hAnsi="Franklin Gothic Book"/>
              </w:rPr>
              <w:t>76.6</w:t>
            </w:r>
          </w:p>
        </w:tc>
        <w:tc>
          <w:tcPr>
            <w:tcW w:w="1152" w:type="dxa"/>
            <w:vAlign w:val="center"/>
          </w:tcPr>
          <w:p w14:paraId="32CEBA22" w14:textId="77777777" w:rsidR="000A1B38" w:rsidRPr="00BD1632" w:rsidRDefault="000A1B38">
            <w:pPr>
              <w:pStyle w:val="TableTextCentered"/>
              <w:rPr>
                <w:rFonts w:ascii="Franklin Gothic Book" w:hAnsi="Franklin Gothic Book"/>
              </w:rPr>
            </w:pPr>
            <w:r>
              <w:rPr>
                <w:rFonts w:ascii="Franklin Gothic Book" w:hAnsi="Franklin Gothic Book"/>
              </w:rPr>
              <w:t>85.5</w:t>
            </w:r>
          </w:p>
        </w:tc>
      </w:tr>
      <w:tr w:rsidR="000A1B38" w:rsidRPr="00976F70" w14:paraId="0F4A1330" w14:textId="77777777">
        <w:tc>
          <w:tcPr>
            <w:tcW w:w="3586" w:type="dxa"/>
          </w:tcPr>
          <w:p w14:paraId="603ECA7A"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63EA9265" w14:textId="77777777" w:rsidR="000A1B38" w:rsidRPr="00BD1632" w:rsidRDefault="000A1B38">
            <w:pPr>
              <w:pStyle w:val="TableTextCentered"/>
              <w:rPr>
                <w:rFonts w:ascii="Franklin Gothic Book" w:hAnsi="Franklin Gothic Book"/>
              </w:rPr>
            </w:pPr>
            <w:r>
              <w:rPr>
                <w:rFonts w:ascii="Franklin Gothic Book" w:hAnsi="Franklin Gothic Book"/>
              </w:rPr>
              <w:t>407</w:t>
            </w:r>
          </w:p>
        </w:tc>
        <w:tc>
          <w:tcPr>
            <w:tcW w:w="1152" w:type="dxa"/>
            <w:vAlign w:val="center"/>
          </w:tcPr>
          <w:p w14:paraId="38FF11FF" w14:textId="77777777" w:rsidR="000A1B38" w:rsidRPr="00BD1632" w:rsidRDefault="000A1B38">
            <w:pPr>
              <w:pStyle w:val="TableTextCentered"/>
              <w:rPr>
                <w:rFonts w:ascii="Franklin Gothic Book" w:hAnsi="Franklin Gothic Book"/>
              </w:rPr>
            </w:pPr>
            <w:r>
              <w:rPr>
                <w:rFonts w:ascii="Franklin Gothic Book" w:hAnsi="Franklin Gothic Book"/>
              </w:rPr>
              <w:t>74.7</w:t>
            </w:r>
          </w:p>
        </w:tc>
        <w:tc>
          <w:tcPr>
            <w:tcW w:w="1151" w:type="dxa"/>
            <w:vAlign w:val="center"/>
          </w:tcPr>
          <w:p w14:paraId="2C622D4B" w14:textId="77777777" w:rsidR="000A1B38" w:rsidRPr="00BD1632" w:rsidRDefault="000A1B38">
            <w:pPr>
              <w:pStyle w:val="TableTextCentered"/>
              <w:rPr>
                <w:rFonts w:ascii="Franklin Gothic Book" w:hAnsi="Franklin Gothic Book"/>
              </w:rPr>
            </w:pPr>
            <w:r>
              <w:rPr>
                <w:rFonts w:ascii="Franklin Gothic Book" w:hAnsi="Franklin Gothic Book"/>
              </w:rPr>
              <w:t>78.3</w:t>
            </w:r>
          </w:p>
        </w:tc>
        <w:tc>
          <w:tcPr>
            <w:tcW w:w="1152" w:type="dxa"/>
            <w:vAlign w:val="center"/>
          </w:tcPr>
          <w:p w14:paraId="4D705EED" w14:textId="77777777" w:rsidR="000A1B38" w:rsidRPr="00BD1632" w:rsidRDefault="000A1B38">
            <w:pPr>
              <w:pStyle w:val="TableTextCentered"/>
              <w:rPr>
                <w:rFonts w:ascii="Franklin Gothic Book" w:hAnsi="Franklin Gothic Book"/>
              </w:rPr>
            </w:pPr>
            <w:r>
              <w:rPr>
                <w:rFonts w:ascii="Franklin Gothic Book" w:hAnsi="Franklin Gothic Book"/>
              </w:rPr>
              <w:t>66.8</w:t>
            </w:r>
          </w:p>
        </w:tc>
        <w:tc>
          <w:tcPr>
            <w:tcW w:w="1152" w:type="dxa"/>
            <w:vAlign w:val="center"/>
          </w:tcPr>
          <w:p w14:paraId="6AF68B47" w14:textId="77777777" w:rsidR="000A1B38" w:rsidRPr="00BD1632" w:rsidRDefault="000A1B38">
            <w:pPr>
              <w:pStyle w:val="TableTextCentered"/>
              <w:rPr>
                <w:rFonts w:ascii="Franklin Gothic Book" w:hAnsi="Franklin Gothic Book"/>
              </w:rPr>
            </w:pPr>
            <w:r>
              <w:rPr>
                <w:rFonts w:ascii="Franklin Gothic Book" w:hAnsi="Franklin Gothic Book"/>
              </w:rPr>
              <w:t>71.5</w:t>
            </w:r>
          </w:p>
        </w:tc>
      </w:tr>
      <w:tr w:rsidR="000A1B38" w:rsidRPr="00976F70" w14:paraId="7466368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7CEDD99"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6180329" w14:textId="77777777" w:rsidR="000A1B38" w:rsidRPr="00BD1632" w:rsidRDefault="000A1B38">
            <w:pPr>
              <w:pStyle w:val="TableTextCentered"/>
              <w:rPr>
                <w:rFonts w:ascii="Franklin Gothic Book" w:hAnsi="Franklin Gothic Book"/>
              </w:rPr>
            </w:pPr>
            <w:r>
              <w:rPr>
                <w:rFonts w:ascii="Franklin Gothic Book" w:hAnsi="Franklin Gothic Book"/>
              </w:rPr>
              <w:t>1,014</w:t>
            </w:r>
          </w:p>
        </w:tc>
        <w:tc>
          <w:tcPr>
            <w:tcW w:w="1152" w:type="dxa"/>
            <w:vAlign w:val="center"/>
          </w:tcPr>
          <w:p w14:paraId="223E07CD" w14:textId="77777777" w:rsidR="000A1B38" w:rsidRPr="00BD1632" w:rsidRDefault="000A1B38">
            <w:pPr>
              <w:pStyle w:val="TableTextCentered"/>
              <w:rPr>
                <w:rFonts w:ascii="Franklin Gothic Book" w:hAnsi="Franklin Gothic Book"/>
              </w:rPr>
            </w:pPr>
            <w:r>
              <w:rPr>
                <w:rFonts w:ascii="Franklin Gothic Book" w:hAnsi="Franklin Gothic Book"/>
              </w:rPr>
              <w:t>79.3</w:t>
            </w:r>
          </w:p>
        </w:tc>
        <w:tc>
          <w:tcPr>
            <w:tcW w:w="1151" w:type="dxa"/>
            <w:vAlign w:val="center"/>
          </w:tcPr>
          <w:p w14:paraId="40BDF706" w14:textId="77777777" w:rsidR="000A1B38" w:rsidRPr="00BD1632" w:rsidRDefault="000A1B38">
            <w:pPr>
              <w:pStyle w:val="TableTextCentered"/>
              <w:rPr>
                <w:rFonts w:ascii="Franklin Gothic Book" w:hAnsi="Franklin Gothic Book"/>
              </w:rPr>
            </w:pPr>
            <w:r>
              <w:rPr>
                <w:rFonts w:ascii="Franklin Gothic Book" w:hAnsi="Franklin Gothic Book"/>
              </w:rPr>
              <w:t>82.9</w:t>
            </w:r>
          </w:p>
        </w:tc>
        <w:tc>
          <w:tcPr>
            <w:tcW w:w="1152" w:type="dxa"/>
            <w:vAlign w:val="center"/>
          </w:tcPr>
          <w:p w14:paraId="52BA79D2" w14:textId="77777777" w:rsidR="000A1B38" w:rsidRPr="00BD1632" w:rsidRDefault="000A1B38">
            <w:pPr>
              <w:pStyle w:val="TableTextCentered"/>
              <w:rPr>
                <w:rFonts w:ascii="Franklin Gothic Book" w:hAnsi="Franklin Gothic Book"/>
              </w:rPr>
            </w:pPr>
            <w:r>
              <w:rPr>
                <w:rFonts w:ascii="Franklin Gothic Book" w:hAnsi="Franklin Gothic Book"/>
              </w:rPr>
              <w:t>76.8</w:t>
            </w:r>
          </w:p>
        </w:tc>
        <w:tc>
          <w:tcPr>
            <w:tcW w:w="1152" w:type="dxa"/>
            <w:vAlign w:val="center"/>
          </w:tcPr>
          <w:p w14:paraId="56E0428E" w14:textId="77777777" w:rsidR="000A1B38" w:rsidRPr="00BD1632" w:rsidRDefault="000A1B38">
            <w:pPr>
              <w:pStyle w:val="TableTextCentered"/>
              <w:rPr>
                <w:rFonts w:ascii="Franklin Gothic Book" w:hAnsi="Franklin Gothic Book"/>
              </w:rPr>
            </w:pPr>
            <w:r>
              <w:rPr>
                <w:rFonts w:ascii="Franklin Gothic Book" w:hAnsi="Franklin Gothic Book"/>
              </w:rPr>
              <w:t>84.8</w:t>
            </w:r>
          </w:p>
        </w:tc>
      </w:tr>
      <w:tr w:rsidR="000A1B38" w:rsidRPr="00976F70" w14:paraId="38719683" w14:textId="77777777">
        <w:tc>
          <w:tcPr>
            <w:tcW w:w="3586" w:type="dxa"/>
          </w:tcPr>
          <w:p w14:paraId="10478775"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23244AE1" w14:textId="77777777" w:rsidR="000A1B38" w:rsidRPr="00BD1632" w:rsidRDefault="000A1B38">
            <w:pPr>
              <w:pStyle w:val="TableTextCentered"/>
              <w:rPr>
                <w:rFonts w:ascii="Franklin Gothic Book" w:hAnsi="Franklin Gothic Book"/>
              </w:rPr>
            </w:pPr>
            <w:r>
              <w:rPr>
                <w:rFonts w:ascii="Franklin Gothic Book" w:hAnsi="Franklin Gothic Book"/>
              </w:rPr>
              <w:t>175</w:t>
            </w:r>
          </w:p>
        </w:tc>
        <w:tc>
          <w:tcPr>
            <w:tcW w:w="1152" w:type="dxa"/>
            <w:vAlign w:val="center"/>
          </w:tcPr>
          <w:p w14:paraId="42595621" w14:textId="77777777" w:rsidR="000A1B38" w:rsidRPr="00BD1632" w:rsidRDefault="000A1B38">
            <w:pPr>
              <w:pStyle w:val="TableTextCentered"/>
              <w:rPr>
                <w:rFonts w:ascii="Franklin Gothic Book" w:hAnsi="Franklin Gothic Book"/>
              </w:rPr>
            </w:pPr>
            <w:r>
              <w:rPr>
                <w:rFonts w:ascii="Franklin Gothic Book" w:hAnsi="Franklin Gothic Book"/>
              </w:rPr>
              <w:t>56.8</w:t>
            </w:r>
          </w:p>
        </w:tc>
        <w:tc>
          <w:tcPr>
            <w:tcW w:w="1151" w:type="dxa"/>
            <w:vAlign w:val="center"/>
          </w:tcPr>
          <w:p w14:paraId="784A1942" w14:textId="77777777" w:rsidR="000A1B38" w:rsidRPr="00BD1632" w:rsidRDefault="000A1B38">
            <w:pPr>
              <w:pStyle w:val="TableTextCentered"/>
              <w:rPr>
                <w:rFonts w:ascii="Franklin Gothic Book" w:hAnsi="Franklin Gothic Book"/>
              </w:rPr>
            </w:pPr>
            <w:r>
              <w:rPr>
                <w:rFonts w:ascii="Franklin Gothic Book" w:hAnsi="Franklin Gothic Book"/>
              </w:rPr>
              <w:t>66.9</w:t>
            </w:r>
          </w:p>
        </w:tc>
        <w:tc>
          <w:tcPr>
            <w:tcW w:w="1152" w:type="dxa"/>
            <w:vAlign w:val="center"/>
          </w:tcPr>
          <w:p w14:paraId="4DB8010C" w14:textId="77777777" w:rsidR="000A1B38" w:rsidRPr="00BD1632" w:rsidRDefault="000A1B38">
            <w:pPr>
              <w:pStyle w:val="TableTextCentered"/>
              <w:rPr>
                <w:rFonts w:ascii="Franklin Gothic Book" w:hAnsi="Franklin Gothic Book"/>
              </w:rPr>
            </w:pPr>
            <w:r>
              <w:rPr>
                <w:rFonts w:ascii="Franklin Gothic Book" w:hAnsi="Franklin Gothic Book"/>
              </w:rPr>
              <w:t>60.6</w:t>
            </w:r>
          </w:p>
        </w:tc>
        <w:tc>
          <w:tcPr>
            <w:tcW w:w="1152" w:type="dxa"/>
            <w:vAlign w:val="center"/>
          </w:tcPr>
          <w:p w14:paraId="270CFDCE" w14:textId="77777777" w:rsidR="000A1B38" w:rsidRPr="00BD1632" w:rsidRDefault="000A1B38">
            <w:pPr>
              <w:pStyle w:val="TableTextCentered"/>
              <w:rPr>
                <w:rFonts w:ascii="Franklin Gothic Book" w:hAnsi="Franklin Gothic Book"/>
              </w:rPr>
            </w:pPr>
            <w:r>
              <w:rPr>
                <w:rFonts w:ascii="Franklin Gothic Book" w:hAnsi="Franklin Gothic Book"/>
              </w:rPr>
              <w:t>80.0</w:t>
            </w:r>
          </w:p>
        </w:tc>
      </w:tr>
    </w:tbl>
    <w:p w14:paraId="5D8094FF" w14:textId="77777777" w:rsidR="000A1B38" w:rsidRPr="003C1C59" w:rsidRDefault="000A1B38" w:rsidP="0082637F">
      <w:pPr>
        <w:pStyle w:val="TableETitle"/>
      </w:pPr>
      <w:bookmarkStart w:id="252" w:name="_Toc211930048"/>
      <w:bookmarkStart w:id="253" w:name="_Toc230970178"/>
      <w:r>
        <w:t>Table E18. Annual Dropout Rates by Student Group, 2022-2024</w:t>
      </w:r>
      <w:bookmarkEnd w:id="252"/>
      <w:bookmarkEnd w:id="253"/>
    </w:p>
    <w:tbl>
      <w:tblPr>
        <w:tblStyle w:val="MSVTable1"/>
        <w:tblW w:w="5000" w:type="pct"/>
        <w:tblLook w:val="0420" w:firstRow="1" w:lastRow="0" w:firstColumn="0" w:lastColumn="0" w:noHBand="0" w:noVBand="1"/>
        <w:tblCaption w:val="Table E18. Annual Dropout Rates by Student Group, 2022-2024"/>
        <w:tblDescription w:val="Annual Dropout Rates by Student Group, 2022-2024"/>
      </w:tblPr>
      <w:tblGrid>
        <w:gridCol w:w="3586"/>
        <w:gridCol w:w="1151"/>
        <w:gridCol w:w="1152"/>
        <w:gridCol w:w="1151"/>
        <w:gridCol w:w="1152"/>
        <w:gridCol w:w="1152"/>
      </w:tblGrid>
      <w:tr w:rsidR="000A1B38" w:rsidRPr="00976F70" w14:paraId="0FD9FB51"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28E0DDC5" w14:textId="77777777" w:rsidR="000A1B38" w:rsidRPr="00B85B0B" w:rsidRDefault="000A1B38">
            <w:pPr>
              <w:pStyle w:val="TableColHeadingLeft"/>
              <w:jc w:val="center"/>
            </w:pPr>
            <w:r w:rsidRPr="00B85B0B">
              <w:t>Group</w:t>
            </w:r>
          </w:p>
        </w:tc>
        <w:tc>
          <w:tcPr>
            <w:tcW w:w="1151" w:type="dxa"/>
            <w:vAlign w:val="center"/>
          </w:tcPr>
          <w:p w14:paraId="55A88DF4" w14:textId="77777777" w:rsidR="000A1B38" w:rsidRPr="00B85B0B" w:rsidRDefault="000A1B38">
            <w:pPr>
              <w:pStyle w:val="TableColHeadingCenter"/>
            </w:pPr>
            <w:r>
              <w:t># Included</w:t>
            </w:r>
            <w:r w:rsidRPr="00B85B0B">
              <w:t xml:space="preserve"> (202</w:t>
            </w:r>
            <w:r>
              <w:t>4</w:t>
            </w:r>
            <w:r w:rsidRPr="00B85B0B">
              <w:t>)</w:t>
            </w:r>
          </w:p>
        </w:tc>
        <w:tc>
          <w:tcPr>
            <w:tcW w:w="1152" w:type="dxa"/>
            <w:vAlign w:val="center"/>
          </w:tcPr>
          <w:p w14:paraId="3E5ABD1B" w14:textId="77777777" w:rsidR="000A1B38" w:rsidRPr="00B85B0B" w:rsidRDefault="000A1B38">
            <w:pPr>
              <w:pStyle w:val="TableColHeadingCenter"/>
            </w:pPr>
            <w:r w:rsidRPr="00B85B0B">
              <w:t>202</w:t>
            </w:r>
            <w:r>
              <w:t>2</w:t>
            </w:r>
          </w:p>
        </w:tc>
        <w:tc>
          <w:tcPr>
            <w:tcW w:w="1151" w:type="dxa"/>
            <w:vAlign w:val="center"/>
          </w:tcPr>
          <w:p w14:paraId="3A158B20" w14:textId="77777777" w:rsidR="000A1B38" w:rsidRPr="00B85B0B" w:rsidRDefault="000A1B38">
            <w:pPr>
              <w:pStyle w:val="TableColHeadingCenter"/>
            </w:pPr>
            <w:r w:rsidRPr="00B85B0B">
              <w:t>202</w:t>
            </w:r>
            <w:r>
              <w:t>3</w:t>
            </w:r>
          </w:p>
        </w:tc>
        <w:tc>
          <w:tcPr>
            <w:tcW w:w="1152" w:type="dxa"/>
            <w:vAlign w:val="center"/>
          </w:tcPr>
          <w:p w14:paraId="67872E0E" w14:textId="77777777" w:rsidR="000A1B38" w:rsidRPr="00B85B0B" w:rsidRDefault="000A1B38">
            <w:pPr>
              <w:pStyle w:val="TableColHeadingCenter"/>
            </w:pPr>
            <w:r>
              <w:t>2024</w:t>
            </w:r>
          </w:p>
        </w:tc>
        <w:tc>
          <w:tcPr>
            <w:tcW w:w="1152" w:type="dxa"/>
            <w:vAlign w:val="center"/>
          </w:tcPr>
          <w:p w14:paraId="47FEAA59" w14:textId="77777777" w:rsidR="000A1B38" w:rsidRPr="00B85B0B" w:rsidRDefault="000A1B38">
            <w:pPr>
              <w:pStyle w:val="TableColHeadingCenter"/>
            </w:pPr>
            <w:r w:rsidRPr="00B85B0B">
              <w:t>State (202</w:t>
            </w:r>
            <w:r>
              <w:t>4</w:t>
            </w:r>
            <w:r w:rsidRPr="00B85B0B">
              <w:t>)</w:t>
            </w:r>
          </w:p>
        </w:tc>
      </w:tr>
      <w:tr w:rsidR="000A1B38" w:rsidRPr="00976F70" w14:paraId="500507A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88B03E1"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4820A415" w14:textId="77777777" w:rsidR="000A1B38" w:rsidRPr="00BD1632" w:rsidRDefault="000A1B38">
            <w:pPr>
              <w:pStyle w:val="TableTextCentered"/>
              <w:rPr>
                <w:rFonts w:ascii="Franklin Gothic Book" w:hAnsi="Franklin Gothic Book"/>
              </w:rPr>
            </w:pPr>
            <w:r>
              <w:rPr>
                <w:rFonts w:ascii="Franklin Gothic Book" w:hAnsi="Franklin Gothic Book"/>
              </w:rPr>
              <w:t>4,103</w:t>
            </w:r>
          </w:p>
        </w:tc>
        <w:tc>
          <w:tcPr>
            <w:tcW w:w="1152" w:type="dxa"/>
            <w:vAlign w:val="center"/>
          </w:tcPr>
          <w:p w14:paraId="27438F33"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1" w:type="dxa"/>
            <w:vAlign w:val="center"/>
          </w:tcPr>
          <w:p w14:paraId="65D95BA3" w14:textId="77777777" w:rsidR="000A1B38" w:rsidRPr="00BD1632" w:rsidRDefault="000A1B38">
            <w:pPr>
              <w:pStyle w:val="TableTextCentered"/>
              <w:rPr>
                <w:rFonts w:ascii="Franklin Gothic Book" w:hAnsi="Franklin Gothic Book"/>
              </w:rPr>
            </w:pPr>
            <w:r>
              <w:rPr>
                <w:rFonts w:ascii="Franklin Gothic Book" w:hAnsi="Franklin Gothic Book"/>
              </w:rPr>
              <w:t>5.9</w:t>
            </w:r>
          </w:p>
        </w:tc>
        <w:tc>
          <w:tcPr>
            <w:tcW w:w="1152" w:type="dxa"/>
            <w:vAlign w:val="center"/>
          </w:tcPr>
          <w:p w14:paraId="5E9D5A53" w14:textId="77777777" w:rsidR="000A1B38" w:rsidRPr="00BD1632" w:rsidRDefault="000A1B38">
            <w:pPr>
              <w:pStyle w:val="TableTextCentered"/>
              <w:rPr>
                <w:rFonts w:ascii="Franklin Gothic Book" w:hAnsi="Franklin Gothic Book"/>
              </w:rPr>
            </w:pPr>
            <w:r>
              <w:rPr>
                <w:rFonts w:ascii="Franklin Gothic Book" w:hAnsi="Franklin Gothic Book"/>
              </w:rPr>
              <w:t>5.6</w:t>
            </w:r>
          </w:p>
        </w:tc>
        <w:tc>
          <w:tcPr>
            <w:tcW w:w="1152" w:type="dxa"/>
            <w:vAlign w:val="center"/>
          </w:tcPr>
          <w:p w14:paraId="559F0163" w14:textId="77777777" w:rsidR="000A1B38" w:rsidRPr="00BD1632" w:rsidRDefault="000A1B38">
            <w:pPr>
              <w:pStyle w:val="TableTextCentered"/>
              <w:rPr>
                <w:rFonts w:ascii="Franklin Gothic Book" w:hAnsi="Franklin Gothic Book"/>
              </w:rPr>
            </w:pPr>
            <w:r>
              <w:rPr>
                <w:rFonts w:ascii="Franklin Gothic Book" w:hAnsi="Franklin Gothic Book"/>
              </w:rPr>
              <w:t>2.0</w:t>
            </w:r>
          </w:p>
        </w:tc>
      </w:tr>
      <w:tr w:rsidR="000A1B38" w:rsidRPr="00976F70" w14:paraId="2314309D" w14:textId="77777777">
        <w:tc>
          <w:tcPr>
            <w:tcW w:w="3586" w:type="dxa"/>
          </w:tcPr>
          <w:p w14:paraId="6C02B56E"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3EF72629" w14:textId="77777777" w:rsidR="000A1B38" w:rsidRPr="00BD1632" w:rsidRDefault="000A1B38">
            <w:pPr>
              <w:pStyle w:val="TableTextCentered"/>
              <w:rPr>
                <w:rFonts w:ascii="Franklin Gothic Book" w:hAnsi="Franklin Gothic Book"/>
              </w:rPr>
            </w:pPr>
            <w:r>
              <w:rPr>
                <w:rFonts w:ascii="Franklin Gothic Book" w:hAnsi="Franklin Gothic Book"/>
              </w:rPr>
              <w:t>8</w:t>
            </w:r>
          </w:p>
        </w:tc>
        <w:tc>
          <w:tcPr>
            <w:tcW w:w="1152" w:type="dxa"/>
            <w:vAlign w:val="center"/>
          </w:tcPr>
          <w:p w14:paraId="2A7FCDA2" w14:textId="0AA83775"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0400986C" w14:textId="0C025150"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25E40F2C" w14:textId="77777777" w:rsidR="000A1B38" w:rsidRPr="00BD1632" w:rsidRDefault="000A1B38">
            <w:pPr>
              <w:pStyle w:val="TableTextCentered"/>
              <w:rPr>
                <w:rFonts w:ascii="Franklin Gothic Book" w:hAnsi="Franklin Gothic Book"/>
              </w:rPr>
            </w:pPr>
            <w:r>
              <w:rPr>
                <w:rFonts w:ascii="Franklin Gothic Book" w:hAnsi="Franklin Gothic Book"/>
              </w:rPr>
              <w:t>0.0</w:t>
            </w:r>
          </w:p>
        </w:tc>
        <w:tc>
          <w:tcPr>
            <w:tcW w:w="1152" w:type="dxa"/>
            <w:vAlign w:val="center"/>
          </w:tcPr>
          <w:p w14:paraId="3926DDB5" w14:textId="77777777" w:rsidR="000A1B38" w:rsidRPr="00BD1632" w:rsidRDefault="000A1B38">
            <w:pPr>
              <w:pStyle w:val="TableTextCentered"/>
              <w:rPr>
                <w:rFonts w:ascii="Franklin Gothic Book" w:hAnsi="Franklin Gothic Book"/>
              </w:rPr>
            </w:pPr>
            <w:r>
              <w:rPr>
                <w:rFonts w:ascii="Franklin Gothic Book" w:hAnsi="Franklin Gothic Book"/>
              </w:rPr>
              <w:t>4.1</w:t>
            </w:r>
          </w:p>
        </w:tc>
      </w:tr>
      <w:tr w:rsidR="000A1B38" w:rsidRPr="00976F70" w14:paraId="40746E5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899B1ED"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1B4BC876" w14:textId="77777777" w:rsidR="000A1B38" w:rsidRPr="00BD1632" w:rsidRDefault="000A1B38">
            <w:pPr>
              <w:pStyle w:val="TableTextCentered"/>
              <w:rPr>
                <w:rFonts w:ascii="Franklin Gothic Book" w:hAnsi="Franklin Gothic Book"/>
              </w:rPr>
            </w:pPr>
            <w:r>
              <w:rPr>
                <w:rFonts w:ascii="Franklin Gothic Book" w:hAnsi="Franklin Gothic Book"/>
              </w:rPr>
              <w:t>100</w:t>
            </w:r>
          </w:p>
        </w:tc>
        <w:tc>
          <w:tcPr>
            <w:tcW w:w="1152" w:type="dxa"/>
            <w:vAlign w:val="center"/>
          </w:tcPr>
          <w:p w14:paraId="455617E8" w14:textId="77777777" w:rsidR="000A1B38" w:rsidRPr="00BD1632" w:rsidRDefault="000A1B38">
            <w:pPr>
              <w:pStyle w:val="TableTextCentered"/>
              <w:rPr>
                <w:rFonts w:ascii="Franklin Gothic Book" w:hAnsi="Franklin Gothic Book"/>
              </w:rPr>
            </w:pPr>
            <w:r>
              <w:rPr>
                <w:rFonts w:ascii="Franklin Gothic Book" w:hAnsi="Franklin Gothic Book"/>
              </w:rPr>
              <w:t>0.0</w:t>
            </w:r>
          </w:p>
        </w:tc>
        <w:tc>
          <w:tcPr>
            <w:tcW w:w="1151" w:type="dxa"/>
            <w:vAlign w:val="center"/>
          </w:tcPr>
          <w:p w14:paraId="12DFEC3C" w14:textId="77777777" w:rsidR="000A1B38" w:rsidRPr="00BD1632" w:rsidRDefault="000A1B38">
            <w:pPr>
              <w:pStyle w:val="TableTextCentered"/>
              <w:rPr>
                <w:rFonts w:ascii="Franklin Gothic Book" w:hAnsi="Franklin Gothic Book"/>
              </w:rPr>
            </w:pPr>
            <w:r>
              <w:rPr>
                <w:rFonts w:ascii="Franklin Gothic Book" w:hAnsi="Franklin Gothic Book"/>
              </w:rPr>
              <w:t>1.0</w:t>
            </w:r>
          </w:p>
        </w:tc>
        <w:tc>
          <w:tcPr>
            <w:tcW w:w="1152" w:type="dxa"/>
            <w:vAlign w:val="center"/>
          </w:tcPr>
          <w:p w14:paraId="3376822E" w14:textId="77777777" w:rsidR="000A1B38" w:rsidRPr="00BD1632" w:rsidRDefault="000A1B38">
            <w:pPr>
              <w:pStyle w:val="TableTextCentered"/>
              <w:rPr>
                <w:rFonts w:ascii="Franklin Gothic Book" w:hAnsi="Franklin Gothic Book"/>
              </w:rPr>
            </w:pPr>
            <w:r>
              <w:rPr>
                <w:rFonts w:ascii="Franklin Gothic Book" w:hAnsi="Franklin Gothic Book"/>
              </w:rPr>
              <w:t>5.0</w:t>
            </w:r>
          </w:p>
        </w:tc>
        <w:tc>
          <w:tcPr>
            <w:tcW w:w="1152" w:type="dxa"/>
            <w:vAlign w:val="center"/>
          </w:tcPr>
          <w:p w14:paraId="646CE405" w14:textId="77777777" w:rsidR="000A1B38" w:rsidRPr="00BD1632" w:rsidRDefault="000A1B38">
            <w:pPr>
              <w:pStyle w:val="TableTextCentered"/>
              <w:rPr>
                <w:rFonts w:ascii="Franklin Gothic Book" w:hAnsi="Franklin Gothic Book"/>
              </w:rPr>
            </w:pPr>
            <w:r>
              <w:rPr>
                <w:rFonts w:ascii="Franklin Gothic Book" w:hAnsi="Franklin Gothic Book"/>
              </w:rPr>
              <w:t>0.5</w:t>
            </w:r>
          </w:p>
        </w:tc>
      </w:tr>
      <w:tr w:rsidR="000A1B38" w:rsidRPr="00976F70" w14:paraId="70E1187E" w14:textId="77777777">
        <w:tc>
          <w:tcPr>
            <w:tcW w:w="3586" w:type="dxa"/>
          </w:tcPr>
          <w:p w14:paraId="4DB9768A"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5F0566CB" w14:textId="77777777" w:rsidR="000A1B38" w:rsidRPr="00BD1632" w:rsidRDefault="000A1B38">
            <w:pPr>
              <w:pStyle w:val="TableTextCentered"/>
              <w:rPr>
                <w:rFonts w:ascii="Franklin Gothic Book" w:hAnsi="Franklin Gothic Book"/>
              </w:rPr>
            </w:pPr>
            <w:r>
              <w:rPr>
                <w:rFonts w:ascii="Franklin Gothic Book" w:hAnsi="Franklin Gothic Book"/>
              </w:rPr>
              <w:t>2,502</w:t>
            </w:r>
          </w:p>
        </w:tc>
        <w:tc>
          <w:tcPr>
            <w:tcW w:w="1152" w:type="dxa"/>
            <w:vAlign w:val="center"/>
          </w:tcPr>
          <w:p w14:paraId="6D4571B4" w14:textId="77777777" w:rsidR="000A1B38" w:rsidRPr="00BD1632" w:rsidRDefault="000A1B38">
            <w:pPr>
              <w:pStyle w:val="TableTextCentered"/>
              <w:rPr>
                <w:rFonts w:ascii="Franklin Gothic Book" w:hAnsi="Franklin Gothic Book"/>
              </w:rPr>
            </w:pPr>
            <w:r>
              <w:rPr>
                <w:rFonts w:ascii="Franklin Gothic Book" w:hAnsi="Franklin Gothic Book"/>
              </w:rPr>
              <w:t>5.0</w:t>
            </w:r>
          </w:p>
        </w:tc>
        <w:tc>
          <w:tcPr>
            <w:tcW w:w="1151" w:type="dxa"/>
            <w:vAlign w:val="center"/>
          </w:tcPr>
          <w:p w14:paraId="1C27FF2D"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457533B2" w14:textId="77777777" w:rsidR="000A1B38" w:rsidRPr="00BD1632" w:rsidRDefault="000A1B38">
            <w:pPr>
              <w:pStyle w:val="TableTextCentered"/>
              <w:rPr>
                <w:rFonts w:ascii="Franklin Gothic Book" w:hAnsi="Franklin Gothic Book"/>
              </w:rPr>
            </w:pPr>
            <w:r>
              <w:rPr>
                <w:rFonts w:ascii="Franklin Gothic Book" w:hAnsi="Franklin Gothic Book"/>
              </w:rPr>
              <w:t>4.4</w:t>
            </w:r>
          </w:p>
        </w:tc>
        <w:tc>
          <w:tcPr>
            <w:tcW w:w="1152" w:type="dxa"/>
            <w:vAlign w:val="center"/>
          </w:tcPr>
          <w:p w14:paraId="3C4CFF0B" w14:textId="77777777" w:rsidR="000A1B38" w:rsidRPr="00BD1632" w:rsidRDefault="000A1B38">
            <w:pPr>
              <w:pStyle w:val="TableTextCentered"/>
              <w:rPr>
                <w:rFonts w:ascii="Franklin Gothic Book" w:hAnsi="Franklin Gothic Book"/>
              </w:rPr>
            </w:pPr>
            <w:r>
              <w:rPr>
                <w:rFonts w:ascii="Franklin Gothic Book" w:hAnsi="Franklin Gothic Book"/>
              </w:rPr>
              <w:t>2.5</w:t>
            </w:r>
          </w:p>
        </w:tc>
      </w:tr>
      <w:tr w:rsidR="000A1B38" w:rsidRPr="00976F70" w14:paraId="50B4DB9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6758F44"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6705CFFC" w14:textId="77777777" w:rsidR="000A1B38" w:rsidRPr="00BD1632" w:rsidRDefault="000A1B38">
            <w:pPr>
              <w:pStyle w:val="TableTextCentered"/>
              <w:rPr>
                <w:rFonts w:ascii="Franklin Gothic Book" w:hAnsi="Franklin Gothic Book"/>
              </w:rPr>
            </w:pPr>
            <w:r>
              <w:rPr>
                <w:rFonts w:ascii="Franklin Gothic Book" w:hAnsi="Franklin Gothic Book"/>
              </w:rPr>
              <w:t>831</w:t>
            </w:r>
          </w:p>
        </w:tc>
        <w:tc>
          <w:tcPr>
            <w:tcW w:w="1152" w:type="dxa"/>
            <w:vAlign w:val="center"/>
          </w:tcPr>
          <w:p w14:paraId="6508DDCC" w14:textId="77777777" w:rsidR="000A1B38" w:rsidRPr="00BD1632" w:rsidRDefault="000A1B38">
            <w:pPr>
              <w:pStyle w:val="TableTextCentered"/>
              <w:rPr>
                <w:rFonts w:ascii="Franklin Gothic Book" w:hAnsi="Franklin Gothic Book"/>
              </w:rPr>
            </w:pPr>
            <w:r>
              <w:rPr>
                <w:rFonts w:ascii="Franklin Gothic Book" w:hAnsi="Franklin Gothic Book"/>
              </w:rPr>
              <w:t>7.2</w:t>
            </w:r>
          </w:p>
        </w:tc>
        <w:tc>
          <w:tcPr>
            <w:tcW w:w="1151" w:type="dxa"/>
            <w:vAlign w:val="center"/>
          </w:tcPr>
          <w:p w14:paraId="2031C07D" w14:textId="77777777" w:rsidR="000A1B38" w:rsidRPr="00BD1632" w:rsidRDefault="000A1B38">
            <w:pPr>
              <w:pStyle w:val="TableTextCentered"/>
              <w:rPr>
                <w:rFonts w:ascii="Franklin Gothic Book" w:hAnsi="Franklin Gothic Book"/>
              </w:rPr>
            </w:pPr>
            <w:r>
              <w:rPr>
                <w:rFonts w:ascii="Franklin Gothic Book" w:hAnsi="Franklin Gothic Book"/>
              </w:rPr>
              <w:t>9.9</w:t>
            </w:r>
          </w:p>
        </w:tc>
        <w:tc>
          <w:tcPr>
            <w:tcW w:w="1152" w:type="dxa"/>
            <w:vAlign w:val="center"/>
          </w:tcPr>
          <w:p w14:paraId="2FB24C09" w14:textId="77777777" w:rsidR="000A1B38" w:rsidRPr="00BD1632" w:rsidRDefault="000A1B38">
            <w:pPr>
              <w:pStyle w:val="TableTextCentered"/>
              <w:rPr>
                <w:rFonts w:ascii="Franklin Gothic Book" w:hAnsi="Franklin Gothic Book"/>
              </w:rPr>
            </w:pPr>
            <w:r>
              <w:rPr>
                <w:rFonts w:ascii="Franklin Gothic Book" w:hAnsi="Franklin Gothic Book"/>
              </w:rPr>
              <w:t>8.9</w:t>
            </w:r>
          </w:p>
        </w:tc>
        <w:tc>
          <w:tcPr>
            <w:tcW w:w="1152" w:type="dxa"/>
            <w:vAlign w:val="center"/>
          </w:tcPr>
          <w:p w14:paraId="661BB9D4" w14:textId="77777777" w:rsidR="000A1B38" w:rsidRPr="00BD1632" w:rsidRDefault="000A1B38">
            <w:pPr>
              <w:pStyle w:val="TableTextCentered"/>
              <w:rPr>
                <w:rFonts w:ascii="Franklin Gothic Book" w:hAnsi="Franklin Gothic Book"/>
              </w:rPr>
            </w:pPr>
            <w:r>
              <w:rPr>
                <w:rFonts w:ascii="Franklin Gothic Book" w:hAnsi="Franklin Gothic Book"/>
              </w:rPr>
              <w:t>4.4</w:t>
            </w:r>
          </w:p>
        </w:tc>
      </w:tr>
      <w:tr w:rsidR="000A1B38" w:rsidRPr="00976F70" w14:paraId="79F4B672" w14:textId="77777777">
        <w:tc>
          <w:tcPr>
            <w:tcW w:w="3586" w:type="dxa"/>
          </w:tcPr>
          <w:p w14:paraId="45585CE9"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69F12D8F" w14:textId="77777777" w:rsidR="000A1B38" w:rsidRPr="00BD1632" w:rsidRDefault="000A1B38">
            <w:pPr>
              <w:pStyle w:val="TableTextCentered"/>
              <w:rPr>
                <w:rFonts w:ascii="Franklin Gothic Book" w:hAnsi="Franklin Gothic Book"/>
              </w:rPr>
            </w:pPr>
            <w:r>
              <w:rPr>
                <w:rFonts w:ascii="Franklin Gothic Book" w:hAnsi="Franklin Gothic Book"/>
              </w:rPr>
              <w:t>174</w:t>
            </w:r>
          </w:p>
        </w:tc>
        <w:tc>
          <w:tcPr>
            <w:tcW w:w="1152" w:type="dxa"/>
            <w:vAlign w:val="center"/>
          </w:tcPr>
          <w:p w14:paraId="646DBBC3" w14:textId="77777777" w:rsidR="000A1B38" w:rsidRPr="00BD1632" w:rsidRDefault="000A1B38">
            <w:pPr>
              <w:pStyle w:val="TableTextCentered"/>
              <w:rPr>
                <w:rFonts w:ascii="Franklin Gothic Book" w:hAnsi="Franklin Gothic Book"/>
              </w:rPr>
            </w:pPr>
            <w:r>
              <w:rPr>
                <w:rFonts w:ascii="Franklin Gothic Book" w:hAnsi="Franklin Gothic Book"/>
              </w:rPr>
              <w:t>3.9</w:t>
            </w:r>
          </w:p>
        </w:tc>
        <w:tc>
          <w:tcPr>
            <w:tcW w:w="1151" w:type="dxa"/>
            <w:vAlign w:val="center"/>
          </w:tcPr>
          <w:p w14:paraId="60C9087F" w14:textId="77777777" w:rsidR="000A1B38" w:rsidRPr="00BD1632" w:rsidRDefault="000A1B38">
            <w:pPr>
              <w:pStyle w:val="TableTextCentered"/>
              <w:rPr>
                <w:rFonts w:ascii="Franklin Gothic Book" w:hAnsi="Franklin Gothic Book"/>
              </w:rPr>
            </w:pPr>
            <w:r>
              <w:rPr>
                <w:rFonts w:ascii="Franklin Gothic Book" w:hAnsi="Franklin Gothic Book"/>
              </w:rPr>
              <w:t>5.3</w:t>
            </w:r>
          </w:p>
        </w:tc>
        <w:tc>
          <w:tcPr>
            <w:tcW w:w="1152" w:type="dxa"/>
            <w:vAlign w:val="center"/>
          </w:tcPr>
          <w:p w14:paraId="1B57D61E" w14:textId="77777777" w:rsidR="000A1B38" w:rsidRPr="00BD1632" w:rsidRDefault="000A1B38">
            <w:pPr>
              <w:pStyle w:val="TableTextCentered"/>
              <w:rPr>
                <w:rFonts w:ascii="Franklin Gothic Book" w:hAnsi="Franklin Gothic Book"/>
              </w:rPr>
            </w:pPr>
            <w:r>
              <w:rPr>
                <w:rFonts w:ascii="Franklin Gothic Book" w:hAnsi="Franklin Gothic Book"/>
              </w:rPr>
              <w:t>4.0</w:t>
            </w:r>
          </w:p>
        </w:tc>
        <w:tc>
          <w:tcPr>
            <w:tcW w:w="1152" w:type="dxa"/>
            <w:vAlign w:val="center"/>
          </w:tcPr>
          <w:p w14:paraId="13BDF88B" w14:textId="77777777" w:rsidR="000A1B38" w:rsidRPr="00BD1632" w:rsidRDefault="000A1B38">
            <w:pPr>
              <w:pStyle w:val="TableTextCentered"/>
              <w:rPr>
                <w:rFonts w:ascii="Franklin Gothic Book" w:hAnsi="Franklin Gothic Book"/>
              </w:rPr>
            </w:pPr>
            <w:r>
              <w:rPr>
                <w:rFonts w:ascii="Franklin Gothic Book" w:hAnsi="Franklin Gothic Book"/>
              </w:rPr>
              <w:t>1.9</w:t>
            </w:r>
          </w:p>
        </w:tc>
      </w:tr>
      <w:tr w:rsidR="000A1B38" w:rsidRPr="00976F70" w14:paraId="3D0A4E93"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C083E55"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234C13BB" w14:textId="77777777" w:rsidR="000A1B38" w:rsidRPr="00BD1632" w:rsidRDefault="000A1B38">
            <w:pPr>
              <w:pStyle w:val="TableTextCentered"/>
              <w:rPr>
                <w:rFonts w:ascii="Franklin Gothic Book" w:hAnsi="Franklin Gothic Book"/>
              </w:rPr>
            </w:pPr>
            <w:r>
              <w:rPr>
                <w:rFonts w:ascii="Franklin Gothic Book" w:hAnsi="Franklin Gothic Book"/>
              </w:rPr>
              <w:t>7</w:t>
            </w:r>
          </w:p>
        </w:tc>
        <w:tc>
          <w:tcPr>
            <w:tcW w:w="1152" w:type="dxa"/>
            <w:vAlign w:val="center"/>
          </w:tcPr>
          <w:p w14:paraId="389DA009" w14:textId="77777777" w:rsidR="000A1B38" w:rsidRPr="00BD1632" w:rsidRDefault="000A1B38">
            <w:pPr>
              <w:pStyle w:val="TableTextCentered"/>
              <w:rPr>
                <w:rFonts w:ascii="Franklin Gothic Book" w:hAnsi="Franklin Gothic Book"/>
              </w:rPr>
            </w:pPr>
            <w:r>
              <w:rPr>
                <w:rFonts w:ascii="Franklin Gothic Book" w:hAnsi="Franklin Gothic Book"/>
              </w:rPr>
              <w:t>0.0</w:t>
            </w:r>
          </w:p>
        </w:tc>
        <w:tc>
          <w:tcPr>
            <w:tcW w:w="1151" w:type="dxa"/>
            <w:vAlign w:val="center"/>
          </w:tcPr>
          <w:p w14:paraId="12114E77" w14:textId="77777777" w:rsidR="000A1B38" w:rsidRPr="00BD1632" w:rsidRDefault="000A1B38">
            <w:pPr>
              <w:pStyle w:val="TableTextCentered"/>
              <w:rPr>
                <w:rFonts w:ascii="Franklin Gothic Book" w:hAnsi="Franklin Gothic Book"/>
              </w:rPr>
            </w:pPr>
            <w:r>
              <w:rPr>
                <w:rFonts w:ascii="Franklin Gothic Book" w:hAnsi="Franklin Gothic Book"/>
              </w:rPr>
              <w:t>22.2</w:t>
            </w:r>
          </w:p>
        </w:tc>
        <w:tc>
          <w:tcPr>
            <w:tcW w:w="1152" w:type="dxa"/>
            <w:vAlign w:val="center"/>
          </w:tcPr>
          <w:p w14:paraId="3CFBF2DD" w14:textId="77777777" w:rsidR="000A1B38" w:rsidRPr="00BD1632" w:rsidRDefault="000A1B38">
            <w:pPr>
              <w:pStyle w:val="TableTextCentered"/>
              <w:rPr>
                <w:rFonts w:ascii="Franklin Gothic Book" w:hAnsi="Franklin Gothic Book"/>
              </w:rPr>
            </w:pPr>
            <w:r>
              <w:rPr>
                <w:rFonts w:ascii="Franklin Gothic Book" w:hAnsi="Franklin Gothic Book"/>
              </w:rPr>
              <w:t>0.0</w:t>
            </w:r>
          </w:p>
        </w:tc>
        <w:tc>
          <w:tcPr>
            <w:tcW w:w="1152" w:type="dxa"/>
            <w:vAlign w:val="center"/>
          </w:tcPr>
          <w:p w14:paraId="28A0D4A4" w14:textId="77777777" w:rsidR="000A1B38" w:rsidRPr="00BD1632" w:rsidRDefault="000A1B38">
            <w:pPr>
              <w:pStyle w:val="TableTextCentered"/>
              <w:rPr>
                <w:rFonts w:ascii="Franklin Gothic Book" w:hAnsi="Franklin Gothic Book"/>
              </w:rPr>
            </w:pPr>
            <w:r>
              <w:rPr>
                <w:rFonts w:ascii="Franklin Gothic Book" w:hAnsi="Franklin Gothic Book"/>
              </w:rPr>
              <w:t>1.9</w:t>
            </w:r>
          </w:p>
        </w:tc>
      </w:tr>
      <w:tr w:rsidR="000A1B38" w:rsidRPr="00976F70" w14:paraId="15D266F1" w14:textId="77777777">
        <w:tc>
          <w:tcPr>
            <w:tcW w:w="3586" w:type="dxa"/>
          </w:tcPr>
          <w:p w14:paraId="4F7543AE"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60B241BA" w14:textId="77777777" w:rsidR="000A1B38" w:rsidRPr="00BD1632" w:rsidRDefault="000A1B38">
            <w:pPr>
              <w:pStyle w:val="TableTextCentered"/>
              <w:rPr>
                <w:rFonts w:ascii="Franklin Gothic Book" w:hAnsi="Franklin Gothic Book"/>
              </w:rPr>
            </w:pPr>
            <w:r>
              <w:rPr>
                <w:rFonts w:ascii="Franklin Gothic Book" w:hAnsi="Franklin Gothic Book"/>
              </w:rPr>
              <w:t>481</w:t>
            </w:r>
          </w:p>
        </w:tc>
        <w:tc>
          <w:tcPr>
            <w:tcW w:w="1152" w:type="dxa"/>
            <w:vAlign w:val="center"/>
          </w:tcPr>
          <w:p w14:paraId="31905C68" w14:textId="77777777" w:rsidR="000A1B38" w:rsidRPr="00BD1632" w:rsidRDefault="000A1B38">
            <w:pPr>
              <w:pStyle w:val="TableTextCentered"/>
              <w:rPr>
                <w:rFonts w:ascii="Franklin Gothic Book" w:hAnsi="Franklin Gothic Book"/>
              </w:rPr>
            </w:pPr>
            <w:r>
              <w:rPr>
                <w:rFonts w:ascii="Franklin Gothic Book" w:hAnsi="Franklin Gothic Book"/>
              </w:rPr>
              <w:t>4.6</w:t>
            </w:r>
          </w:p>
        </w:tc>
        <w:tc>
          <w:tcPr>
            <w:tcW w:w="1151" w:type="dxa"/>
            <w:vAlign w:val="center"/>
          </w:tcPr>
          <w:p w14:paraId="0A35C179" w14:textId="77777777" w:rsidR="000A1B38" w:rsidRPr="00BD1632" w:rsidRDefault="000A1B38">
            <w:pPr>
              <w:pStyle w:val="TableTextCentered"/>
              <w:rPr>
                <w:rFonts w:ascii="Franklin Gothic Book" w:hAnsi="Franklin Gothic Book"/>
              </w:rPr>
            </w:pPr>
            <w:r>
              <w:rPr>
                <w:rFonts w:ascii="Franklin Gothic Book" w:hAnsi="Franklin Gothic Book"/>
              </w:rPr>
              <w:t>4.2</w:t>
            </w:r>
          </w:p>
        </w:tc>
        <w:tc>
          <w:tcPr>
            <w:tcW w:w="1152" w:type="dxa"/>
            <w:vAlign w:val="center"/>
          </w:tcPr>
          <w:p w14:paraId="4B4C0191" w14:textId="77777777" w:rsidR="000A1B38" w:rsidRPr="00BD1632" w:rsidRDefault="000A1B38">
            <w:pPr>
              <w:pStyle w:val="TableTextCentered"/>
              <w:rPr>
                <w:rFonts w:ascii="Franklin Gothic Book" w:hAnsi="Franklin Gothic Book"/>
              </w:rPr>
            </w:pPr>
            <w:r>
              <w:rPr>
                <w:rFonts w:ascii="Franklin Gothic Book" w:hAnsi="Franklin Gothic Book"/>
              </w:rPr>
              <w:t>7.1</w:t>
            </w:r>
          </w:p>
        </w:tc>
        <w:tc>
          <w:tcPr>
            <w:tcW w:w="1152" w:type="dxa"/>
            <w:vAlign w:val="center"/>
          </w:tcPr>
          <w:p w14:paraId="3DE503DF" w14:textId="77777777" w:rsidR="000A1B38" w:rsidRPr="00BD1632" w:rsidRDefault="000A1B38">
            <w:pPr>
              <w:pStyle w:val="TableTextCentered"/>
              <w:rPr>
                <w:rFonts w:ascii="Franklin Gothic Book" w:hAnsi="Franklin Gothic Book"/>
              </w:rPr>
            </w:pPr>
            <w:r>
              <w:rPr>
                <w:rFonts w:ascii="Franklin Gothic Book" w:hAnsi="Franklin Gothic Book"/>
              </w:rPr>
              <w:t>1.1</w:t>
            </w:r>
          </w:p>
        </w:tc>
      </w:tr>
      <w:tr w:rsidR="000A1B38" w:rsidRPr="00976F70" w14:paraId="38E05EC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3C3F8BA"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5029D4DB" w14:textId="77777777" w:rsidR="000A1B38" w:rsidRPr="00BD1632" w:rsidRDefault="000A1B38">
            <w:pPr>
              <w:pStyle w:val="TableTextCentered"/>
              <w:rPr>
                <w:rFonts w:ascii="Franklin Gothic Book" w:hAnsi="Franklin Gothic Book"/>
              </w:rPr>
            </w:pPr>
            <w:r>
              <w:rPr>
                <w:rFonts w:ascii="Franklin Gothic Book" w:hAnsi="Franklin Gothic Book"/>
              </w:rPr>
              <w:t>3,325</w:t>
            </w:r>
          </w:p>
        </w:tc>
        <w:tc>
          <w:tcPr>
            <w:tcW w:w="1152" w:type="dxa"/>
            <w:vAlign w:val="center"/>
          </w:tcPr>
          <w:p w14:paraId="6FD7B4DD" w14:textId="77777777" w:rsidR="000A1B38" w:rsidRPr="00BD1632" w:rsidRDefault="000A1B38">
            <w:pPr>
              <w:pStyle w:val="TableTextCentered"/>
              <w:rPr>
                <w:rFonts w:ascii="Franklin Gothic Book" w:hAnsi="Franklin Gothic Book"/>
              </w:rPr>
            </w:pPr>
            <w:r>
              <w:rPr>
                <w:rFonts w:ascii="Franklin Gothic Book" w:hAnsi="Franklin Gothic Book"/>
              </w:rPr>
              <w:t>5.8</w:t>
            </w:r>
          </w:p>
        </w:tc>
        <w:tc>
          <w:tcPr>
            <w:tcW w:w="1151" w:type="dxa"/>
            <w:vAlign w:val="center"/>
          </w:tcPr>
          <w:p w14:paraId="41428449" w14:textId="77777777" w:rsidR="000A1B38" w:rsidRPr="00BD1632" w:rsidRDefault="000A1B38">
            <w:pPr>
              <w:pStyle w:val="TableTextCentered"/>
              <w:rPr>
                <w:rFonts w:ascii="Franklin Gothic Book" w:hAnsi="Franklin Gothic Book"/>
              </w:rPr>
            </w:pPr>
            <w:r>
              <w:rPr>
                <w:rFonts w:ascii="Franklin Gothic Book" w:hAnsi="Franklin Gothic Book"/>
              </w:rPr>
              <w:t>6.7</w:t>
            </w:r>
          </w:p>
        </w:tc>
        <w:tc>
          <w:tcPr>
            <w:tcW w:w="1152" w:type="dxa"/>
            <w:vAlign w:val="center"/>
          </w:tcPr>
          <w:p w14:paraId="2FD9C40E" w14:textId="77777777" w:rsidR="000A1B38" w:rsidRPr="00BD1632" w:rsidRDefault="000A1B38">
            <w:pPr>
              <w:pStyle w:val="TableTextCentered"/>
              <w:rPr>
                <w:rFonts w:ascii="Franklin Gothic Book" w:hAnsi="Franklin Gothic Book"/>
              </w:rPr>
            </w:pPr>
            <w:r>
              <w:rPr>
                <w:rFonts w:ascii="Franklin Gothic Book" w:hAnsi="Franklin Gothic Book"/>
              </w:rPr>
              <w:t>6.1</w:t>
            </w:r>
          </w:p>
        </w:tc>
        <w:tc>
          <w:tcPr>
            <w:tcW w:w="1152" w:type="dxa"/>
            <w:vAlign w:val="center"/>
          </w:tcPr>
          <w:p w14:paraId="50431744" w14:textId="77777777" w:rsidR="000A1B38" w:rsidRPr="00BD1632" w:rsidRDefault="000A1B38">
            <w:pPr>
              <w:pStyle w:val="TableTextCentered"/>
              <w:rPr>
                <w:rFonts w:ascii="Franklin Gothic Book" w:hAnsi="Franklin Gothic Book"/>
              </w:rPr>
            </w:pPr>
            <w:r>
              <w:rPr>
                <w:rFonts w:ascii="Franklin Gothic Book" w:hAnsi="Franklin Gothic Book"/>
              </w:rPr>
              <w:t>3.4</w:t>
            </w:r>
          </w:p>
        </w:tc>
      </w:tr>
      <w:tr w:rsidR="000A1B38" w:rsidRPr="00976F70" w14:paraId="68ABB2BB" w14:textId="77777777">
        <w:tc>
          <w:tcPr>
            <w:tcW w:w="3586" w:type="dxa"/>
          </w:tcPr>
          <w:p w14:paraId="12A1A2CF"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5DEFABD9" w14:textId="77777777" w:rsidR="000A1B38" w:rsidRPr="00BD1632" w:rsidRDefault="000A1B38">
            <w:pPr>
              <w:pStyle w:val="TableTextCentered"/>
              <w:rPr>
                <w:rFonts w:ascii="Franklin Gothic Book" w:hAnsi="Franklin Gothic Book"/>
              </w:rPr>
            </w:pPr>
            <w:r>
              <w:rPr>
                <w:rFonts w:ascii="Franklin Gothic Book" w:hAnsi="Franklin Gothic Book"/>
              </w:rPr>
              <w:t>1,279</w:t>
            </w:r>
          </w:p>
        </w:tc>
        <w:tc>
          <w:tcPr>
            <w:tcW w:w="1152" w:type="dxa"/>
            <w:vAlign w:val="center"/>
          </w:tcPr>
          <w:p w14:paraId="4EA09D11" w14:textId="77777777" w:rsidR="000A1B38" w:rsidRPr="00BD1632" w:rsidRDefault="000A1B38">
            <w:pPr>
              <w:pStyle w:val="TableTextCentered"/>
              <w:rPr>
                <w:rFonts w:ascii="Franklin Gothic Book" w:hAnsi="Franklin Gothic Book"/>
              </w:rPr>
            </w:pPr>
            <w:r>
              <w:rPr>
                <w:rFonts w:ascii="Franklin Gothic Book" w:hAnsi="Franklin Gothic Book"/>
              </w:rPr>
              <w:t>10.6</w:t>
            </w:r>
          </w:p>
        </w:tc>
        <w:tc>
          <w:tcPr>
            <w:tcW w:w="1151" w:type="dxa"/>
            <w:vAlign w:val="center"/>
          </w:tcPr>
          <w:p w14:paraId="02B66AF9" w14:textId="77777777" w:rsidR="000A1B38" w:rsidRPr="00BD1632" w:rsidRDefault="000A1B38">
            <w:pPr>
              <w:pStyle w:val="TableTextCentered"/>
              <w:rPr>
                <w:rFonts w:ascii="Franklin Gothic Book" w:hAnsi="Franklin Gothic Book"/>
              </w:rPr>
            </w:pPr>
            <w:r>
              <w:rPr>
                <w:rFonts w:ascii="Franklin Gothic Book" w:hAnsi="Franklin Gothic Book"/>
              </w:rPr>
              <w:t>12.6</w:t>
            </w:r>
          </w:p>
        </w:tc>
        <w:tc>
          <w:tcPr>
            <w:tcW w:w="1152" w:type="dxa"/>
            <w:vAlign w:val="center"/>
          </w:tcPr>
          <w:p w14:paraId="2B32851C" w14:textId="77777777" w:rsidR="000A1B38" w:rsidRPr="00BD1632" w:rsidRDefault="000A1B38">
            <w:pPr>
              <w:pStyle w:val="TableTextCentered"/>
              <w:rPr>
                <w:rFonts w:ascii="Franklin Gothic Book" w:hAnsi="Franklin Gothic Book"/>
              </w:rPr>
            </w:pPr>
            <w:r>
              <w:rPr>
                <w:rFonts w:ascii="Franklin Gothic Book" w:hAnsi="Franklin Gothic Book"/>
              </w:rPr>
              <w:t>9.2</w:t>
            </w:r>
          </w:p>
        </w:tc>
        <w:tc>
          <w:tcPr>
            <w:tcW w:w="1152" w:type="dxa"/>
            <w:vAlign w:val="center"/>
          </w:tcPr>
          <w:p w14:paraId="4C2954EC" w14:textId="77777777" w:rsidR="000A1B38" w:rsidRPr="00BD1632" w:rsidRDefault="000A1B38">
            <w:pPr>
              <w:pStyle w:val="TableTextCentered"/>
              <w:rPr>
                <w:rFonts w:ascii="Franklin Gothic Book" w:hAnsi="Franklin Gothic Book"/>
              </w:rPr>
            </w:pPr>
            <w:r>
              <w:rPr>
                <w:rFonts w:ascii="Franklin Gothic Book" w:hAnsi="Franklin Gothic Book"/>
              </w:rPr>
              <w:t>7.7</w:t>
            </w:r>
          </w:p>
        </w:tc>
      </w:tr>
      <w:tr w:rsidR="000A1B38" w:rsidRPr="00976F70" w14:paraId="2A2F388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DF49756"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B5E8B31" w14:textId="77777777" w:rsidR="000A1B38" w:rsidRPr="00BD1632" w:rsidRDefault="000A1B38">
            <w:pPr>
              <w:pStyle w:val="TableTextCentered"/>
              <w:rPr>
                <w:rFonts w:ascii="Franklin Gothic Book" w:hAnsi="Franklin Gothic Book"/>
              </w:rPr>
            </w:pPr>
            <w:r>
              <w:rPr>
                <w:rFonts w:ascii="Franklin Gothic Book" w:hAnsi="Franklin Gothic Book"/>
              </w:rPr>
              <w:t>2,889</w:t>
            </w:r>
          </w:p>
        </w:tc>
        <w:tc>
          <w:tcPr>
            <w:tcW w:w="1152" w:type="dxa"/>
            <w:vAlign w:val="center"/>
          </w:tcPr>
          <w:p w14:paraId="050EC58C" w14:textId="77777777" w:rsidR="000A1B38" w:rsidRPr="00BD1632" w:rsidRDefault="000A1B38">
            <w:pPr>
              <w:pStyle w:val="TableTextCentered"/>
              <w:rPr>
                <w:rFonts w:ascii="Franklin Gothic Book" w:hAnsi="Franklin Gothic Book"/>
              </w:rPr>
            </w:pPr>
            <w:r>
              <w:rPr>
                <w:rFonts w:ascii="Franklin Gothic Book" w:hAnsi="Franklin Gothic Book"/>
              </w:rPr>
              <w:t>5.2</w:t>
            </w:r>
          </w:p>
        </w:tc>
        <w:tc>
          <w:tcPr>
            <w:tcW w:w="1151" w:type="dxa"/>
            <w:vAlign w:val="center"/>
          </w:tcPr>
          <w:p w14:paraId="22BD512C" w14:textId="77777777" w:rsidR="000A1B38" w:rsidRPr="00BD1632" w:rsidRDefault="000A1B38">
            <w:pPr>
              <w:pStyle w:val="TableTextCentered"/>
              <w:rPr>
                <w:rFonts w:ascii="Franklin Gothic Book" w:hAnsi="Franklin Gothic Book"/>
              </w:rPr>
            </w:pPr>
            <w:r>
              <w:rPr>
                <w:rFonts w:ascii="Franklin Gothic Book" w:hAnsi="Franklin Gothic Book"/>
              </w:rPr>
              <w:t>6.0</w:t>
            </w:r>
          </w:p>
        </w:tc>
        <w:tc>
          <w:tcPr>
            <w:tcW w:w="1152" w:type="dxa"/>
            <w:vAlign w:val="center"/>
          </w:tcPr>
          <w:p w14:paraId="53DFB922" w14:textId="77777777" w:rsidR="000A1B38" w:rsidRPr="00BD1632" w:rsidRDefault="000A1B38">
            <w:pPr>
              <w:pStyle w:val="TableTextCentered"/>
              <w:rPr>
                <w:rFonts w:ascii="Franklin Gothic Book" w:hAnsi="Franklin Gothic Book"/>
              </w:rPr>
            </w:pPr>
            <w:r>
              <w:rPr>
                <w:rFonts w:ascii="Franklin Gothic Book" w:hAnsi="Franklin Gothic Book"/>
              </w:rPr>
              <w:t>5.7</w:t>
            </w:r>
          </w:p>
        </w:tc>
        <w:tc>
          <w:tcPr>
            <w:tcW w:w="1152" w:type="dxa"/>
            <w:vAlign w:val="center"/>
          </w:tcPr>
          <w:p w14:paraId="48CE3760" w14:textId="77777777" w:rsidR="000A1B38" w:rsidRPr="00BD1632" w:rsidRDefault="000A1B38">
            <w:pPr>
              <w:pStyle w:val="TableTextCentered"/>
              <w:rPr>
                <w:rFonts w:ascii="Franklin Gothic Book" w:hAnsi="Franklin Gothic Book"/>
              </w:rPr>
            </w:pPr>
            <w:r>
              <w:rPr>
                <w:rFonts w:ascii="Franklin Gothic Book" w:hAnsi="Franklin Gothic Book"/>
              </w:rPr>
              <w:t>3.6</w:t>
            </w:r>
          </w:p>
        </w:tc>
      </w:tr>
      <w:tr w:rsidR="000A1B38" w:rsidRPr="00976F70" w14:paraId="462DA692" w14:textId="77777777">
        <w:tc>
          <w:tcPr>
            <w:tcW w:w="3586" w:type="dxa"/>
          </w:tcPr>
          <w:p w14:paraId="7098D7BA"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3298F35B" w14:textId="77777777" w:rsidR="000A1B38" w:rsidRPr="00BD1632" w:rsidRDefault="000A1B38">
            <w:pPr>
              <w:pStyle w:val="TableTextCentered"/>
              <w:rPr>
                <w:rFonts w:ascii="Franklin Gothic Book" w:hAnsi="Franklin Gothic Book"/>
              </w:rPr>
            </w:pPr>
            <w:r>
              <w:rPr>
                <w:rFonts w:ascii="Franklin Gothic Book" w:hAnsi="Franklin Gothic Book"/>
              </w:rPr>
              <w:t>680</w:t>
            </w:r>
          </w:p>
        </w:tc>
        <w:tc>
          <w:tcPr>
            <w:tcW w:w="1152" w:type="dxa"/>
            <w:vAlign w:val="center"/>
          </w:tcPr>
          <w:p w14:paraId="30BCBC68" w14:textId="77777777" w:rsidR="000A1B38" w:rsidRPr="00BD1632" w:rsidRDefault="000A1B38">
            <w:pPr>
              <w:pStyle w:val="TableTextCentered"/>
              <w:rPr>
                <w:rFonts w:ascii="Franklin Gothic Book" w:hAnsi="Franklin Gothic Book"/>
              </w:rPr>
            </w:pPr>
            <w:r>
              <w:rPr>
                <w:rFonts w:ascii="Franklin Gothic Book" w:hAnsi="Franklin Gothic Book"/>
              </w:rPr>
              <w:t>5.8</w:t>
            </w:r>
          </w:p>
        </w:tc>
        <w:tc>
          <w:tcPr>
            <w:tcW w:w="1151" w:type="dxa"/>
            <w:vAlign w:val="center"/>
          </w:tcPr>
          <w:p w14:paraId="5394AD29" w14:textId="77777777" w:rsidR="000A1B38" w:rsidRPr="00BD1632" w:rsidRDefault="000A1B38">
            <w:pPr>
              <w:pStyle w:val="TableTextCentered"/>
              <w:rPr>
                <w:rFonts w:ascii="Franklin Gothic Book" w:hAnsi="Franklin Gothic Book"/>
              </w:rPr>
            </w:pPr>
            <w:r>
              <w:rPr>
                <w:rFonts w:ascii="Franklin Gothic Book" w:hAnsi="Franklin Gothic Book"/>
              </w:rPr>
              <w:t>3.2</w:t>
            </w:r>
          </w:p>
        </w:tc>
        <w:tc>
          <w:tcPr>
            <w:tcW w:w="1152" w:type="dxa"/>
            <w:vAlign w:val="center"/>
          </w:tcPr>
          <w:p w14:paraId="09C3CD66" w14:textId="77777777" w:rsidR="000A1B38" w:rsidRPr="00BD1632" w:rsidRDefault="000A1B38">
            <w:pPr>
              <w:pStyle w:val="TableTextCentered"/>
              <w:rPr>
                <w:rFonts w:ascii="Franklin Gothic Book" w:hAnsi="Franklin Gothic Book"/>
              </w:rPr>
            </w:pPr>
            <w:r>
              <w:rPr>
                <w:rFonts w:ascii="Franklin Gothic Book" w:hAnsi="Franklin Gothic Book"/>
              </w:rPr>
              <w:t>5.1</w:t>
            </w:r>
          </w:p>
        </w:tc>
        <w:tc>
          <w:tcPr>
            <w:tcW w:w="1152" w:type="dxa"/>
            <w:vAlign w:val="center"/>
          </w:tcPr>
          <w:p w14:paraId="37AB6AD1" w14:textId="77777777" w:rsidR="000A1B38" w:rsidRPr="00BD1632" w:rsidRDefault="000A1B38">
            <w:pPr>
              <w:pStyle w:val="TableTextCentered"/>
              <w:rPr>
                <w:rFonts w:ascii="Franklin Gothic Book" w:hAnsi="Franklin Gothic Book"/>
              </w:rPr>
            </w:pPr>
            <w:r>
              <w:rPr>
                <w:rFonts w:ascii="Franklin Gothic Book" w:hAnsi="Franklin Gothic Book"/>
              </w:rPr>
              <w:t>2.9</w:t>
            </w:r>
          </w:p>
        </w:tc>
      </w:tr>
      <w:bookmarkEnd w:id="251"/>
    </w:tbl>
    <w:p w14:paraId="7284318E" w14:textId="77777777" w:rsidR="000A1B38" w:rsidRDefault="000A1B38" w:rsidP="00EC51F0">
      <w:pPr>
        <w:pStyle w:val="BodyText"/>
      </w:pPr>
      <w:r>
        <w:br w:type="page"/>
      </w:r>
    </w:p>
    <w:p w14:paraId="1DB0401A" w14:textId="77777777" w:rsidR="000A1B38" w:rsidRPr="003C1C59" w:rsidRDefault="000A1B38" w:rsidP="0082637F">
      <w:pPr>
        <w:pStyle w:val="TableETitle"/>
      </w:pPr>
      <w:bookmarkStart w:id="254" w:name="_Toc211930049"/>
      <w:bookmarkStart w:id="255" w:name="_Toc230970179"/>
      <w:r w:rsidRPr="004B650F">
        <w:t>Table E1</w:t>
      </w:r>
      <w:r>
        <w:t>9</w:t>
      </w:r>
      <w:r w:rsidRPr="004B650F">
        <w:t>. In-School Suspension Rates by Student Group, 202</w:t>
      </w:r>
      <w:r>
        <w:t>2</w:t>
      </w:r>
      <w:r w:rsidRPr="004B650F">
        <w:t>-202</w:t>
      </w:r>
      <w:r>
        <w:t>4</w:t>
      </w:r>
      <w:bookmarkEnd w:id="254"/>
      <w:bookmarkEnd w:id="255"/>
    </w:p>
    <w:tbl>
      <w:tblPr>
        <w:tblStyle w:val="MSVTable1"/>
        <w:tblW w:w="5000" w:type="pct"/>
        <w:tblLook w:val="0420" w:firstRow="1" w:lastRow="0" w:firstColumn="0" w:lastColumn="0" w:noHBand="0" w:noVBand="1"/>
        <w:tblCaption w:val="Table E19. In-School Suspension Rates by Student Group, 2022-2024"/>
        <w:tblDescription w:val="In-School Suspension Rates by Student Group, 2022-2024"/>
      </w:tblPr>
      <w:tblGrid>
        <w:gridCol w:w="3586"/>
        <w:gridCol w:w="1151"/>
        <w:gridCol w:w="1152"/>
        <w:gridCol w:w="1151"/>
        <w:gridCol w:w="1152"/>
        <w:gridCol w:w="1152"/>
      </w:tblGrid>
      <w:tr w:rsidR="000A1B38" w:rsidRPr="00976F70" w14:paraId="62E34559"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0D97DFBE" w14:textId="77777777" w:rsidR="000A1B38" w:rsidRPr="00B85B0B" w:rsidRDefault="000A1B38">
            <w:pPr>
              <w:pStyle w:val="TableColHeadingLeft"/>
              <w:jc w:val="center"/>
            </w:pPr>
            <w:r w:rsidRPr="00B85B0B">
              <w:t>Group</w:t>
            </w:r>
          </w:p>
        </w:tc>
        <w:tc>
          <w:tcPr>
            <w:tcW w:w="1151" w:type="dxa"/>
            <w:vAlign w:val="center"/>
          </w:tcPr>
          <w:p w14:paraId="166F3BA4" w14:textId="77777777" w:rsidR="000A1B38" w:rsidRPr="00B85B0B" w:rsidRDefault="000A1B38">
            <w:pPr>
              <w:pStyle w:val="TableColHeadingCenter"/>
            </w:pPr>
            <w:r>
              <w:t># Included</w:t>
            </w:r>
            <w:r w:rsidRPr="00B85B0B">
              <w:t xml:space="preserve"> (202</w:t>
            </w:r>
            <w:r>
              <w:t>4</w:t>
            </w:r>
            <w:r w:rsidRPr="00B85B0B">
              <w:t>)</w:t>
            </w:r>
          </w:p>
        </w:tc>
        <w:tc>
          <w:tcPr>
            <w:tcW w:w="1152" w:type="dxa"/>
            <w:vAlign w:val="center"/>
          </w:tcPr>
          <w:p w14:paraId="444FBE39" w14:textId="77777777" w:rsidR="000A1B38" w:rsidRPr="00B85B0B" w:rsidRDefault="000A1B38">
            <w:pPr>
              <w:pStyle w:val="TableColHeadingCenter"/>
            </w:pPr>
            <w:r w:rsidRPr="00B85B0B">
              <w:t>202</w:t>
            </w:r>
            <w:r>
              <w:t>2</w:t>
            </w:r>
          </w:p>
        </w:tc>
        <w:tc>
          <w:tcPr>
            <w:tcW w:w="1151" w:type="dxa"/>
            <w:vAlign w:val="center"/>
          </w:tcPr>
          <w:p w14:paraId="42415AA9" w14:textId="77777777" w:rsidR="000A1B38" w:rsidRPr="00B85B0B" w:rsidRDefault="000A1B38">
            <w:pPr>
              <w:pStyle w:val="TableColHeadingCenter"/>
            </w:pPr>
            <w:r w:rsidRPr="00B85B0B">
              <w:t>202</w:t>
            </w:r>
            <w:r>
              <w:t>3</w:t>
            </w:r>
          </w:p>
        </w:tc>
        <w:tc>
          <w:tcPr>
            <w:tcW w:w="1152" w:type="dxa"/>
            <w:vAlign w:val="center"/>
          </w:tcPr>
          <w:p w14:paraId="603FE9F2" w14:textId="77777777" w:rsidR="000A1B38" w:rsidRPr="00B85B0B" w:rsidRDefault="000A1B38">
            <w:pPr>
              <w:pStyle w:val="TableColHeadingCenter"/>
            </w:pPr>
            <w:r>
              <w:t>2024</w:t>
            </w:r>
          </w:p>
        </w:tc>
        <w:tc>
          <w:tcPr>
            <w:tcW w:w="1152" w:type="dxa"/>
            <w:vAlign w:val="center"/>
          </w:tcPr>
          <w:p w14:paraId="0EFEDFFA" w14:textId="77777777" w:rsidR="000A1B38" w:rsidRPr="00B85B0B" w:rsidRDefault="000A1B38">
            <w:pPr>
              <w:pStyle w:val="TableColHeadingCenter"/>
            </w:pPr>
            <w:r w:rsidRPr="00B85B0B">
              <w:t>State (202</w:t>
            </w:r>
            <w:r>
              <w:t>4</w:t>
            </w:r>
            <w:r w:rsidRPr="00B85B0B">
              <w:t>)</w:t>
            </w:r>
          </w:p>
        </w:tc>
      </w:tr>
      <w:tr w:rsidR="000A1B38" w:rsidRPr="00976F70" w14:paraId="023543F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3E844C5"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40A30073" w14:textId="77777777" w:rsidR="000A1B38" w:rsidRPr="00BD1632" w:rsidRDefault="000A1B38">
            <w:pPr>
              <w:pStyle w:val="TableTextCentered"/>
              <w:rPr>
                <w:rFonts w:ascii="Franklin Gothic Book" w:hAnsi="Franklin Gothic Book"/>
              </w:rPr>
            </w:pPr>
            <w:r>
              <w:rPr>
                <w:rFonts w:ascii="Franklin Gothic Book" w:hAnsi="Franklin Gothic Book"/>
              </w:rPr>
              <w:t>16,433</w:t>
            </w:r>
          </w:p>
        </w:tc>
        <w:tc>
          <w:tcPr>
            <w:tcW w:w="1152" w:type="dxa"/>
            <w:vAlign w:val="center"/>
          </w:tcPr>
          <w:p w14:paraId="48550F2C" w14:textId="77777777" w:rsidR="000A1B38" w:rsidRPr="00BD1632" w:rsidRDefault="000A1B38">
            <w:pPr>
              <w:pStyle w:val="TableTextCentered"/>
              <w:rPr>
                <w:rFonts w:ascii="Franklin Gothic Book" w:hAnsi="Franklin Gothic Book"/>
              </w:rPr>
            </w:pPr>
            <w:r>
              <w:rPr>
                <w:rFonts w:ascii="Franklin Gothic Book" w:hAnsi="Franklin Gothic Book"/>
              </w:rPr>
              <w:t>1.5</w:t>
            </w:r>
          </w:p>
        </w:tc>
        <w:tc>
          <w:tcPr>
            <w:tcW w:w="1151" w:type="dxa"/>
            <w:vAlign w:val="center"/>
          </w:tcPr>
          <w:p w14:paraId="0233EB32" w14:textId="77777777" w:rsidR="000A1B38" w:rsidRPr="00BD1632" w:rsidRDefault="000A1B38">
            <w:pPr>
              <w:pStyle w:val="TableTextCentered"/>
              <w:rPr>
                <w:rFonts w:ascii="Franklin Gothic Book" w:hAnsi="Franklin Gothic Book"/>
              </w:rPr>
            </w:pPr>
            <w:r>
              <w:rPr>
                <w:rFonts w:ascii="Franklin Gothic Book" w:hAnsi="Franklin Gothic Book"/>
              </w:rPr>
              <w:t>1.9</w:t>
            </w:r>
          </w:p>
        </w:tc>
        <w:tc>
          <w:tcPr>
            <w:tcW w:w="1152" w:type="dxa"/>
            <w:vAlign w:val="center"/>
          </w:tcPr>
          <w:p w14:paraId="1CD29955" w14:textId="77777777" w:rsidR="000A1B38" w:rsidRPr="00BD1632" w:rsidRDefault="000A1B38">
            <w:pPr>
              <w:pStyle w:val="TableTextCentered"/>
              <w:rPr>
                <w:rFonts w:ascii="Franklin Gothic Book" w:hAnsi="Franklin Gothic Book"/>
              </w:rPr>
            </w:pPr>
            <w:r>
              <w:rPr>
                <w:rFonts w:ascii="Franklin Gothic Book" w:hAnsi="Franklin Gothic Book"/>
              </w:rPr>
              <w:t>3.0</w:t>
            </w:r>
          </w:p>
        </w:tc>
        <w:tc>
          <w:tcPr>
            <w:tcW w:w="1152" w:type="dxa"/>
            <w:vAlign w:val="center"/>
          </w:tcPr>
          <w:p w14:paraId="56512640" w14:textId="77777777" w:rsidR="000A1B38" w:rsidRPr="00BD1632" w:rsidRDefault="000A1B38">
            <w:pPr>
              <w:pStyle w:val="TableTextCentered"/>
              <w:rPr>
                <w:rFonts w:ascii="Franklin Gothic Book" w:hAnsi="Franklin Gothic Book"/>
              </w:rPr>
            </w:pPr>
            <w:r>
              <w:rPr>
                <w:rFonts w:ascii="Franklin Gothic Book" w:hAnsi="Franklin Gothic Book"/>
              </w:rPr>
              <w:t>1.4</w:t>
            </w:r>
          </w:p>
        </w:tc>
      </w:tr>
      <w:tr w:rsidR="000A1B38" w:rsidRPr="00976F70" w14:paraId="3323A194" w14:textId="77777777">
        <w:tc>
          <w:tcPr>
            <w:tcW w:w="3586" w:type="dxa"/>
          </w:tcPr>
          <w:p w14:paraId="507CFE9F"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6640F3D3" w14:textId="77777777" w:rsidR="000A1B38" w:rsidRPr="00BD1632" w:rsidRDefault="000A1B38">
            <w:pPr>
              <w:pStyle w:val="TableTextCentered"/>
              <w:rPr>
                <w:rFonts w:ascii="Franklin Gothic Book" w:hAnsi="Franklin Gothic Book"/>
              </w:rPr>
            </w:pPr>
            <w:r>
              <w:rPr>
                <w:rFonts w:ascii="Franklin Gothic Book" w:hAnsi="Franklin Gothic Book"/>
              </w:rPr>
              <w:t>65</w:t>
            </w:r>
          </w:p>
        </w:tc>
        <w:tc>
          <w:tcPr>
            <w:tcW w:w="1152" w:type="dxa"/>
            <w:vAlign w:val="center"/>
          </w:tcPr>
          <w:p w14:paraId="64D6E33B" w14:textId="30790190"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22D838C2" w14:textId="367F2AA7"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5C063AA6" w14:textId="16114887"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7604D9C7" w14:textId="77777777" w:rsidR="000A1B38" w:rsidRPr="00BD1632" w:rsidRDefault="000A1B38">
            <w:pPr>
              <w:pStyle w:val="TableTextCentered"/>
              <w:rPr>
                <w:rFonts w:ascii="Franklin Gothic Book" w:hAnsi="Franklin Gothic Book"/>
              </w:rPr>
            </w:pPr>
            <w:r>
              <w:rPr>
                <w:rFonts w:ascii="Franklin Gothic Book" w:hAnsi="Franklin Gothic Book"/>
              </w:rPr>
              <w:t>1.8</w:t>
            </w:r>
          </w:p>
        </w:tc>
      </w:tr>
      <w:tr w:rsidR="000A1B38" w:rsidRPr="00976F70" w14:paraId="06786DA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8FA6F06"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3A82253A" w14:textId="77777777" w:rsidR="000A1B38" w:rsidRPr="00BD1632" w:rsidRDefault="000A1B38">
            <w:pPr>
              <w:pStyle w:val="TableTextCentered"/>
              <w:rPr>
                <w:rFonts w:ascii="Franklin Gothic Book" w:hAnsi="Franklin Gothic Book"/>
              </w:rPr>
            </w:pPr>
            <w:r>
              <w:rPr>
                <w:rFonts w:ascii="Franklin Gothic Book" w:hAnsi="Franklin Gothic Book"/>
              </w:rPr>
              <w:t>247</w:t>
            </w:r>
          </w:p>
        </w:tc>
        <w:tc>
          <w:tcPr>
            <w:tcW w:w="1152" w:type="dxa"/>
            <w:vAlign w:val="center"/>
          </w:tcPr>
          <w:p w14:paraId="2DDAF937" w14:textId="26AC036C"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44976FF9" w14:textId="59576BAE"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00AF77C1" w14:textId="46D18010"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6691E7D9" w14:textId="77777777" w:rsidR="000A1B38" w:rsidRPr="00BD1632" w:rsidRDefault="000A1B38">
            <w:pPr>
              <w:pStyle w:val="TableTextCentered"/>
              <w:rPr>
                <w:rFonts w:ascii="Franklin Gothic Book" w:hAnsi="Franklin Gothic Book"/>
              </w:rPr>
            </w:pPr>
            <w:r>
              <w:rPr>
                <w:rFonts w:ascii="Franklin Gothic Book" w:hAnsi="Franklin Gothic Book"/>
              </w:rPr>
              <w:t>0.3</w:t>
            </w:r>
          </w:p>
        </w:tc>
      </w:tr>
      <w:tr w:rsidR="000A1B38" w:rsidRPr="00976F70" w14:paraId="2F555F3D" w14:textId="77777777">
        <w:tc>
          <w:tcPr>
            <w:tcW w:w="3586" w:type="dxa"/>
          </w:tcPr>
          <w:p w14:paraId="5512EA8B"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51BCB8A7" w14:textId="77777777" w:rsidR="000A1B38" w:rsidRPr="00BD1632" w:rsidRDefault="000A1B38">
            <w:pPr>
              <w:pStyle w:val="TableTextCentered"/>
              <w:rPr>
                <w:rFonts w:ascii="Franklin Gothic Book" w:hAnsi="Franklin Gothic Book"/>
              </w:rPr>
            </w:pPr>
            <w:r>
              <w:rPr>
                <w:rFonts w:ascii="Franklin Gothic Book" w:hAnsi="Franklin Gothic Book"/>
              </w:rPr>
              <w:t>9,934</w:t>
            </w:r>
          </w:p>
        </w:tc>
        <w:tc>
          <w:tcPr>
            <w:tcW w:w="1152" w:type="dxa"/>
            <w:vAlign w:val="center"/>
          </w:tcPr>
          <w:p w14:paraId="5004B68F" w14:textId="77777777" w:rsidR="000A1B38" w:rsidRPr="00BD1632" w:rsidRDefault="000A1B38">
            <w:pPr>
              <w:pStyle w:val="TableTextCentered"/>
              <w:rPr>
                <w:rFonts w:ascii="Franklin Gothic Book" w:hAnsi="Franklin Gothic Book"/>
              </w:rPr>
            </w:pPr>
            <w:r>
              <w:rPr>
                <w:rFonts w:ascii="Franklin Gothic Book" w:hAnsi="Franklin Gothic Book"/>
              </w:rPr>
              <w:t>1.7</w:t>
            </w:r>
          </w:p>
        </w:tc>
        <w:tc>
          <w:tcPr>
            <w:tcW w:w="1151" w:type="dxa"/>
            <w:vAlign w:val="center"/>
          </w:tcPr>
          <w:p w14:paraId="5FDC6842" w14:textId="77777777" w:rsidR="000A1B38" w:rsidRPr="00BD1632" w:rsidRDefault="000A1B38">
            <w:pPr>
              <w:pStyle w:val="TableTextCentered"/>
              <w:rPr>
                <w:rFonts w:ascii="Franklin Gothic Book" w:hAnsi="Franklin Gothic Book"/>
              </w:rPr>
            </w:pPr>
            <w:r>
              <w:rPr>
                <w:rFonts w:ascii="Franklin Gothic Book" w:hAnsi="Franklin Gothic Book"/>
              </w:rPr>
              <w:t>2.2</w:t>
            </w:r>
          </w:p>
        </w:tc>
        <w:tc>
          <w:tcPr>
            <w:tcW w:w="1152" w:type="dxa"/>
            <w:vAlign w:val="center"/>
          </w:tcPr>
          <w:p w14:paraId="2598A3CA" w14:textId="77777777" w:rsidR="000A1B38" w:rsidRPr="00BD1632" w:rsidRDefault="000A1B38">
            <w:pPr>
              <w:pStyle w:val="TableTextCentered"/>
              <w:rPr>
                <w:rFonts w:ascii="Franklin Gothic Book" w:hAnsi="Franklin Gothic Book"/>
              </w:rPr>
            </w:pPr>
            <w:r>
              <w:rPr>
                <w:rFonts w:ascii="Franklin Gothic Book" w:hAnsi="Franklin Gothic Book"/>
              </w:rPr>
              <w:t>3.5</w:t>
            </w:r>
          </w:p>
        </w:tc>
        <w:tc>
          <w:tcPr>
            <w:tcW w:w="1152" w:type="dxa"/>
            <w:vAlign w:val="center"/>
          </w:tcPr>
          <w:p w14:paraId="6BD040DD" w14:textId="77777777" w:rsidR="000A1B38" w:rsidRPr="00BD1632" w:rsidRDefault="000A1B38">
            <w:pPr>
              <w:pStyle w:val="TableTextCentered"/>
              <w:rPr>
                <w:rFonts w:ascii="Franklin Gothic Book" w:hAnsi="Franklin Gothic Book"/>
              </w:rPr>
            </w:pPr>
            <w:r>
              <w:rPr>
                <w:rFonts w:ascii="Franklin Gothic Book" w:hAnsi="Franklin Gothic Book"/>
              </w:rPr>
              <w:t>2.1</w:t>
            </w:r>
          </w:p>
        </w:tc>
      </w:tr>
      <w:tr w:rsidR="000A1B38" w:rsidRPr="00976F70" w14:paraId="414B020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93371DC"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45A408CC" w14:textId="77777777" w:rsidR="000A1B38" w:rsidRPr="00BD1632" w:rsidRDefault="000A1B38">
            <w:pPr>
              <w:pStyle w:val="TableTextCentered"/>
              <w:rPr>
                <w:rFonts w:ascii="Franklin Gothic Book" w:hAnsi="Franklin Gothic Book"/>
              </w:rPr>
            </w:pPr>
            <w:r>
              <w:rPr>
                <w:rFonts w:ascii="Franklin Gothic Book" w:hAnsi="Franklin Gothic Book"/>
              </w:rPr>
              <w:t>3,557</w:t>
            </w:r>
          </w:p>
        </w:tc>
        <w:tc>
          <w:tcPr>
            <w:tcW w:w="1152" w:type="dxa"/>
            <w:vAlign w:val="center"/>
          </w:tcPr>
          <w:p w14:paraId="40F247F6" w14:textId="77777777" w:rsidR="000A1B38" w:rsidRPr="00BD1632" w:rsidRDefault="000A1B38">
            <w:pPr>
              <w:pStyle w:val="TableTextCentered"/>
              <w:rPr>
                <w:rFonts w:ascii="Franklin Gothic Book" w:hAnsi="Franklin Gothic Book"/>
              </w:rPr>
            </w:pPr>
            <w:r>
              <w:rPr>
                <w:rFonts w:ascii="Franklin Gothic Book" w:hAnsi="Franklin Gothic Book"/>
              </w:rPr>
              <w:t>1.2</w:t>
            </w:r>
          </w:p>
        </w:tc>
        <w:tc>
          <w:tcPr>
            <w:tcW w:w="1151" w:type="dxa"/>
            <w:vAlign w:val="center"/>
          </w:tcPr>
          <w:p w14:paraId="29BF77A5" w14:textId="77777777" w:rsidR="000A1B38" w:rsidRPr="00BD1632" w:rsidRDefault="000A1B38">
            <w:pPr>
              <w:pStyle w:val="TableTextCentered"/>
              <w:rPr>
                <w:rFonts w:ascii="Franklin Gothic Book" w:hAnsi="Franklin Gothic Book"/>
              </w:rPr>
            </w:pPr>
            <w:r>
              <w:rPr>
                <w:rFonts w:ascii="Franklin Gothic Book" w:hAnsi="Franklin Gothic Book"/>
              </w:rPr>
              <w:t>1.3</w:t>
            </w:r>
          </w:p>
        </w:tc>
        <w:tc>
          <w:tcPr>
            <w:tcW w:w="1152" w:type="dxa"/>
            <w:vAlign w:val="center"/>
          </w:tcPr>
          <w:p w14:paraId="315DAF29" w14:textId="77777777" w:rsidR="000A1B38" w:rsidRPr="00BD1632" w:rsidRDefault="000A1B38">
            <w:pPr>
              <w:pStyle w:val="TableTextCentered"/>
              <w:rPr>
                <w:rFonts w:ascii="Franklin Gothic Book" w:hAnsi="Franklin Gothic Book"/>
              </w:rPr>
            </w:pPr>
            <w:r>
              <w:rPr>
                <w:rFonts w:ascii="Franklin Gothic Book" w:hAnsi="Franklin Gothic Book"/>
              </w:rPr>
              <w:t>1.9</w:t>
            </w:r>
          </w:p>
        </w:tc>
        <w:tc>
          <w:tcPr>
            <w:tcW w:w="1152" w:type="dxa"/>
            <w:vAlign w:val="center"/>
          </w:tcPr>
          <w:p w14:paraId="721596E7" w14:textId="77777777" w:rsidR="000A1B38" w:rsidRPr="00BD1632" w:rsidRDefault="000A1B38">
            <w:pPr>
              <w:pStyle w:val="TableTextCentered"/>
              <w:rPr>
                <w:rFonts w:ascii="Franklin Gothic Book" w:hAnsi="Franklin Gothic Book"/>
              </w:rPr>
            </w:pPr>
            <w:r>
              <w:rPr>
                <w:rFonts w:ascii="Franklin Gothic Book" w:hAnsi="Franklin Gothic Book"/>
              </w:rPr>
              <w:t>1.9</w:t>
            </w:r>
          </w:p>
        </w:tc>
      </w:tr>
      <w:tr w:rsidR="000A1B38" w:rsidRPr="00976F70" w14:paraId="684E6A99" w14:textId="77777777">
        <w:tc>
          <w:tcPr>
            <w:tcW w:w="3586" w:type="dxa"/>
          </w:tcPr>
          <w:p w14:paraId="759A5003"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3BFC7222" w14:textId="77777777" w:rsidR="000A1B38" w:rsidRPr="00BD1632" w:rsidRDefault="000A1B38">
            <w:pPr>
              <w:pStyle w:val="TableTextCentered"/>
              <w:rPr>
                <w:rFonts w:ascii="Franklin Gothic Book" w:hAnsi="Franklin Gothic Book"/>
              </w:rPr>
            </w:pPr>
            <w:r>
              <w:rPr>
                <w:rFonts w:ascii="Franklin Gothic Book" w:hAnsi="Franklin Gothic Book"/>
              </w:rPr>
              <w:t>717</w:t>
            </w:r>
          </w:p>
        </w:tc>
        <w:tc>
          <w:tcPr>
            <w:tcW w:w="1152" w:type="dxa"/>
            <w:vAlign w:val="center"/>
          </w:tcPr>
          <w:p w14:paraId="5EB363AF" w14:textId="77777777" w:rsidR="000A1B38" w:rsidRPr="00BD1632" w:rsidRDefault="000A1B38">
            <w:pPr>
              <w:pStyle w:val="TableTextCentered"/>
              <w:rPr>
                <w:rFonts w:ascii="Franklin Gothic Book" w:hAnsi="Franklin Gothic Book"/>
              </w:rPr>
            </w:pPr>
            <w:r>
              <w:rPr>
                <w:rFonts w:ascii="Franklin Gothic Book" w:hAnsi="Franklin Gothic Book"/>
              </w:rPr>
              <w:t>2.3</w:t>
            </w:r>
          </w:p>
        </w:tc>
        <w:tc>
          <w:tcPr>
            <w:tcW w:w="1151" w:type="dxa"/>
            <w:vAlign w:val="center"/>
          </w:tcPr>
          <w:p w14:paraId="2304088B" w14:textId="77777777" w:rsidR="000A1B38" w:rsidRPr="00BD1632" w:rsidRDefault="000A1B38">
            <w:pPr>
              <w:pStyle w:val="TableTextCentered"/>
              <w:rPr>
                <w:rFonts w:ascii="Franklin Gothic Book" w:hAnsi="Franklin Gothic Book"/>
              </w:rPr>
            </w:pPr>
            <w:r>
              <w:rPr>
                <w:rFonts w:ascii="Franklin Gothic Book" w:hAnsi="Franklin Gothic Book"/>
              </w:rPr>
              <w:t>2.4</w:t>
            </w:r>
          </w:p>
        </w:tc>
        <w:tc>
          <w:tcPr>
            <w:tcW w:w="1152" w:type="dxa"/>
            <w:vAlign w:val="center"/>
          </w:tcPr>
          <w:p w14:paraId="6CC87969" w14:textId="77777777" w:rsidR="000A1B38" w:rsidRPr="00BD1632" w:rsidRDefault="000A1B38">
            <w:pPr>
              <w:pStyle w:val="TableTextCentered"/>
              <w:rPr>
                <w:rFonts w:ascii="Franklin Gothic Book" w:hAnsi="Franklin Gothic Book"/>
              </w:rPr>
            </w:pPr>
            <w:r>
              <w:rPr>
                <w:rFonts w:ascii="Franklin Gothic Book" w:hAnsi="Franklin Gothic Book"/>
              </w:rPr>
              <w:t>3.5</w:t>
            </w:r>
          </w:p>
        </w:tc>
        <w:tc>
          <w:tcPr>
            <w:tcW w:w="1152" w:type="dxa"/>
            <w:vAlign w:val="center"/>
          </w:tcPr>
          <w:p w14:paraId="61E6A4D5" w14:textId="77777777" w:rsidR="000A1B38" w:rsidRPr="00BD1632" w:rsidRDefault="000A1B38">
            <w:pPr>
              <w:pStyle w:val="TableTextCentered"/>
              <w:rPr>
                <w:rFonts w:ascii="Franklin Gothic Book" w:hAnsi="Franklin Gothic Book"/>
              </w:rPr>
            </w:pPr>
            <w:r>
              <w:rPr>
                <w:rFonts w:ascii="Franklin Gothic Book" w:hAnsi="Franklin Gothic Book"/>
              </w:rPr>
              <w:t>1.6</w:t>
            </w:r>
          </w:p>
        </w:tc>
      </w:tr>
      <w:tr w:rsidR="000A1B38" w:rsidRPr="00976F70" w14:paraId="301A7D3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35C6D04"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2BCEE87A" w14:textId="77777777" w:rsidR="000A1B38" w:rsidRPr="00BD1632" w:rsidRDefault="000A1B38">
            <w:pPr>
              <w:pStyle w:val="TableTextCentered"/>
              <w:rPr>
                <w:rFonts w:ascii="Franklin Gothic Book" w:hAnsi="Franklin Gothic Book"/>
              </w:rPr>
            </w:pPr>
            <w:r>
              <w:rPr>
                <w:rFonts w:ascii="Franklin Gothic Book" w:hAnsi="Franklin Gothic Book"/>
              </w:rPr>
              <w:t>28</w:t>
            </w:r>
          </w:p>
        </w:tc>
        <w:tc>
          <w:tcPr>
            <w:tcW w:w="1152" w:type="dxa"/>
            <w:vAlign w:val="center"/>
          </w:tcPr>
          <w:p w14:paraId="3BB968BC" w14:textId="79CAB28B"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52F3DB06" w14:textId="0DAD7F78"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70265024" w14:textId="1A3BB66B"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08DD628D" w14:textId="77777777" w:rsidR="000A1B38" w:rsidRPr="00BD1632" w:rsidRDefault="000A1B38">
            <w:pPr>
              <w:pStyle w:val="TableTextCentered"/>
              <w:rPr>
                <w:rFonts w:ascii="Franklin Gothic Book" w:hAnsi="Franklin Gothic Book"/>
              </w:rPr>
            </w:pPr>
            <w:r>
              <w:rPr>
                <w:rFonts w:ascii="Franklin Gothic Book" w:hAnsi="Franklin Gothic Book"/>
              </w:rPr>
              <w:t>1.9</w:t>
            </w:r>
          </w:p>
        </w:tc>
      </w:tr>
      <w:tr w:rsidR="000A1B38" w:rsidRPr="00976F70" w14:paraId="4F29B86C" w14:textId="77777777">
        <w:tc>
          <w:tcPr>
            <w:tcW w:w="3586" w:type="dxa"/>
          </w:tcPr>
          <w:p w14:paraId="0343419D"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4638DD35" w14:textId="77777777" w:rsidR="000A1B38" w:rsidRPr="00BD1632" w:rsidRDefault="000A1B38">
            <w:pPr>
              <w:pStyle w:val="TableTextCentered"/>
              <w:rPr>
                <w:rFonts w:ascii="Franklin Gothic Book" w:hAnsi="Franklin Gothic Book"/>
              </w:rPr>
            </w:pPr>
            <w:r>
              <w:rPr>
                <w:rFonts w:ascii="Franklin Gothic Book" w:hAnsi="Franklin Gothic Book"/>
              </w:rPr>
              <w:t>1,885</w:t>
            </w:r>
          </w:p>
        </w:tc>
        <w:tc>
          <w:tcPr>
            <w:tcW w:w="1152" w:type="dxa"/>
            <w:vAlign w:val="center"/>
          </w:tcPr>
          <w:p w14:paraId="0E8B0470" w14:textId="77777777" w:rsidR="000A1B38" w:rsidRPr="00BD1632" w:rsidRDefault="000A1B38">
            <w:pPr>
              <w:pStyle w:val="TableTextCentered"/>
              <w:rPr>
                <w:rFonts w:ascii="Franklin Gothic Book" w:hAnsi="Franklin Gothic Book"/>
              </w:rPr>
            </w:pPr>
            <w:r>
              <w:rPr>
                <w:rFonts w:ascii="Franklin Gothic Book" w:hAnsi="Franklin Gothic Book"/>
              </w:rPr>
              <w:t>1.1</w:t>
            </w:r>
          </w:p>
        </w:tc>
        <w:tc>
          <w:tcPr>
            <w:tcW w:w="1151" w:type="dxa"/>
            <w:vAlign w:val="center"/>
          </w:tcPr>
          <w:p w14:paraId="0636006D" w14:textId="77777777" w:rsidR="000A1B38" w:rsidRPr="00BD1632" w:rsidRDefault="000A1B38">
            <w:pPr>
              <w:pStyle w:val="TableTextCentered"/>
              <w:rPr>
                <w:rFonts w:ascii="Franklin Gothic Book" w:hAnsi="Franklin Gothic Book"/>
              </w:rPr>
            </w:pPr>
            <w:r>
              <w:rPr>
                <w:rFonts w:ascii="Franklin Gothic Book" w:hAnsi="Franklin Gothic Book"/>
              </w:rPr>
              <w:t>1.3</w:t>
            </w:r>
          </w:p>
        </w:tc>
        <w:tc>
          <w:tcPr>
            <w:tcW w:w="1152" w:type="dxa"/>
            <w:vAlign w:val="center"/>
          </w:tcPr>
          <w:p w14:paraId="60BB10DD" w14:textId="77777777" w:rsidR="000A1B38" w:rsidRPr="00BD1632" w:rsidRDefault="000A1B38">
            <w:pPr>
              <w:pStyle w:val="TableTextCentered"/>
              <w:rPr>
                <w:rFonts w:ascii="Franklin Gothic Book" w:hAnsi="Franklin Gothic Book"/>
              </w:rPr>
            </w:pPr>
            <w:r>
              <w:rPr>
                <w:rFonts w:ascii="Franklin Gothic Book" w:hAnsi="Franklin Gothic Book"/>
              </w:rPr>
              <w:t>2.3</w:t>
            </w:r>
          </w:p>
        </w:tc>
        <w:tc>
          <w:tcPr>
            <w:tcW w:w="1152" w:type="dxa"/>
            <w:vAlign w:val="center"/>
          </w:tcPr>
          <w:p w14:paraId="0382E221" w14:textId="77777777" w:rsidR="000A1B38" w:rsidRPr="00BD1632" w:rsidRDefault="000A1B38">
            <w:pPr>
              <w:pStyle w:val="TableTextCentered"/>
              <w:rPr>
                <w:rFonts w:ascii="Franklin Gothic Book" w:hAnsi="Franklin Gothic Book"/>
              </w:rPr>
            </w:pPr>
            <w:r>
              <w:rPr>
                <w:rFonts w:ascii="Franklin Gothic Book" w:hAnsi="Franklin Gothic Book"/>
              </w:rPr>
              <w:t>1.1</w:t>
            </w:r>
          </w:p>
        </w:tc>
      </w:tr>
      <w:tr w:rsidR="000A1B38" w:rsidRPr="00976F70" w14:paraId="7BCF7C8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E94D610"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7EE4DA95" w14:textId="77777777" w:rsidR="000A1B38" w:rsidRPr="00BD1632" w:rsidRDefault="000A1B38">
            <w:pPr>
              <w:pStyle w:val="TableTextCentered"/>
              <w:rPr>
                <w:rFonts w:ascii="Franklin Gothic Book" w:hAnsi="Franklin Gothic Book"/>
              </w:rPr>
            </w:pPr>
            <w:r>
              <w:rPr>
                <w:rFonts w:ascii="Franklin Gothic Book" w:hAnsi="Franklin Gothic Book"/>
              </w:rPr>
              <w:t>14,267</w:t>
            </w:r>
          </w:p>
        </w:tc>
        <w:tc>
          <w:tcPr>
            <w:tcW w:w="1152" w:type="dxa"/>
            <w:vAlign w:val="center"/>
          </w:tcPr>
          <w:p w14:paraId="2CA27DDE" w14:textId="77777777" w:rsidR="000A1B38" w:rsidRPr="00BD1632" w:rsidRDefault="000A1B38">
            <w:pPr>
              <w:pStyle w:val="TableTextCentered"/>
              <w:rPr>
                <w:rFonts w:ascii="Franklin Gothic Book" w:hAnsi="Franklin Gothic Book"/>
              </w:rPr>
            </w:pPr>
            <w:r>
              <w:rPr>
                <w:rFonts w:ascii="Franklin Gothic Book" w:hAnsi="Franklin Gothic Book"/>
              </w:rPr>
              <w:t>1.6</w:t>
            </w:r>
          </w:p>
        </w:tc>
        <w:tc>
          <w:tcPr>
            <w:tcW w:w="1151" w:type="dxa"/>
            <w:vAlign w:val="center"/>
          </w:tcPr>
          <w:p w14:paraId="70C36B50" w14:textId="77777777" w:rsidR="000A1B38" w:rsidRPr="00BD1632" w:rsidRDefault="000A1B38">
            <w:pPr>
              <w:pStyle w:val="TableTextCentered"/>
              <w:rPr>
                <w:rFonts w:ascii="Franklin Gothic Book" w:hAnsi="Franklin Gothic Book"/>
              </w:rPr>
            </w:pPr>
            <w:r>
              <w:rPr>
                <w:rFonts w:ascii="Franklin Gothic Book" w:hAnsi="Franklin Gothic Book"/>
              </w:rPr>
              <w:t>1.9</w:t>
            </w:r>
          </w:p>
        </w:tc>
        <w:tc>
          <w:tcPr>
            <w:tcW w:w="1152" w:type="dxa"/>
            <w:vAlign w:val="center"/>
          </w:tcPr>
          <w:p w14:paraId="13F8C8B6" w14:textId="77777777" w:rsidR="000A1B38" w:rsidRPr="00BD1632" w:rsidRDefault="000A1B38">
            <w:pPr>
              <w:pStyle w:val="TableTextCentered"/>
              <w:rPr>
                <w:rFonts w:ascii="Franklin Gothic Book" w:hAnsi="Franklin Gothic Book"/>
              </w:rPr>
            </w:pPr>
            <w:r>
              <w:rPr>
                <w:rFonts w:ascii="Franklin Gothic Book" w:hAnsi="Franklin Gothic Book"/>
              </w:rPr>
              <w:t>3.1</w:t>
            </w:r>
          </w:p>
        </w:tc>
        <w:tc>
          <w:tcPr>
            <w:tcW w:w="1152" w:type="dxa"/>
            <w:vAlign w:val="center"/>
          </w:tcPr>
          <w:p w14:paraId="4A38B047" w14:textId="77777777" w:rsidR="000A1B38" w:rsidRPr="00BD1632" w:rsidRDefault="000A1B38">
            <w:pPr>
              <w:pStyle w:val="TableTextCentered"/>
              <w:rPr>
                <w:rFonts w:ascii="Franklin Gothic Book" w:hAnsi="Franklin Gothic Book"/>
              </w:rPr>
            </w:pPr>
            <w:r>
              <w:rPr>
                <w:rFonts w:ascii="Franklin Gothic Book" w:hAnsi="Franklin Gothic Book"/>
              </w:rPr>
              <w:t>1.9</w:t>
            </w:r>
          </w:p>
        </w:tc>
      </w:tr>
      <w:tr w:rsidR="000A1B38" w:rsidRPr="00976F70" w14:paraId="6964980A" w14:textId="77777777">
        <w:tc>
          <w:tcPr>
            <w:tcW w:w="3586" w:type="dxa"/>
          </w:tcPr>
          <w:p w14:paraId="61E9B7C9"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5E3C8B62" w14:textId="77777777" w:rsidR="000A1B38" w:rsidRPr="00BD1632" w:rsidRDefault="000A1B38">
            <w:pPr>
              <w:pStyle w:val="TableTextCentered"/>
              <w:rPr>
                <w:rFonts w:ascii="Franklin Gothic Book" w:hAnsi="Franklin Gothic Book"/>
              </w:rPr>
            </w:pPr>
            <w:r>
              <w:rPr>
                <w:rFonts w:ascii="Franklin Gothic Book" w:hAnsi="Franklin Gothic Book"/>
              </w:rPr>
              <w:t>5,619</w:t>
            </w:r>
          </w:p>
        </w:tc>
        <w:tc>
          <w:tcPr>
            <w:tcW w:w="1152" w:type="dxa"/>
            <w:vAlign w:val="center"/>
          </w:tcPr>
          <w:p w14:paraId="53BC27FC" w14:textId="77777777" w:rsidR="000A1B38" w:rsidRPr="00BD1632" w:rsidRDefault="000A1B38">
            <w:pPr>
              <w:pStyle w:val="TableTextCentered"/>
              <w:rPr>
                <w:rFonts w:ascii="Franklin Gothic Book" w:hAnsi="Franklin Gothic Book"/>
              </w:rPr>
            </w:pPr>
            <w:r>
              <w:rPr>
                <w:rFonts w:ascii="Franklin Gothic Book" w:hAnsi="Franklin Gothic Book"/>
              </w:rPr>
              <w:t>1.3</w:t>
            </w:r>
          </w:p>
        </w:tc>
        <w:tc>
          <w:tcPr>
            <w:tcW w:w="1151" w:type="dxa"/>
            <w:vAlign w:val="center"/>
          </w:tcPr>
          <w:p w14:paraId="7456D246" w14:textId="77777777" w:rsidR="000A1B38" w:rsidRPr="00BD1632" w:rsidRDefault="000A1B38">
            <w:pPr>
              <w:pStyle w:val="TableTextCentered"/>
              <w:rPr>
                <w:rFonts w:ascii="Franklin Gothic Book" w:hAnsi="Franklin Gothic Book"/>
              </w:rPr>
            </w:pPr>
            <w:r>
              <w:rPr>
                <w:rFonts w:ascii="Franklin Gothic Book" w:hAnsi="Franklin Gothic Book"/>
              </w:rPr>
              <w:t>1.4</w:t>
            </w:r>
          </w:p>
        </w:tc>
        <w:tc>
          <w:tcPr>
            <w:tcW w:w="1152" w:type="dxa"/>
            <w:vAlign w:val="center"/>
          </w:tcPr>
          <w:p w14:paraId="41CDBE91" w14:textId="77777777" w:rsidR="000A1B38" w:rsidRPr="00BD1632" w:rsidRDefault="000A1B38">
            <w:pPr>
              <w:pStyle w:val="TableTextCentered"/>
              <w:rPr>
                <w:rFonts w:ascii="Franklin Gothic Book" w:hAnsi="Franklin Gothic Book"/>
              </w:rPr>
            </w:pPr>
            <w:r>
              <w:rPr>
                <w:rFonts w:ascii="Franklin Gothic Book" w:hAnsi="Franklin Gothic Book"/>
              </w:rPr>
              <w:t>2.5</w:t>
            </w:r>
          </w:p>
        </w:tc>
        <w:tc>
          <w:tcPr>
            <w:tcW w:w="1152" w:type="dxa"/>
            <w:vAlign w:val="center"/>
          </w:tcPr>
          <w:p w14:paraId="0D149353" w14:textId="77777777" w:rsidR="000A1B38" w:rsidRPr="00BD1632" w:rsidRDefault="000A1B38">
            <w:pPr>
              <w:pStyle w:val="TableTextCentered"/>
              <w:rPr>
                <w:rFonts w:ascii="Franklin Gothic Book" w:hAnsi="Franklin Gothic Book"/>
              </w:rPr>
            </w:pPr>
            <w:r>
              <w:rPr>
                <w:rFonts w:ascii="Franklin Gothic Book" w:hAnsi="Franklin Gothic Book"/>
              </w:rPr>
              <w:t>1.4</w:t>
            </w:r>
          </w:p>
        </w:tc>
      </w:tr>
      <w:tr w:rsidR="000A1B38" w:rsidRPr="00976F70" w14:paraId="1EBF34D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3299D03"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7E794CB6" w14:textId="77777777" w:rsidR="000A1B38" w:rsidRPr="00BD1632" w:rsidRDefault="000A1B38">
            <w:pPr>
              <w:pStyle w:val="TableTextCentered"/>
              <w:rPr>
                <w:rFonts w:ascii="Franklin Gothic Book" w:hAnsi="Franklin Gothic Book"/>
              </w:rPr>
            </w:pPr>
            <w:r>
              <w:rPr>
                <w:rFonts w:ascii="Franklin Gothic Book" w:hAnsi="Franklin Gothic Book"/>
              </w:rPr>
              <w:t>13,024</w:t>
            </w:r>
          </w:p>
        </w:tc>
        <w:tc>
          <w:tcPr>
            <w:tcW w:w="1152" w:type="dxa"/>
            <w:vAlign w:val="center"/>
          </w:tcPr>
          <w:p w14:paraId="0E80CD0B" w14:textId="77777777" w:rsidR="000A1B38" w:rsidRPr="00BD1632" w:rsidRDefault="000A1B38">
            <w:pPr>
              <w:pStyle w:val="TableTextCentered"/>
              <w:rPr>
                <w:rFonts w:ascii="Franklin Gothic Book" w:hAnsi="Franklin Gothic Book"/>
              </w:rPr>
            </w:pPr>
            <w:r>
              <w:rPr>
                <w:rFonts w:ascii="Franklin Gothic Book" w:hAnsi="Franklin Gothic Book"/>
              </w:rPr>
              <w:t>1.7</w:t>
            </w:r>
          </w:p>
        </w:tc>
        <w:tc>
          <w:tcPr>
            <w:tcW w:w="1151" w:type="dxa"/>
            <w:vAlign w:val="center"/>
          </w:tcPr>
          <w:p w14:paraId="7E46DA43" w14:textId="77777777" w:rsidR="000A1B38" w:rsidRPr="00BD1632" w:rsidRDefault="000A1B38">
            <w:pPr>
              <w:pStyle w:val="TableTextCentered"/>
              <w:rPr>
                <w:rFonts w:ascii="Franklin Gothic Book" w:hAnsi="Franklin Gothic Book"/>
              </w:rPr>
            </w:pPr>
            <w:r>
              <w:rPr>
                <w:rFonts w:ascii="Franklin Gothic Book" w:hAnsi="Franklin Gothic Book"/>
              </w:rPr>
              <w:t>1.9</w:t>
            </w:r>
          </w:p>
        </w:tc>
        <w:tc>
          <w:tcPr>
            <w:tcW w:w="1152" w:type="dxa"/>
            <w:vAlign w:val="center"/>
          </w:tcPr>
          <w:p w14:paraId="7F30302D" w14:textId="77777777" w:rsidR="000A1B38" w:rsidRPr="00BD1632" w:rsidRDefault="000A1B38">
            <w:pPr>
              <w:pStyle w:val="TableTextCentered"/>
              <w:rPr>
                <w:rFonts w:ascii="Franklin Gothic Book" w:hAnsi="Franklin Gothic Book"/>
              </w:rPr>
            </w:pPr>
            <w:r>
              <w:rPr>
                <w:rFonts w:ascii="Franklin Gothic Book" w:hAnsi="Franklin Gothic Book"/>
              </w:rPr>
              <w:t>3.1</w:t>
            </w:r>
          </w:p>
        </w:tc>
        <w:tc>
          <w:tcPr>
            <w:tcW w:w="1152" w:type="dxa"/>
            <w:vAlign w:val="center"/>
          </w:tcPr>
          <w:p w14:paraId="76B527A7" w14:textId="77777777" w:rsidR="000A1B38" w:rsidRPr="00BD1632" w:rsidRDefault="000A1B38">
            <w:pPr>
              <w:pStyle w:val="TableTextCentered"/>
              <w:rPr>
                <w:rFonts w:ascii="Franklin Gothic Book" w:hAnsi="Franklin Gothic Book"/>
              </w:rPr>
            </w:pPr>
            <w:r>
              <w:rPr>
                <w:rFonts w:ascii="Franklin Gothic Book" w:hAnsi="Franklin Gothic Book"/>
              </w:rPr>
              <w:t>2.1</w:t>
            </w:r>
          </w:p>
        </w:tc>
      </w:tr>
      <w:tr w:rsidR="000A1B38" w:rsidRPr="00976F70" w14:paraId="3F572AFB" w14:textId="77777777">
        <w:tc>
          <w:tcPr>
            <w:tcW w:w="3586" w:type="dxa"/>
          </w:tcPr>
          <w:p w14:paraId="285C0496"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D28C375" w14:textId="77777777" w:rsidR="000A1B38" w:rsidRPr="00BD1632" w:rsidRDefault="000A1B38">
            <w:pPr>
              <w:pStyle w:val="TableTextCentered"/>
              <w:rPr>
                <w:rFonts w:ascii="Franklin Gothic Book" w:hAnsi="Franklin Gothic Book"/>
              </w:rPr>
            </w:pPr>
            <w:r>
              <w:rPr>
                <w:rFonts w:ascii="Franklin Gothic Book" w:hAnsi="Franklin Gothic Book"/>
              </w:rPr>
              <w:t>3,358</w:t>
            </w:r>
          </w:p>
        </w:tc>
        <w:tc>
          <w:tcPr>
            <w:tcW w:w="1152" w:type="dxa"/>
            <w:vAlign w:val="center"/>
          </w:tcPr>
          <w:p w14:paraId="4FDF5EF5" w14:textId="77777777" w:rsidR="000A1B38" w:rsidRPr="00BD1632" w:rsidRDefault="000A1B38">
            <w:pPr>
              <w:pStyle w:val="TableTextCentered"/>
              <w:rPr>
                <w:rFonts w:ascii="Franklin Gothic Book" w:hAnsi="Franklin Gothic Book"/>
              </w:rPr>
            </w:pPr>
            <w:r>
              <w:rPr>
                <w:rFonts w:ascii="Franklin Gothic Book" w:hAnsi="Franklin Gothic Book"/>
              </w:rPr>
              <w:t>2.3</w:t>
            </w:r>
          </w:p>
        </w:tc>
        <w:tc>
          <w:tcPr>
            <w:tcW w:w="1151" w:type="dxa"/>
            <w:vAlign w:val="center"/>
          </w:tcPr>
          <w:p w14:paraId="474AB5CB" w14:textId="77777777" w:rsidR="000A1B38" w:rsidRPr="00BD1632" w:rsidRDefault="000A1B38">
            <w:pPr>
              <w:pStyle w:val="TableTextCentered"/>
              <w:rPr>
                <w:rFonts w:ascii="Franklin Gothic Book" w:hAnsi="Franklin Gothic Book"/>
              </w:rPr>
            </w:pPr>
            <w:r>
              <w:rPr>
                <w:rFonts w:ascii="Franklin Gothic Book" w:hAnsi="Franklin Gothic Book"/>
              </w:rPr>
              <w:t>1.9</w:t>
            </w:r>
          </w:p>
        </w:tc>
        <w:tc>
          <w:tcPr>
            <w:tcW w:w="1152" w:type="dxa"/>
            <w:vAlign w:val="center"/>
          </w:tcPr>
          <w:p w14:paraId="182D0FF4" w14:textId="77777777" w:rsidR="000A1B38" w:rsidRPr="00BD1632" w:rsidRDefault="000A1B38">
            <w:pPr>
              <w:pStyle w:val="TableTextCentered"/>
              <w:rPr>
                <w:rFonts w:ascii="Franklin Gothic Book" w:hAnsi="Franklin Gothic Book"/>
              </w:rPr>
            </w:pPr>
            <w:r>
              <w:rPr>
                <w:rFonts w:ascii="Franklin Gothic Book" w:hAnsi="Franklin Gothic Book"/>
              </w:rPr>
              <w:t>3.0</w:t>
            </w:r>
          </w:p>
        </w:tc>
        <w:tc>
          <w:tcPr>
            <w:tcW w:w="1152" w:type="dxa"/>
            <w:vAlign w:val="center"/>
          </w:tcPr>
          <w:p w14:paraId="13C9CA00" w14:textId="77777777" w:rsidR="000A1B38" w:rsidRPr="00BD1632" w:rsidRDefault="000A1B38">
            <w:pPr>
              <w:pStyle w:val="TableTextCentered"/>
              <w:rPr>
                <w:rFonts w:ascii="Franklin Gothic Book" w:hAnsi="Franklin Gothic Book"/>
              </w:rPr>
            </w:pPr>
            <w:r>
              <w:rPr>
                <w:rFonts w:ascii="Franklin Gothic Book" w:hAnsi="Franklin Gothic Book"/>
              </w:rPr>
              <w:t>2.4</w:t>
            </w:r>
          </w:p>
        </w:tc>
      </w:tr>
    </w:tbl>
    <w:p w14:paraId="65063248" w14:textId="77777777" w:rsidR="000A1B38" w:rsidRPr="003C1C59" w:rsidRDefault="000A1B38" w:rsidP="0082637F">
      <w:pPr>
        <w:pStyle w:val="TableETitle"/>
      </w:pPr>
      <w:bookmarkStart w:id="256" w:name="_Toc211930050"/>
      <w:bookmarkStart w:id="257" w:name="_Toc230970180"/>
      <w:r w:rsidRPr="007955DD">
        <w:t>Table E</w:t>
      </w:r>
      <w:r>
        <w:t>20</w:t>
      </w:r>
      <w:r w:rsidRPr="007955DD">
        <w:t>. Out-of-School Suspension Rates by Student Group, 202</w:t>
      </w:r>
      <w:r>
        <w:t>2</w:t>
      </w:r>
      <w:r w:rsidRPr="007955DD">
        <w:t>-202</w:t>
      </w:r>
      <w:r>
        <w:t>4</w:t>
      </w:r>
      <w:bookmarkEnd w:id="256"/>
      <w:bookmarkEnd w:id="257"/>
    </w:p>
    <w:tbl>
      <w:tblPr>
        <w:tblStyle w:val="MSVTable1"/>
        <w:tblW w:w="5000" w:type="pct"/>
        <w:tblLook w:val="0420" w:firstRow="1" w:lastRow="0" w:firstColumn="0" w:lastColumn="0" w:noHBand="0" w:noVBand="1"/>
        <w:tblCaption w:val="Table E20. Out-of-School Suspension Rates by Student Group, 2022-2024"/>
        <w:tblDescription w:val="Out-of-School Suspension Rates by Student Group, 2022-2024"/>
      </w:tblPr>
      <w:tblGrid>
        <w:gridCol w:w="3586"/>
        <w:gridCol w:w="1151"/>
        <w:gridCol w:w="1152"/>
        <w:gridCol w:w="1151"/>
        <w:gridCol w:w="1152"/>
        <w:gridCol w:w="1152"/>
      </w:tblGrid>
      <w:tr w:rsidR="000A1B38" w:rsidRPr="00976F70" w14:paraId="358F5D90"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39C3E12D" w14:textId="77777777" w:rsidR="000A1B38" w:rsidRPr="00B85B0B" w:rsidRDefault="000A1B38">
            <w:pPr>
              <w:pStyle w:val="TableColHeadingLeft"/>
              <w:jc w:val="center"/>
            </w:pPr>
            <w:r w:rsidRPr="00B85B0B">
              <w:t>Group</w:t>
            </w:r>
          </w:p>
        </w:tc>
        <w:tc>
          <w:tcPr>
            <w:tcW w:w="1151" w:type="dxa"/>
            <w:vAlign w:val="center"/>
          </w:tcPr>
          <w:p w14:paraId="2AA26034" w14:textId="77777777" w:rsidR="000A1B38" w:rsidRPr="00B85B0B" w:rsidRDefault="000A1B38">
            <w:pPr>
              <w:pStyle w:val="TableColHeadingCenter"/>
            </w:pPr>
            <w:r>
              <w:t># Included</w:t>
            </w:r>
            <w:r w:rsidRPr="00B85B0B">
              <w:t xml:space="preserve"> (202</w:t>
            </w:r>
            <w:r>
              <w:t>4</w:t>
            </w:r>
            <w:r w:rsidRPr="00B85B0B">
              <w:t>)</w:t>
            </w:r>
          </w:p>
        </w:tc>
        <w:tc>
          <w:tcPr>
            <w:tcW w:w="1152" w:type="dxa"/>
            <w:vAlign w:val="center"/>
          </w:tcPr>
          <w:p w14:paraId="32517119" w14:textId="77777777" w:rsidR="000A1B38" w:rsidRPr="00B85B0B" w:rsidRDefault="000A1B38">
            <w:pPr>
              <w:pStyle w:val="TableColHeadingCenter"/>
            </w:pPr>
            <w:r w:rsidRPr="00B85B0B">
              <w:t>202</w:t>
            </w:r>
            <w:r>
              <w:t>2</w:t>
            </w:r>
          </w:p>
        </w:tc>
        <w:tc>
          <w:tcPr>
            <w:tcW w:w="1151" w:type="dxa"/>
            <w:vAlign w:val="center"/>
          </w:tcPr>
          <w:p w14:paraId="796CAD7C" w14:textId="77777777" w:rsidR="000A1B38" w:rsidRPr="00B85B0B" w:rsidRDefault="000A1B38">
            <w:pPr>
              <w:pStyle w:val="TableColHeadingCenter"/>
            </w:pPr>
            <w:r w:rsidRPr="00B85B0B">
              <w:t>202</w:t>
            </w:r>
            <w:r>
              <w:t>3</w:t>
            </w:r>
          </w:p>
        </w:tc>
        <w:tc>
          <w:tcPr>
            <w:tcW w:w="1152" w:type="dxa"/>
            <w:vAlign w:val="center"/>
          </w:tcPr>
          <w:p w14:paraId="59487358" w14:textId="77777777" w:rsidR="000A1B38" w:rsidRPr="00B85B0B" w:rsidRDefault="000A1B38">
            <w:pPr>
              <w:pStyle w:val="TableColHeadingCenter"/>
            </w:pPr>
            <w:r>
              <w:t>2024</w:t>
            </w:r>
          </w:p>
        </w:tc>
        <w:tc>
          <w:tcPr>
            <w:tcW w:w="1152" w:type="dxa"/>
            <w:vAlign w:val="center"/>
          </w:tcPr>
          <w:p w14:paraId="4B7DD634" w14:textId="77777777" w:rsidR="000A1B38" w:rsidRPr="00B85B0B" w:rsidRDefault="000A1B38">
            <w:pPr>
              <w:pStyle w:val="TableColHeadingCenter"/>
            </w:pPr>
            <w:r w:rsidRPr="00B85B0B">
              <w:t>State (202</w:t>
            </w:r>
            <w:r>
              <w:t>4</w:t>
            </w:r>
            <w:r w:rsidRPr="00B85B0B">
              <w:t>)</w:t>
            </w:r>
          </w:p>
        </w:tc>
      </w:tr>
      <w:tr w:rsidR="000A1B38" w:rsidRPr="00976F70" w14:paraId="13743FE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8051A87"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56D7963E" w14:textId="77777777" w:rsidR="000A1B38" w:rsidRPr="00BD1632" w:rsidRDefault="000A1B38">
            <w:pPr>
              <w:pStyle w:val="TableTextCentered"/>
              <w:rPr>
                <w:rFonts w:ascii="Franklin Gothic Book" w:hAnsi="Franklin Gothic Book"/>
              </w:rPr>
            </w:pPr>
            <w:r>
              <w:rPr>
                <w:rFonts w:ascii="Franklin Gothic Book" w:hAnsi="Franklin Gothic Book"/>
              </w:rPr>
              <w:t>16,433</w:t>
            </w:r>
          </w:p>
        </w:tc>
        <w:tc>
          <w:tcPr>
            <w:tcW w:w="1152" w:type="dxa"/>
            <w:vAlign w:val="center"/>
          </w:tcPr>
          <w:p w14:paraId="27ABA343" w14:textId="77777777" w:rsidR="000A1B38" w:rsidRPr="00BD1632" w:rsidRDefault="000A1B38">
            <w:pPr>
              <w:pStyle w:val="TableTextCentered"/>
              <w:rPr>
                <w:rFonts w:ascii="Franklin Gothic Book" w:hAnsi="Franklin Gothic Book"/>
              </w:rPr>
            </w:pPr>
            <w:r>
              <w:rPr>
                <w:rFonts w:ascii="Franklin Gothic Book" w:hAnsi="Franklin Gothic Book"/>
              </w:rPr>
              <w:t>9.1</w:t>
            </w:r>
          </w:p>
        </w:tc>
        <w:tc>
          <w:tcPr>
            <w:tcW w:w="1151" w:type="dxa"/>
            <w:vAlign w:val="center"/>
          </w:tcPr>
          <w:p w14:paraId="7EA319E7" w14:textId="77777777" w:rsidR="000A1B38" w:rsidRPr="00BD1632" w:rsidRDefault="000A1B38">
            <w:pPr>
              <w:pStyle w:val="TableTextCentered"/>
              <w:rPr>
                <w:rFonts w:ascii="Franklin Gothic Book" w:hAnsi="Franklin Gothic Book"/>
              </w:rPr>
            </w:pPr>
            <w:r>
              <w:rPr>
                <w:rFonts w:ascii="Franklin Gothic Book" w:hAnsi="Franklin Gothic Book"/>
              </w:rPr>
              <w:t>5.7</w:t>
            </w:r>
          </w:p>
        </w:tc>
        <w:tc>
          <w:tcPr>
            <w:tcW w:w="1152" w:type="dxa"/>
            <w:vAlign w:val="center"/>
          </w:tcPr>
          <w:p w14:paraId="5225A795" w14:textId="77777777" w:rsidR="000A1B38" w:rsidRPr="00BD1632" w:rsidRDefault="000A1B38">
            <w:pPr>
              <w:pStyle w:val="TableTextCentered"/>
              <w:rPr>
                <w:rFonts w:ascii="Franklin Gothic Book" w:hAnsi="Franklin Gothic Book"/>
              </w:rPr>
            </w:pPr>
            <w:r>
              <w:rPr>
                <w:rFonts w:ascii="Franklin Gothic Book" w:hAnsi="Franklin Gothic Book"/>
              </w:rPr>
              <w:t>5.4</w:t>
            </w:r>
          </w:p>
        </w:tc>
        <w:tc>
          <w:tcPr>
            <w:tcW w:w="1152" w:type="dxa"/>
            <w:vAlign w:val="center"/>
          </w:tcPr>
          <w:p w14:paraId="099AD1EE" w14:textId="77777777" w:rsidR="000A1B38" w:rsidRPr="00BD1632" w:rsidRDefault="000A1B38">
            <w:pPr>
              <w:pStyle w:val="TableTextCentered"/>
              <w:rPr>
                <w:rFonts w:ascii="Franklin Gothic Book" w:hAnsi="Franklin Gothic Book"/>
              </w:rPr>
            </w:pPr>
            <w:r>
              <w:rPr>
                <w:rFonts w:ascii="Franklin Gothic Book" w:hAnsi="Franklin Gothic Book"/>
              </w:rPr>
              <w:t>2.4</w:t>
            </w:r>
          </w:p>
        </w:tc>
      </w:tr>
      <w:tr w:rsidR="000A1B38" w:rsidRPr="00976F70" w14:paraId="30DBC623" w14:textId="77777777">
        <w:tc>
          <w:tcPr>
            <w:tcW w:w="3586" w:type="dxa"/>
          </w:tcPr>
          <w:p w14:paraId="6DC51DDE"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3E17C562" w14:textId="77777777" w:rsidR="000A1B38" w:rsidRPr="00BD1632" w:rsidRDefault="000A1B38">
            <w:pPr>
              <w:pStyle w:val="TableTextCentered"/>
              <w:rPr>
                <w:rFonts w:ascii="Franklin Gothic Book" w:hAnsi="Franklin Gothic Book"/>
              </w:rPr>
            </w:pPr>
            <w:r>
              <w:rPr>
                <w:rFonts w:ascii="Franklin Gothic Book" w:hAnsi="Franklin Gothic Book"/>
              </w:rPr>
              <w:t>65</w:t>
            </w:r>
          </w:p>
        </w:tc>
        <w:tc>
          <w:tcPr>
            <w:tcW w:w="1152" w:type="dxa"/>
            <w:vAlign w:val="center"/>
          </w:tcPr>
          <w:p w14:paraId="30FC24A2" w14:textId="31FA0B43"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54162122" w14:textId="6332BE74"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7001FDB9" w14:textId="0E0440BD"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176FA363" w14:textId="77777777" w:rsidR="000A1B38" w:rsidRPr="00BD1632" w:rsidRDefault="000A1B38">
            <w:pPr>
              <w:pStyle w:val="TableTextCentered"/>
              <w:rPr>
                <w:rFonts w:ascii="Franklin Gothic Book" w:hAnsi="Franklin Gothic Book"/>
              </w:rPr>
            </w:pPr>
            <w:r>
              <w:rPr>
                <w:rFonts w:ascii="Franklin Gothic Book" w:hAnsi="Franklin Gothic Book"/>
              </w:rPr>
              <w:t>3.5</w:t>
            </w:r>
          </w:p>
        </w:tc>
      </w:tr>
      <w:tr w:rsidR="000A1B38" w:rsidRPr="00976F70" w14:paraId="506E536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A4CF6E4"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75A88249" w14:textId="77777777" w:rsidR="000A1B38" w:rsidRPr="00BD1632" w:rsidRDefault="000A1B38">
            <w:pPr>
              <w:pStyle w:val="TableTextCentered"/>
              <w:rPr>
                <w:rFonts w:ascii="Franklin Gothic Book" w:hAnsi="Franklin Gothic Book"/>
              </w:rPr>
            </w:pPr>
            <w:r>
              <w:rPr>
                <w:rFonts w:ascii="Franklin Gothic Book" w:hAnsi="Franklin Gothic Book"/>
              </w:rPr>
              <w:t>247</w:t>
            </w:r>
          </w:p>
        </w:tc>
        <w:tc>
          <w:tcPr>
            <w:tcW w:w="1152" w:type="dxa"/>
            <w:vAlign w:val="center"/>
          </w:tcPr>
          <w:p w14:paraId="5C9B154A" w14:textId="73038EF0"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448CB1F1" w14:textId="1EAED868"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64934044" w14:textId="7F318D45"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0015691E" w14:textId="77777777" w:rsidR="000A1B38" w:rsidRPr="00BD1632" w:rsidRDefault="000A1B38">
            <w:pPr>
              <w:pStyle w:val="TableTextCentered"/>
              <w:rPr>
                <w:rFonts w:ascii="Franklin Gothic Book" w:hAnsi="Franklin Gothic Book"/>
              </w:rPr>
            </w:pPr>
            <w:r>
              <w:rPr>
                <w:rFonts w:ascii="Franklin Gothic Book" w:hAnsi="Franklin Gothic Book"/>
              </w:rPr>
              <w:t>0.6</w:t>
            </w:r>
          </w:p>
        </w:tc>
      </w:tr>
      <w:tr w:rsidR="000A1B38" w:rsidRPr="00976F70" w14:paraId="7E68BC7A" w14:textId="77777777">
        <w:tc>
          <w:tcPr>
            <w:tcW w:w="3586" w:type="dxa"/>
          </w:tcPr>
          <w:p w14:paraId="33827667"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2F0528AF" w14:textId="77777777" w:rsidR="000A1B38" w:rsidRPr="00BD1632" w:rsidRDefault="000A1B38">
            <w:pPr>
              <w:pStyle w:val="TableTextCentered"/>
              <w:rPr>
                <w:rFonts w:ascii="Franklin Gothic Book" w:hAnsi="Franklin Gothic Book"/>
              </w:rPr>
            </w:pPr>
            <w:r>
              <w:rPr>
                <w:rFonts w:ascii="Franklin Gothic Book" w:hAnsi="Franklin Gothic Book"/>
              </w:rPr>
              <w:t>9,934</w:t>
            </w:r>
          </w:p>
        </w:tc>
        <w:tc>
          <w:tcPr>
            <w:tcW w:w="1152" w:type="dxa"/>
            <w:vAlign w:val="center"/>
          </w:tcPr>
          <w:p w14:paraId="73F67E30" w14:textId="77777777" w:rsidR="000A1B38" w:rsidRPr="00BD1632" w:rsidRDefault="000A1B38">
            <w:pPr>
              <w:pStyle w:val="TableTextCentered"/>
              <w:rPr>
                <w:rFonts w:ascii="Franklin Gothic Book" w:hAnsi="Franklin Gothic Book"/>
              </w:rPr>
            </w:pPr>
            <w:r>
              <w:rPr>
                <w:rFonts w:ascii="Franklin Gothic Book" w:hAnsi="Franklin Gothic Book"/>
              </w:rPr>
              <w:t>10.4</w:t>
            </w:r>
          </w:p>
        </w:tc>
        <w:tc>
          <w:tcPr>
            <w:tcW w:w="1151" w:type="dxa"/>
            <w:vAlign w:val="center"/>
          </w:tcPr>
          <w:p w14:paraId="5253F59E" w14:textId="77777777" w:rsidR="000A1B38" w:rsidRPr="00BD1632" w:rsidRDefault="000A1B38">
            <w:pPr>
              <w:pStyle w:val="TableTextCentered"/>
              <w:rPr>
                <w:rFonts w:ascii="Franklin Gothic Book" w:hAnsi="Franklin Gothic Book"/>
              </w:rPr>
            </w:pPr>
            <w:r>
              <w:rPr>
                <w:rFonts w:ascii="Franklin Gothic Book" w:hAnsi="Franklin Gothic Book"/>
              </w:rPr>
              <w:t>6.6</w:t>
            </w:r>
          </w:p>
        </w:tc>
        <w:tc>
          <w:tcPr>
            <w:tcW w:w="1152" w:type="dxa"/>
            <w:vAlign w:val="center"/>
          </w:tcPr>
          <w:p w14:paraId="7A0283BD" w14:textId="77777777" w:rsidR="000A1B38" w:rsidRPr="00BD1632" w:rsidRDefault="000A1B38">
            <w:pPr>
              <w:pStyle w:val="TableTextCentered"/>
              <w:rPr>
                <w:rFonts w:ascii="Franklin Gothic Book" w:hAnsi="Franklin Gothic Book"/>
              </w:rPr>
            </w:pPr>
            <w:r>
              <w:rPr>
                <w:rFonts w:ascii="Franklin Gothic Book" w:hAnsi="Franklin Gothic Book"/>
              </w:rPr>
              <w:t>6.1</w:t>
            </w:r>
          </w:p>
        </w:tc>
        <w:tc>
          <w:tcPr>
            <w:tcW w:w="1152" w:type="dxa"/>
            <w:vAlign w:val="center"/>
          </w:tcPr>
          <w:p w14:paraId="4D84E597" w14:textId="77777777" w:rsidR="000A1B38" w:rsidRPr="00BD1632" w:rsidRDefault="000A1B38">
            <w:pPr>
              <w:pStyle w:val="TableTextCentered"/>
              <w:rPr>
                <w:rFonts w:ascii="Franklin Gothic Book" w:hAnsi="Franklin Gothic Book"/>
              </w:rPr>
            </w:pPr>
            <w:r>
              <w:rPr>
                <w:rFonts w:ascii="Franklin Gothic Book" w:hAnsi="Franklin Gothic Book"/>
              </w:rPr>
              <w:t>4.6</w:t>
            </w:r>
          </w:p>
        </w:tc>
      </w:tr>
      <w:tr w:rsidR="000A1B38" w:rsidRPr="00976F70" w14:paraId="259EA60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313805F"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6E306D4A" w14:textId="77777777" w:rsidR="000A1B38" w:rsidRPr="00BD1632" w:rsidRDefault="000A1B38">
            <w:pPr>
              <w:pStyle w:val="TableTextCentered"/>
              <w:rPr>
                <w:rFonts w:ascii="Franklin Gothic Book" w:hAnsi="Franklin Gothic Book"/>
              </w:rPr>
            </w:pPr>
            <w:r>
              <w:rPr>
                <w:rFonts w:ascii="Franklin Gothic Book" w:hAnsi="Franklin Gothic Book"/>
              </w:rPr>
              <w:t>3,557</w:t>
            </w:r>
          </w:p>
        </w:tc>
        <w:tc>
          <w:tcPr>
            <w:tcW w:w="1152" w:type="dxa"/>
            <w:vAlign w:val="center"/>
          </w:tcPr>
          <w:p w14:paraId="52DD933D" w14:textId="77777777" w:rsidR="000A1B38" w:rsidRPr="00BD1632" w:rsidRDefault="000A1B38">
            <w:pPr>
              <w:pStyle w:val="TableTextCentered"/>
              <w:rPr>
                <w:rFonts w:ascii="Franklin Gothic Book" w:hAnsi="Franklin Gothic Book"/>
              </w:rPr>
            </w:pPr>
            <w:r>
              <w:rPr>
                <w:rFonts w:ascii="Franklin Gothic Book" w:hAnsi="Franklin Gothic Book"/>
              </w:rPr>
              <w:t>7.8</w:t>
            </w:r>
          </w:p>
        </w:tc>
        <w:tc>
          <w:tcPr>
            <w:tcW w:w="1151" w:type="dxa"/>
            <w:vAlign w:val="center"/>
          </w:tcPr>
          <w:p w14:paraId="19665F9B"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076E8BFD" w14:textId="77777777" w:rsidR="000A1B38" w:rsidRPr="00BD1632" w:rsidRDefault="000A1B38">
            <w:pPr>
              <w:pStyle w:val="TableTextCentered"/>
              <w:rPr>
                <w:rFonts w:ascii="Franklin Gothic Book" w:hAnsi="Franklin Gothic Book"/>
              </w:rPr>
            </w:pPr>
            <w:r>
              <w:rPr>
                <w:rFonts w:ascii="Franklin Gothic Book" w:hAnsi="Franklin Gothic Book"/>
              </w:rPr>
              <w:t>4.8</w:t>
            </w:r>
          </w:p>
        </w:tc>
        <w:tc>
          <w:tcPr>
            <w:tcW w:w="1152" w:type="dxa"/>
            <w:vAlign w:val="center"/>
          </w:tcPr>
          <w:p w14:paraId="36FD11BF" w14:textId="77777777" w:rsidR="000A1B38" w:rsidRPr="00BD1632" w:rsidRDefault="000A1B38">
            <w:pPr>
              <w:pStyle w:val="TableTextCentered"/>
              <w:rPr>
                <w:rFonts w:ascii="Franklin Gothic Book" w:hAnsi="Franklin Gothic Book"/>
              </w:rPr>
            </w:pPr>
            <w:r>
              <w:rPr>
                <w:rFonts w:ascii="Franklin Gothic Book" w:hAnsi="Franklin Gothic Book"/>
              </w:rPr>
              <w:t>3.8</w:t>
            </w:r>
          </w:p>
        </w:tc>
      </w:tr>
      <w:tr w:rsidR="000A1B38" w:rsidRPr="00976F70" w14:paraId="6B138F43" w14:textId="77777777">
        <w:tc>
          <w:tcPr>
            <w:tcW w:w="3586" w:type="dxa"/>
          </w:tcPr>
          <w:p w14:paraId="52533121"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C90A4BD" w14:textId="77777777" w:rsidR="000A1B38" w:rsidRPr="00BD1632" w:rsidRDefault="000A1B38">
            <w:pPr>
              <w:pStyle w:val="TableTextCentered"/>
              <w:rPr>
                <w:rFonts w:ascii="Franklin Gothic Book" w:hAnsi="Franklin Gothic Book"/>
              </w:rPr>
            </w:pPr>
            <w:r>
              <w:rPr>
                <w:rFonts w:ascii="Franklin Gothic Book" w:hAnsi="Franklin Gothic Book"/>
              </w:rPr>
              <w:t>717</w:t>
            </w:r>
          </w:p>
        </w:tc>
        <w:tc>
          <w:tcPr>
            <w:tcW w:w="1152" w:type="dxa"/>
            <w:vAlign w:val="center"/>
          </w:tcPr>
          <w:p w14:paraId="340CDA20" w14:textId="77777777" w:rsidR="000A1B38" w:rsidRPr="00BD1632" w:rsidRDefault="000A1B38">
            <w:pPr>
              <w:pStyle w:val="TableTextCentered"/>
              <w:rPr>
                <w:rFonts w:ascii="Franklin Gothic Book" w:hAnsi="Franklin Gothic Book"/>
              </w:rPr>
            </w:pPr>
            <w:r>
              <w:rPr>
                <w:rFonts w:ascii="Franklin Gothic Book" w:hAnsi="Franklin Gothic Book"/>
              </w:rPr>
              <w:t>9.7</w:t>
            </w:r>
          </w:p>
        </w:tc>
        <w:tc>
          <w:tcPr>
            <w:tcW w:w="1151" w:type="dxa"/>
            <w:vAlign w:val="center"/>
          </w:tcPr>
          <w:p w14:paraId="6C18D3F1" w14:textId="77777777" w:rsidR="000A1B38" w:rsidRPr="00BD1632" w:rsidRDefault="000A1B38">
            <w:pPr>
              <w:pStyle w:val="TableTextCentered"/>
              <w:rPr>
                <w:rFonts w:ascii="Franklin Gothic Book" w:hAnsi="Franklin Gothic Book"/>
              </w:rPr>
            </w:pPr>
            <w:r>
              <w:rPr>
                <w:rFonts w:ascii="Franklin Gothic Book" w:hAnsi="Franklin Gothic Book"/>
              </w:rPr>
              <w:t>6.4</w:t>
            </w:r>
          </w:p>
        </w:tc>
        <w:tc>
          <w:tcPr>
            <w:tcW w:w="1152" w:type="dxa"/>
            <w:vAlign w:val="center"/>
          </w:tcPr>
          <w:p w14:paraId="0F87A7FC" w14:textId="77777777" w:rsidR="000A1B38" w:rsidRPr="00BD1632" w:rsidRDefault="000A1B38">
            <w:pPr>
              <w:pStyle w:val="TableTextCentered"/>
              <w:rPr>
                <w:rFonts w:ascii="Franklin Gothic Book" w:hAnsi="Franklin Gothic Book"/>
              </w:rPr>
            </w:pPr>
            <w:r>
              <w:rPr>
                <w:rFonts w:ascii="Franklin Gothic Book" w:hAnsi="Franklin Gothic Book"/>
              </w:rPr>
              <w:t>6.3</w:t>
            </w:r>
          </w:p>
        </w:tc>
        <w:tc>
          <w:tcPr>
            <w:tcW w:w="1152" w:type="dxa"/>
            <w:vAlign w:val="center"/>
          </w:tcPr>
          <w:p w14:paraId="62442385" w14:textId="77777777" w:rsidR="000A1B38" w:rsidRPr="00BD1632" w:rsidRDefault="000A1B38">
            <w:pPr>
              <w:pStyle w:val="TableTextCentered"/>
              <w:rPr>
                <w:rFonts w:ascii="Franklin Gothic Book" w:hAnsi="Franklin Gothic Book"/>
              </w:rPr>
            </w:pPr>
            <w:r>
              <w:rPr>
                <w:rFonts w:ascii="Franklin Gothic Book" w:hAnsi="Franklin Gothic Book"/>
              </w:rPr>
              <w:t>2.6</w:t>
            </w:r>
          </w:p>
        </w:tc>
      </w:tr>
      <w:tr w:rsidR="000A1B38" w:rsidRPr="00976F70" w14:paraId="7557710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86BF765"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10FED9DA" w14:textId="77777777" w:rsidR="000A1B38" w:rsidRPr="00BD1632" w:rsidRDefault="000A1B38">
            <w:pPr>
              <w:pStyle w:val="TableTextCentered"/>
              <w:rPr>
                <w:rFonts w:ascii="Franklin Gothic Book" w:hAnsi="Franklin Gothic Book"/>
              </w:rPr>
            </w:pPr>
            <w:r>
              <w:rPr>
                <w:rFonts w:ascii="Franklin Gothic Book" w:hAnsi="Franklin Gothic Book"/>
              </w:rPr>
              <w:t>28</w:t>
            </w:r>
          </w:p>
        </w:tc>
        <w:tc>
          <w:tcPr>
            <w:tcW w:w="1152" w:type="dxa"/>
            <w:vAlign w:val="center"/>
          </w:tcPr>
          <w:p w14:paraId="1BF832D9" w14:textId="0F291CA4"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1BC38095" w14:textId="27C5B2DA"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36288E20" w14:textId="35074B56"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4CE12BBB" w14:textId="77777777" w:rsidR="000A1B38" w:rsidRPr="00BD1632" w:rsidRDefault="000A1B38">
            <w:pPr>
              <w:pStyle w:val="TableTextCentered"/>
              <w:rPr>
                <w:rFonts w:ascii="Franklin Gothic Book" w:hAnsi="Franklin Gothic Book"/>
              </w:rPr>
            </w:pPr>
            <w:r>
              <w:rPr>
                <w:rFonts w:ascii="Franklin Gothic Book" w:hAnsi="Franklin Gothic Book"/>
              </w:rPr>
              <w:t>2.5</w:t>
            </w:r>
          </w:p>
        </w:tc>
      </w:tr>
      <w:tr w:rsidR="000A1B38" w:rsidRPr="00976F70" w14:paraId="336E53B4" w14:textId="77777777">
        <w:tc>
          <w:tcPr>
            <w:tcW w:w="3586" w:type="dxa"/>
          </w:tcPr>
          <w:p w14:paraId="36993B45"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2F83926B" w14:textId="77777777" w:rsidR="000A1B38" w:rsidRPr="00BD1632" w:rsidRDefault="000A1B38">
            <w:pPr>
              <w:pStyle w:val="TableTextCentered"/>
              <w:rPr>
                <w:rFonts w:ascii="Franklin Gothic Book" w:hAnsi="Franklin Gothic Book"/>
              </w:rPr>
            </w:pPr>
            <w:r>
              <w:rPr>
                <w:rFonts w:ascii="Franklin Gothic Book" w:hAnsi="Franklin Gothic Book"/>
              </w:rPr>
              <w:t>1,885</w:t>
            </w:r>
          </w:p>
        </w:tc>
        <w:tc>
          <w:tcPr>
            <w:tcW w:w="1152" w:type="dxa"/>
            <w:vAlign w:val="center"/>
          </w:tcPr>
          <w:p w14:paraId="6594F03B" w14:textId="77777777" w:rsidR="000A1B38" w:rsidRPr="00BD1632" w:rsidRDefault="000A1B38">
            <w:pPr>
              <w:pStyle w:val="TableTextCentered"/>
              <w:rPr>
                <w:rFonts w:ascii="Franklin Gothic Book" w:hAnsi="Franklin Gothic Book"/>
              </w:rPr>
            </w:pPr>
            <w:r>
              <w:rPr>
                <w:rFonts w:ascii="Franklin Gothic Book" w:hAnsi="Franklin Gothic Book"/>
              </w:rPr>
              <w:t>6.0</w:t>
            </w:r>
          </w:p>
        </w:tc>
        <w:tc>
          <w:tcPr>
            <w:tcW w:w="1151" w:type="dxa"/>
            <w:vAlign w:val="center"/>
          </w:tcPr>
          <w:p w14:paraId="1DD0EDB7" w14:textId="77777777" w:rsidR="000A1B38" w:rsidRPr="00BD1632" w:rsidRDefault="000A1B38">
            <w:pPr>
              <w:pStyle w:val="TableTextCentered"/>
              <w:rPr>
                <w:rFonts w:ascii="Franklin Gothic Book" w:hAnsi="Franklin Gothic Book"/>
              </w:rPr>
            </w:pPr>
            <w:r>
              <w:rPr>
                <w:rFonts w:ascii="Franklin Gothic Book" w:hAnsi="Franklin Gothic Book"/>
              </w:rPr>
              <w:t>3.9</w:t>
            </w:r>
          </w:p>
        </w:tc>
        <w:tc>
          <w:tcPr>
            <w:tcW w:w="1152" w:type="dxa"/>
            <w:vAlign w:val="center"/>
          </w:tcPr>
          <w:p w14:paraId="733C36A1" w14:textId="77777777" w:rsidR="000A1B38" w:rsidRPr="00BD1632" w:rsidRDefault="000A1B38">
            <w:pPr>
              <w:pStyle w:val="TableTextCentered"/>
              <w:rPr>
                <w:rFonts w:ascii="Franklin Gothic Book" w:hAnsi="Franklin Gothic Book"/>
              </w:rPr>
            </w:pPr>
            <w:r>
              <w:rPr>
                <w:rFonts w:ascii="Franklin Gothic Book" w:hAnsi="Franklin Gothic Book"/>
              </w:rPr>
              <w:t>3.6</w:t>
            </w:r>
          </w:p>
        </w:tc>
        <w:tc>
          <w:tcPr>
            <w:tcW w:w="1152" w:type="dxa"/>
            <w:vAlign w:val="center"/>
          </w:tcPr>
          <w:p w14:paraId="6808C4AF" w14:textId="77777777" w:rsidR="000A1B38" w:rsidRPr="00BD1632" w:rsidRDefault="000A1B38">
            <w:pPr>
              <w:pStyle w:val="TableTextCentered"/>
              <w:rPr>
                <w:rFonts w:ascii="Franklin Gothic Book" w:hAnsi="Franklin Gothic Book"/>
              </w:rPr>
            </w:pPr>
            <w:r>
              <w:rPr>
                <w:rFonts w:ascii="Franklin Gothic Book" w:hAnsi="Franklin Gothic Book"/>
              </w:rPr>
              <w:t>1.5</w:t>
            </w:r>
          </w:p>
        </w:tc>
      </w:tr>
      <w:tr w:rsidR="000A1B38" w:rsidRPr="00976F70" w14:paraId="4D56F06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A8DE9F9"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155B72C" w14:textId="77777777" w:rsidR="000A1B38" w:rsidRPr="00BD1632" w:rsidRDefault="000A1B38">
            <w:pPr>
              <w:pStyle w:val="TableTextCentered"/>
              <w:rPr>
                <w:rFonts w:ascii="Franklin Gothic Book" w:hAnsi="Franklin Gothic Book"/>
              </w:rPr>
            </w:pPr>
            <w:r>
              <w:rPr>
                <w:rFonts w:ascii="Franklin Gothic Book" w:hAnsi="Franklin Gothic Book"/>
              </w:rPr>
              <w:t>14,267</w:t>
            </w:r>
          </w:p>
        </w:tc>
        <w:tc>
          <w:tcPr>
            <w:tcW w:w="1152" w:type="dxa"/>
            <w:vAlign w:val="center"/>
          </w:tcPr>
          <w:p w14:paraId="7060D1EC" w14:textId="77777777" w:rsidR="000A1B38" w:rsidRPr="00BD1632" w:rsidRDefault="000A1B38">
            <w:pPr>
              <w:pStyle w:val="TableTextCentered"/>
              <w:rPr>
                <w:rFonts w:ascii="Franklin Gothic Book" w:hAnsi="Franklin Gothic Book"/>
              </w:rPr>
            </w:pPr>
            <w:r>
              <w:rPr>
                <w:rFonts w:ascii="Franklin Gothic Book" w:hAnsi="Franklin Gothic Book"/>
              </w:rPr>
              <w:t>9.6</w:t>
            </w:r>
          </w:p>
        </w:tc>
        <w:tc>
          <w:tcPr>
            <w:tcW w:w="1151" w:type="dxa"/>
            <w:vAlign w:val="center"/>
          </w:tcPr>
          <w:p w14:paraId="4D623AC0" w14:textId="77777777" w:rsidR="000A1B38" w:rsidRPr="00BD1632" w:rsidRDefault="000A1B38">
            <w:pPr>
              <w:pStyle w:val="TableTextCentered"/>
              <w:rPr>
                <w:rFonts w:ascii="Franklin Gothic Book" w:hAnsi="Franklin Gothic Book"/>
              </w:rPr>
            </w:pPr>
            <w:r>
              <w:rPr>
                <w:rFonts w:ascii="Franklin Gothic Book" w:hAnsi="Franklin Gothic Book"/>
              </w:rPr>
              <w:t>6.1</w:t>
            </w:r>
          </w:p>
        </w:tc>
        <w:tc>
          <w:tcPr>
            <w:tcW w:w="1152" w:type="dxa"/>
            <w:vAlign w:val="center"/>
          </w:tcPr>
          <w:p w14:paraId="4C74C6DE" w14:textId="77777777" w:rsidR="000A1B38" w:rsidRPr="00BD1632" w:rsidRDefault="000A1B38">
            <w:pPr>
              <w:pStyle w:val="TableTextCentered"/>
              <w:rPr>
                <w:rFonts w:ascii="Franklin Gothic Book" w:hAnsi="Franklin Gothic Book"/>
              </w:rPr>
            </w:pPr>
            <w:r>
              <w:rPr>
                <w:rFonts w:ascii="Franklin Gothic Book" w:hAnsi="Franklin Gothic Book"/>
              </w:rPr>
              <w:t>5.8</w:t>
            </w:r>
          </w:p>
        </w:tc>
        <w:tc>
          <w:tcPr>
            <w:tcW w:w="1152" w:type="dxa"/>
            <w:vAlign w:val="center"/>
          </w:tcPr>
          <w:p w14:paraId="36FE1ACD" w14:textId="77777777" w:rsidR="000A1B38" w:rsidRPr="00BD1632" w:rsidRDefault="000A1B38">
            <w:pPr>
              <w:pStyle w:val="TableTextCentered"/>
              <w:rPr>
                <w:rFonts w:ascii="Franklin Gothic Book" w:hAnsi="Franklin Gothic Book"/>
              </w:rPr>
            </w:pPr>
            <w:r>
              <w:rPr>
                <w:rFonts w:ascii="Franklin Gothic Book" w:hAnsi="Franklin Gothic Book"/>
              </w:rPr>
              <w:t>3.6</w:t>
            </w:r>
          </w:p>
        </w:tc>
      </w:tr>
      <w:tr w:rsidR="000A1B38" w:rsidRPr="00976F70" w14:paraId="0CB72AD5" w14:textId="77777777">
        <w:tc>
          <w:tcPr>
            <w:tcW w:w="3586" w:type="dxa"/>
          </w:tcPr>
          <w:p w14:paraId="1B50A523"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7FDBF8C4" w14:textId="77777777" w:rsidR="000A1B38" w:rsidRPr="00BD1632" w:rsidRDefault="000A1B38">
            <w:pPr>
              <w:pStyle w:val="TableTextCentered"/>
              <w:rPr>
                <w:rFonts w:ascii="Franklin Gothic Book" w:hAnsi="Franklin Gothic Book"/>
              </w:rPr>
            </w:pPr>
            <w:r>
              <w:rPr>
                <w:rFonts w:ascii="Franklin Gothic Book" w:hAnsi="Franklin Gothic Book"/>
              </w:rPr>
              <w:t>5,619</w:t>
            </w:r>
          </w:p>
        </w:tc>
        <w:tc>
          <w:tcPr>
            <w:tcW w:w="1152" w:type="dxa"/>
            <w:vAlign w:val="center"/>
          </w:tcPr>
          <w:p w14:paraId="34E37B3A" w14:textId="77777777" w:rsidR="000A1B38" w:rsidRPr="00BD1632" w:rsidRDefault="000A1B38">
            <w:pPr>
              <w:pStyle w:val="TableTextCentered"/>
              <w:rPr>
                <w:rFonts w:ascii="Franklin Gothic Book" w:hAnsi="Franklin Gothic Book"/>
              </w:rPr>
            </w:pPr>
            <w:r>
              <w:rPr>
                <w:rFonts w:ascii="Franklin Gothic Book" w:hAnsi="Franklin Gothic Book"/>
              </w:rPr>
              <w:t>8.6</w:t>
            </w:r>
          </w:p>
        </w:tc>
        <w:tc>
          <w:tcPr>
            <w:tcW w:w="1151" w:type="dxa"/>
            <w:vAlign w:val="center"/>
          </w:tcPr>
          <w:p w14:paraId="15FB3C03" w14:textId="77777777" w:rsidR="000A1B38" w:rsidRPr="00BD1632" w:rsidRDefault="000A1B38">
            <w:pPr>
              <w:pStyle w:val="TableTextCentered"/>
              <w:rPr>
                <w:rFonts w:ascii="Franklin Gothic Book" w:hAnsi="Franklin Gothic Book"/>
              </w:rPr>
            </w:pPr>
            <w:r>
              <w:rPr>
                <w:rFonts w:ascii="Franklin Gothic Book" w:hAnsi="Franklin Gothic Book"/>
              </w:rPr>
              <w:t>4.4</w:t>
            </w:r>
          </w:p>
        </w:tc>
        <w:tc>
          <w:tcPr>
            <w:tcW w:w="1152" w:type="dxa"/>
            <w:vAlign w:val="center"/>
          </w:tcPr>
          <w:p w14:paraId="6239EDB2" w14:textId="77777777" w:rsidR="000A1B38" w:rsidRPr="00BD1632" w:rsidRDefault="000A1B38">
            <w:pPr>
              <w:pStyle w:val="TableTextCentered"/>
              <w:rPr>
                <w:rFonts w:ascii="Franklin Gothic Book" w:hAnsi="Franklin Gothic Book"/>
              </w:rPr>
            </w:pPr>
            <w:r>
              <w:rPr>
                <w:rFonts w:ascii="Franklin Gothic Book" w:hAnsi="Franklin Gothic Book"/>
              </w:rPr>
              <w:t>5.0</w:t>
            </w:r>
          </w:p>
        </w:tc>
        <w:tc>
          <w:tcPr>
            <w:tcW w:w="1152" w:type="dxa"/>
            <w:vAlign w:val="center"/>
          </w:tcPr>
          <w:p w14:paraId="63609EC1" w14:textId="77777777" w:rsidR="000A1B38" w:rsidRPr="00BD1632" w:rsidRDefault="000A1B38">
            <w:pPr>
              <w:pStyle w:val="TableTextCentered"/>
              <w:rPr>
                <w:rFonts w:ascii="Franklin Gothic Book" w:hAnsi="Franklin Gothic Book"/>
              </w:rPr>
            </w:pPr>
            <w:r>
              <w:rPr>
                <w:rFonts w:ascii="Franklin Gothic Book" w:hAnsi="Franklin Gothic Book"/>
              </w:rPr>
              <w:t>2.6</w:t>
            </w:r>
          </w:p>
        </w:tc>
      </w:tr>
      <w:tr w:rsidR="000A1B38" w:rsidRPr="00976F70" w14:paraId="139BF29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9F2E340"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2604FF18" w14:textId="77777777" w:rsidR="000A1B38" w:rsidRPr="00BD1632" w:rsidRDefault="000A1B38">
            <w:pPr>
              <w:pStyle w:val="TableTextCentered"/>
              <w:rPr>
                <w:rFonts w:ascii="Franklin Gothic Book" w:hAnsi="Franklin Gothic Book"/>
              </w:rPr>
            </w:pPr>
            <w:r>
              <w:rPr>
                <w:rFonts w:ascii="Franklin Gothic Book" w:hAnsi="Franklin Gothic Book"/>
              </w:rPr>
              <w:t>13,024</w:t>
            </w:r>
          </w:p>
        </w:tc>
        <w:tc>
          <w:tcPr>
            <w:tcW w:w="1152" w:type="dxa"/>
            <w:vAlign w:val="center"/>
          </w:tcPr>
          <w:p w14:paraId="28BB0453" w14:textId="77777777" w:rsidR="000A1B38" w:rsidRPr="00BD1632" w:rsidRDefault="000A1B38">
            <w:pPr>
              <w:pStyle w:val="TableTextCentered"/>
              <w:rPr>
                <w:rFonts w:ascii="Franklin Gothic Book" w:hAnsi="Franklin Gothic Book"/>
              </w:rPr>
            </w:pPr>
            <w:r>
              <w:rPr>
                <w:rFonts w:ascii="Franklin Gothic Book" w:hAnsi="Franklin Gothic Book"/>
              </w:rPr>
              <w:t>9.9</w:t>
            </w:r>
          </w:p>
        </w:tc>
        <w:tc>
          <w:tcPr>
            <w:tcW w:w="1151" w:type="dxa"/>
            <w:vAlign w:val="center"/>
          </w:tcPr>
          <w:p w14:paraId="29A1BE5E" w14:textId="77777777" w:rsidR="000A1B38" w:rsidRPr="00BD1632" w:rsidRDefault="000A1B38">
            <w:pPr>
              <w:pStyle w:val="TableTextCentered"/>
              <w:rPr>
                <w:rFonts w:ascii="Franklin Gothic Book" w:hAnsi="Franklin Gothic Book"/>
              </w:rPr>
            </w:pPr>
            <w:r>
              <w:rPr>
                <w:rFonts w:ascii="Franklin Gothic Book" w:hAnsi="Franklin Gothic Book"/>
              </w:rPr>
              <w:t>6.3</w:t>
            </w:r>
          </w:p>
        </w:tc>
        <w:tc>
          <w:tcPr>
            <w:tcW w:w="1152" w:type="dxa"/>
            <w:vAlign w:val="center"/>
          </w:tcPr>
          <w:p w14:paraId="3D10EA4D" w14:textId="77777777" w:rsidR="000A1B38" w:rsidRPr="00BD1632" w:rsidRDefault="000A1B38">
            <w:pPr>
              <w:pStyle w:val="TableTextCentered"/>
              <w:rPr>
                <w:rFonts w:ascii="Franklin Gothic Book" w:hAnsi="Franklin Gothic Book"/>
              </w:rPr>
            </w:pPr>
            <w:r>
              <w:rPr>
                <w:rFonts w:ascii="Franklin Gothic Book" w:hAnsi="Franklin Gothic Book"/>
              </w:rPr>
              <w:t>5.8</w:t>
            </w:r>
          </w:p>
        </w:tc>
        <w:tc>
          <w:tcPr>
            <w:tcW w:w="1152" w:type="dxa"/>
            <w:vAlign w:val="center"/>
          </w:tcPr>
          <w:p w14:paraId="4CF950C2" w14:textId="77777777" w:rsidR="000A1B38" w:rsidRPr="00BD1632" w:rsidRDefault="000A1B38">
            <w:pPr>
              <w:pStyle w:val="TableTextCentered"/>
              <w:rPr>
                <w:rFonts w:ascii="Franklin Gothic Book" w:hAnsi="Franklin Gothic Book"/>
              </w:rPr>
            </w:pPr>
            <w:r>
              <w:rPr>
                <w:rFonts w:ascii="Franklin Gothic Book" w:hAnsi="Franklin Gothic Book"/>
              </w:rPr>
              <w:t>4.0</w:t>
            </w:r>
          </w:p>
        </w:tc>
      </w:tr>
      <w:tr w:rsidR="000A1B38" w:rsidRPr="00976F70" w14:paraId="1C230F0D" w14:textId="77777777">
        <w:tc>
          <w:tcPr>
            <w:tcW w:w="3586" w:type="dxa"/>
          </w:tcPr>
          <w:p w14:paraId="60B5D1E9"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3A42AFB0" w14:textId="77777777" w:rsidR="000A1B38" w:rsidRPr="00BD1632" w:rsidRDefault="000A1B38">
            <w:pPr>
              <w:pStyle w:val="TableTextCentered"/>
              <w:rPr>
                <w:rFonts w:ascii="Franklin Gothic Book" w:hAnsi="Franklin Gothic Book"/>
              </w:rPr>
            </w:pPr>
            <w:r>
              <w:rPr>
                <w:rFonts w:ascii="Franklin Gothic Book" w:hAnsi="Franklin Gothic Book"/>
              </w:rPr>
              <w:t>3,358</w:t>
            </w:r>
          </w:p>
        </w:tc>
        <w:tc>
          <w:tcPr>
            <w:tcW w:w="1152" w:type="dxa"/>
            <w:vAlign w:val="center"/>
          </w:tcPr>
          <w:p w14:paraId="2B5AB6D3" w14:textId="77777777" w:rsidR="000A1B38" w:rsidRPr="00BD1632" w:rsidRDefault="000A1B38">
            <w:pPr>
              <w:pStyle w:val="TableTextCentered"/>
              <w:rPr>
                <w:rFonts w:ascii="Franklin Gothic Book" w:hAnsi="Franklin Gothic Book"/>
              </w:rPr>
            </w:pPr>
            <w:r>
              <w:rPr>
                <w:rFonts w:ascii="Franklin Gothic Book" w:hAnsi="Franklin Gothic Book"/>
              </w:rPr>
              <w:t>11.6</w:t>
            </w:r>
          </w:p>
        </w:tc>
        <w:tc>
          <w:tcPr>
            <w:tcW w:w="1151" w:type="dxa"/>
            <w:vAlign w:val="center"/>
          </w:tcPr>
          <w:p w14:paraId="522485DB" w14:textId="77777777" w:rsidR="000A1B38" w:rsidRPr="00BD1632" w:rsidRDefault="000A1B38">
            <w:pPr>
              <w:pStyle w:val="TableTextCentered"/>
              <w:rPr>
                <w:rFonts w:ascii="Franklin Gothic Book" w:hAnsi="Franklin Gothic Book"/>
              </w:rPr>
            </w:pPr>
            <w:r>
              <w:rPr>
                <w:rFonts w:ascii="Franklin Gothic Book" w:hAnsi="Franklin Gothic Book"/>
              </w:rPr>
              <w:t>7.0</w:t>
            </w:r>
          </w:p>
        </w:tc>
        <w:tc>
          <w:tcPr>
            <w:tcW w:w="1152" w:type="dxa"/>
            <w:vAlign w:val="center"/>
          </w:tcPr>
          <w:p w14:paraId="5E300E27" w14:textId="77777777" w:rsidR="000A1B38" w:rsidRPr="00BD1632" w:rsidRDefault="000A1B38">
            <w:pPr>
              <w:pStyle w:val="TableTextCentered"/>
              <w:rPr>
                <w:rFonts w:ascii="Franklin Gothic Book" w:hAnsi="Franklin Gothic Book"/>
              </w:rPr>
            </w:pPr>
            <w:r>
              <w:rPr>
                <w:rFonts w:ascii="Franklin Gothic Book" w:hAnsi="Franklin Gothic Book"/>
              </w:rPr>
              <w:t>7.5</w:t>
            </w:r>
          </w:p>
        </w:tc>
        <w:tc>
          <w:tcPr>
            <w:tcW w:w="1152" w:type="dxa"/>
            <w:vAlign w:val="center"/>
          </w:tcPr>
          <w:p w14:paraId="749BE813" w14:textId="77777777" w:rsidR="000A1B38" w:rsidRPr="00BD1632" w:rsidRDefault="000A1B38">
            <w:pPr>
              <w:pStyle w:val="TableTextCentered"/>
              <w:rPr>
                <w:rFonts w:ascii="Franklin Gothic Book" w:hAnsi="Franklin Gothic Book"/>
              </w:rPr>
            </w:pPr>
            <w:r>
              <w:rPr>
                <w:rFonts w:ascii="Franklin Gothic Book" w:hAnsi="Franklin Gothic Book"/>
              </w:rPr>
              <w:t>4.5</w:t>
            </w:r>
          </w:p>
        </w:tc>
      </w:tr>
    </w:tbl>
    <w:p w14:paraId="23B04C0B" w14:textId="77777777" w:rsidR="000A1B38" w:rsidRDefault="000A1B38" w:rsidP="00EC51F0">
      <w:pPr>
        <w:pStyle w:val="BodyText"/>
      </w:pPr>
      <w:bookmarkStart w:id="258" w:name="_Hlk138323870"/>
      <w:r>
        <w:br w:type="page"/>
      </w:r>
    </w:p>
    <w:p w14:paraId="3D621338" w14:textId="77777777" w:rsidR="000A1B38" w:rsidRPr="003C1C59" w:rsidRDefault="000A1B38" w:rsidP="0082637F">
      <w:pPr>
        <w:pStyle w:val="TableETitle"/>
      </w:pPr>
      <w:bookmarkStart w:id="259" w:name="_Toc211930051"/>
      <w:bookmarkStart w:id="260" w:name="_Toc230970181"/>
      <w:r w:rsidRPr="00420639">
        <w:t>Table E21.</w:t>
      </w:r>
      <w:r>
        <w:t xml:space="preserve"> </w:t>
      </w:r>
      <w:r w:rsidRPr="00420639">
        <w:t>Advanced Coursework Completion Rates by Student Group, 202</w:t>
      </w:r>
      <w:r>
        <w:t>3</w:t>
      </w:r>
      <w:r w:rsidRPr="00420639">
        <w:t>-202</w:t>
      </w:r>
      <w:r>
        <w:t>5</w:t>
      </w:r>
      <w:bookmarkEnd w:id="259"/>
      <w:bookmarkEnd w:id="260"/>
    </w:p>
    <w:tbl>
      <w:tblPr>
        <w:tblStyle w:val="MSVTable1"/>
        <w:tblW w:w="5000" w:type="pct"/>
        <w:tblLook w:val="0420" w:firstRow="1" w:lastRow="0" w:firstColumn="0" w:lastColumn="0" w:noHBand="0" w:noVBand="1"/>
        <w:tblCaption w:val="Table E21. Advanced Coursework Completion Rates by Student Group, 2023-2025"/>
        <w:tblDescription w:val="Advanced Coursework Completion Rates by Student Group, 2023-2025"/>
      </w:tblPr>
      <w:tblGrid>
        <w:gridCol w:w="3586"/>
        <w:gridCol w:w="1151"/>
        <w:gridCol w:w="1152"/>
        <w:gridCol w:w="1151"/>
        <w:gridCol w:w="1152"/>
        <w:gridCol w:w="1152"/>
      </w:tblGrid>
      <w:tr w:rsidR="000A1B38" w:rsidRPr="00976F70" w14:paraId="2FCA808B"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76882149" w14:textId="77777777" w:rsidR="000A1B38" w:rsidRPr="00B85B0B" w:rsidRDefault="000A1B38">
            <w:pPr>
              <w:pStyle w:val="TableColHeadingLeft"/>
              <w:jc w:val="center"/>
            </w:pPr>
            <w:r w:rsidRPr="00B85B0B">
              <w:t>Group</w:t>
            </w:r>
          </w:p>
        </w:tc>
        <w:tc>
          <w:tcPr>
            <w:tcW w:w="1151" w:type="dxa"/>
            <w:vAlign w:val="center"/>
          </w:tcPr>
          <w:p w14:paraId="5F71D478" w14:textId="77777777" w:rsidR="000A1B38" w:rsidRPr="00B85B0B" w:rsidRDefault="000A1B38">
            <w:pPr>
              <w:pStyle w:val="TableColHeadingCenter"/>
            </w:pPr>
            <w:r>
              <w:t># Included</w:t>
            </w:r>
            <w:r w:rsidRPr="00B85B0B">
              <w:t xml:space="preserve"> (202</w:t>
            </w:r>
            <w:r>
              <w:t>5</w:t>
            </w:r>
            <w:r w:rsidRPr="00B85B0B">
              <w:t>)</w:t>
            </w:r>
          </w:p>
        </w:tc>
        <w:tc>
          <w:tcPr>
            <w:tcW w:w="1152" w:type="dxa"/>
            <w:vAlign w:val="center"/>
          </w:tcPr>
          <w:p w14:paraId="2CF0EF9D" w14:textId="77777777" w:rsidR="000A1B38" w:rsidRPr="00B85B0B" w:rsidRDefault="000A1B38">
            <w:pPr>
              <w:pStyle w:val="TableColHeadingCenter"/>
            </w:pPr>
            <w:r w:rsidRPr="00B85B0B">
              <w:t>202</w:t>
            </w:r>
            <w:r>
              <w:t>3</w:t>
            </w:r>
          </w:p>
        </w:tc>
        <w:tc>
          <w:tcPr>
            <w:tcW w:w="1151" w:type="dxa"/>
            <w:vAlign w:val="center"/>
          </w:tcPr>
          <w:p w14:paraId="322522B7" w14:textId="77777777" w:rsidR="000A1B38" w:rsidRPr="00B85B0B" w:rsidRDefault="000A1B38">
            <w:pPr>
              <w:pStyle w:val="TableColHeadingCenter"/>
            </w:pPr>
            <w:r w:rsidRPr="00B85B0B">
              <w:t>202</w:t>
            </w:r>
            <w:r>
              <w:t>4</w:t>
            </w:r>
          </w:p>
        </w:tc>
        <w:tc>
          <w:tcPr>
            <w:tcW w:w="1152" w:type="dxa"/>
            <w:vAlign w:val="center"/>
          </w:tcPr>
          <w:p w14:paraId="55B1A7A9" w14:textId="77777777" w:rsidR="000A1B38" w:rsidRPr="00B85B0B" w:rsidRDefault="000A1B38">
            <w:pPr>
              <w:pStyle w:val="TableColHeadingCenter"/>
            </w:pPr>
            <w:r>
              <w:t>2025</w:t>
            </w:r>
          </w:p>
        </w:tc>
        <w:tc>
          <w:tcPr>
            <w:tcW w:w="1152" w:type="dxa"/>
            <w:vAlign w:val="center"/>
          </w:tcPr>
          <w:p w14:paraId="1B79EECA" w14:textId="77777777" w:rsidR="000A1B38" w:rsidRPr="00B85B0B" w:rsidRDefault="000A1B38">
            <w:pPr>
              <w:pStyle w:val="TableColHeadingCenter"/>
            </w:pPr>
            <w:r w:rsidRPr="00B85B0B">
              <w:t>State (202</w:t>
            </w:r>
            <w:r>
              <w:t>5</w:t>
            </w:r>
            <w:r w:rsidRPr="00B85B0B">
              <w:t>)</w:t>
            </w:r>
          </w:p>
        </w:tc>
      </w:tr>
      <w:tr w:rsidR="000A1B38" w:rsidRPr="00976F70" w14:paraId="1A34934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6B22114" w14:textId="77777777" w:rsidR="000A1B38" w:rsidRPr="00A73A0A" w:rsidRDefault="000A1B38">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7AABA1CD" w14:textId="77777777" w:rsidR="000A1B38" w:rsidRPr="00BD1632" w:rsidRDefault="000A1B38">
            <w:pPr>
              <w:pStyle w:val="TableTextCentered"/>
              <w:rPr>
                <w:rFonts w:ascii="Franklin Gothic Book" w:hAnsi="Franklin Gothic Book"/>
              </w:rPr>
            </w:pPr>
            <w:r>
              <w:rPr>
                <w:rFonts w:ascii="Franklin Gothic Book" w:hAnsi="Franklin Gothic Book"/>
              </w:rPr>
              <w:t>2,242</w:t>
            </w:r>
          </w:p>
        </w:tc>
        <w:tc>
          <w:tcPr>
            <w:tcW w:w="1152" w:type="dxa"/>
            <w:vAlign w:val="center"/>
          </w:tcPr>
          <w:p w14:paraId="256B35C0" w14:textId="77777777" w:rsidR="000A1B38" w:rsidRPr="00BD1632" w:rsidRDefault="000A1B38">
            <w:pPr>
              <w:pStyle w:val="TableTextCentered"/>
              <w:rPr>
                <w:rFonts w:ascii="Franklin Gothic Book" w:hAnsi="Franklin Gothic Book"/>
              </w:rPr>
            </w:pPr>
            <w:r>
              <w:rPr>
                <w:rFonts w:ascii="Franklin Gothic Book" w:hAnsi="Franklin Gothic Book"/>
              </w:rPr>
              <w:t>46.1</w:t>
            </w:r>
          </w:p>
        </w:tc>
        <w:tc>
          <w:tcPr>
            <w:tcW w:w="1151" w:type="dxa"/>
            <w:vAlign w:val="center"/>
          </w:tcPr>
          <w:p w14:paraId="1CF9DF65" w14:textId="77777777" w:rsidR="000A1B38" w:rsidRPr="00BD1632" w:rsidRDefault="000A1B38">
            <w:pPr>
              <w:pStyle w:val="TableTextCentered"/>
              <w:rPr>
                <w:rFonts w:ascii="Franklin Gothic Book" w:hAnsi="Franklin Gothic Book"/>
              </w:rPr>
            </w:pPr>
            <w:r>
              <w:rPr>
                <w:rFonts w:ascii="Franklin Gothic Book" w:hAnsi="Franklin Gothic Book"/>
              </w:rPr>
              <w:t>37.1</w:t>
            </w:r>
          </w:p>
        </w:tc>
        <w:tc>
          <w:tcPr>
            <w:tcW w:w="1152" w:type="dxa"/>
            <w:vAlign w:val="center"/>
          </w:tcPr>
          <w:p w14:paraId="38FBD499" w14:textId="77777777" w:rsidR="000A1B38" w:rsidRPr="00BD1632" w:rsidRDefault="000A1B38">
            <w:pPr>
              <w:pStyle w:val="TableTextCentered"/>
              <w:rPr>
                <w:rFonts w:ascii="Franklin Gothic Book" w:hAnsi="Franklin Gothic Book"/>
              </w:rPr>
            </w:pPr>
            <w:r>
              <w:rPr>
                <w:rFonts w:ascii="Franklin Gothic Book" w:hAnsi="Franklin Gothic Book"/>
              </w:rPr>
              <w:t>42.1</w:t>
            </w:r>
          </w:p>
        </w:tc>
        <w:tc>
          <w:tcPr>
            <w:tcW w:w="1152" w:type="dxa"/>
            <w:vAlign w:val="center"/>
          </w:tcPr>
          <w:p w14:paraId="3017C02F" w14:textId="77777777" w:rsidR="000A1B38" w:rsidRPr="00BD1632" w:rsidRDefault="000A1B38">
            <w:pPr>
              <w:pStyle w:val="TableTextCentered"/>
              <w:rPr>
                <w:rFonts w:ascii="Franklin Gothic Book" w:hAnsi="Franklin Gothic Book"/>
              </w:rPr>
            </w:pPr>
            <w:r>
              <w:rPr>
                <w:rFonts w:ascii="Franklin Gothic Book" w:hAnsi="Franklin Gothic Book"/>
              </w:rPr>
              <w:t>68.8</w:t>
            </w:r>
          </w:p>
        </w:tc>
      </w:tr>
      <w:tr w:rsidR="000A1B38" w:rsidRPr="00976F70" w14:paraId="5403DC69" w14:textId="77777777">
        <w:tc>
          <w:tcPr>
            <w:tcW w:w="3586" w:type="dxa"/>
          </w:tcPr>
          <w:p w14:paraId="6E03F512" w14:textId="77777777" w:rsidR="000A1B38" w:rsidRPr="00A73A0A" w:rsidRDefault="000A1B38">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28DD964C" w14:textId="77777777" w:rsidR="000A1B38" w:rsidRPr="00BD1632" w:rsidRDefault="000A1B38">
            <w:pPr>
              <w:pStyle w:val="TableTextCentered"/>
              <w:rPr>
                <w:rFonts w:ascii="Franklin Gothic Book" w:hAnsi="Franklin Gothic Book"/>
              </w:rPr>
            </w:pPr>
            <w:r>
              <w:rPr>
                <w:rFonts w:ascii="Franklin Gothic Book" w:hAnsi="Franklin Gothic Book"/>
              </w:rPr>
              <w:t>5</w:t>
            </w:r>
          </w:p>
        </w:tc>
        <w:tc>
          <w:tcPr>
            <w:tcW w:w="1152" w:type="dxa"/>
            <w:vAlign w:val="center"/>
          </w:tcPr>
          <w:p w14:paraId="57DBA4AB" w14:textId="3DCD379B"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204923C4" w14:textId="620C400B"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30EDE268" w14:textId="628D0856"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31137F35" w14:textId="77777777" w:rsidR="000A1B38" w:rsidRPr="00BD1632" w:rsidRDefault="000A1B38">
            <w:pPr>
              <w:pStyle w:val="TableTextCentered"/>
              <w:rPr>
                <w:rFonts w:ascii="Franklin Gothic Book" w:hAnsi="Franklin Gothic Book"/>
              </w:rPr>
            </w:pPr>
            <w:r>
              <w:rPr>
                <w:rFonts w:ascii="Franklin Gothic Book" w:hAnsi="Franklin Gothic Book"/>
              </w:rPr>
              <w:t>55.9</w:t>
            </w:r>
          </w:p>
        </w:tc>
      </w:tr>
      <w:tr w:rsidR="000A1B38" w:rsidRPr="00976F70" w14:paraId="2648B386"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32B7EEA" w14:textId="77777777" w:rsidR="000A1B38" w:rsidRPr="00A73A0A" w:rsidRDefault="000A1B38">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26B09786" w14:textId="77777777" w:rsidR="000A1B38" w:rsidRPr="00BD1632" w:rsidRDefault="000A1B38">
            <w:pPr>
              <w:pStyle w:val="TableTextCentered"/>
              <w:rPr>
                <w:rFonts w:ascii="Franklin Gothic Book" w:hAnsi="Franklin Gothic Book"/>
              </w:rPr>
            </w:pPr>
            <w:r>
              <w:rPr>
                <w:rFonts w:ascii="Franklin Gothic Book" w:hAnsi="Franklin Gothic Book"/>
              </w:rPr>
              <w:t>55</w:t>
            </w:r>
          </w:p>
        </w:tc>
        <w:tc>
          <w:tcPr>
            <w:tcW w:w="1152" w:type="dxa"/>
            <w:vAlign w:val="center"/>
          </w:tcPr>
          <w:p w14:paraId="5FB1B237" w14:textId="77777777" w:rsidR="000A1B38" w:rsidRPr="00BD1632" w:rsidRDefault="000A1B38">
            <w:pPr>
              <w:pStyle w:val="TableTextCentered"/>
              <w:rPr>
                <w:rFonts w:ascii="Franklin Gothic Book" w:hAnsi="Franklin Gothic Book"/>
              </w:rPr>
            </w:pPr>
            <w:r>
              <w:rPr>
                <w:rFonts w:ascii="Franklin Gothic Book" w:hAnsi="Franklin Gothic Book"/>
              </w:rPr>
              <w:t>76.0</w:t>
            </w:r>
          </w:p>
        </w:tc>
        <w:tc>
          <w:tcPr>
            <w:tcW w:w="1151" w:type="dxa"/>
            <w:vAlign w:val="center"/>
          </w:tcPr>
          <w:p w14:paraId="3F0ECD35" w14:textId="77777777" w:rsidR="000A1B38" w:rsidRPr="00BD1632" w:rsidRDefault="000A1B38">
            <w:pPr>
              <w:pStyle w:val="TableTextCentered"/>
              <w:rPr>
                <w:rFonts w:ascii="Franklin Gothic Book" w:hAnsi="Franklin Gothic Book"/>
              </w:rPr>
            </w:pPr>
            <w:r>
              <w:rPr>
                <w:rFonts w:ascii="Franklin Gothic Book" w:hAnsi="Franklin Gothic Book"/>
              </w:rPr>
              <w:t>72.0</w:t>
            </w:r>
          </w:p>
        </w:tc>
        <w:tc>
          <w:tcPr>
            <w:tcW w:w="1152" w:type="dxa"/>
            <w:vAlign w:val="center"/>
          </w:tcPr>
          <w:p w14:paraId="35E3534E" w14:textId="77777777" w:rsidR="000A1B38" w:rsidRPr="00BD1632" w:rsidRDefault="000A1B38">
            <w:pPr>
              <w:pStyle w:val="TableTextCentered"/>
              <w:rPr>
                <w:rFonts w:ascii="Franklin Gothic Book" w:hAnsi="Franklin Gothic Book"/>
              </w:rPr>
            </w:pPr>
            <w:r>
              <w:rPr>
                <w:rFonts w:ascii="Franklin Gothic Book" w:hAnsi="Franklin Gothic Book"/>
              </w:rPr>
              <w:t>74.5</w:t>
            </w:r>
          </w:p>
        </w:tc>
        <w:tc>
          <w:tcPr>
            <w:tcW w:w="1152" w:type="dxa"/>
            <w:vAlign w:val="center"/>
          </w:tcPr>
          <w:p w14:paraId="6CFFA423" w14:textId="77777777" w:rsidR="000A1B38" w:rsidRPr="00BD1632" w:rsidRDefault="000A1B38">
            <w:pPr>
              <w:pStyle w:val="TableTextCentered"/>
              <w:rPr>
                <w:rFonts w:ascii="Franklin Gothic Book" w:hAnsi="Franklin Gothic Book"/>
              </w:rPr>
            </w:pPr>
            <w:r>
              <w:rPr>
                <w:rFonts w:ascii="Franklin Gothic Book" w:hAnsi="Franklin Gothic Book"/>
              </w:rPr>
              <w:t>87.2</w:t>
            </w:r>
          </w:p>
        </w:tc>
      </w:tr>
      <w:tr w:rsidR="000A1B38" w:rsidRPr="00976F70" w14:paraId="34D7F8E7" w14:textId="77777777">
        <w:tc>
          <w:tcPr>
            <w:tcW w:w="3586" w:type="dxa"/>
          </w:tcPr>
          <w:p w14:paraId="4E1BE93B" w14:textId="77777777" w:rsidR="000A1B38" w:rsidRPr="00A73A0A" w:rsidRDefault="000A1B38">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1FCF5633" w14:textId="77777777" w:rsidR="000A1B38" w:rsidRPr="00BD1632" w:rsidRDefault="000A1B38">
            <w:pPr>
              <w:pStyle w:val="TableTextCentered"/>
              <w:rPr>
                <w:rFonts w:ascii="Franklin Gothic Book" w:hAnsi="Franklin Gothic Book"/>
              </w:rPr>
            </w:pPr>
            <w:r>
              <w:rPr>
                <w:rFonts w:ascii="Franklin Gothic Book" w:hAnsi="Franklin Gothic Book"/>
              </w:rPr>
              <w:t>1,509</w:t>
            </w:r>
          </w:p>
        </w:tc>
        <w:tc>
          <w:tcPr>
            <w:tcW w:w="1152" w:type="dxa"/>
            <w:vAlign w:val="center"/>
          </w:tcPr>
          <w:p w14:paraId="702AAD3A" w14:textId="77777777" w:rsidR="000A1B38" w:rsidRPr="00BD1632" w:rsidRDefault="000A1B38">
            <w:pPr>
              <w:pStyle w:val="TableTextCentered"/>
              <w:rPr>
                <w:rFonts w:ascii="Franklin Gothic Book" w:hAnsi="Franklin Gothic Book"/>
              </w:rPr>
            </w:pPr>
            <w:r>
              <w:rPr>
                <w:rFonts w:ascii="Franklin Gothic Book" w:hAnsi="Franklin Gothic Book"/>
              </w:rPr>
              <w:t>45.3</w:t>
            </w:r>
          </w:p>
        </w:tc>
        <w:tc>
          <w:tcPr>
            <w:tcW w:w="1151" w:type="dxa"/>
            <w:vAlign w:val="center"/>
          </w:tcPr>
          <w:p w14:paraId="30448DF2" w14:textId="77777777" w:rsidR="000A1B38" w:rsidRPr="00BD1632" w:rsidRDefault="000A1B38">
            <w:pPr>
              <w:pStyle w:val="TableTextCentered"/>
              <w:rPr>
                <w:rFonts w:ascii="Franklin Gothic Book" w:hAnsi="Franklin Gothic Book"/>
              </w:rPr>
            </w:pPr>
            <w:r>
              <w:rPr>
                <w:rFonts w:ascii="Franklin Gothic Book" w:hAnsi="Franklin Gothic Book"/>
              </w:rPr>
              <w:t>34.1</w:t>
            </w:r>
          </w:p>
        </w:tc>
        <w:tc>
          <w:tcPr>
            <w:tcW w:w="1152" w:type="dxa"/>
            <w:vAlign w:val="center"/>
          </w:tcPr>
          <w:p w14:paraId="51064AC4" w14:textId="77777777" w:rsidR="000A1B38" w:rsidRPr="00BD1632" w:rsidRDefault="000A1B38">
            <w:pPr>
              <w:pStyle w:val="TableTextCentered"/>
              <w:rPr>
                <w:rFonts w:ascii="Franklin Gothic Book" w:hAnsi="Franklin Gothic Book"/>
              </w:rPr>
            </w:pPr>
            <w:r>
              <w:rPr>
                <w:rFonts w:ascii="Franklin Gothic Book" w:hAnsi="Franklin Gothic Book"/>
              </w:rPr>
              <w:t>39.0</w:t>
            </w:r>
          </w:p>
        </w:tc>
        <w:tc>
          <w:tcPr>
            <w:tcW w:w="1152" w:type="dxa"/>
            <w:vAlign w:val="center"/>
          </w:tcPr>
          <w:p w14:paraId="796F1079" w14:textId="77777777" w:rsidR="000A1B38" w:rsidRPr="00BD1632" w:rsidRDefault="000A1B38">
            <w:pPr>
              <w:pStyle w:val="TableTextCentered"/>
              <w:rPr>
                <w:rFonts w:ascii="Franklin Gothic Book" w:hAnsi="Franklin Gothic Book"/>
              </w:rPr>
            </w:pPr>
            <w:r>
              <w:rPr>
                <w:rFonts w:ascii="Franklin Gothic Book" w:hAnsi="Franklin Gothic Book"/>
              </w:rPr>
              <w:t>58.9</w:t>
            </w:r>
          </w:p>
        </w:tc>
      </w:tr>
      <w:tr w:rsidR="000A1B38" w:rsidRPr="00976F70" w14:paraId="5AC58D3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C749500" w14:textId="77777777" w:rsidR="000A1B38" w:rsidRPr="00A73A0A" w:rsidRDefault="000A1B38">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7F850E18" w14:textId="77777777" w:rsidR="000A1B38" w:rsidRPr="00BD1632" w:rsidRDefault="000A1B38">
            <w:pPr>
              <w:pStyle w:val="TableTextCentered"/>
              <w:rPr>
                <w:rFonts w:ascii="Franklin Gothic Book" w:hAnsi="Franklin Gothic Book"/>
              </w:rPr>
            </w:pPr>
            <w:r>
              <w:rPr>
                <w:rFonts w:ascii="Franklin Gothic Book" w:hAnsi="Franklin Gothic Book"/>
              </w:rPr>
              <w:t>389</w:t>
            </w:r>
          </w:p>
        </w:tc>
        <w:tc>
          <w:tcPr>
            <w:tcW w:w="1152" w:type="dxa"/>
            <w:vAlign w:val="center"/>
          </w:tcPr>
          <w:p w14:paraId="2E7A9A8B" w14:textId="77777777" w:rsidR="000A1B38" w:rsidRPr="00BD1632" w:rsidRDefault="000A1B38">
            <w:pPr>
              <w:pStyle w:val="TableTextCentered"/>
              <w:rPr>
                <w:rFonts w:ascii="Franklin Gothic Book" w:hAnsi="Franklin Gothic Book"/>
              </w:rPr>
            </w:pPr>
            <w:r>
              <w:rPr>
                <w:rFonts w:ascii="Franklin Gothic Book" w:hAnsi="Franklin Gothic Book"/>
              </w:rPr>
              <w:t>35.5</w:t>
            </w:r>
          </w:p>
        </w:tc>
        <w:tc>
          <w:tcPr>
            <w:tcW w:w="1151" w:type="dxa"/>
            <w:vAlign w:val="center"/>
          </w:tcPr>
          <w:p w14:paraId="308788A9" w14:textId="77777777" w:rsidR="000A1B38" w:rsidRPr="00BD1632" w:rsidRDefault="000A1B38">
            <w:pPr>
              <w:pStyle w:val="TableTextCentered"/>
              <w:rPr>
                <w:rFonts w:ascii="Franklin Gothic Book" w:hAnsi="Franklin Gothic Book"/>
              </w:rPr>
            </w:pPr>
            <w:r>
              <w:rPr>
                <w:rFonts w:ascii="Franklin Gothic Book" w:hAnsi="Franklin Gothic Book"/>
              </w:rPr>
              <w:t>31.5</w:t>
            </w:r>
          </w:p>
        </w:tc>
        <w:tc>
          <w:tcPr>
            <w:tcW w:w="1152" w:type="dxa"/>
            <w:vAlign w:val="center"/>
          </w:tcPr>
          <w:p w14:paraId="5A927DC8" w14:textId="77777777" w:rsidR="000A1B38" w:rsidRPr="00BD1632" w:rsidRDefault="000A1B38">
            <w:pPr>
              <w:pStyle w:val="TableTextCentered"/>
              <w:rPr>
                <w:rFonts w:ascii="Franklin Gothic Book" w:hAnsi="Franklin Gothic Book"/>
              </w:rPr>
            </w:pPr>
            <w:r>
              <w:rPr>
                <w:rFonts w:ascii="Franklin Gothic Book" w:hAnsi="Franklin Gothic Book"/>
              </w:rPr>
              <w:t>40.6</w:t>
            </w:r>
          </w:p>
        </w:tc>
        <w:tc>
          <w:tcPr>
            <w:tcW w:w="1152" w:type="dxa"/>
            <w:vAlign w:val="center"/>
          </w:tcPr>
          <w:p w14:paraId="40F038F3" w14:textId="77777777" w:rsidR="000A1B38" w:rsidRPr="00BD1632" w:rsidRDefault="000A1B38">
            <w:pPr>
              <w:pStyle w:val="TableTextCentered"/>
              <w:rPr>
                <w:rFonts w:ascii="Franklin Gothic Book" w:hAnsi="Franklin Gothic Book"/>
              </w:rPr>
            </w:pPr>
            <w:r>
              <w:rPr>
                <w:rFonts w:ascii="Franklin Gothic Book" w:hAnsi="Franklin Gothic Book"/>
              </w:rPr>
              <w:t>56.1</w:t>
            </w:r>
          </w:p>
        </w:tc>
      </w:tr>
      <w:tr w:rsidR="000A1B38" w:rsidRPr="00976F70" w14:paraId="4E964A8A" w14:textId="77777777">
        <w:tc>
          <w:tcPr>
            <w:tcW w:w="3586" w:type="dxa"/>
          </w:tcPr>
          <w:p w14:paraId="67C6F64E" w14:textId="77777777" w:rsidR="000A1B38" w:rsidRPr="00A73A0A" w:rsidRDefault="000A1B38">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6E3F62F" w14:textId="77777777" w:rsidR="000A1B38" w:rsidRPr="00BD1632" w:rsidRDefault="000A1B38">
            <w:pPr>
              <w:pStyle w:val="TableTextCentered"/>
              <w:rPr>
                <w:rFonts w:ascii="Franklin Gothic Book" w:hAnsi="Franklin Gothic Book"/>
              </w:rPr>
            </w:pPr>
            <w:r>
              <w:rPr>
                <w:rFonts w:ascii="Franklin Gothic Book" w:hAnsi="Franklin Gothic Book"/>
              </w:rPr>
              <w:t>67</w:t>
            </w:r>
          </w:p>
        </w:tc>
        <w:tc>
          <w:tcPr>
            <w:tcW w:w="1152" w:type="dxa"/>
            <w:vAlign w:val="center"/>
          </w:tcPr>
          <w:p w14:paraId="02685FD7" w14:textId="77777777" w:rsidR="000A1B38" w:rsidRPr="00BD1632" w:rsidRDefault="000A1B38">
            <w:pPr>
              <w:pStyle w:val="TableTextCentered"/>
              <w:rPr>
                <w:rFonts w:ascii="Franklin Gothic Book" w:hAnsi="Franklin Gothic Book"/>
              </w:rPr>
            </w:pPr>
            <w:r>
              <w:rPr>
                <w:rFonts w:ascii="Franklin Gothic Book" w:hAnsi="Franklin Gothic Book"/>
              </w:rPr>
              <w:t>52.7</w:t>
            </w:r>
          </w:p>
        </w:tc>
        <w:tc>
          <w:tcPr>
            <w:tcW w:w="1151" w:type="dxa"/>
            <w:vAlign w:val="center"/>
          </w:tcPr>
          <w:p w14:paraId="79316AC2" w14:textId="77777777" w:rsidR="000A1B38" w:rsidRPr="00BD1632" w:rsidRDefault="000A1B38">
            <w:pPr>
              <w:pStyle w:val="TableTextCentered"/>
              <w:rPr>
                <w:rFonts w:ascii="Franklin Gothic Book" w:hAnsi="Franklin Gothic Book"/>
              </w:rPr>
            </w:pPr>
            <w:r>
              <w:rPr>
                <w:rFonts w:ascii="Franklin Gothic Book" w:hAnsi="Franklin Gothic Book"/>
              </w:rPr>
              <w:t>39.4</w:t>
            </w:r>
          </w:p>
        </w:tc>
        <w:tc>
          <w:tcPr>
            <w:tcW w:w="1152" w:type="dxa"/>
            <w:vAlign w:val="center"/>
          </w:tcPr>
          <w:p w14:paraId="77D98265" w14:textId="77777777" w:rsidR="000A1B38" w:rsidRPr="00BD1632" w:rsidRDefault="000A1B38">
            <w:pPr>
              <w:pStyle w:val="TableTextCentered"/>
              <w:rPr>
                <w:rFonts w:ascii="Franklin Gothic Book" w:hAnsi="Franklin Gothic Book"/>
              </w:rPr>
            </w:pPr>
            <w:r>
              <w:rPr>
                <w:rFonts w:ascii="Franklin Gothic Book" w:hAnsi="Franklin Gothic Book"/>
              </w:rPr>
              <w:t>49.3</w:t>
            </w:r>
          </w:p>
        </w:tc>
        <w:tc>
          <w:tcPr>
            <w:tcW w:w="1152" w:type="dxa"/>
            <w:vAlign w:val="center"/>
          </w:tcPr>
          <w:p w14:paraId="6E6C5F70" w14:textId="77777777" w:rsidR="000A1B38" w:rsidRPr="00BD1632" w:rsidRDefault="000A1B38">
            <w:pPr>
              <w:pStyle w:val="TableTextCentered"/>
              <w:rPr>
                <w:rFonts w:ascii="Franklin Gothic Book" w:hAnsi="Franklin Gothic Book"/>
              </w:rPr>
            </w:pPr>
            <w:r>
              <w:rPr>
                <w:rFonts w:ascii="Franklin Gothic Book" w:hAnsi="Franklin Gothic Book"/>
              </w:rPr>
              <w:t>70.3</w:t>
            </w:r>
          </w:p>
        </w:tc>
      </w:tr>
      <w:tr w:rsidR="000A1B38" w:rsidRPr="00976F70" w14:paraId="57AA5AA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6B67DE6"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5208E4BA" w14:textId="77777777" w:rsidR="000A1B38" w:rsidRPr="00BD1632" w:rsidRDefault="000A1B38">
            <w:pPr>
              <w:pStyle w:val="TableTextCentered"/>
              <w:rPr>
                <w:rFonts w:ascii="Franklin Gothic Book" w:hAnsi="Franklin Gothic Book"/>
              </w:rPr>
            </w:pPr>
            <w:r>
              <w:rPr>
                <w:rFonts w:ascii="Franklin Gothic Book" w:hAnsi="Franklin Gothic Book"/>
              </w:rPr>
              <w:t>4</w:t>
            </w:r>
          </w:p>
        </w:tc>
        <w:tc>
          <w:tcPr>
            <w:tcW w:w="1152" w:type="dxa"/>
            <w:vAlign w:val="center"/>
          </w:tcPr>
          <w:p w14:paraId="3A3B9D4B" w14:textId="3F8D8C1C" w:rsidR="000A1B38" w:rsidRPr="00BD1632" w:rsidRDefault="00527300">
            <w:pPr>
              <w:pStyle w:val="TableTextCentered"/>
              <w:rPr>
                <w:rFonts w:ascii="Franklin Gothic Book" w:hAnsi="Franklin Gothic Book"/>
              </w:rPr>
            </w:pPr>
            <w:r>
              <w:rPr>
                <w:rFonts w:ascii="Franklin Gothic Book" w:hAnsi="Franklin Gothic Book"/>
              </w:rPr>
              <w:t>N/A</w:t>
            </w:r>
          </w:p>
        </w:tc>
        <w:tc>
          <w:tcPr>
            <w:tcW w:w="1151" w:type="dxa"/>
            <w:vAlign w:val="center"/>
          </w:tcPr>
          <w:p w14:paraId="1C0E2B67" w14:textId="500D2936"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66A3CA22" w14:textId="39AC2F0D" w:rsidR="000A1B38" w:rsidRPr="00BD1632" w:rsidRDefault="00527300">
            <w:pPr>
              <w:pStyle w:val="TableTextCentered"/>
              <w:rPr>
                <w:rFonts w:ascii="Franklin Gothic Book" w:hAnsi="Franklin Gothic Book"/>
              </w:rPr>
            </w:pPr>
            <w:r>
              <w:rPr>
                <w:rFonts w:ascii="Franklin Gothic Book" w:hAnsi="Franklin Gothic Book"/>
              </w:rPr>
              <w:t>N/A</w:t>
            </w:r>
          </w:p>
        </w:tc>
        <w:tc>
          <w:tcPr>
            <w:tcW w:w="1152" w:type="dxa"/>
            <w:vAlign w:val="center"/>
          </w:tcPr>
          <w:p w14:paraId="348E71A3" w14:textId="77777777" w:rsidR="000A1B38" w:rsidRPr="00BD1632" w:rsidRDefault="000A1B38">
            <w:pPr>
              <w:pStyle w:val="TableTextCentered"/>
              <w:rPr>
                <w:rFonts w:ascii="Franklin Gothic Book" w:hAnsi="Franklin Gothic Book"/>
              </w:rPr>
            </w:pPr>
            <w:r>
              <w:rPr>
                <w:rFonts w:ascii="Franklin Gothic Book" w:hAnsi="Franklin Gothic Book"/>
              </w:rPr>
              <w:t>67.6</w:t>
            </w:r>
          </w:p>
        </w:tc>
      </w:tr>
      <w:tr w:rsidR="000A1B38" w:rsidRPr="00976F70" w14:paraId="2D3CD5CA" w14:textId="77777777">
        <w:tc>
          <w:tcPr>
            <w:tcW w:w="3586" w:type="dxa"/>
          </w:tcPr>
          <w:p w14:paraId="3D646361" w14:textId="77777777" w:rsidR="000A1B38" w:rsidRPr="00A73A0A" w:rsidRDefault="000A1B38">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4F45483E" w14:textId="77777777" w:rsidR="000A1B38" w:rsidRPr="00BD1632" w:rsidRDefault="000A1B38">
            <w:pPr>
              <w:pStyle w:val="TableTextCentered"/>
              <w:rPr>
                <w:rFonts w:ascii="Franklin Gothic Book" w:hAnsi="Franklin Gothic Book"/>
              </w:rPr>
            </w:pPr>
            <w:r>
              <w:rPr>
                <w:rFonts w:ascii="Franklin Gothic Book" w:hAnsi="Franklin Gothic Book"/>
              </w:rPr>
              <w:t>213</w:t>
            </w:r>
          </w:p>
        </w:tc>
        <w:tc>
          <w:tcPr>
            <w:tcW w:w="1152" w:type="dxa"/>
            <w:vAlign w:val="center"/>
          </w:tcPr>
          <w:p w14:paraId="2FF161B8" w14:textId="77777777" w:rsidR="000A1B38" w:rsidRPr="00BD1632" w:rsidRDefault="000A1B38">
            <w:pPr>
              <w:pStyle w:val="TableTextCentered"/>
              <w:rPr>
                <w:rFonts w:ascii="Franklin Gothic Book" w:hAnsi="Franklin Gothic Book"/>
              </w:rPr>
            </w:pPr>
            <w:r>
              <w:rPr>
                <w:rFonts w:ascii="Franklin Gothic Book" w:hAnsi="Franklin Gothic Book"/>
              </w:rPr>
              <w:t>58.8</w:t>
            </w:r>
          </w:p>
        </w:tc>
        <w:tc>
          <w:tcPr>
            <w:tcW w:w="1151" w:type="dxa"/>
            <w:vAlign w:val="center"/>
          </w:tcPr>
          <w:p w14:paraId="5A3E9899" w14:textId="77777777" w:rsidR="000A1B38" w:rsidRPr="00BD1632" w:rsidRDefault="000A1B38">
            <w:pPr>
              <w:pStyle w:val="TableTextCentered"/>
              <w:rPr>
                <w:rFonts w:ascii="Franklin Gothic Book" w:hAnsi="Franklin Gothic Book"/>
              </w:rPr>
            </w:pPr>
            <w:r>
              <w:rPr>
                <w:rFonts w:ascii="Franklin Gothic Book" w:hAnsi="Franklin Gothic Book"/>
              </w:rPr>
              <w:t>54.1</w:t>
            </w:r>
          </w:p>
        </w:tc>
        <w:tc>
          <w:tcPr>
            <w:tcW w:w="1152" w:type="dxa"/>
            <w:vAlign w:val="center"/>
          </w:tcPr>
          <w:p w14:paraId="2E710DBC" w14:textId="77777777" w:rsidR="000A1B38" w:rsidRPr="00BD1632" w:rsidRDefault="000A1B38">
            <w:pPr>
              <w:pStyle w:val="TableTextCentered"/>
              <w:rPr>
                <w:rFonts w:ascii="Franklin Gothic Book" w:hAnsi="Franklin Gothic Book"/>
              </w:rPr>
            </w:pPr>
            <w:r>
              <w:rPr>
                <w:rFonts w:ascii="Franklin Gothic Book" w:hAnsi="Franklin Gothic Book"/>
              </w:rPr>
              <w:t>55.4</w:t>
            </w:r>
          </w:p>
        </w:tc>
        <w:tc>
          <w:tcPr>
            <w:tcW w:w="1152" w:type="dxa"/>
            <w:vAlign w:val="center"/>
          </w:tcPr>
          <w:p w14:paraId="4228AB35" w14:textId="77777777" w:rsidR="000A1B38" w:rsidRPr="00BD1632" w:rsidRDefault="000A1B38">
            <w:pPr>
              <w:pStyle w:val="TableTextCentered"/>
              <w:rPr>
                <w:rFonts w:ascii="Franklin Gothic Book" w:hAnsi="Franklin Gothic Book"/>
              </w:rPr>
            </w:pPr>
            <w:r>
              <w:rPr>
                <w:rFonts w:ascii="Franklin Gothic Book" w:hAnsi="Franklin Gothic Book"/>
              </w:rPr>
              <w:t>74.1</w:t>
            </w:r>
          </w:p>
        </w:tc>
      </w:tr>
      <w:tr w:rsidR="000A1B38" w:rsidRPr="00976F70" w14:paraId="4A94BB3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1E26F71" w14:textId="77777777" w:rsidR="000A1B38" w:rsidRPr="00A73A0A" w:rsidRDefault="000A1B38">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36D9F959" w14:textId="77777777" w:rsidR="000A1B38" w:rsidRPr="00BD1632" w:rsidRDefault="000A1B38">
            <w:pPr>
              <w:pStyle w:val="TableTextCentered"/>
              <w:rPr>
                <w:rFonts w:ascii="Franklin Gothic Book" w:hAnsi="Franklin Gothic Book"/>
              </w:rPr>
            </w:pPr>
            <w:r>
              <w:rPr>
                <w:rFonts w:ascii="Franklin Gothic Book" w:hAnsi="Franklin Gothic Book"/>
              </w:rPr>
              <w:t>1,819</w:t>
            </w:r>
          </w:p>
        </w:tc>
        <w:tc>
          <w:tcPr>
            <w:tcW w:w="1152" w:type="dxa"/>
            <w:vAlign w:val="center"/>
          </w:tcPr>
          <w:p w14:paraId="633FA71E" w14:textId="77777777" w:rsidR="000A1B38" w:rsidRPr="00BD1632" w:rsidRDefault="000A1B38">
            <w:pPr>
              <w:pStyle w:val="TableTextCentered"/>
              <w:rPr>
                <w:rFonts w:ascii="Franklin Gothic Book" w:hAnsi="Franklin Gothic Book"/>
              </w:rPr>
            </w:pPr>
            <w:r>
              <w:rPr>
                <w:rFonts w:ascii="Franklin Gothic Book" w:hAnsi="Franklin Gothic Book"/>
              </w:rPr>
              <w:t>38.2</w:t>
            </w:r>
          </w:p>
        </w:tc>
        <w:tc>
          <w:tcPr>
            <w:tcW w:w="1151" w:type="dxa"/>
            <w:vAlign w:val="center"/>
          </w:tcPr>
          <w:p w14:paraId="1BFB174C" w14:textId="77777777" w:rsidR="000A1B38" w:rsidRPr="00BD1632" w:rsidRDefault="000A1B38">
            <w:pPr>
              <w:pStyle w:val="TableTextCentered"/>
              <w:rPr>
                <w:rFonts w:ascii="Franklin Gothic Book" w:hAnsi="Franklin Gothic Book"/>
              </w:rPr>
            </w:pPr>
            <w:r>
              <w:rPr>
                <w:rFonts w:ascii="Franklin Gothic Book" w:hAnsi="Franklin Gothic Book"/>
              </w:rPr>
              <w:t>30.3</w:t>
            </w:r>
          </w:p>
        </w:tc>
        <w:tc>
          <w:tcPr>
            <w:tcW w:w="1152" w:type="dxa"/>
            <w:vAlign w:val="center"/>
          </w:tcPr>
          <w:p w14:paraId="0AB97995" w14:textId="77777777" w:rsidR="000A1B38" w:rsidRPr="00BD1632" w:rsidRDefault="000A1B38">
            <w:pPr>
              <w:pStyle w:val="TableTextCentered"/>
              <w:rPr>
                <w:rFonts w:ascii="Franklin Gothic Book" w:hAnsi="Franklin Gothic Book"/>
              </w:rPr>
            </w:pPr>
            <w:r>
              <w:rPr>
                <w:rFonts w:ascii="Franklin Gothic Book" w:hAnsi="Franklin Gothic Book"/>
              </w:rPr>
              <w:t>36.1</w:t>
            </w:r>
          </w:p>
        </w:tc>
        <w:tc>
          <w:tcPr>
            <w:tcW w:w="1152" w:type="dxa"/>
            <w:vAlign w:val="center"/>
          </w:tcPr>
          <w:p w14:paraId="0879FABC" w14:textId="77777777" w:rsidR="000A1B38" w:rsidRPr="00BD1632" w:rsidRDefault="000A1B38">
            <w:pPr>
              <w:pStyle w:val="TableTextCentered"/>
              <w:rPr>
                <w:rFonts w:ascii="Franklin Gothic Book" w:hAnsi="Franklin Gothic Book"/>
              </w:rPr>
            </w:pPr>
            <w:r>
              <w:rPr>
                <w:rFonts w:ascii="Franklin Gothic Book" w:hAnsi="Franklin Gothic Book"/>
              </w:rPr>
              <w:t>53.8</w:t>
            </w:r>
          </w:p>
        </w:tc>
      </w:tr>
      <w:tr w:rsidR="000A1B38" w:rsidRPr="00976F70" w14:paraId="6C4E995D" w14:textId="77777777">
        <w:tc>
          <w:tcPr>
            <w:tcW w:w="3586" w:type="dxa"/>
          </w:tcPr>
          <w:p w14:paraId="46DEFA4E" w14:textId="77777777" w:rsidR="000A1B38" w:rsidRPr="00A73A0A" w:rsidRDefault="000A1B38">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73356D8E" w14:textId="77777777" w:rsidR="000A1B38" w:rsidRPr="00BD1632" w:rsidRDefault="000A1B38">
            <w:pPr>
              <w:pStyle w:val="TableTextCentered"/>
              <w:rPr>
                <w:rFonts w:ascii="Franklin Gothic Book" w:hAnsi="Franklin Gothic Book"/>
              </w:rPr>
            </w:pPr>
            <w:r>
              <w:rPr>
                <w:rFonts w:ascii="Franklin Gothic Book" w:hAnsi="Franklin Gothic Book"/>
              </w:rPr>
              <w:t>848</w:t>
            </w:r>
          </w:p>
        </w:tc>
        <w:tc>
          <w:tcPr>
            <w:tcW w:w="1152" w:type="dxa"/>
            <w:vAlign w:val="center"/>
          </w:tcPr>
          <w:p w14:paraId="63B8DE04" w14:textId="77777777" w:rsidR="000A1B38" w:rsidRPr="00BD1632" w:rsidRDefault="000A1B38">
            <w:pPr>
              <w:pStyle w:val="TableTextCentered"/>
              <w:rPr>
                <w:rFonts w:ascii="Franklin Gothic Book" w:hAnsi="Franklin Gothic Book"/>
              </w:rPr>
            </w:pPr>
            <w:r>
              <w:rPr>
                <w:rFonts w:ascii="Franklin Gothic Book" w:hAnsi="Franklin Gothic Book"/>
              </w:rPr>
              <w:t>16.8</w:t>
            </w:r>
          </w:p>
        </w:tc>
        <w:tc>
          <w:tcPr>
            <w:tcW w:w="1151" w:type="dxa"/>
            <w:vAlign w:val="center"/>
          </w:tcPr>
          <w:p w14:paraId="462A1BFD" w14:textId="77777777" w:rsidR="000A1B38" w:rsidRPr="00BD1632" w:rsidRDefault="000A1B38">
            <w:pPr>
              <w:pStyle w:val="TableTextCentered"/>
              <w:rPr>
                <w:rFonts w:ascii="Franklin Gothic Book" w:hAnsi="Franklin Gothic Book"/>
              </w:rPr>
            </w:pPr>
            <w:r>
              <w:rPr>
                <w:rFonts w:ascii="Franklin Gothic Book" w:hAnsi="Franklin Gothic Book"/>
              </w:rPr>
              <w:t>13.3</w:t>
            </w:r>
          </w:p>
        </w:tc>
        <w:tc>
          <w:tcPr>
            <w:tcW w:w="1152" w:type="dxa"/>
            <w:vAlign w:val="center"/>
          </w:tcPr>
          <w:p w14:paraId="58809F43" w14:textId="77777777" w:rsidR="000A1B38" w:rsidRPr="00BD1632" w:rsidRDefault="000A1B38">
            <w:pPr>
              <w:pStyle w:val="TableTextCentered"/>
              <w:rPr>
                <w:rFonts w:ascii="Franklin Gothic Book" w:hAnsi="Franklin Gothic Book"/>
              </w:rPr>
            </w:pPr>
            <w:r>
              <w:rPr>
                <w:rFonts w:ascii="Franklin Gothic Book" w:hAnsi="Franklin Gothic Book"/>
              </w:rPr>
              <w:t>20.2</w:t>
            </w:r>
          </w:p>
        </w:tc>
        <w:tc>
          <w:tcPr>
            <w:tcW w:w="1152" w:type="dxa"/>
            <w:vAlign w:val="center"/>
          </w:tcPr>
          <w:p w14:paraId="596AABD3" w14:textId="77777777" w:rsidR="000A1B38" w:rsidRPr="00BD1632" w:rsidRDefault="000A1B38">
            <w:pPr>
              <w:pStyle w:val="TableTextCentered"/>
              <w:rPr>
                <w:rFonts w:ascii="Franklin Gothic Book" w:hAnsi="Franklin Gothic Book"/>
              </w:rPr>
            </w:pPr>
            <w:r>
              <w:rPr>
                <w:rFonts w:ascii="Franklin Gothic Book" w:hAnsi="Franklin Gothic Book"/>
              </w:rPr>
              <w:t>34.9</w:t>
            </w:r>
          </w:p>
        </w:tc>
      </w:tr>
      <w:tr w:rsidR="000A1B38" w:rsidRPr="00976F70" w14:paraId="75570C9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E5E6B37" w14:textId="77777777" w:rsidR="000A1B38" w:rsidRPr="00A73A0A" w:rsidRDefault="000A1B38">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2743DC26" w14:textId="77777777" w:rsidR="000A1B38" w:rsidRPr="00BD1632" w:rsidRDefault="000A1B38">
            <w:pPr>
              <w:pStyle w:val="TableTextCentered"/>
              <w:rPr>
                <w:rFonts w:ascii="Franklin Gothic Book" w:hAnsi="Franklin Gothic Book"/>
              </w:rPr>
            </w:pPr>
            <w:r>
              <w:rPr>
                <w:rFonts w:ascii="Franklin Gothic Book" w:hAnsi="Franklin Gothic Book"/>
              </w:rPr>
              <w:t>1,593</w:t>
            </w:r>
          </w:p>
        </w:tc>
        <w:tc>
          <w:tcPr>
            <w:tcW w:w="1152" w:type="dxa"/>
            <w:vAlign w:val="center"/>
          </w:tcPr>
          <w:p w14:paraId="71615600" w14:textId="77777777" w:rsidR="000A1B38" w:rsidRPr="00BD1632" w:rsidRDefault="000A1B38">
            <w:pPr>
              <w:pStyle w:val="TableTextCentered"/>
              <w:rPr>
                <w:rFonts w:ascii="Franklin Gothic Book" w:hAnsi="Franklin Gothic Book"/>
              </w:rPr>
            </w:pPr>
            <w:r>
              <w:rPr>
                <w:rFonts w:ascii="Franklin Gothic Book" w:hAnsi="Franklin Gothic Book"/>
              </w:rPr>
              <w:t>38.8</w:t>
            </w:r>
          </w:p>
        </w:tc>
        <w:tc>
          <w:tcPr>
            <w:tcW w:w="1151" w:type="dxa"/>
            <w:vAlign w:val="center"/>
          </w:tcPr>
          <w:p w14:paraId="3E2D20AE" w14:textId="77777777" w:rsidR="000A1B38" w:rsidRPr="00BD1632" w:rsidRDefault="000A1B38">
            <w:pPr>
              <w:pStyle w:val="TableTextCentered"/>
              <w:rPr>
                <w:rFonts w:ascii="Franklin Gothic Book" w:hAnsi="Franklin Gothic Book"/>
              </w:rPr>
            </w:pPr>
            <w:r>
              <w:rPr>
                <w:rFonts w:ascii="Franklin Gothic Book" w:hAnsi="Franklin Gothic Book"/>
              </w:rPr>
              <w:t>31.3</w:t>
            </w:r>
          </w:p>
        </w:tc>
        <w:tc>
          <w:tcPr>
            <w:tcW w:w="1152" w:type="dxa"/>
            <w:vAlign w:val="center"/>
          </w:tcPr>
          <w:p w14:paraId="644B9597" w14:textId="77777777" w:rsidR="000A1B38" w:rsidRPr="00BD1632" w:rsidRDefault="000A1B38">
            <w:pPr>
              <w:pStyle w:val="TableTextCentered"/>
              <w:rPr>
                <w:rFonts w:ascii="Franklin Gothic Book" w:hAnsi="Franklin Gothic Book"/>
              </w:rPr>
            </w:pPr>
            <w:r>
              <w:rPr>
                <w:rFonts w:ascii="Franklin Gothic Book" w:hAnsi="Franklin Gothic Book"/>
              </w:rPr>
              <w:t>37.4</w:t>
            </w:r>
          </w:p>
        </w:tc>
        <w:tc>
          <w:tcPr>
            <w:tcW w:w="1152" w:type="dxa"/>
            <w:vAlign w:val="center"/>
          </w:tcPr>
          <w:p w14:paraId="42B6AEA7" w14:textId="77777777" w:rsidR="000A1B38" w:rsidRPr="00BD1632" w:rsidRDefault="000A1B38">
            <w:pPr>
              <w:pStyle w:val="TableTextCentered"/>
              <w:rPr>
                <w:rFonts w:ascii="Franklin Gothic Book" w:hAnsi="Franklin Gothic Book"/>
              </w:rPr>
            </w:pPr>
            <w:r>
              <w:rPr>
                <w:rFonts w:ascii="Franklin Gothic Book" w:hAnsi="Franklin Gothic Book"/>
              </w:rPr>
              <w:t>54.7</w:t>
            </w:r>
          </w:p>
        </w:tc>
      </w:tr>
      <w:tr w:rsidR="000A1B38" w:rsidRPr="00976F70" w14:paraId="49BE801C" w14:textId="77777777">
        <w:tc>
          <w:tcPr>
            <w:tcW w:w="3586" w:type="dxa"/>
          </w:tcPr>
          <w:p w14:paraId="278BDBF9" w14:textId="77777777" w:rsidR="000A1B38" w:rsidRPr="00A73A0A" w:rsidRDefault="000A1B38">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3B829987" w14:textId="77777777" w:rsidR="000A1B38" w:rsidRPr="00BD1632" w:rsidRDefault="000A1B38">
            <w:pPr>
              <w:pStyle w:val="TableTextCentered"/>
              <w:rPr>
                <w:rFonts w:ascii="Franklin Gothic Book" w:hAnsi="Franklin Gothic Book"/>
              </w:rPr>
            </w:pPr>
            <w:r>
              <w:rPr>
                <w:rFonts w:ascii="Franklin Gothic Book" w:hAnsi="Franklin Gothic Book"/>
              </w:rPr>
              <w:t>307</w:t>
            </w:r>
          </w:p>
        </w:tc>
        <w:tc>
          <w:tcPr>
            <w:tcW w:w="1152" w:type="dxa"/>
            <w:vAlign w:val="center"/>
          </w:tcPr>
          <w:p w14:paraId="1C48A11E" w14:textId="77777777" w:rsidR="000A1B38" w:rsidRPr="00BD1632" w:rsidRDefault="000A1B38">
            <w:pPr>
              <w:pStyle w:val="TableTextCentered"/>
              <w:rPr>
                <w:rFonts w:ascii="Franklin Gothic Book" w:hAnsi="Franklin Gothic Book"/>
              </w:rPr>
            </w:pPr>
            <w:r>
              <w:rPr>
                <w:rFonts w:ascii="Franklin Gothic Book" w:hAnsi="Franklin Gothic Book"/>
              </w:rPr>
              <w:t>20.2</w:t>
            </w:r>
          </w:p>
        </w:tc>
        <w:tc>
          <w:tcPr>
            <w:tcW w:w="1151" w:type="dxa"/>
            <w:vAlign w:val="center"/>
          </w:tcPr>
          <w:p w14:paraId="2959C3E8" w14:textId="77777777" w:rsidR="000A1B38" w:rsidRPr="00BD1632" w:rsidRDefault="000A1B38">
            <w:pPr>
              <w:pStyle w:val="TableTextCentered"/>
              <w:rPr>
                <w:rFonts w:ascii="Franklin Gothic Book" w:hAnsi="Franklin Gothic Book"/>
              </w:rPr>
            </w:pPr>
            <w:r>
              <w:rPr>
                <w:rFonts w:ascii="Franklin Gothic Book" w:hAnsi="Franklin Gothic Book"/>
              </w:rPr>
              <w:t>17.9</w:t>
            </w:r>
          </w:p>
        </w:tc>
        <w:tc>
          <w:tcPr>
            <w:tcW w:w="1152" w:type="dxa"/>
            <w:vAlign w:val="center"/>
          </w:tcPr>
          <w:p w14:paraId="73BD641C" w14:textId="77777777" w:rsidR="000A1B38" w:rsidRPr="00BD1632" w:rsidRDefault="000A1B38">
            <w:pPr>
              <w:pStyle w:val="TableTextCentered"/>
              <w:rPr>
                <w:rFonts w:ascii="Franklin Gothic Book" w:hAnsi="Franklin Gothic Book"/>
              </w:rPr>
            </w:pPr>
            <w:r>
              <w:rPr>
                <w:rFonts w:ascii="Franklin Gothic Book" w:hAnsi="Franklin Gothic Book"/>
              </w:rPr>
              <w:t>26.1</w:t>
            </w:r>
          </w:p>
        </w:tc>
        <w:tc>
          <w:tcPr>
            <w:tcW w:w="1152" w:type="dxa"/>
            <w:vAlign w:val="center"/>
          </w:tcPr>
          <w:p w14:paraId="43B6754A" w14:textId="77777777" w:rsidR="000A1B38" w:rsidRPr="00BD1632" w:rsidRDefault="000A1B38">
            <w:pPr>
              <w:pStyle w:val="TableTextCentered"/>
              <w:rPr>
                <w:rFonts w:ascii="Franklin Gothic Book" w:hAnsi="Franklin Gothic Book"/>
              </w:rPr>
            </w:pPr>
            <w:r>
              <w:rPr>
                <w:rFonts w:ascii="Franklin Gothic Book" w:hAnsi="Franklin Gothic Book"/>
              </w:rPr>
              <w:t>41.2</w:t>
            </w:r>
          </w:p>
        </w:tc>
      </w:tr>
    </w:tbl>
    <w:p w14:paraId="58D21C95" w14:textId="77777777" w:rsidR="000A1B38" w:rsidRPr="00420639" w:rsidRDefault="000A1B38" w:rsidP="0082637F">
      <w:pPr>
        <w:pStyle w:val="TableETitle"/>
      </w:pPr>
      <w:bookmarkStart w:id="261" w:name="_Toc211930052"/>
      <w:bookmarkStart w:id="262" w:name="_Toc230970182"/>
      <w:r w:rsidRPr="00420639">
        <w:t>Table E2</w:t>
      </w:r>
      <w:r>
        <w:t>2.</w:t>
      </w:r>
      <w:r w:rsidRPr="00420639">
        <w:t xml:space="preserve"> </w:t>
      </w:r>
      <w:r>
        <w:t>Accountability Results</w:t>
      </w:r>
      <w:r w:rsidRPr="00420639">
        <w:t>,</w:t>
      </w:r>
      <w:r>
        <w:t xml:space="preserve"> </w:t>
      </w:r>
      <w:r w:rsidRPr="00420639">
        <w:t>202</w:t>
      </w:r>
      <w:r>
        <w:t>5</w:t>
      </w:r>
      <w:bookmarkEnd w:id="261"/>
      <w:bookmarkEnd w:id="262"/>
    </w:p>
    <w:tbl>
      <w:tblPr>
        <w:tblStyle w:val="MSVTable1"/>
        <w:tblW w:w="0" w:type="auto"/>
        <w:jc w:val="center"/>
        <w:tblLook w:val="04A0" w:firstRow="1" w:lastRow="0" w:firstColumn="1" w:lastColumn="0" w:noHBand="0" w:noVBand="1"/>
        <w:tblCaption w:val="Table E22. Accountability Results, 2025"/>
        <w:tblDescription w:val="Accountability Results, 2025"/>
      </w:tblPr>
      <w:tblGrid>
        <w:gridCol w:w="2197"/>
        <w:gridCol w:w="1388"/>
        <w:gridCol w:w="1156"/>
        <w:gridCol w:w="2285"/>
        <w:gridCol w:w="2318"/>
      </w:tblGrid>
      <w:tr w:rsidR="000A1B38" w:rsidRPr="000E2C7D" w14:paraId="513E3848" w14:textId="77777777" w:rsidTr="0082637F">
        <w:trPr>
          <w:cnfStyle w:val="100000000000" w:firstRow="1" w:lastRow="0" w:firstColumn="0" w:lastColumn="0" w:oddVBand="0" w:evenVBand="0" w:oddHBand="0" w:evenHBand="0" w:firstRowFirstColumn="0" w:firstRowLastColumn="0" w:lastRowFirstColumn="0" w:lastRowLastColumn="0"/>
          <w:cantSplit/>
          <w:tblHeader/>
          <w:jc w:val="center"/>
        </w:trPr>
        <w:tc>
          <w:tcPr>
            <w:tcW w:w="2198" w:type="dxa"/>
            <w:vAlign w:val="center"/>
          </w:tcPr>
          <w:p w14:paraId="0F9F52EE" w14:textId="77777777" w:rsidR="000A1B38" w:rsidRPr="00B22A35" w:rsidRDefault="000A1B38">
            <w:pPr>
              <w:spacing w:line="240" w:lineRule="auto"/>
              <w:jc w:val="center"/>
              <w:rPr>
                <w:rFonts w:ascii="Franklin Gothic Demi" w:hAnsi="Franklin Gothic Demi"/>
                <w:sz w:val="20"/>
                <w:szCs w:val="20"/>
              </w:rPr>
            </w:pPr>
            <w:r w:rsidRPr="00B22A35">
              <w:rPr>
                <w:rFonts w:ascii="Franklin Gothic Demi" w:hAnsi="Franklin Gothic Demi"/>
                <w:sz w:val="20"/>
                <w:szCs w:val="20"/>
              </w:rPr>
              <w:t>School</w:t>
            </w:r>
          </w:p>
        </w:tc>
        <w:tc>
          <w:tcPr>
            <w:tcW w:w="1388" w:type="dxa"/>
          </w:tcPr>
          <w:p w14:paraId="6E3D1CEB" w14:textId="77777777" w:rsidR="000A1B38" w:rsidRPr="00B22A35" w:rsidRDefault="000A1B38">
            <w:pPr>
              <w:spacing w:line="240" w:lineRule="auto"/>
              <w:jc w:val="center"/>
              <w:rPr>
                <w:rFonts w:ascii="Franklin Gothic Demi" w:hAnsi="Franklin Gothic Demi"/>
                <w:sz w:val="20"/>
                <w:szCs w:val="20"/>
              </w:rPr>
            </w:pPr>
            <w:r w:rsidRPr="00B22A35">
              <w:rPr>
                <w:rFonts w:ascii="Franklin Gothic Demi" w:hAnsi="Franklin Gothic Demi"/>
                <w:sz w:val="20"/>
                <w:szCs w:val="20"/>
              </w:rPr>
              <w:t>Cumulative Progress Toward Improvement Targets (%)</w:t>
            </w:r>
          </w:p>
        </w:tc>
        <w:tc>
          <w:tcPr>
            <w:tcW w:w="1156" w:type="dxa"/>
            <w:vAlign w:val="center"/>
          </w:tcPr>
          <w:p w14:paraId="398B66DF" w14:textId="77777777" w:rsidR="000A1B38" w:rsidRPr="00B22A35" w:rsidRDefault="000A1B38">
            <w:pPr>
              <w:spacing w:line="240" w:lineRule="auto"/>
              <w:jc w:val="center"/>
              <w:rPr>
                <w:rFonts w:ascii="Franklin Gothic Demi" w:hAnsi="Franklin Gothic Demi"/>
                <w:sz w:val="20"/>
                <w:szCs w:val="20"/>
              </w:rPr>
            </w:pPr>
            <w:r w:rsidRPr="00B22A35">
              <w:rPr>
                <w:rFonts w:ascii="Franklin Gothic Demi" w:hAnsi="Franklin Gothic Demi"/>
                <w:sz w:val="20"/>
                <w:szCs w:val="20"/>
              </w:rPr>
              <w:t>Percentile</w:t>
            </w:r>
          </w:p>
        </w:tc>
        <w:tc>
          <w:tcPr>
            <w:tcW w:w="2284" w:type="dxa"/>
            <w:vAlign w:val="center"/>
          </w:tcPr>
          <w:p w14:paraId="33F64A76" w14:textId="77777777" w:rsidR="000A1B38" w:rsidRPr="00B22A35" w:rsidRDefault="000A1B38">
            <w:pPr>
              <w:spacing w:line="240" w:lineRule="auto"/>
              <w:jc w:val="center"/>
              <w:rPr>
                <w:rFonts w:ascii="Franklin Gothic Demi" w:hAnsi="Franklin Gothic Demi"/>
                <w:sz w:val="20"/>
                <w:szCs w:val="20"/>
              </w:rPr>
            </w:pPr>
            <w:r w:rsidRPr="00B22A35">
              <w:rPr>
                <w:rFonts w:ascii="Franklin Gothic Demi" w:hAnsi="Franklin Gothic Demi"/>
                <w:sz w:val="20"/>
                <w:szCs w:val="20"/>
              </w:rPr>
              <w:t>Overall Classification</w:t>
            </w:r>
          </w:p>
        </w:tc>
        <w:tc>
          <w:tcPr>
            <w:tcW w:w="2318" w:type="dxa"/>
            <w:vAlign w:val="center"/>
          </w:tcPr>
          <w:p w14:paraId="0A93555B" w14:textId="77777777" w:rsidR="000A1B38" w:rsidRPr="00B22A35" w:rsidRDefault="000A1B38">
            <w:pPr>
              <w:spacing w:line="240" w:lineRule="auto"/>
              <w:jc w:val="center"/>
              <w:rPr>
                <w:rFonts w:ascii="Franklin Gothic Demi" w:hAnsi="Franklin Gothic Demi"/>
                <w:sz w:val="20"/>
                <w:szCs w:val="20"/>
              </w:rPr>
            </w:pPr>
            <w:r w:rsidRPr="00B22A35">
              <w:rPr>
                <w:rFonts w:ascii="Franklin Gothic Demi" w:hAnsi="Franklin Gothic Demi"/>
                <w:sz w:val="20"/>
                <w:szCs w:val="20"/>
              </w:rPr>
              <w:t>Reason for Classification</w:t>
            </w:r>
          </w:p>
        </w:tc>
      </w:tr>
      <w:tr w:rsidR="000A1B38" w:rsidRPr="000E2C7D" w14:paraId="598F19F3"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5B021326"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District</w:t>
            </w:r>
          </w:p>
        </w:tc>
        <w:tc>
          <w:tcPr>
            <w:tcW w:w="1388" w:type="dxa"/>
            <w:vAlign w:val="center"/>
          </w:tcPr>
          <w:p w14:paraId="79A56F58"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45%</w:t>
            </w:r>
          </w:p>
        </w:tc>
        <w:tc>
          <w:tcPr>
            <w:tcW w:w="1156" w:type="dxa"/>
            <w:vAlign w:val="center"/>
          </w:tcPr>
          <w:p w14:paraId="5AAD7B4D" w14:textId="18B1745E"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2284" w:type="dxa"/>
            <w:vAlign w:val="center"/>
          </w:tcPr>
          <w:p w14:paraId="4C602E63"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vAlign w:val="center"/>
          </w:tcPr>
          <w:p w14:paraId="20E057A5"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Low graduate rate</w:t>
            </w:r>
          </w:p>
        </w:tc>
      </w:tr>
      <w:bookmarkEnd w:id="258"/>
      <w:tr w:rsidR="000A1B38" w:rsidRPr="000E2C7D" w14:paraId="22BD429F" w14:textId="77777777" w:rsidTr="0082637F">
        <w:trPr>
          <w:cantSplit/>
          <w:jc w:val="center"/>
        </w:trPr>
        <w:tc>
          <w:tcPr>
            <w:tcW w:w="2198" w:type="dxa"/>
            <w:vAlign w:val="center"/>
          </w:tcPr>
          <w:p w14:paraId="61E36447"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Barrett Russell Early Childhood Center</w:t>
            </w:r>
          </w:p>
        </w:tc>
        <w:tc>
          <w:tcPr>
            <w:tcW w:w="1388" w:type="dxa"/>
            <w:vAlign w:val="center"/>
          </w:tcPr>
          <w:p w14:paraId="6B8AF24C" w14:textId="77A606D0"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1156" w:type="dxa"/>
            <w:vAlign w:val="center"/>
          </w:tcPr>
          <w:p w14:paraId="4C7E4D23" w14:textId="04C85851"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2284" w:type="dxa"/>
            <w:vAlign w:val="center"/>
          </w:tcPr>
          <w:p w14:paraId="2462178D"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Insufficient data</w:t>
            </w:r>
          </w:p>
        </w:tc>
        <w:tc>
          <w:tcPr>
            <w:tcW w:w="2318" w:type="dxa"/>
            <w:vAlign w:val="center"/>
          </w:tcPr>
          <w:p w14:paraId="622E3BE9"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Insufficient data</w:t>
            </w:r>
          </w:p>
        </w:tc>
      </w:tr>
      <w:tr w:rsidR="000A1B38" w:rsidRPr="000E2C7D" w14:paraId="77ED6E8D"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51B19398"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Brookfield</w:t>
            </w:r>
          </w:p>
        </w:tc>
        <w:tc>
          <w:tcPr>
            <w:tcW w:w="1388" w:type="dxa"/>
            <w:vAlign w:val="center"/>
          </w:tcPr>
          <w:p w14:paraId="24781326"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30%</w:t>
            </w:r>
          </w:p>
        </w:tc>
        <w:tc>
          <w:tcPr>
            <w:tcW w:w="1156" w:type="dxa"/>
            <w:vAlign w:val="center"/>
          </w:tcPr>
          <w:p w14:paraId="2D8365FB"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9</w:t>
            </w:r>
          </w:p>
        </w:tc>
        <w:tc>
          <w:tcPr>
            <w:tcW w:w="2284" w:type="dxa"/>
            <w:vAlign w:val="center"/>
          </w:tcPr>
          <w:p w14:paraId="24EC2B79"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vAlign w:val="center"/>
          </w:tcPr>
          <w:p w14:paraId="134C79E8" w14:textId="5918E91F"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 Low student group performance for White, Hispanic or Latino, and High Needs students</w:t>
            </w:r>
          </w:p>
        </w:tc>
      </w:tr>
      <w:tr w:rsidR="000A1B38" w:rsidRPr="000E2C7D" w14:paraId="7A5DF9A2" w14:textId="77777777" w:rsidTr="0082637F">
        <w:trPr>
          <w:cantSplit/>
          <w:jc w:val="center"/>
        </w:trPr>
        <w:tc>
          <w:tcPr>
            <w:tcW w:w="2198" w:type="dxa"/>
            <w:vAlign w:val="center"/>
          </w:tcPr>
          <w:p w14:paraId="6AB71D0B"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Downey</w:t>
            </w:r>
          </w:p>
        </w:tc>
        <w:tc>
          <w:tcPr>
            <w:tcW w:w="1388" w:type="dxa"/>
            <w:vAlign w:val="center"/>
          </w:tcPr>
          <w:p w14:paraId="0DE218B9"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52%</w:t>
            </w:r>
          </w:p>
        </w:tc>
        <w:tc>
          <w:tcPr>
            <w:tcW w:w="1156" w:type="dxa"/>
            <w:vAlign w:val="center"/>
          </w:tcPr>
          <w:p w14:paraId="35DB2FFF"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8</w:t>
            </w:r>
          </w:p>
        </w:tc>
        <w:tc>
          <w:tcPr>
            <w:tcW w:w="2284" w:type="dxa"/>
            <w:vAlign w:val="center"/>
          </w:tcPr>
          <w:p w14:paraId="34CD2BB8"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3E1302C4" w14:textId="05580EF5"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 Low student group performance for White students</w:t>
            </w:r>
          </w:p>
        </w:tc>
      </w:tr>
      <w:tr w:rsidR="000A1B38" w:rsidRPr="000E2C7D" w14:paraId="18046D16"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023EB34B"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Dr. W. Arnone Community School</w:t>
            </w:r>
          </w:p>
        </w:tc>
        <w:tc>
          <w:tcPr>
            <w:tcW w:w="1388" w:type="dxa"/>
            <w:vAlign w:val="center"/>
          </w:tcPr>
          <w:p w14:paraId="3A70E60A"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55%</w:t>
            </w:r>
          </w:p>
        </w:tc>
        <w:tc>
          <w:tcPr>
            <w:tcW w:w="1156" w:type="dxa"/>
            <w:vAlign w:val="center"/>
          </w:tcPr>
          <w:p w14:paraId="1835E468"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2</w:t>
            </w:r>
          </w:p>
        </w:tc>
        <w:tc>
          <w:tcPr>
            <w:tcW w:w="2284" w:type="dxa"/>
            <w:vAlign w:val="center"/>
          </w:tcPr>
          <w:p w14:paraId="66881AEF"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0E7E22A9" w14:textId="1E42909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 Low student group performance for Low Income, Hispanic or Latino, English Learners and Former English Learners, and High Needs students</w:t>
            </w:r>
          </w:p>
        </w:tc>
      </w:tr>
      <w:tr w:rsidR="000A1B38" w:rsidRPr="000E2C7D" w14:paraId="79070732" w14:textId="77777777" w:rsidTr="0082637F">
        <w:trPr>
          <w:cantSplit/>
          <w:jc w:val="center"/>
        </w:trPr>
        <w:tc>
          <w:tcPr>
            <w:tcW w:w="2198" w:type="dxa"/>
            <w:vAlign w:val="center"/>
          </w:tcPr>
          <w:p w14:paraId="7CD9A79A"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Edgar B Davis</w:t>
            </w:r>
          </w:p>
        </w:tc>
        <w:tc>
          <w:tcPr>
            <w:tcW w:w="1388" w:type="dxa"/>
            <w:vAlign w:val="center"/>
          </w:tcPr>
          <w:p w14:paraId="44FFAB24"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48%</w:t>
            </w:r>
          </w:p>
        </w:tc>
        <w:tc>
          <w:tcPr>
            <w:tcW w:w="1156" w:type="dxa"/>
            <w:vAlign w:val="center"/>
          </w:tcPr>
          <w:p w14:paraId="1F556902"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22</w:t>
            </w:r>
          </w:p>
        </w:tc>
        <w:tc>
          <w:tcPr>
            <w:tcW w:w="2284" w:type="dxa"/>
            <w:vAlign w:val="center"/>
          </w:tcPr>
          <w:p w14:paraId="2AAA3EE8"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8" w:type="dxa"/>
            <w:vAlign w:val="center"/>
          </w:tcPr>
          <w:p w14:paraId="603C0134"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Moderate progress toward targets</w:t>
            </w:r>
          </w:p>
        </w:tc>
      </w:tr>
      <w:tr w:rsidR="000A1B38" w:rsidRPr="000E2C7D" w14:paraId="152999F0"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1DAC0B2B"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Gilmore Elementary School</w:t>
            </w:r>
          </w:p>
        </w:tc>
        <w:tc>
          <w:tcPr>
            <w:tcW w:w="1388" w:type="dxa"/>
            <w:vAlign w:val="center"/>
          </w:tcPr>
          <w:p w14:paraId="6C3529CA"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49%</w:t>
            </w:r>
          </w:p>
        </w:tc>
        <w:tc>
          <w:tcPr>
            <w:tcW w:w="1156" w:type="dxa"/>
            <w:vAlign w:val="center"/>
          </w:tcPr>
          <w:p w14:paraId="4E911AED"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6</w:t>
            </w:r>
          </w:p>
        </w:tc>
        <w:tc>
          <w:tcPr>
            <w:tcW w:w="2284" w:type="dxa"/>
            <w:vAlign w:val="center"/>
          </w:tcPr>
          <w:p w14:paraId="2FC2C958"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5EB3073D" w14:textId="7AB1C48C"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 Low student group performance for Students with Disabilities, and High Needs students</w:t>
            </w:r>
          </w:p>
        </w:tc>
      </w:tr>
      <w:tr w:rsidR="000A1B38" w:rsidRPr="000E2C7D" w14:paraId="54CF5C5B" w14:textId="77777777" w:rsidTr="0082637F">
        <w:trPr>
          <w:cantSplit/>
          <w:jc w:val="center"/>
        </w:trPr>
        <w:tc>
          <w:tcPr>
            <w:tcW w:w="2198" w:type="dxa"/>
            <w:vAlign w:val="center"/>
          </w:tcPr>
          <w:p w14:paraId="78033971"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Hancock</w:t>
            </w:r>
          </w:p>
        </w:tc>
        <w:tc>
          <w:tcPr>
            <w:tcW w:w="1388" w:type="dxa"/>
            <w:vAlign w:val="center"/>
          </w:tcPr>
          <w:p w14:paraId="2EBF992A"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49%</w:t>
            </w:r>
          </w:p>
        </w:tc>
        <w:tc>
          <w:tcPr>
            <w:tcW w:w="1156" w:type="dxa"/>
            <w:vAlign w:val="center"/>
          </w:tcPr>
          <w:p w14:paraId="0763B68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10</w:t>
            </w:r>
          </w:p>
        </w:tc>
        <w:tc>
          <w:tcPr>
            <w:tcW w:w="2284" w:type="dxa"/>
            <w:vAlign w:val="center"/>
          </w:tcPr>
          <w:p w14:paraId="175D28F7"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6BF944C0" w14:textId="00D505B3"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w:t>
            </w:r>
          </w:p>
        </w:tc>
      </w:tr>
      <w:tr w:rsidR="000A1B38" w:rsidRPr="000E2C7D" w14:paraId="6FAC32D0"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6F24967C"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John F Kennedy</w:t>
            </w:r>
          </w:p>
        </w:tc>
        <w:tc>
          <w:tcPr>
            <w:tcW w:w="1388" w:type="dxa"/>
            <w:vAlign w:val="center"/>
          </w:tcPr>
          <w:p w14:paraId="69AE177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46%</w:t>
            </w:r>
          </w:p>
        </w:tc>
        <w:tc>
          <w:tcPr>
            <w:tcW w:w="1156" w:type="dxa"/>
            <w:vAlign w:val="center"/>
          </w:tcPr>
          <w:p w14:paraId="56C648C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22</w:t>
            </w:r>
          </w:p>
        </w:tc>
        <w:tc>
          <w:tcPr>
            <w:tcW w:w="2284" w:type="dxa"/>
            <w:vAlign w:val="center"/>
          </w:tcPr>
          <w:p w14:paraId="0FE1F3E0"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8" w:type="dxa"/>
            <w:vAlign w:val="center"/>
          </w:tcPr>
          <w:p w14:paraId="6A559118"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Moderate progress toward targets</w:t>
            </w:r>
          </w:p>
        </w:tc>
      </w:tr>
      <w:tr w:rsidR="000A1B38" w:rsidRPr="000E2C7D" w14:paraId="5D070C46" w14:textId="77777777" w:rsidTr="0082637F">
        <w:trPr>
          <w:cantSplit/>
          <w:jc w:val="center"/>
        </w:trPr>
        <w:tc>
          <w:tcPr>
            <w:tcW w:w="2198" w:type="dxa"/>
            <w:vAlign w:val="center"/>
          </w:tcPr>
          <w:p w14:paraId="3C264163"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Louis F. Angelo Elementary</w:t>
            </w:r>
          </w:p>
        </w:tc>
        <w:tc>
          <w:tcPr>
            <w:tcW w:w="1388" w:type="dxa"/>
            <w:vAlign w:val="center"/>
          </w:tcPr>
          <w:p w14:paraId="22A7352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58%</w:t>
            </w:r>
          </w:p>
        </w:tc>
        <w:tc>
          <w:tcPr>
            <w:tcW w:w="1156" w:type="dxa"/>
            <w:vAlign w:val="center"/>
          </w:tcPr>
          <w:p w14:paraId="03ADF56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31</w:t>
            </w:r>
          </w:p>
        </w:tc>
        <w:tc>
          <w:tcPr>
            <w:tcW w:w="2284" w:type="dxa"/>
            <w:vAlign w:val="center"/>
          </w:tcPr>
          <w:p w14:paraId="43AB3B2B"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8" w:type="dxa"/>
            <w:vAlign w:val="center"/>
          </w:tcPr>
          <w:p w14:paraId="1B09AB8D"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Substantial progress toward targets</w:t>
            </w:r>
          </w:p>
        </w:tc>
      </w:tr>
      <w:tr w:rsidR="000A1B38" w:rsidRPr="000E2C7D" w14:paraId="5D63C7AA"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726EC147"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Manthala George Jr. School</w:t>
            </w:r>
          </w:p>
        </w:tc>
        <w:tc>
          <w:tcPr>
            <w:tcW w:w="1388" w:type="dxa"/>
            <w:vAlign w:val="center"/>
          </w:tcPr>
          <w:p w14:paraId="1DF9B78F"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62%</w:t>
            </w:r>
          </w:p>
        </w:tc>
        <w:tc>
          <w:tcPr>
            <w:tcW w:w="1156" w:type="dxa"/>
            <w:vAlign w:val="center"/>
          </w:tcPr>
          <w:p w14:paraId="100398AF"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35</w:t>
            </w:r>
          </w:p>
        </w:tc>
        <w:tc>
          <w:tcPr>
            <w:tcW w:w="2284" w:type="dxa"/>
            <w:vAlign w:val="center"/>
          </w:tcPr>
          <w:p w14:paraId="750519BC"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8" w:type="dxa"/>
            <w:vAlign w:val="center"/>
          </w:tcPr>
          <w:p w14:paraId="5FB928EC"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Substantial progress toward targets</w:t>
            </w:r>
          </w:p>
        </w:tc>
      </w:tr>
      <w:tr w:rsidR="000A1B38" w:rsidRPr="000E2C7D" w14:paraId="6E583E48" w14:textId="77777777" w:rsidTr="0082637F">
        <w:trPr>
          <w:cantSplit/>
          <w:jc w:val="center"/>
        </w:trPr>
        <w:tc>
          <w:tcPr>
            <w:tcW w:w="2198" w:type="dxa"/>
            <w:vAlign w:val="center"/>
          </w:tcPr>
          <w:p w14:paraId="57EFAE1B"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Mary E. Baker School</w:t>
            </w:r>
          </w:p>
        </w:tc>
        <w:tc>
          <w:tcPr>
            <w:tcW w:w="1388" w:type="dxa"/>
            <w:vAlign w:val="center"/>
          </w:tcPr>
          <w:p w14:paraId="20F72A7C"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64%</w:t>
            </w:r>
          </w:p>
        </w:tc>
        <w:tc>
          <w:tcPr>
            <w:tcW w:w="1156" w:type="dxa"/>
            <w:vAlign w:val="center"/>
          </w:tcPr>
          <w:p w14:paraId="4525A75F"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17</w:t>
            </w:r>
          </w:p>
        </w:tc>
        <w:tc>
          <w:tcPr>
            <w:tcW w:w="2284" w:type="dxa"/>
            <w:vAlign w:val="center"/>
          </w:tcPr>
          <w:p w14:paraId="5092B68F"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8" w:type="dxa"/>
            <w:vAlign w:val="center"/>
          </w:tcPr>
          <w:p w14:paraId="27727DFE"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Substantial progress toward targets</w:t>
            </w:r>
          </w:p>
        </w:tc>
      </w:tr>
      <w:tr w:rsidR="000A1B38" w:rsidRPr="000E2C7D" w14:paraId="5AF5836F"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4A5A3529"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Oscar F Raymond</w:t>
            </w:r>
          </w:p>
        </w:tc>
        <w:tc>
          <w:tcPr>
            <w:tcW w:w="1388" w:type="dxa"/>
            <w:vAlign w:val="center"/>
          </w:tcPr>
          <w:p w14:paraId="01B63A0B"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59%</w:t>
            </w:r>
          </w:p>
        </w:tc>
        <w:tc>
          <w:tcPr>
            <w:tcW w:w="1156" w:type="dxa"/>
            <w:vAlign w:val="center"/>
          </w:tcPr>
          <w:p w14:paraId="46DD6ACC"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7</w:t>
            </w:r>
          </w:p>
        </w:tc>
        <w:tc>
          <w:tcPr>
            <w:tcW w:w="2284" w:type="dxa"/>
            <w:vAlign w:val="center"/>
          </w:tcPr>
          <w:p w14:paraId="3756F3CC"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1DD3A1DE" w14:textId="71FDA766"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w:t>
            </w:r>
          </w:p>
        </w:tc>
      </w:tr>
      <w:tr w:rsidR="000A1B38" w:rsidRPr="000E2C7D" w14:paraId="2B10D5E0" w14:textId="77777777" w:rsidTr="0082637F">
        <w:trPr>
          <w:cantSplit/>
          <w:jc w:val="center"/>
        </w:trPr>
        <w:tc>
          <w:tcPr>
            <w:tcW w:w="2198" w:type="dxa"/>
            <w:vAlign w:val="center"/>
          </w:tcPr>
          <w:p w14:paraId="17C02599"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Ashfield Middle School</w:t>
            </w:r>
          </w:p>
        </w:tc>
        <w:tc>
          <w:tcPr>
            <w:tcW w:w="1388" w:type="dxa"/>
            <w:vAlign w:val="center"/>
          </w:tcPr>
          <w:p w14:paraId="416F241E"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66%</w:t>
            </w:r>
          </w:p>
        </w:tc>
        <w:tc>
          <w:tcPr>
            <w:tcW w:w="1156" w:type="dxa"/>
            <w:vAlign w:val="center"/>
          </w:tcPr>
          <w:p w14:paraId="5FC95BF4"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40</w:t>
            </w:r>
          </w:p>
        </w:tc>
        <w:tc>
          <w:tcPr>
            <w:tcW w:w="2284" w:type="dxa"/>
            <w:vAlign w:val="center"/>
          </w:tcPr>
          <w:p w14:paraId="4AD97D4D"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8" w:type="dxa"/>
            <w:vAlign w:val="center"/>
          </w:tcPr>
          <w:p w14:paraId="14A8CEC3"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Substantial progress toward targets</w:t>
            </w:r>
          </w:p>
        </w:tc>
      </w:tr>
      <w:tr w:rsidR="000A1B38" w:rsidRPr="000E2C7D" w14:paraId="7E0732C3"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3FE9AD58"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East Middle School</w:t>
            </w:r>
          </w:p>
        </w:tc>
        <w:tc>
          <w:tcPr>
            <w:tcW w:w="1388" w:type="dxa"/>
            <w:vAlign w:val="center"/>
          </w:tcPr>
          <w:p w14:paraId="02ABE0F0"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50%</w:t>
            </w:r>
          </w:p>
        </w:tc>
        <w:tc>
          <w:tcPr>
            <w:tcW w:w="1156" w:type="dxa"/>
            <w:vAlign w:val="center"/>
          </w:tcPr>
          <w:p w14:paraId="16E1141B"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9</w:t>
            </w:r>
          </w:p>
        </w:tc>
        <w:tc>
          <w:tcPr>
            <w:tcW w:w="2284" w:type="dxa"/>
            <w:vAlign w:val="center"/>
          </w:tcPr>
          <w:p w14:paraId="53CD1D23"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7EE3A393" w14:textId="05DFA872"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w:t>
            </w:r>
          </w:p>
        </w:tc>
      </w:tr>
      <w:tr w:rsidR="000A1B38" w:rsidRPr="000E2C7D" w14:paraId="4371E788" w14:textId="77777777" w:rsidTr="0082637F">
        <w:trPr>
          <w:cantSplit/>
          <w:jc w:val="center"/>
        </w:trPr>
        <w:tc>
          <w:tcPr>
            <w:tcW w:w="2198" w:type="dxa"/>
            <w:vAlign w:val="center"/>
          </w:tcPr>
          <w:p w14:paraId="7533667C"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North Middle School</w:t>
            </w:r>
          </w:p>
        </w:tc>
        <w:tc>
          <w:tcPr>
            <w:tcW w:w="1388" w:type="dxa"/>
            <w:vAlign w:val="center"/>
          </w:tcPr>
          <w:p w14:paraId="4FEFA8CB"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59%</w:t>
            </w:r>
          </w:p>
        </w:tc>
        <w:tc>
          <w:tcPr>
            <w:tcW w:w="1156" w:type="dxa"/>
            <w:vAlign w:val="center"/>
          </w:tcPr>
          <w:p w14:paraId="382B566D"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24</w:t>
            </w:r>
          </w:p>
        </w:tc>
        <w:tc>
          <w:tcPr>
            <w:tcW w:w="2284" w:type="dxa"/>
            <w:vAlign w:val="center"/>
          </w:tcPr>
          <w:p w14:paraId="719F75E7"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8" w:type="dxa"/>
            <w:vAlign w:val="center"/>
          </w:tcPr>
          <w:p w14:paraId="0D7B04C0"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Substantial progress toward targets</w:t>
            </w:r>
          </w:p>
        </w:tc>
      </w:tr>
      <w:tr w:rsidR="000A1B38" w:rsidRPr="000E2C7D" w14:paraId="3FAE270B"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03CC2593"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Plouffe Middle School</w:t>
            </w:r>
          </w:p>
        </w:tc>
        <w:tc>
          <w:tcPr>
            <w:tcW w:w="1388" w:type="dxa"/>
            <w:vAlign w:val="center"/>
          </w:tcPr>
          <w:p w14:paraId="49CA31B9"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33%</w:t>
            </w:r>
          </w:p>
        </w:tc>
        <w:tc>
          <w:tcPr>
            <w:tcW w:w="1156" w:type="dxa"/>
            <w:vAlign w:val="center"/>
          </w:tcPr>
          <w:p w14:paraId="6CE25E52"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7</w:t>
            </w:r>
          </w:p>
        </w:tc>
        <w:tc>
          <w:tcPr>
            <w:tcW w:w="2284" w:type="dxa"/>
            <w:vAlign w:val="center"/>
          </w:tcPr>
          <w:p w14:paraId="4349610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711B4EE2" w14:textId="12BFA539"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w:t>
            </w:r>
          </w:p>
        </w:tc>
      </w:tr>
      <w:tr w:rsidR="000A1B38" w:rsidRPr="000E2C7D" w14:paraId="3A4F2E56" w14:textId="77777777" w:rsidTr="0082637F">
        <w:trPr>
          <w:cantSplit/>
          <w:jc w:val="center"/>
        </w:trPr>
        <w:tc>
          <w:tcPr>
            <w:tcW w:w="2198" w:type="dxa"/>
            <w:vAlign w:val="center"/>
          </w:tcPr>
          <w:p w14:paraId="171C9D0D"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South Middle School</w:t>
            </w:r>
          </w:p>
        </w:tc>
        <w:tc>
          <w:tcPr>
            <w:tcW w:w="1388" w:type="dxa"/>
            <w:vAlign w:val="center"/>
          </w:tcPr>
          <w:p w14:paraId="3FC1BD36"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50%</w:t>
            </w:r>
          </w:p>
        </w:tc>
        <w:tc>
          <w:tcPr>
            <w:tcW w:w="1156" w:type="dxa"/>
            <w:vAlign w:val="center"/>
          </w:tcPr>
          <w:p w14:paraId="06849105"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7</w:t>
            </w:r>
          </w:p>
        </w:tc>
        <w:tc>
          <w:tcPr>
            <w:tcW w:w="2284" w:type="dxa"/>
            <w:vAlign w:val="center"/>
          </w:tcPr>
          <w:p w14:paraId="26BC1C79"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199D1584" w14:textId="69C76A0E"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w:t>
            </w:r>
          </w:p>
        </w:tc>
      </w:tr>
      <w:tr w:rsidR="000A1B38" w:rsidRPr="000E2C7D" w14:paraId="7A3153A4"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0AB17ABA"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West Middle School</w:t>
            </w:r>
          </w:p>
        </w:tc>
        <w:tc>
          <w:tcPr>
            <w:tcW w:w="1388" w:type="dxa"/>
            <w:vAlign w:val="center"/>
          </w:tcPr>
          <w:p w14:paraId="55BDF11C"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49%</w:t>
            </w:r>
          </w:p>
        </w:tc>
        <w:tc>
          <w:tcPr>
            <w:tcW w:w="1156" w:type="dxa"/>
            <w:vAlign w:val="center"/>
          </w:tcPr>
          <w:p w14:paraId="72D79A35"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12</w:t>
            </w:r>
          </w:p>
        </w:tc>
        <w:tc>
          <w:tcPr>
            <w:tcW w:w="2284" w:type="dxa"/>
            <w:vAlign w:val="center"/>
          </w:tcPr>
          <w:p w14:paraId="5443D7B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8" w:type="dxa"/>
            <w:vAlign w:val="center"/>
          </w:tcPr>
          <w:p w14:paraId="49B685A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Moderate progress toward targets</w:t>
            </w:r>
          </w:p>
        </w:tc>
      </w:tr>
      <w:tr w:rsidR="000A1B38" w:rsidRPr="000E2C7D" w14:paraId="1F1BCC1D" w14:textId="77777777" w:rsidTr="0082637F">
        <w:trPr>
          <w:cantSplit/>
          <w:jc w:val="center"/>
        </w:trPr>
        <w:tc>
          <w:tcPr>
            <w:tcW w:w="2198" w:type="dxa"/>
            <w:vAlign w:val="center"/>
          </w:tcPr>
          <w:p w14:paraId="5162B8D5"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Brockton High</w:t>
            </w:r>
          </w:p>
        </w:tc>
        <w:tc>
          <w:tcPr>
            <w:tcW w:w="1388" w:type="dxa"/>
            <w:vAlign w:val="center"/>
          </w:tcPr>
          <w:p w14:paraId="53599FC4"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29%</w:t>
            </w:r>
          </w:p>
        </w:tc>
        <w:tc>
          <w:tcPr>
            <w:tcW w:w="1156" w:type="dxa"/>
            <w:vAlign w:val="center"/>
          </w:tcPr>
          <w:p w14:paraId="3052FA9F"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9</w:t>
            </w:r>
          </w:p>
        </w:tc>
        <w:tc>
          <w:tcPr>
            <w:tcW w:w="2284" w:type="dxa"/>
            <w:vAlign w:val="center"/>
          </w:tcPr>
          <w:p w14:paraId="7A65661F"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tcPr>
          <w:p w14:paraId="1F0BB497" w14:textId="10CE2AF2"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Among the lowest performing 10% of schools. Low student group performance for White students</w:t>
            </w:r>
          </w:p>
        </w:tc>
      </w:tr>
      <w:tr w:rsidR="000A1B38" w:rsidRPr="000E2C7D" w14:paraId="28DC4153"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8" w:type="dxa"/>
            <w:vAlign w:val="center"/>
          </w:tcPr>
          <w:p w14:paraId="0872446A"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Brockton Therapeutic Day School</w:t>
            </w:r>
          </w:p>
        </w:tc>
        <w:tc>
          <w:tcPr>
            <w:tcW w:w="1388" w:type="dxa"/>
            <w:vAlign w:val="center"/>
          </w:tcPr>
          <w:p w14:paraId="22B73BC0" w14:textId="77AE0986"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1156" w:type="dxa"/>
            <w:vAlign w:val="center"/>
          </w:tcPr>
          <w:p w14:paraId="6A7BF2CA" w14:textId="089ABA44"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2284" w:type="dxa"/>
            <w:vAlign w:val="center"/>
          </w:tcPr>
          <w:p w14:paraId="301E1882"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8" w:type="dxa"/>
            <w:vAlign w:val="center"/>
          </w:tcPr>
          <w:p w14:paraId="0D9F0700"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Low participation rate for High Needs, and All students</w:t>
            </w:r>
          </w:p>
        </w:tc>
      </w:tr>
      <w:tr w:rsidR="000A1B38" w:rsidRPr="000E2C7D" w14:paraId="752EA41D" w14:textId="77777777" w:rsidTr="0082637F">
        <w:trPr>
          <w:cantSplit/>
          <w:jc w:val="center"/>
        </w:trPr>
        <w:tc>
          <w:tcPr>
            <w:tcW w:w="2195" w:type="dxa"/>
            <w:vAlign w:val="center"/>
          </w:tcPr>
          <w:p w14:paraId="6E1FA04F"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Brockton Virtual Learning Academy</w:t>
            </w:r>
          </w:p>
        </w:tc>
        <w:tc>
          <w:tcPr>
            <w:tcW w:w="1388" w:type="dxa"/>
            <w:vAlign w:val="center"/>
          </w:tcPr>
          <w:p w14:paraId="4E55EF1C"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61%</w:t>
            </w:r>
          </w:p>
        </w:tc>
        <w:tc>
          <w:tcPr>
            <w:tcW w:w="1156" w:type="dxa"/>
            <w:vAlign w:val="center"/>
          </w:tcPr>
          <w:p w14:paraId="51C2DB1D"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20</w:t>
            </w:r>
          </w:p>
        </w:tc>
        <w:tc>
          <w:tcPr>
            <w:tcW w:w="2286" w:type="dxa"/>
            <w:vAlign w:val="center"/>
          </w:tcPr>
          <w:p w14:paraId="3B5CCE7D"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9" w:type="dxa"/>
            <w:vAlign w:val="center"/>
          </w:tcPr>
          <w:p w14:paraId="726A5AE9"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Low participation rate for Low Income, High Needs, and All students</w:t>
            </w:r>
          </w:p>
        </w:tc>
      </w:tr>
      <w:tr w:rsidR="000A1B38" w:rsidRPr="000E2C7D" w14:paraId="0F0B4FCB"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5" w:type="dxa"/>
            <w:vAlign w:val="center"/>
          </w:tcPr>
          <w:p w14:paraId="195AD5F6"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Champion High School</w:t>
            </w:r>
          </w:p>
        </w:tc>
        <w:tc>
          <w:tcPr>
            <w:tcW w:w="1388" w:type="dxa"/>
            <w:vAlign w:val="center"/>
          </w:tcPr>
          <w:p w14:paraId="4CCF07B9" w14:textId="1B7AAF57"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1156" w:type="dxa"/>
            <w:vAlign w:val="center"/>
          </w:tcPr>
          <w:p w14:paraId="3D681761" w14:textId="0195B269"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2286" w:type="dxa"/>
            <w:vAlign w:val="center"/>
          </w:tcPr>
          <w:p w14:paraId="5D55AF8A"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Requiring assistance or intervention</w:t>
            </w:r>
          </w:p>
        </w:tc>
        <w:tc>
          <w:tcPr>
            <w:tcW w:w="2319" w:type="dxa"/>
            <w:vAlign w:val="center"/>
          </w:tcPr>
          <w:p w14:paraId="3B3C3007"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 need of focused/targeted support: Low participation rate for Low Income, High Needs, and All students</w:t>
            </w:r>
          </w:p>
        </w:tc>
      </w:tr>
      <w:tr w:rsidR="000A1B38" w:rsidRPr="000E2C7D" w14:paraId="03E60A3A" w14:textId="77777777" w:rsidTr="0082637F">
        <w:trPr>
          <w:cantSplit/>
          <w:jc w:val="center"/>
        </w:trPr>
        <w:tc>
          <w:tcPr>
            <w:tcW w:w="2195" w:type="dxa"/>
            <w:vAlign w:val="center"/>
          </w:tcPr>
          <w:p w14:paraId="4000CAA8"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Edison Evening Academy</w:t>
            </w:r>
          </w:p>
        </w:tc>
        <w:tc>
          <w:tcPr>
            <w:tcW w:w="1388" w:type="dxa"/>
            <w:vAlign w:val="center"/>
          </w:tcPr>
          <w:p w14:paraId="796B5370" w14:textId="3E3356F2"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1156" w:type="dxa"/>
            <w:vAlign w:val="center"/>
          </w:tcPr>
          <w:p w14:paraId="256CE9AC" w14:textId="29953565" w:rsidR="000A1B38" w:rsidRPr="00B22A35" w:rsidRDefault="00527300">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2286" w:type="dxa"/>
            <w:vAlign w:val="center"/>
          </w:tcPr>
          <w:p w14:paraId="5E4D3A3C"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Insufficient data</w:t>
            </w:r>
          </w:p>
        </w:tc>
        <w:tc>
          <w:tcPr>
            <w:tcW w:w="2319" w:type="dxa"/>
            <w:vAlign w:val="center"/>
          </w:tcPr>
          <w:p w14:paraId="53BFE5F7"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Insufficient data</w:t>
            </w:r>
          </w:p>
        </w:tc>
      </w:tr>
      <w:tr w:rsidR="000A1B38" w:rsidRPr="000E2C7D" w14:paraId="5CD45F53" w14:textId="77777777" w:rsidTr="0082637F">
        <w:trPr>
          <w:cnfStyle w:val="000000100000" w:firstRow="0" w:lastRow="0" w:firstColumn="0" w:lastColumn="0" w:oddVBand="0" w:evenVBand="0" w:oddHBand="1" w:evenHBand="0" w:firstRowFirstColumn="0" w:firstRowLastColumn="0" w:lastRowFirstColumn="0" w:lastRowLastColumn="0"/>
          <w:cantSplit/>
          <w:jc w:val="center"/>
        </w:trPr>
        <w:tc>
          <w:tcPr>
            <w:tcW w:w="2195" w:type="dxa"/>
            <w:vAlign w:val="center"/>
          </w:tcPr>
          <w:p w14:paraId="2B231037" w14:textId="77777777" w:rsidR="000A1B38" w:rsidRPr="00B22A35" w:rsidRDefault="000A1B38">
            <w:pPr>
              <w:spacing w:line="240" w:lineRule="auto"/>
              <w:rPr>
                <w:rFonts w:ascii="Franklin Gothic Book" w:hAnsi="Franklin Gothic Book"/>
                <w:sz w:val="20"/>
                <w:szCs w:val="20"/>
              </w:rPr>
            </w:pPr>
            <w:r w:rsidRPr="00B22A35">
              <w:rPr>
                <w:rFonts w:ascii="Franklin Gothic Book" w:hAnsi="Franklin Gothic Book"/>
                <w:sz w:val="20"/>
                <w:szCs w:val="20"/>
              </w:rPr>
              <w:t>PROMISE College and Career Academy</w:t>
            </w:r>
          </w:p>
        </w:tc>
        <w:tc>
          <w:tcPr>
            <w:tcW w:w="1388" w:type="dxa"/>
            <w:vAlign w:val="center"/>
          </w:tcPr>
          <w:p w14:paraId="7B31C9D8"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21%</w:t>
            </w:r>
          </w:p>
        </w:tc>
        <w:tc>
          <w:tcPr>
            <w:tcW w:w="1156" w:type="dxa"/>
            <w:vAlign w:val="center"/>
          </w:tcPr>
          <w:p w14:paraId="401968B1"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50</w:t>
            </w:r>
          </w:p>
        </w:tc>
        <w:tc>
          <w:tcPr>
            <w:tcW w:w="2286" w:type="dxa"/>
            <w:vAlign w:val="center"/>
          </w:tcPr>
          <w:p w14:paraId="29D226A5"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Not requiring assistance or intervention</w:t>
            </w:r>
          </w:p>
        </w:tc>
        <w:tc>
          <w:tcPr>
            <w:tcW w:w="2319" w:type="dxa"/>
            <w:vAlign w:val="center"/>
          </w:tcPr>
          <w:p w14:paraId="7E214155" w14:textId="77777777" w:rsidR="000A1B38" w:rsidRPr="00B22A35" w:rsidRDefault="000A1B38">
            <w:pPr>
              <w:spacing w:line="240" w:lineRule="auto"/>
              <w:jc w:val="center"/>
              <w:rPr>
                <w:rFonts w:ascii="Franklin Gothic Book" w:hAnsi="Franklin Gothic Book"/>
                <w:sz w:val="20"/>
                <w:szCs w:val="20"/>
              </w:rPr>
            </w:pPr>
            <w:r w:rsidRPr="00B22A35">
              <w:rPr>
                <w:rFonts w:ascii="Franklin Gothic Book" w:hAnsi="Franklin Gothic Book"/>
                <w:sz w:val="20"/>
                <w:szCs w:val="20"/>
              </w:rPr>
              <w:t>Limited or no progress toward targets</w:t>
            </w:r>
          </w:p>
        </w:tc>
      </w:tr>
    </w:tbl>
    <w:p w14:paraId="6854B97F" w14:textId="35C86985" w:rsidR="00254505" w:rsidRPr="00FD06ED" w:rsidRDefault="00254505" w:rsidP="00BB2317">
      <w:pPr>
        <w:pStyle w:val="BodyText"/>
      </w:pPr>
    </w:p>
    <w:sectPr w:rsidR="00254505" w:rsidRPr="00FD06ED" w:rsidSect="00D2515C">
      <w:headerReference w:type="even" r:id="rId99"/>
      <w:headerReference w:type="default" r:id="rId100"/>
      <w:footerReference w:type="default" r:id="rId101"/>
      <w:headerReference w:type="first" r:id="rId10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DE26E" w14:textId="77777777" w:rsidR="00933D9A" w:rsidRDefault="00933D9A" w:rsidP="00B93273">
      <w:pPr>
        <w:spacing w:line="240" w:lineRule="auto"/>
      </w:pPr>
      <w:r>
        <w:separator/>
      </w:r>
    </w:p>
  </w:endnote>
  <w:endnote w:type="continuationSeparator" w:id="0">
    <w:p w14:paraId="0CFB1418" w14:textId="77777777" w:rsidR="00933D9A" w:rsidRDefault="00933D9A" w:rsidP="00B93273">
      <w:pPr>
        <w:spacing w:line="240" w:lineRule="auto"/>
      </w:pPr>
      <w:r>
        <w:continuationSeparator/>
      </w:r>
    </w:p>
  </w:endnote>
  <w:endnote w:type="continuationNotice" w:id="1">
    <w:p w14:paraId="58E080CC" w14:textId="77777777" w:rsidR="00933D9A" w:rsidRDefault="00933D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altName w:val="Cambria"/>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panose1 w:val="020B0909000000000000"/>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GGothicE">
    <w:panose1 w:val="020B0909000000000000"/>
    <w:charset w:val="80"/>
    <w:family w:val="modern"/>
    <w:pitch w:val="fixed"/>
    <w:sig w:usb0="E00002FF" w:usb1="6AC7FDFB" w:usb2="00000012" w:usb3="00000000" w:csb0="0002009F" w:csb1="00000000"/>
  </w:font>
  <w:font w:name="Franklin Gothic Demi">
    <w:altName w:val="Calibri"/>
    <w:panose1 w:val="020B07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B9B6" w14:textId="022C7596" w:rsidR="52980838" w:rsidRPr="0055077E" w:rsidRDefault="52980838" w:rsidP="002D30A8">
    <w:pPr>
      <w:pStyle w:val="Footer"/>
      <w:pBdr>
        <w:top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6B55" w:rsidRPr="006750C1" w14:paraId="2B733083" w14:textId="77777777" w:rsidTr="00D84CF0">
      <w:tc>
        <w:tcPr>
          <w:tcW w:w="3120" w:type="dxa"/>
        </w:tcPr>
        <w:p w14:paraId="38956C90" w14:textId="77777777" w:rsidR="00486B55" w:rsidRPr="006750C1" w:rsidRDefault="00486B55" w:rsidP="00D84CF0">
          <w:pPr>
            <w:pStyle w:val="Header"/>
            <w:ind w:left="-115"/>
            <w:rPr>
              <w:rFonts w:ascii="Franklin Gothic Book" w:eastAsia="Calibri" w:hAnsi="Franklin Gothic Book" w:cs="Arial"/>
            </w:rPr>
          </w:pPr>
        </w:p>
      </w:tc>
      <w:tc>
        <w:tcPr>
          <w:tcW w:w="3120" w:type="dxa"/>
        </w:tcPr>
        <w:p w14:paraId="5772A608" w14:textId="77777777" w:rsidR="00486B55" w:rsidRPr="006750C1" w:rsidRDefault="00486B55" w:rsidP="00D84CF0">
          <w:pPr>
            <w:pStyle w:val="Header"/>
            <w:jc w:val="center"/>
            <w:rPr>
              <w:rFonts w:ascii="Franklin Gothic Book" w:eastAsia="Calibri" w:hAnsi="Franklin Gothic Book" w:cs="Arial"/>
            </w:rPr>
          </w:pPr>
        </w:p>
      </w:tc>
      <w:tc>
        <w:tcPr>
          <w:tcW w:w="3120" w:type="dxa"/>
        </w:tcPr>
        <w:p w14:paraId="645852F3" w14:textId="77777777" w:rsidR="00486B55" w:rsidRPr="006750C1" w:rsidRDefault="00486B55" w:rsidP="00D84CF0">
          <w:pPr>
            <w:pStyle w:val="Header"/>
            <w:ind w:right="-115"/>
            <w:jc w:val="right"/>
            <w:rPr>
              <w:rFonts w:ascii="Franklin Gothic Book" w:eastAsia="Calibri" w:hAnsi="Franklin Gothic Book" w:cs="Arial"/>
            </w:rPr>
          </w:pPr>
        </w:p>
      </w:tc>
    </w:tr>
  </w:tbl>
  <w:p w14:paraId="7D18CB35" w14:textId="77777777" w:rsidR="00486B55" w:rsidRDefault="00486B55" w:rsidP="002D30A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AF40" w14:textId="1F1243AA" w:rsidR="002E7525" w:rsidRPr="004668E7" w:rsidRDefault="009B3BF7" w:rsidP="002E7525">
    <w:pPr>
      <w:pStyle w:val="Footer"/>
    </w:pPr>
    <w:r>
      <w:rPr>
        <w:rStyle w:val="FranklinGothicDemi"/>
        <w:color w:val="44546A" w:themeColor="text2"/>
      </w:rPr>
      <w:t>Brockton</w:t>
    </w:r>
    <w:r w:rsidRPr="00B3679E">
      <w:rPr>
        <w:rStyle w:val="FranklinGothicDemi"/>
        <w:color w:val="44546A" w:themeColor="text2"/>
      </w:rPr>
      <w:t xml:space="preserve"> Public Schools</w:t>
    </w:r>
    <w:r w:rsidR="002E7525">
      <w:ptab w:relativeTo="margin" w:alignment="right" w:leader="none"/>
    </w:r>
    <w:r w:rsidR="002E7525" w:rsidRPr="0055077E">
      <w:t>Comprehensive District Review Report</w:t>
    </w:r>
    <w:r w:rsidR="002E7525">
      <w:t xml:space="preserve"> </w:t>
    </w:r>
    <w:r w:rsidR="002E7525" w:rsidRPr="00B3679E">
      <w:rPr>
        <w:color w:val="44546A" w:themeColor="text2"/>
      </w:rPr>
      <w:t xml:space="preserve">■ </w:t>
    </w:r>
    <w:r w:rsidR="002E7525" w:rsidRPr="00B3679E">
      <w:rPr>
        <w:rStyle w:val="FranklinGothicDemi"/>
        <w:color w:val="44546A" w:themeColor="text2"/>
      </w:rPr>
      <w:t xml:space="preserve">page </w:t>
    </w:r>
    <w:r w:rsidR="00B22A35">
      <w:rPr>
        <w:rStyle w:val="FranklinGothicDemi"/>
        <w:color w:val="44546A" w:themeColor="text2"/>
      </w:rPr>
      <w:t>C</w:t>
    </w:r>
    <w:r w:rsidR="002E7525" w:rsidRPr="00B3679E">
      <w:rPr>
        <w:rStyle w:val="FranklinGothicDemi"/>
        <w:color w:val="44546A" w:themeColor="text2"/>
      </w:rPr>
      <w:t>-</w:t>
    </w:r>
    <w:r w:rsidR="002E7525" w:rsidRPr="00B3679E">
      <w:rPr>
        <w:rStyle w:val="FranklinGothicDemi"/>
        <w:color w:val="44546A" w:themeColor="text2"/>
      </w:rPr>
      <w:fldChar w:fldCharType="begin"/>
    </w:r>
    <w:r w:rsidR="002E7525" w:rsidRPr="00B3679E">
      <w:rPr>
        <w:rStyle w:val="FranklinGothicDemi"/>
        <w:color w:val="44546A" w:themeColor="text2"/>
      </w:rPr>
      <w:instrText xml:space="preserve"> PAGE   \* MERGEFORMAT </w:instrText>
    </w:r>
    <w:r w:rsidR="002E7525" w:rsidRPr="00B3679E">
      <w:rPr>
        <w:rStyle w:val="FranklinGothicDemi"/>
        <w:color w:val="44546A" w:themeColor="text2"/>
      </w:rPr>
      <w:fldChar w:fldCharType="separate"/>
    </w:r>
    <w:r w:rsidR="002E7525" w:rsidRPr="00B3679E">
      <w:rPr>
        <w:rStyle w:val="FranklinGothicDemi"/>
        <w:color w:val="44546A" w:themeColor="text2"/>
      </w:rPr>
      <w:t>1</w:t>
    </w:r>
    <w:r w:rsidR="002E7525" w:rsidRPr="00B3679E">
      <w:rPr>
        <w:rStyle w:val="FranklinGothicDemi"/>
        <w:noProof/>
        <w:color w:val="44546A" w:themeColor="text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980838" w:rsidRPr="006750C1" w14:paraId="35ED83F6" w14:textId="77777777" w:rsidTr="00D84CF0">
      <w:tc>
        <w:tcPr>
          <w:tcW w:w="3120" w:type="dxa"/>
        </w:tcPr>
        <w:p w14:paraId="2A6580CD" w14:textId="4A982FAA" w:rsidR="52980838" w:rsidRPr="006750C1" w:rsidRDefault="52980838" w:rsidP="00D84CF0">
          <w:pPr>
            <w:pStyle w:val="Header"/>
            <w:ind w:left="-115"/>
            <w:rPr>
              <w:rFonts w:ascii="Franklin Gothic Book" w:eastAsia="Calibri" w:hAnsi="Franklin Gothic Book" w:cs="Arial"/>
            </w:rPr>
          </w:pPr>
        </w:p>
      </w:tc>
      <w:tc>
        <w:tcPr>
          <w:tcW w:w="3120" w:type="dxa"/>
        </w:tcPr>
        <w:p w14:paraId="4C480F35" w14:textId="5A8F9814" w:rsidR="52980838" w:rsidRPr="006750C1" w:rsidRDefault="52980838" w:rsidP="00D84CF0">
          <w:pPr>
            <w:pStyle w:val="Header"/>
            <w:jc w:val="center"/>
            <w:rPr>
              <w:rFonts w:ascii="Franklin Gothic Book" w:eastAsia="Calibri" w:hAnsi="Franklin Gothic Book" w:cs="Arial"/>
            </w:rPr>
          </w:pPr>
        </w:p>
      </w:tc>
      <w:tc>
        <w:tcPr>
          <w:tcW w:w="3120" w:type="dxa"/>
        </w:tcPr>
        <w:p w14:paraId="2F3AF003" w14:textId="394D1CC5" w:rsidR="52980838" w:rsidRPr="006750C1" w:rsidRDefault="52980838" w:rsidP="00D84CF0">
          <w:pPr>
            <w:pStyle w:val="Header"/>
            <w:ind w:right="-115"/>
            <w:jc w:val="right"/>
            <w:rPr>
              <w:rFonts w:ascii="Franklin Gothic Book" w:eastAsia="Calibri" w:hAnsi="Franklin Gothic Book" w:cs="Arial"/>
            </w:rPr>
          </w:pPr>
        </w:p>
      </w:tc>
    </w:tr>
  </w:tbl>
  <w:p w14:paraId="62189066" w14:textId="201E9458" w:rsidR="52980838" w:rsidRDefault="52980838" w:rsidP="002D30A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93A4" w14:textId="77777777" w:rsidR="00B22A35" w:rsidRPr="004668E7" w:rsidRDefault="00B22A35" w:rsidP="002E7525">
    <w:pPr>
      <w:pStyle w:val="Footer"/>
    </w:pPr>
    <w:r>
      <w:rPr>
        <w:rStyle w:val="FranklinGothicDemi"/>
        <w:color w:val="44546A" w:themeColor="text2"/>
      </w:rPr>
      <w:t>Brockton</w:t>
    </w:r>
    <w:r w:rsidRPr="00B3679E">
      <w:rPr>
        <w:rStyle w:val="FranklinGothicDemi"/>
        <w:color w:val="44546A" w:themeColor="text2"/>
      </w:rPr>
      <w:t xml:space="preserve"> Public Schools</w:t>
    </w:r>
    <w:r>
      <w:ptab w:relativeTo="margin" w:alignment="right" w:leader="none"/>
    </w:r>
    <w:r w:rsidRPr="0055077E">
      <w:t>Comprehensive District Review Report</w:t>
    </w:r>
    <w:r>
      <w:t xml:space="preserve"> </w:t>
    </w:r>
    <w:r w:rsidRPr="00B3679E">
      <w:rPr>
        <w:color w:val="44546A" w:themeColor="text2"/>
      </w:rPr>
      <w:t xml:space="preserve">■ </w:t>
    </w:r>
    <w:r w:rsidRPr="00B3679E">
      <w:rPr>
        <w:rStyle w:val="FranklinGothicDemi"/>
        <w:color w:val="44546A" w:themeColor="text2"/>
      </w:rPr>
      <w:t xml:space="preserve">page </w:t>
    </w:r>
    <w:r>
      <w:rPr>
        <w:rStyle w:val="FranklinGothicDemi"/>
        <w:color w:val="44546A" w:themeColor="text2"/>
      </w:rPr>
      <w:t>D</w:t>
    </w:r>
    <w:r w:rsidRPr="00B3679E">
      <w:rPr>
        <w:rStyle w:val="FranklinGothicDemi"/>
        <w:color w:val="44546A" w:themeColor="text2"/>
      </w:rPr>
      <w:t>-</w:t>
    </w:r>
    <w:r w:rsidRPr="00B3679E">
      <w:rPr>
        <w:rStyle w:val="FranklinGothicDemi"/>
        <w:color w:val="44546A" w:themeColor="text2"/>
      </w:rPr>
      <w:fldChar w:fldCharType="begin"/>
    </w:r>
    <w:r w:rsidRPr="00B3679E">
      <w:rPr>
        <w:rStyle w:val="FranklinGothicDemi"/>
        <w:color w:val="44546A" w:themeColor="text2"/>
      </w:rPr>
      <w:instrText xml:space="preserve"> PAGE   \* MERGEFORMAT </w:instrText>
    </w:r>
    <w:r w:rsidRPr="00B3679E">
      <w:rPr>
        <w:rStyle w:val="FranklinGothicDemi"/>
        <w:color w:val="44546A" w:themeColor="text2"/>
      </w:rPr>
      <w:fldChar w:fldCharType="separate"/>
    </w:r>
    <w:r w:rsidRPr="00B3679E">
      <w:rPr>
        <w:rStyle w:val="FranklinGothicDemi"/>
        <w:color w:val="44546A" w:themeColor="text2"/>
      </w:rPr>
      <w:t>1</w:t>
    </w:r>
    <w:r w:rsidRPr="00B3679E">
      <w:rPr>
        <w:rStyle w:val="FranklinGothicDemi"/>
        <w:noProof/>
        <w:color w:val="44546A" w:themeColor="text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E945" w14:textId="521DC0A6" w:rsidR="000A1B38" w:rsidRPr="001E0852" w:rsidRDefault="000A1B38">
    <w:pPr>
      <w:pBdr>
        <w:top w:val="single" w:sz="12" w:space="1" w:color="ED7D31"/>
      </w:pBdr>
      <w:tabs>
        <w:tab w:val="right" w:pos="12870"/>
      </w:tabs>
      <w:spacing w:line="240" w:lineRule="auto"/>
      <w:ind w:right="54"/>
      <w:rPr>
        <w:rFonts w:ascii="Franklin Gothic Book" w:eastAsia="Franklin Gothic Book" w:hAnsi="Franklin Gothic Book" w:cs="Tahoma"/>
        <w:sz w:val="20"/>
      </w:rPr>
    </w:pPr>
    <w:r>
      <w:rPr>
        <w:rFonts w:ascii="Franklin Gothic Demi" w:eastAsia="Franklin Gothic Book" w:hAnsi="Franklin Gothic Demi" w:cs="Tahoma"/>
        <w:color w:val="44546A"/>
        <w:sz w:val="20"/>
      </w:rPr>
      <w:t>Brockton</w:t>
    </w:r>
    <w:r w:rsidRPr="001E0852">
      <w:rPr>
        <w:rFonts w:ascii="Franklin Gothic Demi" w:eastAsia="Franklin Gothic Book" w:hAnsi="Franklin Gothic Demi" w:cs="Tahoma"/>
        <w:color w:val="44546A"/>
        <w:sz w:val="20"/>
      </w:rPr>
      <w:t xml:space="preserve"> Public Schools</w:t>
    </w:r>
    <w:r w:rsidRPr="001E0852">
      <w:rPr>
        <w:rFonts w:ascii="Franklin Gothic Book" w:eastAsia="Franklin Gothic Book" w:hAnsi="Franklin Gothic Book" w:cs="Tahoma"/>
        <w:sz w:val="20"/>
      </w:rPr>
      <w:ptab w:relativeTo="margin" w:alignment="right" w:leader="none"/>
    </w:r>
    <w:r w:rsidRPr="001E0852">
      <w:rPr>
        <w:rFonts w:ascii="Franklin Gothic Book" w:eastAsia="Franklin Gothic Book" w:hAnsi="Franklin Gothic Book" w:cs="Tahoma"/>
        <w:sz w:val="20"/>
      </w:rPr>
      <w:t xml:space="preserve">Comprehensive District Review Report </w:t>
    </w:r>
    <w:r w:rsidRPr="001E0852">
      <w:rPr>
        <w:rFonts w:ascii="Franklin Gothic Book" w:eastAsia="Franklin Gothic Book" w:hAnsi="Franklin Gothic Book" w:cs="Tahoma"/>
        <w:color w:val="44546A"/>
        <w:sz w:val="20"/>
      </w:rPr>
      <w:t xml:space="preserve">■ </w:t>
    </w:r>
    <w:r w:rsidRPr="001E0852">
      <w:rPr>
        <w:rFonts w:ascii="Franklin Gothic Demi" w:eastAsia="Franklin Gothic Book" w:hAnsi="Franklin Gothic Demi" w:cs="Tahoma"/>
        <w:color w:val="44546A"/>
        <w:sz w:val="20"/>
      </w:rPr>
      <w:t>page E-</w:t>
    </w:r>
    <w:r w:rsidRPr="001E0852">
      <w:rPr>
        <w:rFonts w:ascii="Franklin Gothic Demi" w:eastAsia="Franklin Gothic Book" w:hAnsi="Franklin Gothic Demi" w:cs="Tahoma"/>
        <w:color w:val="44546A"/>
        <w:sz w:val="20"/>
      </w:rPr>
      <w:fldChar w:fldCharType="begin"/>
    </w:r>
    <w:r w:rsidRPr="001E0852">
      <w:rPr>
        <w:rFonts w:ascii="Franklin Gothic Demi" w:eastAsia="Franklin Gothic Book" w:hAnsi="Franklin Gothic Demi" w:cs="Tahoma"/>
        <w:color w:val="44546A"/>
        <w:sz w:val="20"/>
      </w:rPr>
      <w:instrText xml:space="preserve"> PAGE   \* MERGEFORMAT </w:instrText>
    </w:r>
    <w:r w:rsidRPr="001E0852">
      <w:rPr>
        <w:rFonts w:ascii="Franklin Gothic Demi" w:eastAsia="Franklin Gothic Book" w:hAnsi="Franklin Gothic Demi" w:cs="Tahoma"/>
        <w:color w:val="44546A"/>
        <w:sz w:val="20"/>
      </w:rPr>
      <w:fldChar w:fldCharType="separate"/>
    </w:r>
    <w:r w:rsidRPr="001E0852">
      <w:rPr>
        <w:rFonts w:ascii="Franklin Gothic Demi" w:eastAsia="Franklin Gothic Book" w:hAnsi="Franklin Gothic Demi" w:cs="Tahoma"/>
        <w:color w:val="44546A"/>
        <w:sz w:val="20"/>
      </w:rPr>
      <w:t>1</w:t>
    </w:r>
    <w:r w:rsidRPr="001E0852">
      <w:rPr>
        <w:rFonts w:ascii="Franklin Gothic Demi" w:eastAsia="Franklin Gothic Book" w:hAnsi="Franklin Gothic Demi" w:cs="Tahoma"/>
        <w:noProof/>
        <w:color w:val="44546A"/>
        <w:sz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C43E" w14:textId="075577E6" w:rsidR="00CC52F1" w:rsidRPr="004668E7" w:rsidRDefault="009B3BF7" w:rsidP="002E7525">
    <w:pPr>
      <w:pStyle w:val="Footer"/>
    </w:pPr>
    <w:r>
      <w:rPr>
        <w:rStyle w:val="FranklinGothicDemi"/>
        <w:color w:val="44546A" w:themeColor="text2"/>
      </w:rPr>
      <w:t>Brockton</w:t>
    </w:r>
    <w:r w:rsidRPr="00B3679E">
      <w:rPr>
        <w:rStyle w:val="FranklinGothicDemi"/>
        <w:color w:val="44546A" w:themeColor="text2"/>
      </w:rPr>
      <w:t xml:space="preserve"> Public Schools</w:t>
    </w:r>
    <w:r w:rsidR="00CC52F1">
      <w:ptab w:relativeTo="margin" w:alignment="right" w:leader="none"/>
    </w:r>
    <w:r w:rsidR="00CC52F1" w:rsidRPr="0055077E">
      <w:t>Comprehensive District Review Report</w:t>
    </w:r>
    <w:r w:rsidR="00CC52F1">
      <w:t xml:space="preserve"> </w:t>
    </w:r>
    <w:r w:rsidR="00CC52F1" w:rsidRPr="00B3679E">
      <w:rPr>
        <w:color w:val="44546A" w:themeColor="text2"/>
      </w:rPr>
      <w:t xml:space="preserve">■ </w:t>
    </w:r>
    <w:r w:rsidR="00CC52F1" w:rsidRPr="00B3679E">
      <w:rPr>
        <w:rStyle w:val="FranklinGothicDemi"/>
        <w:color w:val="44546A" w:themeColor="text2"/>
      </w:rPr>
      <w:t xml:space="preserve">page </w:t>
    </w:r>
    <w:r w:rsidR="00CC52F1">
      <w:rPr>
        <w:rStyle w:val="FranklinGothicDemi"/>
        <w:color w:val="44546A" w:themeColor="text2"/>
      </w:rPr>
      <w:t>E</w:t>
    </w:r>
    <w:r w:rsidR="00CC52F1" w:rsidRPr="00B3679E">
      <w:rPr>
        <w:rStyle w:val="FranklinGothicDemi"/>
        <w:color w:val="44546A" w:themeColor="text2"/>
      </w:rPr>
      <w:t>-</w:t>
    </w:r>
    <w:r w:rsidR="00CC52F1" w:rsidRPr="00B3679E">
      <w:rPr>
        <w:rStyle w:val="FranklinGothicDemi"/>
        <w:color w:val="44546A" w:themeColor="text2"/>
      </w:rPr>
      <w:fldChar w:fldCharType="begin"/>
    </w:r>
    <w:r w:rsidR="00CC52F1" w:rsidRPr="00B3679E">
      <w:rPr>
        <w:rStyle w:val="FranklinGothicDemi"/>
        <w:color w:val="44546A" w:themeColor="text2"/>
      </w:rPr>
      <w:instrText xml:space="preserve"> PAGE   \* MERGEFORMAT </w:instrText>
    </w:r>
    <w:r w:rsidR="00CC52F1" w:rsidRPr="00B3679E">
      <w:rPr>
        <w:rStyle w:val="FranklinGothicDemi"/>
        <w:color w:val="44546A" w:themeColor="text2"/>
      </w:rPr>
      <w:fldChar w:fldCharType="separate"/>
    </w:r>
    <w:r w:rsidR="00CC52F1" w:rsidRPr="00B3679E">
      <w:rPr>
        <w:rStyle w:val="FranklinGothicDemi"/>
        <w:color w:val="44546A" w:themeColor="text2"/>
      </w:rPr>
      <w:t>1</w:t>
    </w:r>
    <w:r w:rsidR="00CC52F1" w:rsidRPr="00B3679E">
      <w:rPr>
        <w:rStyle w:val="FranklinGothicDemi"/>
        <w:noProof/>
        <w:color w:val="44546A" w:themeColor="text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34B5" w14:textId="331756C2" w:rsidR="52980838" w:rsidRDefault="52980838" w:rsidP="002D30A8">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7480" w14:textId="1A9D6657" w:rsidR="00E315A4" w:rsidRPr="004668E7" w:rsidRDefault="007319AA" w:rsidP="00E315A4">
    <w:pPr>
      <w:pStyle w:val="Footer"/>
    </w:pPr>
    <w:r>
      <w:rPr>
        <w:rStyle w:val="FranklinGothicDemi"/>
        <w:color w:val="44546A" w:themeColor="text2"/>
      </w:rPr>
      <w:ptab w:relativeTo="margin" w:alignment="right" w:leader="none"/>
    </w:r>
    <w:r w:rsidR="190DD215" w:rsidRPr="190DD215">
      <w:rPr>
        <w:rStyle w:val="FranklinGothicDemi"/>
        <w:color w:val="44546A" w:themeColor="text2"/>
      </w:rPr>
      <w:t xml:space="preserve">Brockton Public </w:t>
    </w:r>
    <w:r w:rsidR="3A922972" w:rsidRPr="3A922972">
      <w:rPr>
        <w:rStyle w:val="FranklinGothicDemi"/>
        <w:color w:val="44546A" w:themeColor="text2"/>
      </w:rPr>
      <w:t xml:space="preserve">Schools </w:t>
    </w:r>
    <w:r w:rsidR="3A922972">
      <w:t>Comprehensive</w:t>
    </w:r>
    <w:r w:rsidR="190DD215">
      <w:t xml:space="preserve"> District Review Report </w:t>
    </w:r>
    <w:r w:rsidR="190DD215" w:rsidRPr="190DD215">
      <w:rPr>
        <w:color w:val="44546A" w:themeColor="text2"/>
      </w:rPr>
      <w:t xml:space="preserve">■ </w:t>
    </w:r>
    <w:r w:rsidR="190DD215" w:rsidRPr="190DD215">
      <w:rPr>
        <w:rStyle w:val="FranklinGothicDemi"/>
        <w:color w:val="44546A" w:themeColor="text2"/>
      </w:rPr>
      <w:t xml:space="preserve">page </w:t>
    </w:r>
    <w:r w:rsidR="03A6276F" w:rsidRPr="190DD215">
      <w:rPr>
        <w:rStyle w:val="FranklinGothicDemi"/>
        <w:color w:val="44546A" w:themeColor="text2"/>
      </w:rPr>
      <w:fldChar w:fldCharType="begin"/>
    </w:r>
    <w:r w:rsidR="03A6276F" w:rsidRPr="190DD215">
      <w:rPr>
        <w:rStyle w:val="FranklinGothicDemi"/>
        <w:color w:val="44546A" w:themeColor="text2"/>
      </w:rPr>
      <w:instrText xml:space="preserve"> PAGE   \* MERGEFORMAT </w:instrText>
    </w:r>
    <w:r w:rsidR="03A6276F" w:rsidRPr="190DD215">
      <w:rPr>
        <w:rStyle w:val="FranklinGothicDemi"/>
        <w:color w:val="44546A" w:themeColor="text2"/>
      </w:rPr>
      <w:fldChar w:fldCharType="separate"/>
    </w:r>
    <w:r w:rsidR="190DD215" w:rsidRPr="190DD215">
      <w:rPr>
        <w:rStyle w:val="FranklinGothicDemi"/>
        <w:color w:val="44546A" w:themeColor="text2"/>
      </w:rPr>
      <w:t>39</w:t>
    </w:r>
    <w:r w:rsidR="03A6276F" w:rsidRPr="190DD215">
      <w:rPr>
        <w:rStyle w:val="FranklinGothicDemi"/>
        <w:color w:val="44546A"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2980838" w:rsidRPr="006750C1" w14:paraId="0FE0BEC9" w14:textId="77777777" w:rsidTr="00D84CF0">
      <w:tc>
        <w:tcPr>
          <w:tcW w:w="3405" w:type="dxa"/>
        </w:tcPr>
        <w:p w14:paraId="7D8BB104" w14:textId="6911F537" w:rsidR="52980838" w:rsidRPr="006750C1" w:rsidRDefault="52980838" w:rsidP="00D84CF0">
          <w:pPr>
            <w:pStyle w:val="Header"/>
            <w:ind w:left="-115"/>
            <w:rPr>
              <w:rFonts w:ascii="Franklin Gothic Book" w:eastAsia="Calibri" w:hAnsi="Franklin Gothic Book" w:cs="Arial"/>
            </w:rPr>
          </w:pPr>
        </w:p>
      </w:tc>
      <w:tc>
        <w:tcPr>
          <w:tcW w:w="3405" w:type="dxa"/>
        </w:tcPr>
        <w:p w14:paraId="19F88C15" w14:textId="57B18B69" w:rsidR="52980838" w:rsidRPr="006750C1" w:rsidRDefault="52980838" w:rsidP="00D84CF0">
          <w:pPr>
            <w:pStyle w:val="Header"/>
            <w:jc w:val="center"/>
            <w:rPr>
              <w:rFonts w:ascii="Franklin Gothic Book" w:eastAsia="Calibri" w:hAnsi="Franklin Gothic Book" w:cs="Arial"/>
            </w:rPr>
          </w:pPr>
        </w:p>
      </w:tc>
      <w:tc>
        <w:tcPr>
          <w:tcW w:w="3405" w:type="dxa"/>
        </w:tcPr>
        <w:p w14:paraId="7199C7CD" w14:textId="3498740B" w:rsidR="52980838" w:rsidRPr="006750C1" w:rsidRDefault="52980838" w:rsidP="00D84CF0">
          <w:pPr>
            <w:pStyle w:val="Header"/>
            <w:ind w:right="-115"/>
            <w:jc w:val="right"/>
            <w:rPr>
              <w:rFonts w:ascii="Franklin Gothic Book" w:eastAsia="Calibri" w:hAnsi="Franklin Gothic Book" w:cs="Arial"/>
            </w:rPr>
          </w:pPr>
        </w:p>
      </w:tc>
    </w:tr>
  </w:tbl>
  <w:p w14:paraId="5FBC8903" w14:textId="10DFD94B" w:rsidR="52980838" w:rsidRDefault="52980838" w:rsidP="002D30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A2F2" w14:textId="52044339" w:rsidR="00FF48CB" w:rsidRPr="004668E7" w:rsidRDefault="03A6276F" w:rsidP="00E315A4">
    <w:pPr>
      <w:pStyle w:val="Footer"/>
    </w:pPr>
    <w:r w:rsidRPr="009B3BF7">
      <w:rPr>
        <w:rStyle w:val="FranklinGothicDemi"/>
        <w:color w:val="44546A" w:themeColor="text2"/>
      </w:rPr>
      <w:t>Brockton</w:t>
    </w:r>
    <w:r w:rsidR="00825DBE">
      <w:rPr>
        <w:rStyle w:val="FranklinGothicDemi"/>
        <w:color w:val="44546A" w:themeColor="text2"/>
      </w:rPr>
      <w:t xml:space="preserve"> </w:t>
    </w:r>
    <w:r w:rsidRPr="009B3BF7">
      <w:rPr>
        <w:rStyle w:val="FranklinGothicDemi"/>
        <w:color w:val="44546A" w:themeColor="text2"/>
      </w:rPr>
      <w:t>Public</w:t>
    </w:r>
    <w:r w:rsidRPr="03A6276F">
      <w:rPr>
        <w:rStyle w:val="FranklinGothicDemi"/>
        <w:color w:val="44546A" w:themeColor="text2"/>
      </w:rPr>
      <w:t xml:space="preserve"> Schools</w:t>
    </w:r>
    <w:r w:rsidR="009B3BF7">
      <w:rPr>
        <w:rStyle w:val="FranklinGothicDemi"/>
        <w:color w:val="7698D4"/>
      </w:rPr>
      <w:ptab w:relativeTo="margin" w:alignment="right" w:leader="none"/>
    </w:r>
    <w:r>
      <w:t xml:space="preserve">Comprehensive District Review Report </w:t>
    </w:r>
    <w:r w:rsidRPr="03A6276F">
      <w:rPr>
        <w:color w:val="44546A" w:themeColor="text2"/>
      </w:rPr>
      <w:t xml:space="preserve">■ </w:t>
    </w:r>
    <w:r w:rsidRPr="03A6276F">
      <w:rPr>
        <w:rStyle w:val="FranklinGothicDemi"/>
        <w:color w:val="44546A" w:themeColor="text2"/>
      </w:rPr>
      <w:t>page A-</w:t>
    </w:r>
    <w:r w:rsidR="00384414" w:rsidRPr="03A6276F">
      <w:rPr>
        <w:rStyle w:val="FranklinGothicDemi"/>
        <w:color w:val="44546A" w:themeColor="text2"/>
      </w:rPr>
      <w:fldChar w:fldCharType="begin"/>
    </w:r>
    <w:r w:rsidR="00384414" w:rsidRPr="03A6276F">
      <w:rPr>
        <w:rStyle w:val="FranklinGothicDemi"/>
        <w:color w:val="44546A" w:themeColor="text2"/>
      </w:rPr>
      <w:instrText xml:space="preserve"> PAGE   \* MERGEFORMAT </w:instrText>
    </w:r>
    <w:r w:rsidR="00384414" w:rsidRPr="03A6276F">
      <w:rPr>
        <w:rStyle w:val="FranklinGothicDemi"/>
        <w:color w:val="44546A" w:themeColor="text2"/>
      </w:rPr>
      <w:fldChar w:fldCharType="separate"/>
    </w:r>
    <w:r w:rsidRPr="03A6276F">
      <w:rPr>
        <w:rStyle w:val="FranklinGothicDemi"/>
        <w:color w:val="44546A" w:themeColor="text2"/>
      </w:rPr>
      <w:t>39</w:t>
    </w:r>
    <w:r w:rsidR="00384414" w:rsidRPr="03A6276F">
      <w:rPr>
        <w:rStyle w:val="FranklinGothicDemi"/>
        <w:color w:val="44546A" w:themeColor="tex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4929" w14:textId="4B870968" w:rsidR="00486B55" w:rsidRPr="004668E7" w:rsidRDefault="00024D0E" w:rsidP="00E315A4">
    <w:pPr>
      <w:pStyle w:val="Footer"/>
    </w:pPr>
    <w:r>
      <w:rPr>
        <w:rStyle w:val="FranklinGothicDemi"/>
        <w:color w:val="44546A" w:themeColor="text2"/>
      </w:rPr>
      <w:t>Brockton</w:t>
    </w:r>
    <w:r w:rsidRPr="00B3679E">
      <w:rPr>
        <w:rStyle w:val="FranklinGothicDemi"/>
        <w:color w:val="44546A" w:themeColor="text2"/>
      </w:rPr>
      <w:t xml:space="preserve"> </w:t>
    </w:r>
    <w:r w:rsidR="00486B55" w:rsidRPr="00B3679E">
      <w:rPr>
        <w:rStyle w:val="FranklinGothicDemi"/>
        <w:color w:val="44546A" w:themeColor="text2"/>
      </w:rPr>
      <w:t>Public Schools</w:t>
    </w:r>
    <w:r w:rsidR="00486B55">
      <w:ptab w:relativeTo="margin" w:alignment="right" w:leader="none"/>
    </w:r>
    <w:r w:rsidR="00486B55" w:rsidRPr="0055077E">
      <w:t>Comprehensive District Review Report</w:t>
    </w:r>
    <w:r w:rsidR="00486B55">
      <w:t xml:space="preserve"> </w:t>
    </w:r>
    <w:r w:rsidR="00486B55" w:rsidRPr="00B3679E">
      <w:rPr>
        <w:color w:val="44546A" w:themeColor="text2"/>
      </w:rPr>
      <w:t xml:space="preserve">■ </w:t>
    </w:r>
    <w:r w:rsidR="00486B55" w:rsidRPr="00B3679E">
      <w:rPr>
        <w:rStyle w:val="FranklinGothicDemi"/>
        <w:color w:val="44546A" w:themeColor="text2"/>
      </w:rPr>
      <w:t>page B-</w:t>
    </w:r>
    <w:r w:rsidR="00486B55" w:rsidRPr="00B3679E">
      <w:rPr>
        <w:rStyle w:val="FranklinGothicDemi"/>
        <w:color w:val="44546A" w:themeColor="text2"/>
      </w:rPr>
      <w:fldChar w:fldCharType="begin"/>
    </w:r>
    <w:r w:rsidR="00486B55" w:rsidRPr="00B3679E">
      <w:rPr>
        <w:rStyle w:val="FranklinGothicDemi"/>
        <w:color w:val="44546A" w:themeColor="text2"/>
      </w:rPr>
      <w:instrText xml:space="preserve"> PAGE   \* MERGEFORMAT </w:instrText>
    </w:r>
    <w:r w:rsidR="00486B55" w:rsidRPr="00B3679E">
      <w:rPr>
        <w:rStyle w:val="FranklinGothicDemi"/>
        <w:color w:val="44546A" w:themeColor="text2"/>
      </w:rPr>
      <w:fldChar w:fldCharType="separate"/>
    </w:r>
    <w:r w:rsidR="00486B55" w:rsidRPr="00B3679E">
      <w:rPr>
        <w:rStyle w:val="FranklinGothicDemi"/>
        <w:color w:val="44546A" w:themeColor="text2"/>
      </w:rPr>
      <w:t>2</w:t>
    </w:r>
    <w:r w:rsidR="00486B55" w:rsidRPr="00B3679E">
      <w:rPr>
        <w:rStyle w:val="FranklinGothicDemi"/>
        <w:noProof/>
        <w:color w:val="44546A" w:themeColor="text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BB59" w14:textId="77777777" w:rsidR="00B678B5" w:rsidRPr="00F31A73" w:rsidRDefault="00B678B5">
    <w:pPr>
      <w:pStyle w:val="Footer"/>
      <w:pBdr>
        <w:top w:val="none" w:sz="0" w:space="0" w:color="auto"/>
      </w:pBd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A99E" w14:textId="77777777" w:rsidR="00B678B5" w:rsidRPr="002541BB" w:rsidRDefault="00B678B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3C60" w14:textId="1F6B5FF8" w:rsidR="00486B55" w:rsidRPr="004668E7" w:rsidRDefault="009B3BF7" w:rsidP="002E7525">
    <w:pPr>
      <w:pStyle w:val="Footer"/>
    </w:pPr>
    <w:r>
      <w:rPr>
        <w:rStyle w:val="FranklinGothicDemi"/>
        <w:color w:val="44546A" w:themeColor="text2"/>
      </w:rPr>
      <w:t>Brockton</w:t>
    </w:r>
    <w:r w:rsidRPr="00B3679E">
      <w:rPr>
        <w:rStyle w:val="FranklinGothicDemi"/>
        <w:color w:val="44546A" w:themeColor="text2"/>
      </w:rPr>
      <w:t xml:space="preserve"> Public Schools</w:t>
    </w:r>
    <w:r>
      <w:t xml:space="preserve"> </w:t>
    </w:r>
    <w:r w:rsidR="00486B55">
      <w:ptab w:relativeTo="margin" w:alignment="right" w:leader="none"/>
    </w:r>
    <w:r w:rsidR="00486B55" w:rsidRPr="0055077E">
      <w:t>Comprehensive District Review Report</w:t>
    </w:r>
    <w:r w:rsidR="00486B55">
      <w:t xml:space="preserve"> </w:t>
    </w:r>
    <w:r w:rsidR="00486B55" w:rsidRPr="00B3679E">
      <w:rPr>
        <w:color w:val="44546A" w:themeColor="text2"/>
      </w:rPr>
      <w:t xml:space="preserve">■ </w:t>
    </w:r>
    <w:r w:rsidR="00486B55" w:rsidRPr="00B3679E">
      <w:rPr>
        <w:rStyle w:val="FranklinGothicDemi"/>
        <w:color w:val="44546A" w:themeColor="text2"/>
      </w:rPr>
      <w:t xml:space="preserve">page </w:t>
    </w:r>
    <w:r w:rsidR="00B22A35">
      <w:rPr>
        <w:rStyle w:val="FranklinGothicDemi"/>
        <w:color w:val="44546A" w:themeColor="text2"/>
      </w:rPr>
      <w:t>B</w:t>
    </w:r>
    <w:r w:rsidR="00486B55" w:rsidRPr="00B3679E">
      <w:rPr>
        <w:rStyle w:val="FranklinGothicDemi"/>
        <w:color w:val="44546A" w:themeColor="text2"/>
      </w:rPr>
      <w:t>-</w:t>
    </w:r>
    <w:r w:rsidR="00486B55" w:rsidRPr="00B3679E">
      <w:rPr>
        <w:rStyle w:val="FranklinGothicDemi"/>
        <w:color w:val="44546A" w:themeColor="text2"/>
      </w:rPr>
      <w:fldChar w:fldCharType="begin"/>
    </w:r>
    <w:r w:rsidR="00486B55" w:rsidRPr="00B3679E">
      <w:rPr>
        <w:rStyle w:val="FranklinGothicDemi"/>
        <w:color w:val="44546A" w:themeColor="text2"/>
      </w:rPr>
      <w:instrText xml:space="preserve"> PAGE   \* MERGEFORMAT </w:instrText>
    </w:r>
    <w:r w:rsidR="00486B55" w:rsidRPr="00B3679E">
      <w:rPr>
        <w:rStyle w:val="FranklinGothicDemi"/>
        <w:color w:val="44546A" w:themeColor="text2"/>
      </w:rPr>
      <w:fldChar w:fldCharType="separate"/>
    </w:r>
    <w:r w:rsidR="00486B55" w:rsidRPr="00B3679E">
      <w:rPr>
        <w:rStyle w:val="FranklinGothicDemi"/>
        <w:color w:val="44546A" w:themeColor="text2"/>
      </w:rPr>
      <w:t>1</w:t>
    </w:r>
    <w:r w:rsidR="00486B55" w:rsidRPr="00B3679E">
      <w:rPr>
        <w:rStyle w:val="FranklinGothicDemi"/>
        <w:noProof/>
        <w:color w:val="44546A"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56388" w14:textId="77777777" w:rsidR="00933D9A" w:rsidRDefault="00933D9A" w:rsidP="00B93273">
      <w:pPr>
        <w:spacing w:line="240" w:lineRule="auto"/>
      </w:pPr>
      <w:r>
        <w:separator/>
      </w:r>
    </w:p>
  </w:footnote>
  <w:footnote w:type="continuationSeparator" w:id="0">
    <w:p w14:paraId="70120B44" w14:textId="77777777" w:rsidR="00933D9A" w:rsidRDefault="00933D9A" w:rsidP="00B93273">
      <w:pPr>
        <w:spacing w:line="240" w:lineRule="auto"/>
      </w:pPr>
      <w:r>
        <w:continuationSeparator/>
      </w:r>
    </w:p>
  </w:footnote>
  <w:footnote w:type="continuationNotice" w:id="1">
    <w:p w14:paraId="65E3AD08" w14:textId="77777777" w:rsidR="00933D9A" w:rsidRDefault="00933D9A">
      <w:pPr>
        <w:spacing w:line="240" w:lineRule="auto"/>
      </w:pPr>
    </w:p>
  </w:footnote>
  <w:footnote w:id="2">
    <w:p w14:paraId="21CF587B" w14:textId="77777777" w:rsidR="0011663D" w:rsidRDefault="0011663D" w:rsidP="007319AA">
      <w:pPr>
        <w:pStyle w:val="FootnoteText"/>
      </w:pPr>
      <w:r>
        <w:rPr>
          <w:rStyle w:val="FootnoteReference"/>
        </w:rPr>
        <w:footnoteRef/>
      </w:r>
      <w:r>
        <w:t xml:space="preserve"> DESE’s</w:t>
      </w:r>
      <w:r w:rsidRPr="00B408CF">
        <w:t xml:space="preserve"> District Standards and Indicators are at </w:t>
      </w:r>
      <w:hyperlink r:id="rId1" w:history="1">
        <w:r w:rsidRPr="00B408CF">
          <w:rPr>
            <w:rStyle w:val="Hyperlink"/>
            <w:szCs w:val="18"/>
          </w:rPr>
          <w:t>http://www.doe.mass.edu/accountability/district-review/district-standards-indicators.pdf</w:t>
        </w:r>
      </w:hyperlink>
      <w:r>
        <w:t>.</w:t>
      </w:r>
    </w:p>
  </w:footnote>
  <w:footnote w:id="3">
    <w:p w14:paraId="4D3EF6CC" w14:textId="77777777" w:rsidR="008672D4" w:rsidRDefault="008672D4" w:rsidP="007319AA">
      <w:pPr>
        <w:pStyle w:val="FootnoteText"/>
      </w:pPr>
      <w:r>
        <w:rPr>
          <w:rStyle w:val="FootnoteReference"/>
        </w:rPr>
        <w:footnoteRef/>
      </w:r>
      <w:r>
        <w:t xml:space="preserve"> </w:t>
      </w:r>
      <w:r w:rsidRPr="00B408CF">
        <w:t xml:space="preserve">For more information on the </w:t>
      </w:r>
      <w:r w:rsidRPr="007319AA">
        <w:t>Teachstone</w:t>
      </w:r>
      <w:r w:rsidRPr="00B408CF">
        <w:t xml:space="preserve"> CLASS protocol, visit </w:t>
      </w:r>
      <w:hyperlink r:id="rId2" w:history="1">
        <w:r w:rsidRPr="00B408CF">
          <w:rPr>
            <w:rStyle w:val="Hyperlink"/>
            <w:szCs w:val="18"/>
          </w:rPr>
          <w:t>https://teachstone.com/class/</w:t>
        </w:r>
      </w:hyperlink>
      <w:r w:rsidRPr="00B408CF">
        <w:t>.</w:t>
      </w:r>
    </w:p>
  </w:footnote>
  <w:footnote w:id="4">
    <w:p w14:paraId="21C90550" w14:textId="77777777" w:rsidR="001E4C5C" w:rsidRDefault="001E4C5C" w:rsidP="00116ED6">
      <w:pPr>
        <w:pStyle w:val="FootnoteText"/>
      </w:pPr>
      <w:r>
        <w:rPr>
          <w:rStyle w:val="FootnoteReference"/>
        </w:rPr>
        <w:footnoteRef/>
      </w:r>
      <w:r>
        <w:t xml:space="preserve"> Districts with similar demographics and similar wealth are based on </w:t>
      </w:r>
      <w:hyperlink r:id="rId3" w:history="1">
        <w:r w:rsidRPr="000B2CB9">
          <w:rPr>
            <w:rStyle w:val="Hyperlink"/>
          </w:rPr>
          <w:t>Resource Allocation and District Action Reports (RADAR)</w:t>
        </w:r>
      </w:hyperlink>
      <w:r>
        <w:t xml:space="preserve"> (retrieved February 2025).</w:t>
      </w:r>
    </w:p>
  </w:footnote>
  <w:footnote w:id="5">
    <w:p w14:paraId="5CFB9472" w14:textId="77777777" w:rsidR="00B678B5" w:rsidRPr="00F008EE" w:rsidRDefault="00B678B5" w:rsidP="00400B6F">
      <w:pPr>
        <w:pStyle w:val="FootnoteText"/>
      </w:pPr>
      <w:r w:rsidRPr="00F008EE">
        <w:rPr>
          <w:rStyle w:val="FootnoteReference"/>
          <w:rFonts w:cs="Calibri"/>
        </w:rPr>
        <w:footnoteRef/>
      </w:r>
      <w:r w:rsidRPr="00F008EE">
        <w:t xml:space="preserve"> When observers rate this dimension it is scored so that a low rating (indicating little or no evidence of a negative climate) is better than a high rating (indicating abundant evidence of a negative climate). To be consistent </w:t>
      </w:r>
      <w:r w:rsidRPr="00400B6F">
        <w:t>across</w:t>
      </w:r>
      <w:r w:rsidRPr="00F008EE">
        <w:t xml:space="preserve"> all ratings, for the purposes of this report we have inversed this scoring.</w:t>
      </w:r>
    </w:p>
  </w:footnote>
  <w:footnote w:id="6">
    <w:p w14:paraId="725780DF" w14:textId="11D8C2E5" w:rsidR="000A1B38" w:rsidRPr="00381109" w:rsidRDefault="000A1B38">
      <w:pPr>
        <w:pStyle w:val="FootnoteText"/>
        <w:rPr>
          <w:rFonts w:ascii="Franklin Gothic Book" w:hAnsi="Franklin Gothic Book"/>
        </w:rPr>
      </w:pPr>
      <w:r>
        <w:rPr>
          <w:rStyle w:val="FootnoteReference"/>
        </w:rPr>
        <w:footnoteRef/>
      </w:r>
      <w:r>
        <w:t xml:space="preserve"> </w:t>
      </w:r>
      <w:r w:rsidRPr="00381109">
        <w:rPr>
          <w:rFonts w:ascii="Franklin Gothic Book" w:hAnsi="Franklin Gothic Book"/>
        </w:rPr>
        <w:t>Column labels for Tables E1-E9: M/E</w:t>
      </w:r>
      <w:r w:rsidR="00D2515C">
        <w:rPr>
          <w:rFonts w:ascii="Franklin Gothic Book" w:hAnsi="Franklin Gothic Book"/>
        </w:rPr>
        <w:t xml:space="preserve"> </w:t>
      </w:r>
      <w:r w:rsidRPr="00381109">
        <w:rPr>
          <w:rFonts w:ascii="Franklin Gothic Book" w:hAnsi="Franklin Gothic Book"/>
        </w:rPr>
        <w:t>=</w:t>
      </w:r>
      <w:r w:rsidR="00D2515C">
        <w:rPr>
          <w:rFonts w:ascii="Franklin Gothic Book" w:hAnsi="Franklin Gothic Book"/>
        </w:rPr>
        <w:t xml:space="preserve"> </w:t>
      </w:r>
      <w:r w:rsidRPr="00381109">
        <w:rPr>
          <w:rFonts w:ascii="Franklin Gothic Book" w:hAnsi="Franklin Gothic Book"/>
        </w:rPr>
        <w:t>Percent meeting or exceeding expectations, PME</w:t>
      </w:r>
      <w:r w:rsidR="00D2515C">
        <w:rPr>
          <w:rFonts w:ascii="Franklin Gothic Book" w:hAnsi="Franklin Gothic Book"/>
        </w:rPr>
        <w:t xml:space="preserve"> </w:t>
      </w:r>
      <w:r w:rsidRPr="00381109">
        <w:rPr>
          <w:rFonts w:ascii="Franklin Gothic Book" w:hAnsi="Franklin Gothic Book"/>
        </w:rPr>
        <w:t>=</w:t>
      </w:r>
      <w:r w:rsidR="00D2515C">
        <w:rPr>
          <w:rFonts w:ascii="Franklin Gothic Book" w:hAnsi="Franklin Gothic Book"/>
        </w:rPr>
        <w:t xml:space="preserve"> </w:t>
      </w:r>
      <w:r w:rsidRPr="00381109">
        <w:rPr>
          <w:rFonts w:ascii="Franklin Gothic Book" w:hAnsi="Franklin Gothic Book"/>
        </w:rPr>
        <w:t>Partially meeting expectations, NM</w:t>
      </w:r>
      <w:r w:rsidR="00D2515C">
        <w:rPr>
          <w:rFonts w:ascii="Franklin Gothic Book" w:hAnsi="Franklin Gothic Book"/>
        </w:rPr>
        <w:t xml:space="preserve"> </w:t>
      </w:r>
      <w:r w:rsidRPr="00381109">
        <w:rPr>
          <w:rFonts w:ascii="Franklin Gothic Book" w:hAnsi="Franklin Gothic Book"/>
        </w:rPr>
        <w:t>= Not meeting expectations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0CC1" w14:textId="139F3F93" w:rsidR="00075F0D" w:rsidRDefault="00075F0D" w:rsidP="002F1EBE">
    <w:pPr>
      <w:spacing w:after="24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A1F2" w14:textId="5943D1D4" w:rsidR="0079477D" w:rsidRDefault="00000000">
    <w:pPr>
      <w:pStyle w:val="Header"/>
    </w:pPr>
    <w:r>
      <w:rPr>
        <w:noProof/>
      </w:rPr>
      <w:pict w14:anchorId="0978D6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6" type="#_x0000_t136" style="position:absolute;margin-left:0;margin-top:0;width:463.3pt;height:196.55pt;rotation:315;z-index:-251658232;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5A6336E0">
        <v:shape id="_x0000_s1097" type="#_x0000_t136" style="position:absolute;margin-left:0;margin-top:0;width:463.3pt;height:196.55pt;rotation:315;z-index:-251658233;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4E0196D8">
        <v:shape id="_x0000_s1098" type="#_x0000_t136" style="position:absolute;margin-left:0;margin-top:0;width:463.3pt;height:196.55pt;rotation:315;z-index:-251658234;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F100" w14:textId="21067958" w:rsidR="00974338" w:rsidRDefault="00000000">
    <w:pPr>
      <w:pStyle w:val="Header"/>
    </w:pPr>
    <w:r>
      <w:rPr>
        <w:noProof/>
      </w:rPr>
      <w:pict w14:anchorId="09719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9" type="#_x0000_t136" style="position:absolute;margin-left:0;margin-top:0;width:463.3pt;height:196.55pt;rotation:315;z-index:-251658193;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7F362174">
        <v:shape id="_x0000_s1100" type="#_x0000_t136" style="position:absolute;margin-left:0;margin-top:0;width:463.3pt;height:196.55pt;rotation:315;z-index:-251658194;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6D49FCE8">
        <v:shape id="_x0000_s1101" type="#_x0000_t136" style="position:absolute;margin-left:0;margin-top:0;width:463.3pt;height:196.55pt;rotation:315;z-index:-251658195;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CB153" w14:textId="3619CC5C" w:rsidR="00974338" w:rsidRDefault="00974338" w:rsidP="00B4699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4F0D" w14:textId="288B2873" w:rsidR="00974338" w:rsidRDefault="00000000">
    <w:pPr>
      <w:pStyle w:val="Header"/>
    </w:pPr>
    <w:r>
      <w:rPr>
        <w:noProof/>
      </w:rPr>
      <w:pict w14:anchorId="566516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4" type="#_x0000_t136" style="position:absolute;margin-left:0;margin-top:0;width:463.3pt;height:196.55pt;rotation:315;z-index:-251658196;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7B4C043F">
        <v:shape id="_x0000_s1105" type="#_x0000_t136" style="position:absolute;margin-left:0;margin-top:0;width:463.3pt;height:196.55pt;rotation:315;z-index:-251658197;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1F468487">
        <v:shape id="_x0000_s1106" type="#_x0000_t136" style="position:absolute;margin-left:0;margin-top:0;width:463.3pt;height:196.55pt;rotation:315;z-index:-251658198;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B415" w14:textId="5AAAAAC9" w:rsidR="00974338" w:rsidRDefault="00000000">
    <w:pPr>
      <w:pStyle w:val="Header"/>
    </w:pPr>
    <w:r>
      <w:rPr>
        <w:noProof/>
      </w:rPr>
      <w:pict w14:anchorId="344860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7" type="#_x0000_t136" style="position:absolute;margin-left:0;margin-top:0;width:463.3pt;height:196.55pt;rotation:315;z-index:-251658187;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4A8798C5">
        <v:shape id="_x0000_s1108" type="#_x0000_t136" style="position:absolute;margin-left:0;margin-top:0;width:463.3pt;height:196.55pt;rotation:315;z-index:-251658188;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31CF2216">
        <v:shape id="_x0000_s1109" type="#_x0000_t136" style="position:absolute;margin-left:0;margin-top:0;width:463.3pt;height:196.55pt;rotation:315;z-index:-251658189;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F419" w14:textId="77777777" w:rsidR="00B678B5" w:rsidRPr="00FF6528" w:rsidRDefault="00B678B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7D27" w14:textId="33DDBC61" w:rsidR="00974338" w:rsidRDefault="00000000">
    <w:pPr>
      <w:pStyle w:val="Header"/>
    </w:pPr>
    <w:r>
      <w:rPr>
        <w:noProof/>
      </w:rPr>
      <w:pict w14:anchorId="71B8A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0" type="#_x0000_t136" style="position:absolute;margin-left:0;margin-top:0;width:463.3pt;height:196.55pt;rotation:315;z-index:-251658190;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25DFE69F">
        <v:shape id="_x0000_s1111" type="#_x0000_t136" style="position:absolute;margin-left:0;margin-top:0;width:463.3pt;height:196.55pt;rotation:315;z-index:-251658191;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46AF1875">
        <v:shape id="_x0000_s1112" type="#_x0000_t136" style="position:absolute;margin-left:0;margin-top:0;width:463.3pt;height:196.55pt;rotation:315;z-index:-251658192;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8C26" w14:textId="1EC8DA6C" w:rsidR="0079477D" w:rsidRDefault="00000000">
    <w:pPr>
      <w:pStyle w:val="Header"/>
    </w:pPr>
    <w:r>
      <w:rPr>
        <w:noProof/>
      </w:rPr>
      <w:pict w14:anchorId="771D16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3" type="#_x0000_t136" style="position:absolute;margin-left:0;margin-top:0;width:463.3pt;height:196.55pt;rotation:315;z-index:-251658221;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5EC2B3DA">
        <v:shape id="_x0000_s1114" type="#_x0000_t136" style="position:absolute;margin-left:0;margin-top:0;width:463.3pt;height:196.55pt;rotation:315;z-index:-251658222;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2D1C1529">
        <v:shape id="_x0000_s1115" type="#_x0000_t136" style="position:absolute;margin-left:0;margin-top:0;width:463.3pt;height:196.55pt;rotation:315;z-index:-251658223;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02742D0E">
        <v:shape id="_x0000_s1116" type="#_x0000_t136" style="position:absolute;margin-left:0;margin-top:0;width:463.3pt;height:196.55pt;rotation:315;z-index:-251658224;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F92D" w14:textId="5A2B087A" w:rsidR="0079477D" w:rsidRPr="00BB2317" w:rsidRDefault="0079477D" w:rsidP="00BB231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9171" w14:textId="2809D4D1" w:rsidR="0079477D" w:rsidRDefault="00000000">
    <w:pPr>
      <w:pStyle w:val="Header"/>
    </w:pPr>
    <w:r>
      <w:rPr>
        <w:noProof/>
      </w:rPr>
      <w:pict w14:anchorId="2EDA4A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7" type="#_x0000_t136" style="position:absolute;margin-left:0;margin-top:0;width:463.3pt;height:196.55pt;rotation:315;z-index:-251658225;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06A3ECC5">
        <v:shape id="_x0000_s1118" type="#_x0000_t136" style="position:absolute;margin-left:0;margin-top:0;width:463.3pt;height:196.55pt;rotation:315;z-index:-251658226;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657CA558">
        <v:shape id="_x0000_s1119" type="#_x0000_t136" style="position:absolute;margin-left:0;margin-top:0;width:463.3pt;height:196.55pt;rotation:315;z-index:-251658227;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695FDB15">
        <v:shape id="_x0000_s1120" type="#_x0000_t136" style="position:absolute;margin-left:0;margin-top:0;width:463.3pt;height:196.55pt;rotation:315;z-index:-251658228;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A992" w14:textId="58F6028B" w:rsidR="0079477D" w:rsidRDefault="00000000">
    <w:pPr>
      <w:pStyle w:val="Header"/>
    </w:pPr>
    <w:r>
      <w:rPr>
        <w:noProof/>
      </w:rPr>
      <w:pict w14:anchorId="52B32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4" type="#_x0000_t136" style="position:absolute;margin-left:0;margin-top:0;width:463.3pt;height:196.55pt;rotation:315;z-index:-251658239;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36D3" w14:textId="53086A9C" w:rsidR="0079477D" w:rsidRDefault="00754618">
    <w:pPr>
      <w:pStyle w:val="Header"/>
    </w:pPr>
    <w:r>
      <w:rPr>
        <w:noProof/>
      </w:rPr>
      <mc:AlternateContent>
        <mc:Choice Requires="wps">
          <w:drawing>
            <wp:anchor distT="0" distB="0" distL="114300" distR="114300" simplePos="0" relativeHeight="251658269" behindDoc="1" locked="0" layoutInCell="0" allowOverlap="1" wp14:anchorId="37ACE1A5" wp14:editId="1F2113FC">
              <wp:simplePos x="0" y="0"/>
              <wp:positionH relativeFrom="margin">
                <wp:align>center</wp:align>
              </wp:positionH>
              <wp:positionV relativeFrom="margin">
                <wp:align>center</wp:align>
              </wp:positionV>
              <wp:extent cx="5883910" cy="2496185"/>
              <wp:effectExtent l="0" t="1504950" r="0" b="1209040"/>
              <wp:wrapNone/>
              <wp:docPr id="3050650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A85442"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ACE1A5" id="_x0000_t202" coordsize="21600,21600" o:spt="202" path="m,l,21600r21600,l21600,xe">
              <v:stroke joinstyle="miter"/>
              <v:path gradientshapeok="t" o:connecttype="rect"/>
            </v:shapetype>
            <v:shape id="Text Box 13" o:spid="_x0000_s1026" type="#_x0000_t202" style="position:absolute;margin-left:0;margin-top:0;width:463.3pt;height:196.55pt;rotation:-45;z-index:-25165821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1Fp9AEAAMU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" o:allowincell="f" filled="f" stroked="f">
              <v:stroke joinstyle="round"/>
              <o:lock v:ext="edit" shapetype="t"/>
              <v:textbox style="mso-fit-shape-to-text:t">
                <w:txbxContent>
                  <w:p w14:paraId="44A85442"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8" behindDoc="1" locked="0" layoutInCell="0" allowOverlap="1" wp14:anchorId="74027E61" wp14:editId="5CB66D90">
              <wp:simplePos x="0" y="0"/>
              <wp:positionH relativeFrom="margin">
                <wp:align>center</wp:align>
              </wp:positionH>
              <wp:positionV relativeFrom="margin">
                <wp:align>center</wp:align>
              </wp:positionV>
              <wp:extent cx="5883910" cy="2496185"/>
              <wp:effectExtent l="0" t="1504950" r="0" b="1209040"/>
              <wp:wrapNone/>
              <wp:docPr id="7244245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66C983"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027E61" id="Text Box 12" o:spid="_x0000_s1027" type="#_x0000_t202" style="position:absolute;margin-left:0;margin-top:0;width:463.3pt;height:196.55pt;rotation:-45;z-index:-2516582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Fj09gEAAMw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" o:allowincell="f" filled="f" stroked="f">
              <v:stroke joinstyle="round"/>
              <o:lock v:ext="edit" shapetype="t"/>
              <v:textbox style="mso-fit-shape-to-text:t">
                <w:txbxContent>
                  <w:p w14:paraId="2C66C983"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7" behindDoc="1" locked="0" layoutInCell="0" allowOverlap="1" wp14:anchorId="2B2C0A40" wp14:editId="0775E30E">
              <wp:simplePos x="0" y="0"/>
              <wp:positionH relativeFrom="margin">
                <wp:align>center</wp:align>
              </wp:positionH>
              <wp:positionV relativeFrom="margin">
                <wp:align>center</wp:align>
              </wp:positionV>
              <wp:extent cx="5883910" cy="2496185"/>
              <wp:effectExtent l="0" t="1504950" r="0" b="1209040"/>
              <wp:wrapNone/>
              <wp:docPr id="17627345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056E80"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2C0A40" id="Text Box 11" o:spid="_x0000_s1028" type="#_x0000_t202" style="position:absolute;margin-left:0;margin-top:0;width:463.3pt;height:196.55pt;rotation:-45;z-index:-25165821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RsU9wEAAMw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" o:allowincell="f" filled="f" stroked="f">
              <v:stroke joinstyle="round"/>
              <o:lock v:ext="edit" shapetype="t"/>
              <v:textbox style="mso-fit-shape-to-text:t">
                <w:txbxContent>
                  <w:p w14:paraId="6B056E80"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6" behindDoc="1" locked="0" layoutInCell="0" allowOverlap="1" wp14:anchorId="50CE015F" wp14:editId="2067C6F8">
              <wp:simplePos x="0" y="0"/>
              <wp:positionH relativeFrom="margin">
                <wp:align>center</wp:align>
              </wp:positionH>
              <wp:positionV relativeFrom="margin">
                <wp:align>center</wp:align>
              </wp:positionV>
              <wp:extent cx="5883910" cy="2496185"/>
              <wp:effectExtent l="0" t="1504950" r="0" b="1209040"/>
              <wp:wrapNone/>
              <wp:docPr id="1190234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AAF8EF"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CE015F" id="Text Box 10" o:spid="_x0000_s1029" type="#_x0000_t202" style="position:absolute;margin-left:0;margin-top:0;width:463.3pt;height:196.55pt;rotation:-45;z-index:-25165821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AHEdpL+AEAAMw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13AAF8EF"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5" behindDoc="1" locked="0" layoutInCell="0" allowOverlap="1" wp14:anchorId="7746273F" wp14:editId="24C815BC">
              <wp:simplePos x="0" y="0"/>
              <wp:positionH relativeFrom="margin">
                <wp:align>center</wp:align>
              </wp:positionH>
              <wp:positionV relativeFrom="margin">
                <wp:align>center</wp:align>
              </wp:positionV>
              <wp:extent cx="5883910" cy="2496185"/>
              <wp:effectExtent l="0" t="1504950" r="0" b="1209040"/>
              <wp:wrapNone/>
              <wp:docPr id="763772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7DC2B4"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46273F" id="Text Box 9" o:spid="_x0000_s1030" type="#_x0000_t202" style="position:absolute;margin-left:0;margin-top:0;width:463.3pt;height:196.55pt;rotation:-45;z-index:-25165821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CqgO0P+AEAAMw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417DC2B4"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D1F2" w14:textId="7469FB7B" w:rsidR="0047269F" w:rsidRDefault="0047269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894B" w14:textId="0C31B629" w:rsidR="0079477D" w:rsidRDefault="00754618">
    <w:pPr>
      <w:pStyle w:val="Header"/>
    </w:pPr>
    <w:r>
      <w:rPr>
        <w:noProof/>
      </w:rPr>
      <mc:AlternateContent>
        <mc:Choice Requires="wps">
          <w:drawing>
            <wp:anchor distT="0" distB="0" distL="114300" distR="114300" simplePos="0" relativeHeight="251658264" behindDoc="1" locked="0" layoutInCell="0" allowOverlap="1" wp14:anchorId="450A2F89" wp14:editId="4E0AB795">
              <wp:simplePos x="0" y="0"/>
              <wp:positionH relativeFrom="margin">
                <wp:align>center</wp:align>
              </wp:positionH>
              <wp:positionV relativeFrom="margin">
                <wp:align>center</wp:align>
              </wp:positionV>
              <wp:extent cx="5883910" cy="2496185"/>
              <wp:effectExtent l="0" t="1504950" r="0" b="1209040"/>
              <wp:wrapNone/>
              <wp:docPr id="115724879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76E058"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0A2F89" id="_x0000_t202" coordsize="21600,21600" o:spt="202" path="m,l,21600r21600,l21600,xe">
              <v:stroke joinstyle="miter"/>
              <v:path gradientshapeok="t" o:connecttype="rect"/>
            </v:shapetype>
            <v:shape id="Text Box 18" o:spid="_x0000_s1031" type="#_x0000_t202" style="position:absolute;margin-left:0;margin-top:0;width:463.3pt;height:196.55pt;rotation:-45;z-index:-251658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xQ9wEAAMw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" o:allowincell="f" filled="f" stroked="f">
              <v:stroke joinstyle="round"/>
              <o:lock v:ext="edit" shapetype="t"/>
              <v:textbox style="mso-fit-shape-to-text:t">
                <w:txbxContent>
                  <w:p w14:paraId="0176E058"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3" behindDoc="1" locked="0" layoutInCell="0" allowOverlap="1" wp14:anchorId="078C95C6" wp14:editId="0C2BF0F3">
              <wp:simplePos x="0" y="0"/>
              <wp:positionH relativeFrom="margin">
                <wp:align>center</wp:align>
              </wp:positionH>
              <wp:positionV relativeFrom="margin">
                <wp:align>center</wp:align>
              </wp:positionV>
              <wp:extent cx="5883910" cy="2496185"/>
              <wp:effectExtent l="0" t="1504950" r="0" b="1209040"/>
              <wp:wrapNone/>
              <wp:docPr id="78604490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2EA331"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8C95C6" id="Text Box 17" o:spid="_x0000_s1032" type="#_x0000_t202" style="position:absolute;margin-left:0;margin-top:0;width:463.3pt;height:196.55pt;rotation:-45;z-index:-25165821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w+AEAAMwDAAAOAAAAZHJzL2Uyb0RvYy54bWysU8GO0zAQvSPxD5bvNEmhVR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Vni8X7ZUFbkvamH5bzYjFLLUUZ0eIgHPrwWYNh8aXi&#10;SElIsOL44ENkdz0yUo3szjzDsBtYqyo+j6CR+Q7Uibj3FJSK+58HgZp8OJhboFyR+BrBvFASN5jU&#10;vxLYDi8C3UghEPun7jUoiUdKjGJWmGiI+k5ApqP8HUXHZsmJM9Px8Mj5jBrverchF+/bJOjKcxRE&#10;kUk6x3jHTP7+nU5df8L1LwA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CCOW+w+AEAAMw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7F2EA331"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2" behindDoc="1" locked="0" layoutInCell="0" allowOverlap="1" wp14:anchorId="2BCE1C61" wp14:editId="1DEFB721">
              <wp:simplePos x="0" y="0"/>
              <wp:positionH relativeFrom="margin">
                <wp:align>center</wp:align>
              </wp:positionH>
              <wp:positionV relativeFrom="margin">
                <wp:align>center</wp:align>
              </wp:positionV>
              <wp:extent cx="5883910" cy="2496185"/>
              <wp:effectExtent l="0" t="1504950" r="0" b="1209040"/>
              <wp:wrapNone/>
              <wp:docPr id="16363945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3D530F"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CE1C61" id="Text Box 16" o:spid="_x0000_s1033" type="#_x0000_t202" style="position:absolute;margin-left:0;margin-top:0;width:463.3pt;height:196.55pt;rotation:-45;z-index:-25165821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AWZa7v+AEAAMw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1F3D530F"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1" behindDoc="1" locked="0" layoutInCell="0" allowOverlap="1" wp14:anchorId="7503609B" wp14:editId="36DDB7C0">
              <wp:simplePos x="0" y="0"/>
              <wp:positionH relativeFrom="margin">
                <wp:align>center</wp:align>
              </wp:positionH>
              <wp:positionV relativeFrom="margin">
                <wp:align>center</wp:align>
              </wp:positionV>
              <wp:extent cx="5883910" cy="2496185"/>
              <wp:effectExtent l="0" t="1504950" r="0" b="1209040"/>
              <wp:wrapNone/>
              <wp:docPr id="2098332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9C3D60"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03609B" id="Text Box 15" o:spid="_x0000_s1034" type="#_x0000_t202" style="position:absolute;margin-left:0;margin-top:0;width:463.3pt;height:196.55pt;rotation:-45;z-index:-25165821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DYGgA4+AEAAMw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169C3D60"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0" behindDoc="1" locked="0" layoutInCell="0" allowOverlap="1" wp14:anchorId="746BDD1C" wp14:editId="27FAE4CA">
              <wp:simplePos x="0" y="0"/>
              <wp:positionH relativeFrom="margin">
                <wp:align>center</wp:align>
              </wp:positionH>
              <wp:positionV relativeFrom="margin">
                <wp:align>center</wp:align>
              </wp:positionV>
              <wp:extent cx="5883910" cy="2496185"/>
              <wp:effectExtent l="0" t="1504950" r="0" b="1209040"/>
              <wp:wrapNone/>
              <wp:docPr id="15475859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5750EA"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6BDD1C" id="Text Box 14" o:spid="_x0000_s1035" type="#_x0000_t202" style="position:absolute;margin-left:0;margin-top:0;width:463.3pt;height:196.55pt;rotation:-45;z-index:-2516582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Fn+AEAAMw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lXxRQSNzLegjsS9p6BU3P/eC9Tkw97cAOWKxNcI5pmSuMak&#10;/oXAZngW6EYKgdg/di9BSTxSYhSzwkRD1E8CMh3l7yA6NktOnJiOh0fOJ9R417s1uXjXJkEXnqMg&#10;ikzSOcY7ZvLv73Tq8hOu/gA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BMRsFn+AEAAMw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525750EA" w14:textId="77777777" w:rsidR="00754618" w:rsidRDefault="00754618"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21B6" w14:textId="77777777" w:rsidR="00875BBA" w:rsidRDefault="00875BBA">
    <w:pPr>
      <w:pStyle w:val="Header"/>
    </w:pPr>
    <w:r>
      <w:rPr>
        <w:noProof/>
      </w:rPr>
      <mc:AlternateContent>
        <mc:Choice Requires="wps">
          <w:drawing>
            <wp:anchor distT="0" distB="0" distL="114300" distR="114300" simplePos="0" relativeHeight="251658313" behindDoc="1" locked="0" layoutInCell="0" allowOverlap="1" wp14:anchorId="4984EE47" wp14:editId="0BB5E540">
              <wp:simplePos x="0" y="0"/>
              <wp:positionH relativeFrom="margin">
                <wp:align>center</wp:align>
              </wp:positionH>
              <wp:positionV relativeFrom="margin">
                <wp:align>center</wp:align>
              </wp:positionV>
              <wp:extent cx="5883910" cy="2496185"/>
              <wp:effectExtent l="0" t="1504950" r="0" b="1209040"/>
              <wp:wrapNone/>
              <wp:docPr id="1017932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CC5FF4"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84EE47" id="_x0000_t202" coordsize="21600,21600" o:spt="202" path="m,l,21600r21600,l21600,xe">
              <v:stroke joinstyle="miter"/>
              <v:path gradientshapeok="t" o:connecttype="rect"/>
            </v:shapetype>
            <v:shape id="_x0000_s1036" type="#_x0000_t202" style="position:absolute;margin-left:0;margin-top:0;width:463.3pt;height:196.55pt;rotation:-45;z-index:-25165816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eO+AEAAM0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kWEUkAi9S2oI5HvKSkV97/3AjUZsTc3QMEi9TWCeaYorjHJ&#10;f2GwGZ4FupFDIPqP3UtSEpEUGcWsMNER9ZOATEcBPIiOzZIVJ6rj4ZH0CTXe9W5NNt61SdGF56iI&#10;MpOEjvmOofz7O526/IWrPwA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DoUteO+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52CC5FF4"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312" behindDoc="1" locked="0" layoutInCell="0" allowOverlap="1" wp14:anchorId="5C288F5B" wp14:editId="1B107E5D">
              <wp:simplePos x="0" y="0"/>
              <wp:positionH relativeFrom="margin">
                <wp:align>center</wp:align>
              </wp:positionH>
              <wp:positionV relativeFrom="margin">
                <wp:align>center</wp:align>
              </wp:positionV>
              <wp:extent cx="5883910" cy="2496185"/>
              <wp:effectExtent l="0" t="1504950" r="0" b="1209040"/>
              <wp:wrapNone/>
              <wp:docPr id="18359802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C3E9B1"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288F5B" id="_x0000_s1037" type="#_x0000_t202" style="position:absolute;margin-left:0;margin-top:0;width:463.3pt;height:196.55pt;rotation:-45;z-index:-251658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hbR+AEAAM0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kWEkpBIfQvqSOR7SkrF/e+9QE1G7M0NULBIfY1gnimKa0zy&#10;XxhshmeBbuQQiP5j95KURCRFRjErTHRE/SQg01EAD6Jjs2TFiep4eCR9Qo13vVuTjXdtUnThOSqi&#10;zCShY75jKP/+Tqcuf+HqDwA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B8DhbR+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1AC3E9B1"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311" behindDoc="1" locked="0" layoutInCell="0" allowOverlap="1" wp14:anchorId="62CC6344" wp14:editId="56090B5B">
              <wp:simplePos x="0" y="0"/>
              <wp:positionH relativeFrom="margin">
                <wp:align>center</wp:align>
              </wp:positionH>
              <wp:positionV relativeFrom="margin">
                <wp:align>center</wp:align>
              </wp:positionV>
              <wp:extent cx="5883910" cy="2496185"/>
              <wp:effectExtent l="0" t="1504950" r="0" b="1209040"/>
              <wp:wrapNone/>
              <wp:docPr id="5330472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5AA010"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CC6344" id="_x0000_s1038" type="#_x0000_t202" style="position:absolute;margin-left:0;margin-top:0;width:463.3pt;height:196.55pt;rotation:-45;z-index:-25165816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Ux+AEAAM0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kWEphE1Ut+COhL5npJScf97L1CTEXtzAxQsUl8jmGeK4hqT&#10;/BcGm+FZoBs5BKL/2L0kJRFJkVHMChMdUT8JyHQUwIPo2CxZcaI6Hh5Jn1DjXe/WZONdmxRdeI6K&#10;KDNJ6JjvGMq/v9Opy1+4+gM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DA61Ux+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4C5AA010"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310" behindDoc="1" locked="0" layoutInCell="0" allowOverlap="1" wp14:anchorId="3405923A" wp14:editId="54C791B0">
              <wp:simplePos x="0" y="0"/>
              <wp:positionH relativeFrom="margin">
                <wp:align>center</wp:align>
              </wp:positionH>
              <wp:positionV relativeFrom="margin">
                <wp:align>center</wp:align>
              </wp:positionV>
              <wp:extent cx="5883910" cy="2496185"/>
              <wp:effectExtent l="0" t="1504950" r="0" b="1209040"/>
              <wp:wrapNone/>
              <wp:docPr id="1558197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5F8F2E"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05923A" id="_x0000_s1039" type="#_x0000_t202" style="position:absolute;margin-left:0;margin-top:0;width:463.3pt;height:196.55pt;rotation:-45;z-index:-25165817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BUt5Ru+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6F5F8F2E"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309" behindDoc="1" locked="0" layoutInCell="0" allowOverlap="1" wp14:anchorId="072CE5E2" wp14:editId="607BB384">
              <wp:simplePos x="0" y="0"/>
              <wp:positionH relativeFrom="margin">
                <wp:align>center</wp:align>
              </wp:positionH>
              <wp:positionV relativeFrom="margin">
                <wp:align>center</wp:align>
              </wp:positionV>
              <wp:extent cx="5883910" cy="2496185"/>
              <wp:effectExtent l="0" t="1504950" r="0" b="1209040"/>
              <wp:wrapNone/>
              <wp:docPr id="130705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3B0500"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2CE5E2" id="_x0000_s1040" type="#_x0000_t202" style="position:absolute;margin-left:0;margin-top:0;width:463.3pt;height:196.55pt;rotation:-45;z-index:-25165817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D5JqMq+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143B0500"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AFBD" w14:textId="77777777" w:rsidR="00875BBA" w:rsidRDefault="00875BB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D9F2" w14:textId="77777777" w:rsidR="00875BBA" w:rsidRDefault="00875BBA">
    <w:pPr>
      <w:pStyle w:val="Header"/>
    </w:pPr>
    <w:r>
      <w:rPr>
        <w:noProof/>
      </w:rPr>
      <mc:AlternateContent>
        <mc:Choice Requires="wps">
          <w:drawing>
            <wp:anchor distT="0" distB="0" distL="114300" distR="114300" simplePos="0" relativeHeight="251658308" behindDoc="1" locked="0" layoutInCell="0" allowOverlap="1" wp14:anchorId="394BE14C" wp14:editId="2F0EE5EB">
              <wp:simplePos x="0" y="0"/>
              <wp:positionH relativeFrom="margin">
                <wp:align>center</wp:align>
              </wp:positionH>
              <wp:positionV relativeFrom="margin">
                <wp:align>center</wp:align>
              </wp:positionV>
              <wp:extent cx="5883910" cy="2496185"/>
              <wp:effectExtent l="0" t="1504950" r="0" b="1209040"/>
              <wp:wrapNone/>
              <wp:docPr id="91022869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772D8F"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4BE14C" id="_x0000_t202" coordsize="21600,21600" o:spt="202" path="m,l,21600r21600,l21600,xe">
              <v:stroke joinstyle="miter"/>
              <v:path gradientshapeok="t" o:connecttype="rect"/>
            </v:shapetype>
            <v:shape id="_x0000_s1041" type="#_x0000_t202" style="position:absolute;margin-left:0;margin-top:0;width:463.3pt;height:196.55pt;rotation:-45;z-index:-2516581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J19wEAAM0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" o:allowincell="f" filled="f" stroked="f">
              <v:stroke joinstyle="round"/>
              <o:lock v:ext="edit" shapetype="t"/>
              <v:textbox style="mso-fit-shape-to-text:t">
                <w:txbxContent>
                  <w:p w14:paraId="28772D8F"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307" behindDoc="1" locked="0" layoutInCell="0" allowOverlap="1" wp14:anchorId="699742E2" wp14:editId="6AEDC21F">
              <wp:simplePos x="0" y="0"/>
              <wp:positionH relativeFrom="margin">
                <wp:align>center</wp:align>
              </wp:positionH>
              <wp:positionV relativeFrom="margin">
                <wp:align>center</wp:align>
              </wp:positionV>
              <wp:extent cx="5883910" cy="2496185"/>
              <wp:effectExtent l="0" t="1504950" r="0" b="1209040"/>
              <wp:wrapNone/>
              <wp:docPr id="19942131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3FCD3E"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9742E2" id="_x0000_s1042" type="#_x0000_t202" style="position:absolute;margin-left:0;margin-top:0;width:463.3pt;height:196.55pt;rotation:-45;z-index:-25165817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GV+AEAAM0DAAAOAAAAZHJzL2Uyb0RvYy54bWysU8GO0zAQvSPxD5bvNEmhVR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Vni8X7ZUFbkvamH5bzYjFLLUUZ0eIgHPrwWYNh8aXi&#10;SElIsOL44ENkdz0yUo3szjzDsBtYq4jQPKJG6jtQJyLfU1Iq7n8eBGoy4mBugYJF6msE80JR3GCS&#10;/8pgO7wIdCOHQPSfutekJCIpMopZYaIj6jsBmY4CeBQdmyUrzlTHwyPpM2q8692GbLxvk6Irz1ER&#10;ZSYJHfMdQ/n7dzp1/QvXvwA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DRnyGV+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5D3FCD3E"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306" behindDoc="1" locked="0" layoutInCell="0" allowOverlap="1" wp14:anchorId="3E3D204A" wp14:editId="4A0C88A1">
              <wp:simplePos x="0" y="0"/>
              <wp:positionH relativeFrom="margin">
                <wp:align>center</wp:align>
              </wp:positionH>
              <wp:positionV relativeFrom="margin">
                <wp:align>center</wp:align>
              </wp:positionV>
              <wp:extent cx="5883910" cy="2496185"/>
              <wp:effectExtent l="0" t="1504950" r="0" b="1209040"/>
              <wp:wrapNone/>
              <wp:docPr id="2888115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EECA74"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3D204A" id="_x0000_s1043" type="#_x0000_t202" style="position:absolute;margin-left:0;margin-top:0;width:463.3pt;height:196.55pt;rotation:-45;z-index:-25165817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BFw+DK+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7FEECA74"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305" behindDoc="1" locked="0" layoutInCell="0" allowOverlap="1" wp14:anchorId="5DE268D8" wp14:editId="51DD16EF">
              <wp:simplePos x="0" y="0"/>
              <wp:positionH relativeFrom="margin">
                <wp:align>center</wp:align>
              </wp:positionH>
              <wp:positionV relativeFrom="margin">
                <wp:align>center</wp:align>
              </wp:positionV>
              <wp:extent cx="5883910" cy="2496185"/>
              <wp:effectExtent l="0" t="1504950" r="0" b="1209040"/>
              <wp:wrapNone/>
              <wp:docPr id="8237054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42B63B"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E268D8" id="_x0000_s1044" type="#_x0000_t202" style="position:absolute;margin-left:0;margin-top:0;width:463.3pt;height:196.55pt;rotation:-45;z-index:-25165817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4d+AEAAM0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hUJRdRIfQvqSOR7SkrF/e+9QE1G7M0NULBIfY1gnimKa0zy&#10;XxhshmeBbuQQiP5j95KURCRFRjErTHRE/SQg01EAD6Jjs2TFiep4eCR9Qo13vVuTjXdtUnThOSqi&#10;zCShY75jKP/+Tqcuf+HqDwA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CLvE4d+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6B42B63B"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304" behindDoc="1" locked="0" layoutInCell="0" allowOverlap="1" wp14:anchorId="29C5C151" wp14:editId="229608E2">
              <wp:simplePos x="0" y="0"/>
              <wp:positionH relativeFrom="margin">
                <wp:align>center</wp:align>
              </wp:positionH>
              <wp:positionV relativeFrom="margin">
                <wp:align>center</wp:align>
              </wp:positionV>
              <wp:extent cx="5883910" cy="2496185"/>
              <wp:effectExtent l="0" t="1504950" r="0" b="1209040"/>
              <wp:wrapNone/>
              <wp:docPr id="16348008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83910" cy="2496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6FFA8C"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C5C151" id="_x0000_s1045" type="#_x0000_t202" style="position:absolute;margin-left:0;margin-top:0;width:463.3pt;height:196.55pt;rotation:-45;z-index:-2516581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" o:allowincell="f" filled="f" stroked="f">
              <v:stroke joinstyle="round"/>
              <o:lock v:ext="edit" shapetype="t"/>
              <v:textbox style="mso-fit-shape-to-text:t">
                <w:txbxContent>
                  <w:p w14:paraId="6F6FFA8C" w14:textId="77777777" w:rsidR="00875BBA" w:rsidRDefault="00875BBA" w:rsidP="00754618">
                    <w:pPr>
                      <w:jc w:val="center"/>
                      <w:rPr>
                        <w:rFonts w:ascii="Franklin Gothic Book" w:hAnsi="Franklin Gothic Book"/>
                        <w:color w:val="C0C0C0"/>
                        <w:sz w:val="2"/>
                        <w:szCs w:val="2"/>
                        <w14:textFill>
                          <w14:solidFill>
                            <w14:srgbClr w14:val="C0C0C0">
                              <w14:alpha w14:val="61000"/>
                            </w14:srgbClr>
                          </w14:solidFill>
                        </w14:textFill>
                      </w:rPr>
                    </w:pPr>
                    <w:r>
                      <w:rPr>
                        <w:rFonts w:ascii="Franklin Gothic Book" w:hAnsi="Franklin Gothic Book"/>
                        <w:color w:val="C0C0C0"/>
                        <w:sz w:val="2"/>
                        <w:szCs w:val="2"/>
                        <w14:textFill>
                          <w14:solidFill>
                            <w14:srgbClr w14:val="C0C0C0">
                              <w14:alpha w14:val="61000"/>
                            </w14:srgbClr>
                          </w14:solidFill>
                        </w14:textFill>
                      </w:rPr>
                      <w:t>DRAFT</w:t>
                    </w:r>
                  </w:p>
                </w:txbxContent>
              </v:textbox>
              <w10:wrap anchorx="margin"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69E0" w14:textId="29845D7A" w:rsidR="00974338" w:rsidRDefault="00000000">
    <w:pPr>
      <w:pStyle w:val="Header"/>
    </w:pPr>
    <w:r>
      <w:rPr>
        <w:noProof/>
      </w:rPr>
      <w:pict w14:anchorId="33D6A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1" type="#_x0000_t136" style="position:absolute;margin-left:0;margin-top:0;width:463.3pt;height:196.55pt;rotation:315;z-index:-251658177;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79C344EE">
        <v:shape id="_x0000_s1122" type="#_x0000_t136" style="position:absolute;margin-left:0;margin-top:0;width:463.3pt;height:196.55pt;rotation:315;z-index:-251658178;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019BAA71">
        <v:shape id="_x0000_s1123" type="#_x0000_t136" style="position:absolute;margin-left:0;margin-top:0;width:463.3pt;height:196.55pt;rotation:315;z-index:-251658179;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5FF16210">
        <v:shape id="_x0000_s1124" type="#_x0000_t136" style="position:absolute;margin-left:0;margin-top:0;width:463.3pt;height:196.55pt;rotation:315;z-index:-251658180;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7B6E167C">
        <v:shape id="_x0000_s1125" type="#_x0000_t136" style="position:absolute;margin-left:0;margin-top:0;width:463.3pt;height:196.55pt;rotation:315;z-index:-251658181;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9514" w14:textId="77777777" w:rsidR="00974338" w:rsidRDefault="0097433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CB73" w14:textId="49FEF1D0" w:rsidR="00974338" w:rsidRDefault="00000000">
    <w:pPr>
      <w:pStyle w:val="Header"/>
    </w:pPr>
    <w:r>
      <w:rPr>
        <w:noProof/>
      </w:rPr>
      <w:pict w14:anchorId="242B3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6" type="#_x0000_t136" style="position:absolute;margin-left:0;margin-top:0;width:463.3pt;height:196.55pt;rotation:315;z-index:-251658182;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51AF1DED">
        <v:shape id="_x0000_s1127" type="#_x0000_t136" style="position:absolute;margin-left:0;margin-top:0;width:463.3pt;height:196.55pt;rotation:315;z-index:-251658183;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781A023A">
        <v:shape id="_x0000_s1128" type="#_x0000_t136" style="position:absolute;margin-left:0;margin-top:0;width:463.3pt;height:196.55pt;rotation:315;z-index:-251658184;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355AF5DC">
        <v:shape id="_x0000_s1129" type="#_x0000_t136" style="position:absolute;margin-left:0;margin-top:0;width:463.3pt;height:196.55pt;rotation:315;z-index:-251658185;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03172DA6">
        <v:shape id="_x0000_s1130" type="#_x0000_t136" style="position:absolute;margin-left:0;margin-top:0;width:463.3pt;height:196.55pt;rotation:315;z-index:-251658186;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466D" w14:textId="1AA6B31A" w:rsidR="0079477D" w:rsidRDefault="00000000">
    <w:pPr>
      <w:pStyle w:val="Header"/>
    </w:pPr>
    <w:r>
      <w:rPr>
        <w:noProof/>
      </w:rPr>
      <w:pict w14:anchorId="25A96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1" type="#_x0000_t136" style="position:absolute;margin-left:0;margin-top:0;width:463.3pt;height:196.55pt;rotation:315;z-index:-251658199;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687A432A">
        <v:shape id="_x0000_s1132" type="#_x0000_t136" style="position:absolute;margin-left:0;margin-top:0;width:463.3pt;height:196.55pt;rotation:315;z-index:-251658200;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27E3F84E">
        <v:shape id="_x0000_s1133" type="#_x0000_t136" style="position:absolute;margin-left:0;margin-top:0;width:463.3pt;height:196.55pt;rotation:315;z-index:-251658201;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2B838D90">
        <v:shape id="_x0000_s1134" type="#_x0000_t136" style="position:absolute;margin-left:0;margin-top:0;width:463.3pt;height:196.55pt;rotation:315;z-index:-251658202;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5B6518CD">
        <v:shape id="_x0000_s1135" type="#_x0000_t136" style="position:absolute;margin-left:0;margin-top:0;width:463.3pt;height:196.55pt;rotation:315;z-index:-251658203;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161C4036">
        <v:shape id="_x0000_s1136" type="#_x0000_t136" style="position:absolute;margin-left:0;margin-top:0;width:463.3pt;height:196.55pt;rotation:315;z-index:-251658204;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552D" w14:textId="02212424" w:rsidR="002434C0" w:rsidRDefault="002434C0" w:rsidP="00B4699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40AD" w14:textId="5657676A" w:rsidR="0079477D" w:rsidRPr="00BB2317" w:rsidRDefault="0079477D" w:rsidP="00BB231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C800" w14:textId="1C85DECB" w:rsidR="0079477D" w:rsidRDefault="00000000">
    <w:pPr>
      <w:pStyle w:val="Header"/>
    </w:pPr>
    <w:r>
      <w:rPr>
        <w:noProof/>
      </w:rPr>
      <w:pict w14:anchorId="00099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7" type="#_x0000_t136" style="position:absolute;margin-left:0;margin-top:0;width:463.3pt;height:196.55pt;rotation:315;z-index:-251658205;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22A97728">
        <v:shape id="_x0000_s1138" type="#_x0000_t136" style="position:absolute;margin-left:0;margin-top:0;width:463.3pt;height:196.55pt;rotation:315;z-index:-251658206;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17275F54">
        <v:shape id="_x0000_s1139" type="#_x0000_t136" style="position:absolute;margin-left:0;margin-top:0;width:463.3pt;height:196.55pt;rotation:315;z-index:-251658207;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70206BD9">
        <v:shape id="_x0000_s1140" type="#_x0000_t136" style="position:absolute;margin-left:0;margin-top:0;width:463.3pt;height:196.55pt;rotation:315;z-index:-251658208;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79F89FAC">
        <v:shape id="_x0000_s1141" type="#_x0000_t136" style="position:absolute;margin-left:0;margin-top:0;width:463.3pt;height:196.55pt;rotation:315;z-index:-251658209;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5650CB77">
        <v:shape id="_x0000_s1142" type="#_x0000_t136" style="position:absolute;margin-left:0;margin-top:0;width:463.3pt;height:196.55pt;rotation:315;z-index:-251658210;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6070" w14:textId="70CC651C" w:rsidR="0079477D" w:rsidRDefault="00000000">
    <w:pPr>
      <w:pStyle w:val="Header"/>
    </w:pPr>
    <w:r>
      <w:rPr>
        <w:noProof/>
      </w:rPr>
      <w:pict w14:anchorId="45C206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5" type="#_x0000_t136" style="position:absolute;margin-left:0;margin-top:0;width:463.3pt;height:196.55pt;rotation:315;z-index:-251658240;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667A" w14:textId="4FB02D2C" w:rsidR="0079477D" w:rsidRDefault="00000000">
    <w:pPr>
      <w:pStyle w:val="Header"/>
    </w:pPr>
    <w:r>
      <w:rPr>
        <w:noProof/>
      </w:rPr>
      <w:pict w14:anchorId="483352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6" type="#_x0000_t136" style="position:absolute;margin-left:0;margin-top:0;width:463.3pt;height:196.55pt;rotation:315;z-index:-251658235;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39469DD7">
        <v:shape id="_x0000_s1087" type="#_x0000_t136" style="position:absolute;margin-left:0;margin-top:0;width:463.3pt;height:196.55pt;rotation:315;z-index:-251658236;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D1F8" w14:textId="59999716" w:rsidR="0079477D" w:rsidRDefault="0079477D" w:rsidP="00B4699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BA29" w14:textId="701131BC" w:rsidR="0079477D" w:rsidRDefault="00000000">
    <w:pPr>
      <w:pStyle w:val="Header"/>
    </w:pPr>
    <w:r>
      <w:rPr>
        <w:noProof/>
      </w:rPr>
      <w:pict w14:anchorId="7D3D2F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9" type="#_x0000_t136" style="position:absolute;margin-left:0;margin-top:0;width:463.3pt;height:196.55pt;rotation:315;z-index:-251658237;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4FE20D7F">
        <v:shape id="_x0000_s1090" type="#_x0000_t136" style="position:absolute;margin-left:0;margin-top:0;width:463.3pt;height:196.55pt;rotation:315;z-index:-251658238;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9DF6" w14:textId="32675C44" w:rsidR="0079477D" w:rsidRDefault="00000000">
    <w:pPr>
      <w:pStyle w:val="Header"/>
    </w:pPr>
    <w:r>
      <w:rPr>
        <w:noProof/>
      </w:rPr>
      <w:pict w14:anchorId="3359C1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1" type="#_x0000_t136" style="position:absolute;margin-left:0;margin-top:0;width:463.3pt;height:196.55pt;rotation:315;z-index:-251658229;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4F9066C8">
        <v:shape id="_x0000_s1092" type="#_x0000_t136" style="position:absolute;margin-left:0;margin-top:0;width:463.3pt;height:196.55pt;rotation:315;z-index:-251658230;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r>
      <w:rPr>
        <w:noProof/>
      </w:rPr>
      <w:pict w14:anchorId="01E5A928">
        <v:shape id="_x0000_s1093" type="#_x0000_t136" style="position:absolute;margin-left:0;margin-top:0;width:463.3pt;height:196.55pt;rotation:315;z-index:-251658231;mso-wrap-edited:f;mso-position-horizontal:center;mso-position-horizontal-relative:margin;mso-position-vertical:center;mso-position-vertical-relative:margin" o:allowincell="f" fillcolor="silver" stroked="f">
          <v:fill opacity="25559f"/>
          <v:textpath style="font-family:&quot;Franklin Gothic Book&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E798" w14:textId="5283F326" w:rsidR="0079477D" w:rsidRDefault="0079477D" w:rsidP="00B46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CB3"/>
    <w:multiLevelType w:val="hybridMultilevel"/>
    <w:tmpl w:val="A5C4CCAA"/>
    <w:styleLink w:val="TableBulletList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65B63"/>
    <w:multiLevelType w:val="hybridMultilevel"/>
    <w:tmpl w:val="434C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C7416"/>
    <w:multiLevelType w:val="multilevel"/>
    <w:tmpl w:val="AFE436C8"/>
    <w:styleLink w:val="Level1Bullet"/>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B12EF"/>
    <w:multiLevelType w:val="multilevel"/>
    <w:tmpl w:val="3802ECC0"/>
    <w:styleLink w:val="Level2Bullet1"/>
    <w:lvl w:ilvl="0">
      <w:start w:val="1"/>
      <w:numFmt w:val="bullet"/>
      <w:pStyle w:val="TableBullet1"/>
      <w:lvlText w:val="■"/>
      <w:lvlJc w:val="left"/>
      <w:pPr>
        <w:ind w:left="288" w:hanging="288"/>
      </w:pPr>
      <w:rPr>
        <w:rFonts w:ascii="Franklin Gothic Book" w:hAnsi="Franklin Gothic Book" w:hint="default"/>
        <w:color w:val="ED7D31" w:themeColor="accent2"/>
        <w:position w:val="3"/>
        <w:sz w:val="18"/>
      </w:rPr>
    </w:lvl>
    <w:lvl w:ilvl="1">
      <w:start w:val="1"/>
      <w:numFmt w:val="bullet"/>
      <w:pStyle w:val="TableBullet2"/>
      <w:lvlText w:val="o"/>
      <w:lvlJc w:val="left"/>
      <w:pPr>
        <w:ind w:left="576" w:hanging="288"/>
      </w:pPr>
      <w:rPr>
        <w:rFonts w:ascii="Courier New" w:hAnsi="Courier New" w:hint="default"/>
      </w:rPr>
    </w:lvl>
    <w:lvl w:ilvl="2">
      <w:start w:val="1"/>
      <w:numFmt w:val="bullet"/>
      <w:lvlText w:val="•"/>
      <w:lvlJc w:val="left"/>
      <w:pPr>
        <w:ind w:left="864" w:hanging="288"/>
      </w:pPr>
      <w:rPr>
        <w:rFonts w:ascii="Franklin Gothic Book" w:hAnsi="Franklin Gothic Book"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EB36620"/>
    <w:multiLevelType w:val="hybridMultilevel"/>
    <w:tmpl w:val="5AEEF8EE"/>
    <w:styleLink w:val="TableBulletList"/>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E7DF8"/>
    <w:multiLevelType w:val="multilevel"/>
    <w:tmpl w:val="13DC3DC0"/>
    <w:lvl w:ilvl="0">
      <w:start w:val="1"/>
      <w:numFmt w:val="decimal"/>
      <w:pStyle w:val="TableNumbering"/>
      <w:lvlText w:val="%1."/>
      <w:lvlJc w:val="left"/>
      <w:pPr>
        <w:ind w:left="450" w:hanging="360"/>
      </w:pPr>
      <w:rPr>
        <w:b w:val="0"/>
      </w:rPr>
    </w:lvl>
    <w:lvl w:ilvl="1">
      <w:start w:val="1"/>
      <w:numFmt w:val="decimal"/>
      <w:isLgl/>
      <w:lvlText w:val="%1.%2"/>
      <w:lvlJc w:val="left"/>
      <w:pPr>
        <w:ind w:left="450" w:hanging="360"/>
      </w:pPr>
      <w:rPr>
        <w:rFonts w:hint="default"/>
        <w:sz w:val="18"/>
      </w:rPr>
    </w:lvl>
    <w:lvl w:ilvl="2">
      <w:start w:val="1"/>
      <w:numFmt w:val="decimal"/>
      <w:isLgl/>
      <w:lvlText w:val="%1.%2.%3"/>
      <w:lvlJc w:val="left"/>
      <w:pPr>
        <w:ind w:left="810" w:hanging="720"/>
      </w:pPr>
      <w:rPr>
        <w:rFonts w:hint="default"/>
        <w:sz w:val="18"/>
      </w:rPr>
    </w:lvl>
    <w:lvl w:ilvl="3">
      <w:start w:val="1"/>
      <w:numFmt w:val="decimal"/>
      <w:isLgl/>
      <w:lvlText w:val="%1.%2.%3.%4"/>
      <w:lvlJc w:val="left"/>
      <w:pPr>
        <w:ind w:left="810" w:hanging="720"/>
      </w:pPr>
      <w:rPr>
        <w:rFonts w:hint="default"/>
        <w:sz w:val="18"/>
      </w:rPr>
    </w:lvl>
    <w:lvl w:ilvl="4">
      <w:start w:val="1"/>
      <w:numFmt w:val="decimal"/>
      <w:isLgl/>
      <w:lvlText w:val="%1.%2.%3.%4.%5"/>
      <w:lvlJc w:val="left"/>
      <w:pPr>
        <w:ind w:left="1170" w:hanging="1080"/>
      </w:pPr>
      <w:rPr>
        <w:rFonts w:hint="default"/>
        <w:sz w:val="18"/>
      </w:rPr>
    </w:lvl>
    <w:lvl w:ilvl="5">
      <w:start w:val="1"/>
      <w:numFmt w:val="decimal"/>
      <w:isLgl/>
      <w:lvlText w:val="%1.%2.%3.%4.%5.%6"/>
      <w:lvlJc w:val="left"/>
      <w:pPr>
        <w:ind w:left="1170" w:hanging="1080"/>
      </w:pPr>
      <w:rPr>
        <w:rFonts w:hint="default"/>
        <w:sz w:val="18"/>
      </w:rPr>
    </w:lvl>
    <w:lvl w:ilvl="6">
      <w:start w:val="1"/>
      <w:numFmt w:val="decimal"/>
      <w:isLgl/>
      <w:lvlText w:val="%1.%2.%3.%4.%5.%6.%7"/>
      <w:lvlJc w:val="left"/>
      <w:pPr>
        <w:ind w:left="1530" w:hanging="1440"/>
      </w:pPr>
      <w:rPr>
        <w:rFonts w:hint="default"/>
        <w:sz w:val="18"/>
      </w:rPr>
    </w:lvl>
    <w:lvl w:ilvl="7">
      <w:start w:val="1"/>
      <w:numFmt w:val="decimal"/>
      <w:isLgl/>
      <w:lvlText w:val="%1.%2.%3.%4.%5.%6.%7.%8"/>
      <w:lvlJc w:val="left"/>
      <w:pPr>
        <w:ind w:left="1530" w:hanging="1440"/>
      </w:pPr>
      <w:rPr>
        <w:rFonts w:hint="default"/>
        <w:sz w:val="18"/>
      </w:rPr>
    </w:lvl>
    <w:lvl w:ilvl="8">
      <w:start w:val="1"/>
      <w:numFmt w:val="decimal"/>
      <w:isLgl/>
      <w:lvlText w:val="%1.%2.%3.%4.%5.%6.%7.%8.%9"/>
      <w:lvlJc w:val="left"/>
      <w:pPr>
        <w:ind w:left="1890" w:hanging="1800"/>
      </w:pPr>
      <w:rPr>
        <w:rFonts w:hint="default"/>
        <w:sz w:val="18"/>
      </w:rPr>
    </w:lvl>
  </w:abstractNum>
  <w:abstractNum w:abstractNumId="6" w15:restartNumberingAfterBreak="0">
    <w:nsid w:val="3BCB10D2"/>
    <w:multiLevelType w:val="hybridMultilevel"/>
    <w:tmpl w:val="07B2B7C4"/>
    <w:styleLink w:val="MSVBulletList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FE6318"/>
    <w:multiLevelType w:val="multilevel"/>
    <w:tmpl w:val="707E2B46"/>
    <w:lvl w:ilvl="0">
      <w:start w:val="1"/>
      <w:numFmt w:val="bullet"/>
      <w:lvlText w:val="■"/>
      <w:lvlJc w:val="left"/>
      <w:pPr>
        <w:ind w:left="720" w:hanging="720"/>
      </w:pPr>
      <w:rPr>
        <w:rFonts w:ascii="Franklin Gothic Book" w:hAnsi="Franklin Gothic Book" w:hint="default"/>
        <w:color w:val="ED7D31" w:themeColor="accent2"/>
        <w:position w:val="3"/>
        <w:sz w:val="18"/>
      </w:rPr>
    </w:lvl>
    <w:lvl w:ilvl="1">
      <w:start w:val="1"/>
      <w:numFmt w:val="bullet"/>
      <w:lvlText w:val="•"/>
      <w:lvlJc w:val="left"/>
      <w:pPr>
        <w:ind w:left="576" w:hanging="288"/>
      </w:pPr>
      <w:rPr>
        <w:rFonts w:ascii="Franklin Gothic Book" w:hAnsi="Franklin Gothic Book" w:hint="default"/>
      </w:rPr>
    </w:lvl>
    <w:lvl w:ilvl="2">
      <w:start w:val="1"/>
      <w:numFmt w:val="bullet"/>
      <w:lvlText w:val="o"/>
      <w:lvlJc w:val="left"/>
      <w:pPr>
        <w:ind w:left="864" w:hanging="288"/>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69C035D"/>
    <w:multiLevelType w:val="multilevel"/>
    <w:tmpl w:val="DECAA0F0"/>
    <w:styleLink w:val="MSVBulletList"/>
    <w:lvl w:ilvl="0">
      <w:start w:val="1"/>
      <w:numFmt w:val="bullet"/>
      <w:pStyle w:val="Bullet1"/>
      <w:lvlText w:val="■"/>
      <w:lvlJc w:val="left"/>
      <w:pPr>
        <w:ind w:left="720" w:hanging="360"/>
      </w:pPr>
      <w:rPr>
        <w:rFonts w:ascii="Franklin Gothic Book" w:hAnsi="Franklin Gothic Book" w:hint="default"/>
        <w:color w:val="CE5E12"/>
        <w:position w:val="3"/>
        <w:sz w:val="18"/>
      </w:rPr>
    </w:lvl>
    <w:lvl w:ilvl="1">
      <w:start w:val="1"/>
      <w:numFmt w:val="bullet"/>
      <w:pStyle w:val="Bullet2"/>
      <w:lvlText w:val="o"/>
      <w:lvlJc w:val="left"/>
      <w:pPr>
        <w:ind w:left="1080" w:hanging="360"/>
      </w:pPr>
      <w:rPr>
        <w:rFonts w:ascii="Courier New" w:hAnsi="Courier New" w:hint="default"/>
      </w:rPr>
    </w:lvl>
    <w:lvl w:ilvl="2">
      <w:start w:val="1"/>
      <w:numFmt w:val="bullet"/>
      <w:pStyle w:val="Bullet3"/>
      <w:lvlText w:val="•"/>
      <w:lvlJc w:val="left"/>
      <w:pPr>
        <w:tabs>
          <w:tab w:val="num" w:pos="4320"/>
        </w:tabs>
        <w:ind w:left="1440" w:hanging="360"/>
      </w:pPr>
      <w:rPr>
        <w:rFonts w:ascii="Franklin Gothic Book" w:hAnsi="Franklin Gothic Book"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64C7C40"/>
    <w:multiLevelType w:val="hybridMultilevel"/>
    <w:tmpl w:val="148C8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F233AF"/>
    <w:multiLevelType w:val="multilevel"/>
    <w:tmpl w:val="F8E89D94"/>
    <w:styleLink w:val="Level2Bullet"/>
    <w:lvl w:ilvl="0">
      <w:start w:val="1"/>
      <w:numFmt w:val="bullet"/>
      <w:lvlText w:val=""/>
      <w:lvlJc w:val="left"/>
      <w:pPr>
        <w:tabs>
          <w:tab w:val="num" w:pos="1080"/>
        </w:tabs>
        <w:ind w:left="1080" w:hanging="360"/>
      </w:pPr>
      <w:rPr>
        <w:rFonts w:ascii="Wingdings" w:hAnsi="Wingding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723E00"/>
    <w:multiLevelType w:val="hybridMultilevel"/>
    <w:tmpl w:val="40427D78"/>
    <w:styleLink w:val="Level1Bullet1"/>
    <w:lvl w:ilvl="0" w:tplc="C15C719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9153159">
    <w:abstractNumId w:val="7"/>
  </w:num>
  <w:num w:numId="2" w16cid:durableId="1081218223">
    <w:abstractNumId w:val="2"/>
  </w:num>
  <w:num w:numId="3" w16cid:durableId="1729691725">
    <w:abstractNumId w:val="10"/>
  </w:num>
  <w:num w:numId="4" w16cid:durableId="142703376">
    <w:abstractNumId w:val="8"/>
  </w:num>
  <w:num w:numId="5" w16cid:durableId="913396038">
    <w:abstractNumId w:val="11"/>
  </w:num>
  <w:num w:numId="6" w16cid:durableId="1534149646">
    <w:abstractNumId w:val="5"/>
  </w:num>
  <w:num w:numId="7" w16cid:durableId="2036345692">
    <w:abstractNumId w:val="3"/>
  </w:num>
  <w:num w:numId="8" w16cid:durableId="885028805">
    <w:abstractNumId w:val="6"/>
  </w:num>
  <w:num w:numId="9" w16cid:durableId="425224381">
    <w:abstractNumId w:val="0"/>
  </w:num>
  <w:num w:numId="10" w16cid:durableId="1153259004">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1" w16cid:durableId="178735466">
    <w:abstractNumId w:val="4"/>
  </w:num>
  <w:num w:numId="12" w16cid:durableId="512572943">
    <w:abstractNumId w:val="9"/>
  </w:num>
  <w:num w:numId="13" w16cid:durableId="1096488125">
    <w:abstractNumId w:val="8"/>
  </w:num>
  <w:num w:numId="14" w16cid:durableId="1975016361">
    <w:abstractNumId w:val="8"/>
  </w:num>
  <w:num w:numId="15" w16cid:durableId="1421215840">
    <w:abstractNumId w:val="1"/>
  </w:num>
  <w:num w:numId="16" w16cid:durableId="1754082168">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7" w16cid:durableId="1126924131">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8" w16cid:durableId="1582569894">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9" w16cid:durableId="1497719270">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16cid:durableId="1293171277">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16cid:durableId="1942948664">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2" w16cid:durableId="1638024021">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3" w16cid:durableId="1689061492">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4" w16cid:durableId="610163701">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5" w16cid:durableId="1900091693">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6" w16cid:durableId="917130752">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7" w16cid:durableId="1786577605">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8" w16cid:durableId="1198395344">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9" w16cid:durableId="1122918331">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0" w16cid:durableId="1308168280">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1" w16cid:durableId="1735659118">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2" w16cid:durableId="640698845">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3" w16cid:durableId="1758332761">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4" w16cid:durableId="1895703424">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5" w16cid:durableId="541552480">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6" w16cid:durableId="1379545651">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7" w16cid:durableId="258023975">
    <w:abstractNumId w:val="8"/>
  </w:num>
  <w:num w:numId="38" w16cid:durableId="35921223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A3tjQwMjG1NDQzNzRV0lEKTi0uzszPAykwrAUA5ccPlywAAAA="/>
  </w:docVars>
  <w:rsids>
    <w:rsidRoot w:val="008E314D"/>
    <w:rsid w:val="00000007"/>
    <w:rsid w:val="00000375"/>
    <w:rsid w:val="00000446"/>
    <w:rsid w:val="000005C0"/>
    <w:rsid w:val="0000072F"/>
    <w:rsid w:val="000007A2"/>
    <w:rsid w:val="00000848"/>
    <w:rsid w:val="00000A2B"/>
    <w:rsid w:val="00000E6A"/>
    <w:rsid w:val="00000FE2"/>
    <w:rsid w:val="00000FEF"/>
    <w:rsid w:val="00001062"/>
    <w:rsid w:val="00001256"/>
    <w:rsid w:val="000012A4"/>
    <w:rsid w:val="000013AB"/>
    <w:rsid w:val="00001441"/>
    <w:rsid w:val="00001549"/>
    <w:rsid w:val="00001770"/>
    <w:rsid w:val="000018E9"/>
    <w:rsid w:val="000019DF"/>
    <w:rsid w:val="00001B71"/>
    <w:rsid w:val="00001DC2"/>
    <w:rsid w:val="00001DDD"/>
    <w:rsid w:val="00001F56"/>
    <w:rsid w:val="00002346"/>
    <w:rsid w:val="00002685"/>
    <w:rsid w:val="0000282B"/>
    <w:rsid w:val="000028CC"/>
    <w:rsid w:val="00002979"/>
    <w:rsid w:val="00002A69"/>
    <w:rsid w:val="00002AC6"/>
    <w:rsid w:val="00002B4D"/>
    <w:rsid w:val="00002BB4"/>
    <w:rsid w:val="00002D97"/>
    <w:rsid w:val="00003041"/>
    <w:rsid w:val="00003060"/>
    <w:rsid w:val="00003102"/>
    <w:rsid w:val="000032CF"/>
    <w:rsid w:val="0000358A"/>
    <w:rsid w:val="0000363F"/>
    <w:rsid w:val="0000392B"/>
    <w:rsid w:val="00003B2C"/>
    <w:rsid w:val="00003BDF"/>
    <w:rsid w:val="00003E18"/>
    <w:rsid w:val="000040FD"/>
    <w:rsid w:val="00004366"/>
    <w:rsid w:val="00005140"/>
    <w:rsid w:val="000051E9"/>
    <w:rsid w:val="0000539F"/>
    <w:rsid w:val="0000547F"/>
    <w:rsid w:val="00005503"/>
    <w:rsid w:val="000056CF"/>
    <w:rsid w:val="0000576D"/>
    <w:rsid w:val="00005772"/>
    <w:rsid w:val="00005788"/>
    <w:rsid w:val="000057BA"/>
    <w:rsid w:val="00005E2A"/>
    <w:rsid w:val="00005E86"/>
    <w:rsid w:val="00006369"/>
    <w:rsid w:val="00006535"/>
    <w:rsid w:val="0000686A"/>
    <w:rsid w:val="000069E0"/>
    <w:rsid w:val="00006A9E"/>
    <w:rsid w:val="00006B6E"/>
    <w:rsid w:val="00006BEF"/>
    <w:rsid w:val="00006C2E"/>
    <w:rsid w:val="00006D1A"/>
    <w:rsid w:val="00006D68"/>
    <w:rsid w:val="00006D6E"/>
    <w:rsid w:val="00006E08"/>
    <w:rsid w:val="00007082"/>
    <w:rsid w:val="00007458"/>
    <w:rsid w:val="000074E9"/>
    <w:rsid w:val="000077D9"/>
    <w:rsid w:val="00007B63"/>
    <w:rsid w:val="00007F19"/>
    <w:rsid w:val="000101AC"/>
    <w:rsid w:val="000101D1"/>
    <w:rsid w:val="00010273"/>
    <w:rsid w:val="00010284"/>
    <w:rsid w:val="00010285"/>
    <w:rsid w:val="0001039E"/>
    <w:rsid w:val="0001049D"/>
    <w:rsid w:val="00010577"/>
    <w:rsid w:val="000105C5"/>
    <w:rsid w:val="000106CC"/>
    <w:rsid w:val="00010862"/>
    <w:rsid w:val="000108AB"/>
    <w:rsid w:val="000108D8"/>
    <w:rsid w:val="0001099F"/>
    <w:rsid w:val="00010A45"/>
    <w:rsid w:val="00010AA8"/>
    <w:rsid w:val="00010B30"/>
    <w:rsid w:val="00010CEB"/>
    <w:rsid w:val="00010E07"/>
    <w:rsid w:val="00010E1B"/>
    <w:rsid w:val="00010F5D"/>
    <w:rsid w:val="0001110A"/>
    <w:rsid w:val="00011251"/>
    <w:rsid w:val="00011279"/>
    <w:rsid w:val="000114E1"/>
    <w:rsid w:val="000117A3"/>
    <w:rsid w:val="000118B8"/>
    <w:rsid w:val="00011991"/>
    <w:rsid w:val="00011E7F"/>
    <w:rsid w:val="00012235"/>
    <w:rsid w:val="00012287"/>
    <w:rsid w:val="00012830"/>
    <w:rsid w:val="00012875"/>
    <w:rsid w:val="000128B0"/>
    <w:rsid w:val="000128DF"/>
    <w:rsid w:val="00012A59"/>
    <w:rsid w:val="00012C2A"/>
    <w:rsid w:val="00012CE2"/>
    <w:rsid w:val="00012E1D"/>
    <w:rsid w:val="00012EF4"/>
    <w:rsid w:val="00013071"/>
    <w:rsid w:val="000132E0"/>
    <w:rsid w:val="00013A6C"/>
    <w:rsid w:val="00013C83"/>
    <w:rsid w:val="000143B1"/>
    <w:rsid w:val="0001449B"/>
    <w:rsid w:val="0001469C"/>
    <w:rsid w:val="000148DB"/>
    <w:rsid w:val="00014C4E"/>
    <w:rsid w:val="00014E60"/>
    <w:rsid w:val="000153E3"/>
    <w:rsid w:val="000153F9"/>
    <w:rsid w:val="00015617"/>
    <w:rsid w:val="000158A6"/>
    <w:rsid w:val="000158B4"/>
    <w:rsid w:val="00015B77"/>
    <w:rsid w:val="00015C1A"/>
    <w:rsid w:val="00015E32"/>
    <w:rsid w:val="00016068"/>
    <w:rsid w:val="000167D3"/>
    <w:rsid w:val="000168A6"/>
    <w:rsid w:val="00016B2E"/>
    <w:rsid w:val="00016CF7"/>
    <w:rsid w:val="00016FA4"/>
    <w:rsid w:val="0001704F"/>
    <w:rsid w:val="000171E2"/>
    <w:rsid w:val="000172D2"/>
    <w:rsid w:val="00017356"/>
    <w:rsid w:val="000178B0"/>
    <w:rsid w:val="00017989"/>
    <w:rsid w:val="00017BDB"/>
    <w:rsid w:val="00017E51"/>
    <w:rsid w:val="0002025B"/>
    <w:rsid w:val="00020262"/>
    <w:rsid w:val="000204A5"/>
    <w:rsid w:val="0002069B"/>
    <w:rsid w:val="000207E2"/>
    <w:rsid w:val="00020820"/>
    <w:rsid w:val="00020DDD"/>
    <w:rsid w:val="00020EF6"/>
    <w:rsid w:val="00020F57"/>
    <w:rsid w:val="000210A6"/>
    <w:rsid w:val="0002142B"/>
    <w:rsid w:val="00021474"/>
    <w:rsid w:val="0002155D"/>
    <w:rsid w:val="00021945"/>
    <w:rsid w:val="00021C25"/>
    <w:rsid w:val="00021C9D"/>
    <w:rsid w:val="00021D18"/>
    <w:rsid w:val="00021F6B"/>
    <w:rsid w:val="00021FBE"/>
    <w:rsid w:val="0002248C"/>
    <w:rsid w:val="000225F5"/>
    <w:rsid w:val="000226AF"/>
    <w:rsid w:val="00022841"/>
    <w:rsid w:val="00022895"/>
    <w:rsid w:val="000228D9"/>
    <w:rsid w:val="000229D4"/>
    <w:rsid w:val="00022A59"/>
    <w:rsid w:val="00022C15"/>
    <w:rsid w:val="00022D8D"/>
    <w:rsid w:val="0002314E"/>
    <w:rsid w:val="00023229"/>
    <w:rsid w:val="00023308"/>
    <w:rsid w:val="000233BD"/>
    <w:rsid w:val="00023452"/>
    <w:rsid w:val="000235E1"/>
    <w:rsid w:val="0002390D"/>
    <w:rsid w:val="00023D8C"/>
    <w:rsid w:val="00023EFF"/>
    <w:rsid w:val="000240D5"/>
    <w:rsid w:val="0002429B"/>
    <w:rsid w:val="000246CC"/>
    <w:rsid w:val="00024701"/>
    <w:rsid w:val="0002488A"/>
    <w:rsid w:val="00024991"/>
    <w:rsid w:val="00024C2D"/>
    <w:rsid w:val="00024D0E"/>
    <w:rsid w:val="00024DB6"/>
    <w:rsid w:val="00024F61"/>
    <w:rsid w:val="0002518A"/>
    <w:rsid w:val="000252D1"/>
    <w:rsid w:val="000254C0"/>
    <w:rsid w:val="00025573"/>
    <w:rsid w:val="000257CC"/>
    <w:rsid w:val="00025889"/>
    <w:rsid w:val="0002599D"/>
    <w:rsid w:val="00025B2A"/>
    <w:rsid w:val="00025C70"/>
    <w:rsid w:val="00025EC1"/>
    <w:rsid w:val="00026585"/>
    <w:rsid w:val="000266F9"/>
    <w:rsid w:val="00026781"/>
    <w:rsid w:val="00026849"/>
    <w:rsid w:val="000269CC"/>
    <w:rsid w:val="00026ACA"/>
    <w:rsid w:val="00026AF9"/>
    <w:rsid w:val="00026B5D"/>
    <w:rsid w:val="00027064"/>
    <w:rsid w:val="0002706A"/>
    <w:rsid w:val="0002717A"/>
    <w:rsid w:val="00027474"/>
    <w:rsid w:val="00027590"/>
    <w:rsid w:val="000279E3"/>
    <w:rsid w:val="00027B14"/>
    <w:rsid w:val="00027D38"/>
    <w:rsid w:val="000303C3"/>
    <w:rsid w:val="000305D1"/>
    <w:rsid w:val="000306D1"/>
    <w:rsid w:val="00030784"/>
    <w:rsid w:val="00030930"/>
    <w:rsid w:val="0003096C"/>
    <w:rsid w:val="00030F85"/>
    <w:rsid w:val="0003102F"/>
    <w:rsid w:val="000312DC"/>
    <w:rsid w:val="0003183A"/>
    <w:rsid w:val="000318B3"/>
    <w:rsid w:val="000318D2"/>
    <w:rsid w:val="000319AA"/>
    <w:rsid w:val="00031ACE"/>
    <w:rsid w:val="00031C67"/>
    <w:rsid w:val="00031CF5"/>
    <w:rsid w:val="00031E6C"/>
    <w:rsid w:val="00032007"/>
    <w:rsid w:val="0003201F"/>
    <w:rsid w:val="00032235"/>
    <w:rsid w:val="00032341"/>
    <w:rsid w:val="0003247A"/>
    <w:rsid w:val="00032527"/>
    <w:rsid w:val="00032818"/>
    <w:rsid w:val="000329ED"/>
    <w:rsid w:val="00032A12"/>
    <w:rsid w:val="00032BBB"/>
    <w:rsid w:val="00032C71"/>
    <w:rsid w:val="0003301A"/>
    <w:rsid w:val="00033204"/>
    <w:rsid w:val="0003332F"/>
    <w:rsid w:val="000335F7"/>
    <w:rsid w:val="000336C4"/>
    <w:rsid w:val="000337EC"/>
    <w:rsid w:val="00033A41"/>
    <w:rsid w:val="00033ABC"/>
    <w:rsid w:val="00033C8E"/>
    <w:rsid w:val="00033DAA"/>
    <w:rsid w:val="00033F3D"/>
    <w:rsid w:val="0003415B"/>
    <w:rsid w:val="000344FD"/>
    <w:rsid w:val="00034633"/>
    <w:rsid w:val="0003479C"/>
    <w:rsid w:val="000347C9"/>
    <w:rsid w:val="000349C1"/>
    <w:rsid w:val="00034A8C"/>
    <w:rsid w:val="00034B0E"/>
    <w:rsid w:val="00034C71"/>
    <w:rsid w:val="00034F23"/>
    <w:rsid w:val="000351D5"/>
    <w:rsid w:val="00035302"/>
    <w:rsid w:val="000357C6"/>
    <w:rsid w:val="000359B1"/>
    <w:rsid w:val="00035A4D"/>
    <w:rsid w:val="00035AAB"/>
    <w:rsid w:val="00035B43"/>
    <w:rsid w:val="00035CD8"/>
    <w:rsid w:val="00035E0C"/>
    <w:rsid w:val="000360FB"/>
    <w:rsid w:val="0003622C"/>
    <w:rsid w:val="00036310"/>
    <w:rsid w:val="00036417"/>
    <w:rsid w:val="00036461"/>
    <w:rsid w:val="000364E7"/>
    <w:rsid w:val="000367BE"/>
    <w:rsid w:val="000368AD"/>
    <w:rsid w:val="00036A39"/>
    <w:rsid w:val="00036AEC"/>
    <w:rsid w:val="00036C71"/>
    <w:rsid w:val="00036D02"/>
    <w:rsid w:val="00036D85"/>
    <w:rsid w:val="00036FB7"/>
    <w:rsid w:val="000370AF"/>
    <w:rsid w:val="00037239"/>
    <w:rsid w:val="00037299"/>
    <w:rsid w:val="00037357"/>
    <w:rsid w:val="000376BC"/>
    <w:rsid w:val="00037709"/>
    <w:rsid w:val="00037736"/>
    <w:rsid w:val="00037740"/>
    <w:rsid w:val="0003783A"/>
    <w:rsid w:val="000378D0"/>
    <w:rsid w:val="0003791F"/>
    <w:rsid w:val="00037BA8"/>
    <w:rsid w:val="00037EED"/>
    <w:rsid w:val="00040018"/>
    <w:rsid w:val="00040051"/>
    <w:rsid w:val="00040166"/>
    <w:rsid w:val="00040447"/>
    <w:rsid w:val="00040643"/>
    <w:rsid w:val="0004074D"/>
    <w:rsid w:val="00040A41"/>
    <w:rsid w:val="00040AC3"/>
    <w:rsid w:val="00040D81"/>
    <w:rsid w:val="00041000"/>
    <w:rsid w:val="00041094"/>
    <w:rsid w:val="0004134A"/>
    <w:rsid w:val="0004150D"/>
    <w:rsid w:val="000415A0"/>
    <w:rsid w:val="000416E4"/>
    <w:rsid w:val="000417CA"/>
    <w:rsid w:val="00041837"/>
    <w:rsid w:val="00041849"/>
    <w:rsid w:val="00041BC4"/>
    <w:rsid w:val="00041E9B"/>
    <w:rsid w:val="000420E4"/>
    <w:rsid w:val="00042155"/>
    <w:rsid w:val="00042249"/>
    <w:rsid w:val="0004227C"/>
    <w:rsid w:val="000424D1"/>
    <w:rsid w:val="000425A4"/>
    <w:rsid w:val="000425B6"/>
    <w:rsid w:val="00042D1F"/>
    <w:rsid w:val="00042E0A"/>
    <w:rsid w:val="000435A4"/>
    <w:rsid w:val="00043656"/>
    <w:rsid w:val="0004368C"/>
    <w:rsid w:val="000439C3"/>
    <w:rsid w:val="00043A2E"/>
    <w:rsid w:val="00043B1B"/>
    <w:rsid w:val="00043DD3"/>
    <w:rsid w:val="00044478"/>
    <w:rsid w:val="00044507"/>
    <w:rsid w:val="000445F8"/>
    <w:rsid w:val="0004490A"/>
    <w:rsid w:val="000449BA"/>
    <w:rsid w:val="00044BE9"/>
    <w:rsid w:val="00044D82"/>
    <w:rsid w:val="00044F6F"/>
    <w:rsid w:val="00045304"/>
    <w:rsid w:val="0004554F"/>
    <w:rsid w:val="00045618"/>
    <w:rsid w:val="000456A3"/>
    <w:rsid w:val="00045994"/>
    <w:rsid w:val="00045B96"/>
    <w:rsid w:val="00045C34"/>
    <w:rsid w:val="00045CDF"/>
    <w:rsid w:val="00045DE1"/>
    <w:rsid w:val="000461A6"/>
    <w:rsid w:val="000461FD"/>
    <w:rsid w:val="000462B6"/>
    <w:rsid w:val="00046776"/>
    <w:rsid w:val="000467D3"/>
    <w:rsid w:val="000468DB"/>
    <w:rsid w:val="00046A17"/>
    <w:rsid w:val="00046C22"/>
    <w:rsid w:val="00046F02"/>
    <w:rsid w:val="000471C8"/>
    <w:rsid w:val="000472AA"/>
    <w:rsid w:val="000472B8"/>
    <w:rsid w:val="0004761D"/>
    <w:rsid w:val="00047BFC"/>
    <w:rsid w:val="00047CB5"/>
    <w:rsid w:val="0005027A"/>
    <w:rsid w:val="000506F6"/>
    <w:rsid w:val="0005080E"/>
    <w:rsid w:val="000508E8"/>
    <w:rsid w:val="00050BDF"/>
    <w:rsid w:val="00050D30"/>
    <w:rsid w:val="0005111C"/>
    <w:rsid w:val="0005111F"/>
    <w:rsid w:val="00051441"/>
    <w:rsid w:val="00051545"/>
    <w:rsid w:val="000515E2"/>
    <w:rsid w:val="000516FA"/>
    <w:rsid w:val="00051784"/>
    <w:rsid w:val="0005190B"/>
    <w:rsid w:val="00051916"/>
    <w:rsid w:val="0005197C"/>
    <w:rsid w:val="00051A06"/>
    <w:rsid w:val="00051B9E"/>
    <w:rsid w:val="00051BC5"/>
    <w:rsid w:val="00051CDF"/>
    <w:rsid w:val="000524B6"/>
    <w:rsid w:val="000524B7"/>
    <w:rsid w:val="00052503"/>
    <w:rsid w:val="00052A00"/>
    <w:rsid w:val="00052A6A"/>
    <w:rsid w:val="00052A73"/>
    <w:rsid w:val="00052A99"/>
    <w:rsid w:val="00052D13"/>
    <w:rsid w:val="00052E4D"/>
    <w:rsid w:val="0005312C"/>
    <w:rsid w:val="000531A4"/>
    <w:rsid w:val="000535F4"/>
    <w:rsid w:val="000536E6"/>
    <w:rsid w:val="00053785"/>
    <w:rsid w:val="000538C4"/>
    <w:rsid w:val="000538C7"/>
    <w:rsid w:val="00053A02"/>
    <w:rsid w:val="00053B52"/>
    <w:rsid w:val="00053C2F"/>
    <w:rsid w:val="00053C32"/>
    <w:rsid w:val="00054120"/>
    <w:rsid w:val="0005426F"/>
    <w:rsid w:val="00054271"/>
    <w:rsid w:val="00054534"/>
    <w:rsid w:val="0005490F"/>
    <w:rsid w:val="00054BA1"/>
    <w:rsid w:val="00054C4B"/>
    <w:rsid w:val="000550F5"/>
    <w:rsid w:val="000552F5"/>
    <w:rsid w:val="00055311"/>
    <w:rsid w:val="0005532E"/>
    <w:rsid w:val="0005568C"/>
    <w:rsid w:val="00055878"/>
    <w:rsid w:val="000559BE"/>
    <w:rsid w:val="00055A63"/>
    <w:rsid w:val="00055B97"/>
    <w:rsid w:val="00055DB0"/>
    <w:rsid w:val="00055E11"/>
    <w:rsid w:val="00055EC5"/>
    <w:rsid w:val="00055F30"/>
    <w:rsid w:val="00055F46"/>
    <w:rsid w:val="00056419"/>
    <w:rsid w:val="000568B5"/>
    <w:rsid w:val="00057032"/>
    <w:rsid w:val="0005713B"/>
    <w:rsid w:val="0005715C"/>
    <w:rsid w:val="00057311"/>
    <w:rsid w:val="00057465"/>
    <w:rsid w:val="00057923"/>
    <w:rsid w:val="000579FA"/>
    <w:rsid w:val="00057ACD"/>
    <w:rsid w:val="00057C1F"/>
    <w:rsid w:val="00057D64"/>
    <w:rsid w:val="00057D65"/>
    <w:rsid w:val="000601CE"/>
    <w:rsid w:val="000602C3"/>
    <w:rsid w:val="00060449"/>
    <w:rsid w:val="000604FE"/>
    <w:rsid w:val="000607E3"/>
    <w:rsid w:val="00060891"/>
    <w:rsid w:val="00060892"/>
    <w:rsid w:val="00060911"/>
    <w:rsid w:val="00060A1E"/>
    <w:rsid w:val="00060E1C"/>
    <w:rsid w:val="00060EE3"/>
    <w:rsid w:val="00060F29"/>
    <w:rsid w:val="00060F62"/>
    <w:rsid w:val="00060FA4"/>
    <w:rsid w:val="0006119A"/>
    <w:rsid w:val="0006120B"/>
    <w:rsid w:val="00061364"/>
    <w:rsid w:val="000615CE"/>
    <w:rsid w:val="000619D3"/>
    <w:rsid w:val="00061B14"/>
    <w:rsid w:val="00061C04"/>
    <w:rsid w:val="00061D91"/>
    <w:rsid w:val="00061EDA"/>
    <w:rsid w:val="0006204C"/>
    <w:rsid w:val="00062229"/>
    <w:rsid w:val="000624F4"/>
    <w:rsid w:val="00062651"/>
    <w:rsid w:val="0006270F"/>
    <w:rsid w:val="000628F6"/>
    <w:rsid w:val="00062AEC"/>
    <w:rsid w:val="00062EA5"/>
    <w:rsid w:val="00062EE4"/>
    <w:rsid w:val="000631E5"/>
    <w:rsid w:val="0006354F"/>
    <w:rsid w:val="000635B6"/>
    <w:rsid w:val="000635FE"/>
    <w:rsid w:val="00063A5C"/>
    <w:rsid w:val="00063B57"/>
    <w:rsid w:val="00064107"/>
    <w:rsid w:val="00064C61"/>
    <w:rsid w:val="00064CA9"/>
    <w:rsid w:val="0006502E"/>
    <w:rsid w:val="0006503A"/>
    <w:rsid w:val="000650EB"/>
    <w:rsid w:val="000653B1"/>
    <w:rsid w:val="00065402"/>
    <w:rsid w:val="00065432"/>
    <w:rsid w:val="0006545F"/>
    <w:rsid w:val="000654EF"/>
    <w:rsid w:val="0006587A"/>
    <w:rsid w:val="00065994"/>
    <w:rsid w:val="00065B00"/>
    <w:rsid w:val="00065E43"/>
    <w:rsid w:val="00066074"/>
    <w:rsid w:val="00066197"/>
    <w:rsid w:val="00066258"/>
    <w:rsid w:val="00066404"/>
    <w:rsid w:val="00066625"/>
    <w:rsid w:val="00066696"/>
    <w:rsid w:val="0006679F"/>
    <w:rsid w:val="000668AA"/>
    <w:rsid w:val="00066922"/>
    <w:rsid w:val="00066BAA"/>
    <w:rsid w:val="00066BCF"/>
    <w:rsid w:val="00066C72"/>
    <w:rsid w:val="00066CEF"/>
    <w:rsid w:val="0006710D"/>
    <w:rsid w:val="000671A2"/>
    <w:rsid w:val="000673D6"/>
    <w:rsid w:val="000674BF"/>
    <w:rsid w:val="000674DF"/>
    <w:rsid w:val="0006769B"/>
    <w:rsid w:val="00067821"/>
    <w:rsid w:val="00067A7B"/>
    <w:rsid w:val="00067AB5"/>
    <w:rsid w:val="00067B54"/>
    <w:rsid w:val="00067C61"/>
    <w:rsid w:val="00067D09"/>
    <w:rsid w:val="00067F0A"/>
    <w:rsid w:val="000702DD"/>
    <w:rsid w:val="0007048E"/>
    <w:rsid w:val="000705C1"/>
    <w:rsid w:val="0007063A"/>
    <w:rsid w:val="0007067C"/>
    <w:rsid w:val="00070789"/>
    <w:rsid w:val="0007087E"/>
    <w:rsid w:val="0007099C"/>
    <w:rsid w:val="00070D40"/>
    <w:rsid w:val="00070E17"/>
    <w:rsid w:val="00070F88"/>
    <w:rsid w:val="00071079"/>
    <w:rsid w:val="00071094"/>
    <w:rsid w:val="0007122C"/>
    <w:rsid w:val="00071440"/>
    <w:rsid w:val="000714EC"/>
    <w:rsid w:val="00071577"/>
    <w:rsid w:val="000715C5"/>
    <w:rsid w:val="0007175C"/>
    <w:rsid w:val="0007178A"/>
    <w:rsid w:val="000718E7"/>
    <w:rsid w:val="00071F0F"/>
    <w:rsid w:val="000721DA"/>
    <w:rsid w:val="0007278C"/>
    <w:rsid w:val="000727C0"/>
    <w:rsid w:val="00072A0B"/>
    <w:rsid w:val="00072A0F"/>
    <w:rsid w:val="00072C89"/>
    <w:rsid w:val="00072D68"/>
    <w:rsid w:val="00073182"/>
    <w:rsid w:val="000732FF"/>
    <w:rsid w:val="0007338E"/>
    <w:rsid w:val="000733A3"/>
    <w:rsid w:val="00073476"/>
    <w:rsid w:val="00073652"/>
    <w:rsid w:val="00073735"/>
    <w:rsid w:val="00073A18"/>
    <w:rsid w:val="00073A89"/>
    <w:rsid w:val="00073B95"/>
    <w:rsid w:val="00073B98"/>
    <w:rsid w:val="00073C95"/>
    <w:rsid w:val="00073E9B"/>
    <w:rsid w:val="00074596"/>
    <w:rsid w:val="000746F1"/>
    <w:rsid w:val="00074810"/>
    <w:rsid w:val="000748C8"/>
    <w:rsid w:val="000749FA"/>
    <w:rsid w:val="00074C4C"/>
    <w:rsid w:val="00074FCF"/>
    <w:rsid w:val="00075198"/>
    <w:rsid w:val="0007554C"/>
    <w:rsid w:val="0007558C"/>
    <w:rsid w:val="000757F1"/>
    <w:rsid w:val="000757FC"/>
    <w:rsid w:val="00075949"/>
    <w:rsid w:val="000759A7"/>
    <w:rsid w:val="00075C17"/>
    <w:rsid w:val="00075CC3"/>
    <w:rsid w:val="00075D5B"/>
    <w:rsid w:val="00075F0D"/>
    <w:rsid w:val="000760AD"/>
    <w:rsid w:val="000760FD"/>
    <w:rsid w:val="00076289"/>
    <w:rsid w:val="0007642E"/>
    <w:rsid w:val="000769AB"/>
    <w:rsid w:val="00076CB8"/>
    <w:rsid w:val="00076D2B"/>
    <w:rsid w:val="00076E84"/>
    <w:rsid w:val="00077210"/>
    <w:rsid w:val="00077221"/>
    <w:rsid w:val="000772A3"/>
    <w:rsid w:val="0007749B"/>
    <w:rsid w:val="000775F2"/>
    <w:rsid w:val="00077612"/>
    <w:rsid w:val="000776A3"/>
    <w:rsid w:val="00077769"/>
    <w:rsid w:val="000777E5"/>
    <w:rsid w:val="00077B80"/>
    <w:rsid w:val="00077E4F"/>
    <w:rsid w:val="0007A753"/>
    <w:rsid w:val="00080147"/>
    <w:rsid w:val="0008016F"/>
    <w:rsid w:val="000804A2"/>
    <w:rsid w:val="000808AA"/>
    <w:rsid w:val="000808B4"/>
    <w:rsid w:val="00080CAB"/>
    <w:rsid w:val="00080D9F"/>
    <w:rsid w:val="00080F66"/>
    <w:rsid w:val="0008112B"/>
    <w:rsid w:val="0008116D"/>
    <w:rsid w:val="0008146E"/>
    <w:rsid w:val="0008170C"/>
    <w:rsid w:val="00081797"/>
    <w:rsid w:val="000817BC"/>
    <w:rsid w:val="000817E2"/>
    <w:rsid w:val="000818CA"/>
    <w:rsid w:val="000818F9"/>
    <w:rsid w:val="00081AB3"/>
    <w:rsid w:val="00081C18"/>
    <w:rsid w:val="00081DEA"/>
    <w:rsid w:val="000820ED"/>
    <w:rsid w:val="000821E7"/>
    <w:rsid w:val="00082224"/>
    <w:rsid w:val="000822D2"/>
    <w:rsid w:val="000824BD"/>
    <w:rsid w:val="000826D9"/>
    <w:rsid w:val="00082898"/>
    <w:rsid w:val="000829A5"/>
    <w:rsid w:val="00082AD6"/>
    <w:rsid w:val="00082E46"/>
    <w:rsid w:val="00083035"/>
    <w:rsid w:val="000831EE"/>
    <w:rsid w:val="000833FE"/>
    <w:rsid w:val="0008351C"/>
    <w:rsid w:val="00083571"/>
    <w:rsid w:val="00083834"/>
    <w:rsid w:val="00083874"/>
    <w:rsid w:val="00083AA1"/>
    <w:rsid w:val="00083C0F"/>
    <w:rsid w:val="00083C11"/>
    <w:rsid w:val="00083CA4"/>
    <w:rsid w:val="00084001"/>
    <w:rsid w:val="00084056"/>
    <w:rsid w:val="000841EF"/>
    <w:rsid w:val="00084235"/>
    <w:rsid w:val="000844F6"/>
    <w:rsid w:val="00084777"/>
    <w:rsid w:val="0008499B"/>
    <w:rsid w:val="00084C5B"/>
    <w:rsid w:val="000853A4"/>
    <w:rsid w:val="0008578A"/>
    <w:rsid w:val="00085A1F"/>
    <w:rsid w:val="00085B4C"/>
    <w:rsid w:val="00085B91"/>
    <w:rsid w:val="00085BE1"/>
    <w:rsid w:val="00085C80"/>
    <w:rsid w:val="00085E05"/>
    <w:rsid w:val="00085FA0"/>
    <w:rsid w:val="0008601D"/>
    <w:rsid w:val="000862FE"/>
    <w:rsid w:val="0008658D"/>
    <w:rsid w:val="00086735"/>
    <w:rsid w:val="000867F4"/>
    <w:rsid w:val="0008680C"/>
    <w:rsid w:val="00086978"/>
    <w:rsid w:val="00086A54"/>
    <w:rsid w:val="00086A8D"/>
    <w:rsid w:val="00086BC5"/>
    <w:rsid w:val="00086DB8"/>
    <w:rsid w:val="00086DD0"/>
    <w:rsid w:val="00087059"/>
    <w:rsid w:val="00087141"/>
    <w:rsid w:val="00087448"/>
    <w:rsid w:val="00087BF2"/>
    <w:rsid w:val="00087CCA"/>
    <w:rsid w:val="00087E28"/>
    <w:rsid w:val="00087F75"/>
    <w:rsid w:val="0009000B"/>
    <w:rsid w:val="00090190"/>
    <w:rsid w:val="000902DF"/>
    <w:rsid w:val="00090329"/>
    <w:rsid w:val="0009049E"/>
    <w:rsid w:val="00090A76"/>
    <w:rsid w:val="00090AA8"/>
    <w:rsid w:val="00090C4F"/>
    <w:rsid w:val="00090CA8"/>
    <w:rsid w:val="00090F3D"/>
    <w:rsid w:val="0009110B"/>
    <w:rsid w:val="0009137F"/>
    <w:rsid w:val="0009138D"/>
    <w:rsid w:val="00091416"/>
    <w:rsid w:val="0009171C"/>
    <w:rsid w:val="000917D3"/>
    <w:rsid w:val="00091D52"/>
    <w:rsid w:val="00091FC8"/>
    <w:rsid w:val="000920A1"/>
    <w:rsid w:val="00092459"/>
    <w:rsid w:val="00092476"/>
    <w:rsid w:val="00092479"/>
    <w:rsid w:val="00092595"/>
    <w:rsid w:val="00092C29"/>
    <w:rsid w:val="00092E24"/>
    <w:rsid w:val="0009310F"/>
    <w:rsid w:val="00093111"/>
    <w:rsid w:val="00093671"/>
    <w:rsid w:val="00093888"/>
    <w:rsid w:val="0009395C"/>
    <w:rsid w:val="00093A9A"/>
    <w:rsid w:val="00093C3C"/>
    <w:rsid w:val="0009410A"/>
    <w:rsid w:val="000943A3"/>
    <w:rsid w:val="000943BE"/>
    <w:rsid w:val="0009453E"/>
    <w:rsid w:val="000945FE"/>
    <w:rsid w:val="000946B5"/>
    <w:rsid w:val="000946F1"/>
    <w:rsid w:val="00094990"/>
    <w:rsid w:val="000949DA"/>
    <w:rsid w:val="00094B67"/>
    <w:rsid w:val="00094BAF"/>
    <w:rsid w:val="00094C72"/>
    <w:rsid w:val="00094DCC"/>
    <w:rsid w:val="00095038"/>
    <w:rsid w:val="000951A2"/>
    <w:rsid w:val="00095344"/>
    <w:rsid w:val="000953C6"/>
    <w:rsid w:val="000955BF"/>
    <w:rsid w:val="0009569F"/>
    <w:rsid w:val="000958BB"/>
    <w:rsid w:val="00095934"/>
    <w:rsid w:val="00095D02"/>
    <w:rsid w:val="00095D1E"/>
    <w:rsid w:val="00095DB9"/>
    <w:rsid w:val="00095E94"/>
    <w:rsid w:val="00095F37"/>
    <w:rsid w:val="00095F98"/>
    <w:rsid w:val="000960A4"/>
    <w:rsid w:val="000961CD"/>
    <w:rsid w:val="000962FC"/>
    <w:rsid w:val="00096410"/>
    <w:rsid w:val="000964BD"/>
    <w:rsid w:val="000964CF"/>
    <w:rsid w:val="00096745"/>
    <w:rsid w:val="000967D5"/>
    <w:rsid w:val="00096949"/>
    <w:rsid w:val="0009694C"/>
    <w:rsid w:val="00096A9C"/>
    <w:rsid w:val="00096B40"/>
    <w:rsid w:val="00096CC0"/>
    <w:rsid w:val="00096D0A"/>
    <w:rsid w:val="00096E39"/>
    <w:rsid w:val="00096E57"/>
    <w:rsid w:val="00096FA6"/>
    <w:rsid w:val="00097198"/>
    <w:rsid w:val="000971AA"/>
    <w:rsid w:val="0009726E"/>
    <w:rsid w:val="0009751C"/>
    <w:rsid w:val="00097617"/>
    <w:rsid w:val="00097619"/>
    <w:rsid w:val="00097746"/>
    <w:rsid w:val="00097766"/>
    <w:rsid w:val="0009780C"/>
    <w:rsid w:val="00097884"/>
    <w:rsid w:val="000979D0"/>
    <w:rsid w:val="000979D2"/>
    <w:rsid w:val="00097AFD"/>
    <w:rsid w:val="00097D98"/>
    <w:rsid w:val="000A013A"/>
    <w:rsid w:val="000A0391"/>
    <w:rsid w:val="000A0520"/>
    <w:rsid w:val="000A074D"/>
    <w:rsid w:val="000A089C"/>
    <w:rsid w:val="000A08AB"/>
    <w:rsid w:val="000A0945"/>
    <w:rsid w:val="000A0B62"/>
    <w:rsid w:val="000A0BC4"/>
    <w:rsid w:val="000A0C50"/>
    <w:rsid w:val="000A0DFB"/>
    <w:rsid w:val="000A0F76"/>
    <w:rsid w:val="000A1225"/>
    <w:rsid w:val="000A1413"/>
    <w:rsid w:val="000A142D"/>
    <w:rsid w:val="000A14DF"/>
    <w:rsid w:val="000A178B"/>
    <w:rsid w:val="000A1960"/>
    <w:rsid w:val="000A1A29"/>
    <w:rsid w:val="000A1B38"/>
    <w:rsid w:val="000A1D3B"/>
    <w:rsid w:val="000A1E06"/>
    <w:rsid w:val="000A1E30"/>
    <w:rsid w:val="000A2063"/>
    <w:rsid w:val="000A21FD"/>
    <w:rsid w:val="000A238E"/>
    <w:rsid w:val="000A23D6"/>
    <w:rsid w:val="000A2905"/>
    <w:rsid w:val="000A2CA6"/>
    <w:rsid w:val="000A2D17"/>
    <w:rsid w:val="000A2D97"/>
    <w:rsid w:val="000A2F67"/>
    <w:rsid w:val="000A2F6C"/>
    <w:rsid w:val="000A2F89"/>
    <w:rsid w:val="000A32D9"/>
    <w:rsid w:val="000A32E0"/>
    <w:rsid w:val="000A33EF"/>
    <w:rsid w:val="000A362A"/>
    <w:rsid w:val="000A371B"/>
    <w:rsid w:val="000A3A9C"/>
    <w:rsid w:val="000A3AD4"/>
    <w:rsid w:val="000A3B88"/>
    <w:rsid w:val="000A4000"/>
    <w:rsid w:val="000A40EF"/>
    <w:rsid w:val="000A40FE"/>
    <w:rsid w:val="000A42F1"/>
    <w:rsid w:val="000A43DC"/>
    <w:rsid w:val="000A4494"/>
    <w:rsid w:val="000A44F2"/>
    <w:rsid w:val="000A45A4"/>
    <w:rsid w:val="000A4EC1"/>
    <w:rsid w:val="000A4F3F"/>
    <w:rsid w:val="000A4FC3"/>
    <w:rsid w:val="000A5155"/>
    <w:rsid w:val="000A549E"/>
    <w:rsid w:val="000A5501"/>
    <w:rsid w:val="000A5626"/>
    <w:rsid w:val="000A5CB2"/>
    <w:rsid w:val="000A5DDF"/>
    <w:rsid w:val="000A5FC8"/>
    <w:rsid w:val="000A62B6"/>
    <w:rsid w:val="000A64DE"/>
    <w:rsid w:val="000A675E"/>
    <w:rsid w:val="000A6A90"/>
    <w:rsid w:val="000A6CAB"/>
    <w:rsid w:val="000A6E1D"/>
    <w:rsid w:val="000A6E41"/>
    <w:rsid w:val="000A6E79"/>
    <w:rsid w:val="000A70B7"/>
    <w:rsid w:val="000A7301"/>
    <w:rsid w:val="000A74C3"/>
    <w:rsid w:val="000A7646"/>
    <w:rsid w:val="000A77C6"/>
    <w:rsid w:val="000A7881"/>
    <w:rsid w:val="000A79EF"/>
    <w:rsid w:val="000A7C7B"/>
    <w:rsid w:val="000A7C85"/>
    <w:rsid w:val="000B00BA"/>
    <w:rsid w:val="000B020D"/>
    <w:rsid w:val="000B0452"/>
    <w:rsid w:val="000B0540"/>
    <w:rsid w:val="000B0B03"/>
    <w:rsid w:val="000B0F5C"/>
    <w:rsid w:val="000B111D"/>
    <w:rsid w:val="000B121B"/>
    <w:rsid w:val="000B1261"/>
    <w:rsid w:val="000B14AC"/>
    <w:rsid w:val="000B16E8"/>
    <w:rsid w:val="000B1890"/>
    <w:rsid w:val="000B1985"/>
    <w:rsid w:val="000B1A66"/>
    <w:rsid w:val="000B1B53"/>
    <w:rsid w:val="000B1BBE"/>
    <w:rsid w:val="000B1BD2"/>
    <w:rsid w:val="000B1CB7"/>
    <w:rsid w:val="000B1DD2"/>
    <w:rsid w:val="000B24E3"/>
    <w:rsid w:val="000B2529"/>
    <w:rsid w:val="000B26A1"/>
    <w:rsid w:val="000B2767"/>
    <w:rsid w:val="000B283B"/>
    <w:rsid w:val="000B2A70"/>
    <w:rsid w:val="000B2BEE"/>
    <w:rsid w:val="000B2D58"/>
    <w:rsid w:val="000B2E0C"/>
    <w:rsid w:val="000B329E"/>
    <w:rsid w:val="000B331A"/>
    <w:rsid w:val="000B3344"/>
    <w:rsid w:val="000B34E6"/>
    <w:rsid w:val="000B35EB"/>
    <w:rsid w:val="000B3DD7"/>
    <w:rsid w:val="000B3ED7"/>
    <w:rsid w:val="000B3F3C"/>
    <w:rsid w:val="000B3F78"/>
    <w:rsid w:val="000B4184"/>
    <w:rsid w:val="000B4247"/>
    <w:rsid w:val="000B4787"/>
    <w:rsid w:val="000B481E"/>
    <w:rsid w:val="000B4A5B"/>
    <w:rsid w:val="000B4AD6"/>
    <w:rsid w:val="000B4B5C"/>
    <w:rsid w:val="000B4C6B"/>
    <w:rsid w:val="000B4EDE"/>
    <w:rsid w:val="000B516F"/>
    <w:rsid w:val="000B5285"/>
    <w:rsid w:val="000B591B"/>
    <w:rsid w:val="000B5947"/>
    <w:rsid w:val="000B597D"/>
    <w:rsid w:val="000B59FA"/>
    <w:rsid w:val="000B5C75"/>
    <w:rsid w:val="000B5F50"/>
    <w:rsid w:val="000B6022"/>
    <w:rsid w:val="000B61E2"/>
    <w:rsid w:val="000B621C"/>
    <w:rsid w:val="000B6282"/>
    <w:rsid w:val="000B63DC"/>
    <w:rsid w:val="000B6415"/>
    <w:rsid w:val="000B6429"/>
    <w:rsid w:val="000B653A"/>
    <w:rsid w:val="000B6549"/>
    <w:rsid w:val="000B66C1"/>
    <w:rsid w:val="000B66D3"/>
    <w:rsid w:val="000B6723"/>
    <w:rsid w:val="000B67BE"/>
    <w:rsid w:val="000B69CB"/>
    <w:rsid w:val="000B6D78"/>
    <w:rsid w:val="000B6E5D"/>
    <w:rsid w:val="000B6EB0"/>
    <w:rsid w:val="000B7321"/>
    <w:rsid w:val="000B7384"/>
    <w:rsid w:val="000B7404"/>
    <w:rsid w:val="000B766F"/>
    <w:rsid w:val="000B7671"/>
    <w:rsid w:val="000B782E"/>
    <w:rsid w:val="000B79A1"/>
    <w:rsid w:val="000C04C3"/>
    <w:rsid w:val="000C07E8"/>
    <w:rsid w:val="000C09E4"/>
    <w:rsid w:val="000C0BE2"/>
    <w:rsid w:val="000C0C8E"/>
    <w:rsid w:val="000C0D07"/>
    <w:rsid w:val="000C0D5D"/>
    <w:rsid w:val="000C1104"/>
    <w:rsid w:val="000C11A6"/>
    <w:rsid w:val="000C17D8"/>
    <w:rsid w:val="000C1851"/>
    <w:rsid w:val="000C18B2"/>
    <w:rsid w:val="000C1B3A"/>
    <w:rsid w:val="000C1B9A"/>
    <w:rsid w:val="000C1E06"/>
    <w:rsid w:val="000C1E41"/>
    <w:rsid w:val="000C24AE"/>
    <w:rsid w:val="000C250B"/>
    <w:rsid w:val="000C25C2"/>
    <w:rsid w:val="000C25E0"/>
    <w:rsid w:val="000C2734"/>
    <w:rsid w:val="000C27BA"/>
    <w:rsid w:val="000C296D"/>
    <w:rsid w:val="000C2E63"/>
    <w:rsid w:val="000C2F1F"/>
    <w:rsid w:val="000C3084"/>
    <w:rsid w:val="000C30A7"/>
    <w:rsid w:val="000C3B0A"/>
    <w:rsid w:val="000C3D88"/>
    <w:rsid w:val="000C3E01"/>
    <w:rsid w:val="000C3F30"/>
    <w:rsid w:val="000C40E7"/>
    <w:rsid w:val="000C4171"/>
    <w:rsid w:val="000C45E0"/>
    <w:rsid w:val="000C45E8"/>
    <w:rsid w:val="000C48E6"/>
    <w:rsid w:val="000C4CA6"/>
    <w:rsid w:val="000C4CF6"/>
    <w:rsid w:val="000C5069"/>
    <w:rsid w:val="000C523A"/>
    <w:rsid w:val="000C5346"/>
    <w:rsid w:val="000C5355"/>
    <w:rsid w:val="000C5558"/>
    <w:rsid w:val="000C5674"/>
    <w:rsid w:val="000C58DE"/>
    <w:rsid w:val="000C5BF3"/>
    <w:rsid w:val="000C5DD9"/>
    <w:rsid w:val="000C6262"/>
    <w:rsid w:val="000C6286"/>
    <w:rsid w:val="000C639B"/>
    <w:rsid w:val="000C649B"/>
    <w:rsid w:val="000C6546"/>
    <w:rsid w:val="000C66DE"/>
    <w:rsid w:val="000C6832"/>
    <w:rsid w:val="000C68E9"/>
    <w:rsid w:val="000C6C02"/>
    <w:rsid w:val="000C6C39"/>
    <w:rsid w:val="000C6DDE"/>
    <w:rsid w:val="000C6E80"/>
    <w:rsid w:val="000C706C"/>
    <w:rsid w:val="000C7117"/>
    <w:rsid w:val="000C7434"/>
    <w:rsid w:val="000C76F0"/>
    <w:rsid w:val="000C7755"/>
    <w:rsid w:val="000C797B"/>
    <w:rsid w:val="000C7AD7"/>
    <w:rsid w:val="000C7F95"/>
    <w:rsid w:val="000D0110"/>
    <w:rsid w:val="000D03EB"/>
    <w:rsid w:val="000D05D9"/>
    <w:rsid w:val="000D0AB9"/>
    <w:rsid w:val="000D0C90"/>
    <w:rsid w:val="000D0CF0"/>
    <w:rsid w:val="000D0E2B"/>
    <w:rsid w:val="000D0E5E"/>
    <w:rsid w:val="000D0E64"/>
    <w:rsid w:val="000D0E6E"/>
    <w:rsid w:val="000D0FC5"/>
    <w:rsid w:val="000D12DC"/>
    <w:rsid w:val="000D1425"/>
    <w:rsid w:val="000D18BE"/>
    <w:rsid w:val="000D1A3C"/>
    <w:rsid w:val="000D1A97"/>
    <w:rsid w:val="000D1DC4"/>
    <w:rsid w:val="000D1E53"/>
    <w:rsid w:val="000D1F65"/>
    <w:rsid w:val="000D20EF"/>
    <w:rsid w:val="000D219C"/>
    <w:rsid w:val="000D22CA"/>
    <w:rsid w:val="000D2318"/>
    <w:rsid w:val="000D25C5"/>
    <w:rsid w:val="000D276B"/>
    <w:rsid w:val="000D2A98"/>
    <w:rsid w:val="000D2B67"/>
    <w:rsid w:val="000D2C45"/>
    <w:rsid w:val="000D3038"/>
    <w:rsid w:val="000D3173"/>
    <w:rsid w:val="000D3239"/>
    <w:rsid w:val="000D32C5"/>
    <w:rsid w:val="000D33D9"/>
    <w:rsid w:val="000D3519"/>
    <w:rsid w:val="000D3556"/>
    <w:rsid w:val="000D36A9"/>
    <w:rsid w:val="000D36F1"/>
    <w:rsid w:val="000D3848"/>
    <w:rsid w:val="000D3BC5"/>
    <w:rsid w:val="000D3BE3"/>
    <w:rsid w:val="000D3C55"/>
    <w:rsid w:val="000D3CED"/>
    <w:rsid w:val="000D3D04"/>
    <w:rsid w:val="000D40D4"/>
    <w:rsid w:val="000D4177"/>
    <w:rsid w:val="000D4239"/>
    <w:rsid w:val="000D4364"/>
    <w:rsid w:val="000D43B9"/>
    <w:rsid w:val="000D450C"/>
    <w:rsid w:val="000D457A"/>
    <w:rsid w:val="000D45C3"/>
    <w:rsid w:val="000D4612"/>
    <w:rsid w:val="000D468E"/>
    <w:rsid w:val="000D46C3"/>
    <w:rsid w:val="000D4905"/>
    <w:rsid w:val="000D4BAF"/>
    <w:rsid w:val="000D4C8A"/>
    <w:rsid w:val="000D4F90"/>
    <w:rsid w:val="000D5030"/>
    <w:rsid w:val="000D514A"/>
    <w:rsid w:val="000D551F"/>
    <w:rsid w:val="000D5653"/>
    <w:rsid w:val="000D5843"/>
    <w:rsid w:val="000D5BF0"/>
    <w:rsid w:val="000D5D3A"/>
    <w:rsid w:val="000D5DFA"/>
    <w:rsid w:val="000D5E21"/>
    <w:rsid w:val="000D6049"/>
    <w:rsid w:val="000D606E"/>
    <w:rsid w:val="000D6083"/>
    <w:rsid w:val="000D60DA"/>
    <w:rsid w:val="000D635A"/>
    <w:rsid w:val="000D65EF"/>
    <w:rsid w:val="000D6920"/>
    <w:rsid w:val="000D6C06"/>
    <w:rsid w:val="000D6DD8"/>
    <w:rsid w:val="000D6F27"/>
    <w:rsid w:val="000D7033"/>
    <w:rsid w:val="000D70A7"/>
    <w:rsid w:val="000D71C1"/>
    <w:rsid w:val="000D720B"/>
    <w:rsid w:val="000D7224"/>
    <w:rsid w:val="000D7419"/>
    <w:rsid w:val="000D7497"/>
    <w:rsid w:val="000D759D"/>
    <w:rsid w:val="000D7D5A"/>
    <w:rsid w:val="000E0208"/>
    <w:rsid w:val="000E02E4"/>
    <w:rsid w:val="000E03FD"/>
    <w:rsid w:val="000E0498"/>
    <w:rsid w:val="000E0525"/>
    <w:rsid w:val="000E088B"/>
    <w:rsid w:val="000E08C7"/>
    <w:rsid w:val="000E09FF"/>
    <w:rsid w:val="000E0CA5"/>
    <w:rsid w:val="000E0E5C"/>
    <w:rsid w:val="000E0EBE"/>
    <w:rsid w:val="000E143A"/>
    <w:rsid w:val="000E152B"/>
    <w:rsid w:val="000E1ADE"/>
    <w:rsid w:val="000E1B9A"/>
    <w:rsid w:val="000E1EF7"/>
    <w:rsid w:val="000E1F12"/>
    <w:rsid w:val="000E208A"/>
    <w:rsid w:val="000E2120"/>
    <w:rsid w:val="000E249B"/>
    <w:rsid w:val="000E25C5"/>
    <w:rsid w:val="000E2785"/>
    <w:rsid w:val="000E27C3"/>
    <w:rsid w:val="000E2852"/>
    <w:rsid w:val="000E28A1"/>
    <w:rsid w:val="000E2D46"/>
    <w:rsid w:val="000E2DF4"/>
    <w:rsid w:val="000E2F34"/>
    <w:rsid w:val="000E3082"/>
    <w:rsid w:val="000E3136"/>
    <w:rsid w:val="000E32F4"/>
    <w:rsid w:val="000E364A"/>
    <w:rsid w:val="000E3732"/>
    <w:rsid w:val="000E3981"/>
    <w:rsid w:val="000E39EE"/>
    <w:rsid w:val="000E39F1"/>
    <w:rsid w:val="000E3B00"/>
    <w:rsid w:val="000E3BAD"/>
    <w:rsid w:val="000E3DCD"/>
    <w:rsid w:val="000E43BA"/>
    <w:rsid w:val="000E43C8"/>
    <w:rsid w:val="000E4713"/>
    <w:rsid w:val="000E483D"/>
    <w:rsid w:val="000E4A48"/>
    <w:rsid w:val="000E4DA1"/>
    <w:rsid w:val="000E4E62"/>
    <w:rsid w:val="000E5095"/>
    <w:rsid w:val="000E540D"/>
    <w:rsid w:val="000E5545"/>
    <w:rsid w:val="000E568D"/>
    <w:rsid w:val="000E5823"/>
    <w:rsid w:val="000E59F2"/>
    <w:rsid w:val="000E59F8"/>
    <w:rsid w:val="000E5CAB"/>
    <w:rsid w:val="000E5CB2"/>
    <w:rsid w:val="000E5D82"/>
    <w:rsid w:val="000E629D"/>
    <w:rsid w:val="000E630A"/>
    <w:rsid w:val="000E64B4"/>
    <w:rsid w:val="000E64CC"/>
    <w:rsid w:val="000E6576"/>
    <w:rsid w:val="000E66D2"/>
    <w:rsid w:val="000E67C7"/>
    <w:rsid w:val="000E6B61"/>
    <w:rsid w:val="000E6D55"/>
    <w:rsid w:val="000E6FB7"/>
    <w:rsid w:val="000E7612"/>
    <w:rsid w:val="000E765D"/>
    <w:rsid w:val="000E7715"/>
    <w:rsid w:val="000E77B8"/>
    <w:rsid w:val="000E7ACA"/>
    <w:rsid w:val="000E7BEC"/>
    <w:rsid w:val="000E7C01"/>
    <w:rsid w:val="000E7D51"/>
    <w:rsid w:val="000E7D7D"/>
    <w:rsid w:val="000F01A5"/>
    <w:rsid w:val="000F01D0"/>
    <w:rsid w:val="000F01F5"/>
    <w:rsid w:val="000F037B"/>
    <w:rsid w:val="000F04F6"/>
    <w:rsid w:val="000F0525"/>
    <w:rsid w:val="000F0816"/>
    <w:rsid w:val="000F0ABC"/>
    <w:rsid w:val="000F0C58"/>
    <w:rsid w:val="000F0D2B"/>
    <w:rsid w:val="000F10E5"/>
    <w:rsid w:val="000F121C"/>
    <w:rsid w:val="000F123E"/>
    <w:rsid w:val="000F131C"/>
    <w:rsid w:val="000F1344"/>
    <w:rsid w:val="000F14F5"/>
    <w:rsid w:val="000F16BC"/>
    <w:rsid w:val="000F1A53"/>
    <w:rsid w:val="000F1AA3"/>
    <w:rsid w:val="000F202D"/>
    <w:rsid w:val="000F208E"/>
    <w:rsid w:val="000F2188"/>
    <w:rsid w:val="000F21C3"/>
    <w:rsid w:val="000F223F"/>
    <w:rsid w:val="000F23B2"/>
    <w:rsid w:val="000F242C"/>
    <w:rsid w:val="000F26FD"/>
    <w:rsid w:val="000F2718"/>
    <w:rsid w:val="000F27B7"/>
    <w:rsid w:val="000F2821"/>
    <w:rsid w:val="000F2856"/>
    <w:rsid w:val="000F2930"/>
    <w:rsid w:val="000F2949"/>
    <w:rsid w:val="000F2A83"/>
    <w:rsid w:val="000F2B81"/>
    <w:rsid w:val="000F2C12"/>
    <w:rsid w:val="000F2D80"/>
    <w:rsid w:val="000F2EB6"/>
    <w:rsid w:val="000F300C"/>
    <w:rsid w:val="000F3095"/>
    <w:rsid w:val="000F3436"/>
    <w:rsid w:val="000F34B4"/>
    <w:rsid w:val="000F355B"/>
    <w:rsid w:val="000F38AA"/>
    <w:rsid w:val="000F3ADB"/>
    <w:rsid w:val="000F3B47"/>
    <w:rsid w:val="000F3B8A"/>
    <w:rsid w:val="000F3B97"/>
    <w:rsid w:val="000F4034"/>
    <w:rsid w:val="000F42DF"/>
    <w:rsid w:val="000F4359"/>
    <w:rsid w:val="000F43DE"/>
    <w:rsid w:val="000F4448"/>
    <w:rsid w:val="000F4601"/>
    <w:rsid w:val="000F4640"/>
    <w:rsid w:val="000F4991"/>
    <w:rsid w:val="000F4A98"/>
    <w:rsid w:val="000F4EDE"/>
    <w:rsid w:val="000F4F73"/>
    <w:rsid w:val="000F512D"/>
    <w:rsid w:val="000F515E"/>
    <w:rsid w:val="000F52FF"/>
    <w:rsid w:val="000F530C"/>
    <w:rsid w:val="000F5464"/>
    <w:rsid w:val="000F54AF"/>
    <w:rsid w:val="000F57E7"/>
    <w:rsid w:val="000F5A52"/>
    <w:rsid w:val="000F5BC2"/>
    <w:rsid w:val="000F5D14"/>
    <w:rsid w:val="000F5EED"/>
    <w:rsid w:val="000F5FA8"/>
    <w:rsid w:val="000F611C"/>
    <w:rsid w:val="000F628B"/>
    <w:rsid w:val="000F6487"/>
    <w:rsid w:val="000F65CC"/>
    <w:rsid w:val="000F6625"/>
    <w:rsid w:val="000F6750"/>
    <w:rsid w:val="000F68A1"/>
    <w:rsid w:val="000F6B32"/>
    <w:rsid w:val="000F6B5A"/>
    <w:rsid w:val="000F6B5C"/>
    <w:rsid w:val="000F6B74"/>
    <w:rsid w:val="000F6BC1"/>
    <w:rsid w:val="000F6C17"/>
    <w:rsid w:val="000F719C"/>
    <w:rsid w:val="000F72A4"/>
    <w:rsid w:val="000F7394"/>
    <w:rsid w:val="000F7594"/>
    <w:rsid w:val="000F77BA"/>
    <w:rsid w:val="000F7B76"/>
    <w:rsid w:val="000F7C65"/>
    <w:rsid w:val="000F7C81"/>
    <w:rsid w:val="000F7DD9"/>
    <w:rsid w:val="00100137"/>
    <w:rsid w:val="0010015F"/>
    <w:rsid w:val="00100284"/>
    <w:rsid w:val="00100479"/>
    <w:rsid w:val="00100553"/>
    <w:rsid w:val="0010075A"/>
    <w:rsid w:val="0010083D"/>
    <w:rsid w:val="00100ADE"/>
    <w:rsid w:val="00100B1F"/>
    <w:rsid w:val="00100CAF"/>
    <w:rsid w:val="00100F47"/>
    <w:rsid w:val="00101088"/>
    <w:rsid w:val="00101258"/>
    <w:rsid w:val="001012B1"/>
    <w:rsid w:val="001012EE"/>
    <w:rsid w:val="0010140E"/>
    <w:rsid w:val="00101624"/>
    <w:rsid w:val="001017EC"/>
    <w:rsid w:val="00101894"/>
    <w:rsid w:val="00101A9C"/>
    <w:rsid w:val="00101AF6"/>
    <w:rsid w:val="00101B28"/>
    <w:rsid w:val="00101B40"/>
    <w:rsid w:val="00101BAD"/>
    <w:rsid w:val="00101E63"/>
    <w:rsid w:val="00101E75"/>
    <w:rsid w:val="0010200B"/>
    <w:rsid w:val="00102049"/>
    <w:rsid w:val="001022F3"/>
    <w:rsid w:val="00102660"/>
    <w:rsid w:val="00102932"/>
    <w:rsid w:val="00102C13"/>
    <w:rsid w:val="00102CA2"/>
    <w:rsid w:val="001031A3"/>
    <w:rsid w:val="00103218"/>
    <w:rsid w:val="001032C0"/>
    <w:rsid w:val="0010352C"/>
    <w:rsid w:val="00103854"/>
    <w:rsid w:val="00103A9D"/>
    <w:rsid w:val="00103CA7"/>
    <w:rsid w:val="00103CD7"/>
    <w:rsid w:val="00103E34"/>
    <w:rsid w:val="00103EBE"/>
    <w:rsid w:val="00104495"/>
    <w:rsid w:val="001045B7"/>
    <w:rsid w:val="001046AC"/>
    <w:rsid w:val="00104898"/>
    <w:rsid w:val="001048A9"/>
    <w:rsid w:val="001048BA"/>
    <w:rsid w:val="00104914"/>
    <w:rsid w:val="00104A89"/>
    <w:rsid w:val="00104AC9"/>
    <w:rsid w:val="00104B5B"/>
    <w:rsid w:val="00104D76"/>
    <w:rsid w:val="00104FF4"/>
    <w:rsid w:val="001050B2"/>
    <w:rsid w:val="00105447"/>
    <w:rsid w:val="00105636"/>
    <w:rsid w:val="001058D5"/>
    <w:rsid w:val="00105B1B"/>
    <w:rsid w:val="00105FC8"/>
    <w:rsid w:val="00105FEC"/>
    <w:rsid w:val="00106098"/>
    <w:rsid w:val="0010609C"/>
    <w:rsid w:val="001064C7"/>
    <w:rsid w:val="00106691"/>
    <w:rsid w:val="001068CB"/>
    <w:rsid w:val="0010691E"/>
    <w:rsid w:val="00106BA1"/>
    <w:rsid w:val="00106BAD"/>
    <w:rsid w:val="00106D28"/>
    <w:rsid w:val="00106D7A"/>
    <w:rsid w:val="00106F57"/>
    <w:rsid w:val="00106FAF"/>
    <w:rsid w:val="00107399"/>
    <w:rsid w:val="001073E3"/>
    <w:rsid w:val="001077DB"/>
    <w:rsid w:val="001078FE"/>
    <w:rsid w:val="00107AC9"/>
    <w:rsid w:val="00107B55"/>
    <w:rsid w:val="00107CBA"/>
    <w:rsid w:val="001100C1"/>
    <w:rsid w:val="0011025A"/>
    <w:rsid w:val="00110370"/>
    <w:rsid w:val="00110389"/>
    <w:rsid w:val="00110397"/>
    <w:rsid w:val="001103E7"/>
    <w:rsid w:val="00110440"/>
    <w:rsid w:val="001106F5"/>
    <w:rsid w:val="00110787"/>
    <w:rsid w:val="001108F3"/>
    <w:rsid w:val="00110935"/>
    <w:rsid w:val="00110958"/>
    <w:rsid w:val="00110972"/>
    <w:rsid w:val="00110B97"/>
    <w:rsid w:val="00110D8F"/>
    <w:rsid w:val="00110DC2"/>
    <w:rsid w:val="001111DA"/>
    <w:rsid w:val="001111F0"/>
    <w:rsid w:val="0011137C"/>
    <w:rsid w:val="0011148A"/>
    <w:rsid w:val="00111856"/>
    <w:rsid w:val="001118A0"/>
    <w:rsid w:val="00111931"/>
    <w:rsid w:val="001119DD"/>
    <w:rsid w:val="00111BB3"/>
    <w:rsid w:val="00111BDD"/>
    <w:rsid w:val="00111DE7"/>
    <w:rsid w:val="001123E7"/>
    <w:rsid w:val="00112516"/>
    <w:rsid w:val="00112B33"/>
    <w:rsid w:val="00112C80"/>
    <w:rsid w:val="00112D0A"/>
    <w:rsid w:val="00112E5E"/>
    <w:rsid w:val="00112E67"/>
    <w:rsid w:val="00113026"/>
    <w:rsid w:val="0011344C"/>
    <w:rsid w:val="001135CD"/>
    <w:rsid w:val="001136C7"/>
    <w:rsid w:val="0011384F"/>
    <w:rsid w:val="001138D2"/>
    <w:rsid w:val="0011397F"/>
    <w:rsid w:val="00113B27"/>
    <w:rsid w:val="00113C86"/>
    <w:rsid w:val="00114069"/>
    <w:rsid w:val="0011411A"/>
    <w:rsid w:val="001141F2"/>
    <w:rsid w:val="001143C0"/>
    <w:rsid w:val="0011441F"/>
    <w:rsid w:val="00114501"/>
    <w:rsid w:val="001145F4"/>
    <w:rsid w:val="0011469E"/>
    <w:rsid w:val="00114B68"/>
    <w:rsid w:val="00114CDD"/>
    <w:rsid w:val="00114D41"/>
    <w:rsid w:val="00114D53"/>
    <w:rsid w:val="00115292"/>
    <w:rsid w:val="001153E5"/>
    <w:rsid w:val="00115417"/>
    <w:rsid w:val="001154A1"/>
    <w:rsid w:val="00115998"/>
    <w:rsid w:val="00115A7C"/>
    <w:rsid w:val="00115B82"/>
    <w:rsid w:val="00115EB9"/>
    <w:rsid w:val="00116394"/>
    <w:rsid w:val="001164BD"/>
    <w:rsid w:val="0011659C"/>
    <w:rsid w:val="0011663D"/>
    <w:rsid w:val="00116673"/>
    <w:rsid w:val="001166A5"/>
    <w:rsid w:val="00116744"/>
    <w:rsid w:val="00116909"/>
    <w:rsid w:val="00116997"/>
    <w:rsid w:val="00116ACD"/>
    <w:rsid w:val="00116DA0"/>
    <w:rsid w:val="00116ED6"/>
    <w:rsid w:val="00117254"/>
    <w:rsid w:val="001172B0"/>
    <w:rsid w:val="00117331"/>
    <w:rsid w:val="001174E5"/>
    <w:rsid w:val="001176F8"/>
    <w:rsid w:val="00117868"/>
    <w:rsid w:val="00117879"/>
    <w:rsid w:val="00117D14"/>
    <w:rsid w:val="00117F57"/>
    <w:rsid w:val="001200BC"/>
    <w:rsid w:val="00120173"/>
    <w:rsid w:val="00120524"/>
    <w:rsid w:val="00120887"/>
    <w:rsid w:val="00120B6C"/>
    <w:rsid w:val="00120C7A"/>
    <w:rsid w:val="00120DA3"/>
    <w:rsid w:val="00120FA8"/>
    <w:rsid w:val="0012128D"/>
    <w:rsid w:val="001214E8"/>
    <w:rsid w:val="001215E9"/>
    <w:rsid w:val="0012161D"/>
    <w:rsid w:val="001216DA"/>
    <w:rsid w:val="00121708"/>
    <w:rsid w:val="00121956"/>
    <w:rsid w:val="00121984"/>
    <w:rsid w:val="00122198"/>
    <w:rsid w:val="001223D7"/>
    <w:rsid w:val="0012267B"/>
    <w:rsid w:val="001226B4"/>
    <w:rsid w:val="001228B3"/>
    <w:rsid w:val="001228D5"/>
    <w:rsid w:val="001228E5"/>
    <w:rsid w:val="00122DDF"/>
    <w:rsid w:val="00122E83"/>
    <w:rsid w:val="00122E9D"/>
    <w:rsid w:val="0012304B"/>
    <w:rsid w:val="001231DB"/>
    <w:rsid w:val="0012333B"/>
    <w:rsid w:val="00123587"/>
    <w:rsid w:val="00123765"/>
    <w:rsid w:val="001237C7"/>
    <w:rsid w:val="001239B2"/>
    <w:rsid w:val="00123CA4"/>
    <w:rsid w:val="00123F42"/>
    <w:rsid w:val="00123FAD"/>
    <w:rsid w:val="00124088"/>
    <w:rsid w:val="00124281"/>
    <w:rsid w:val="001245AB"/>
    <w:rsid w:val="0012487B"/>
    <w:rsid w:val="001248DE"/>
    <w:rsid w:val="00124942"/>
    <w:rsid w:val="00124B89"/>
    <w:rsid w:val="00124FDE"/>
    <w:rsid w:val="0012534E"/>
    <w:rsid w:val="0012577D"/>
    <w:rsid w:val="001257A5"/>
    <w:rsid w:val="001258E0"/>
    <w:rsid w:val="00125907"/>
    <w:rsid w:val="00125ABC"/>
    <w:rsid w:val="00125D1C"/>
    <w:rsid w:val="00125EE5"/>
    <w:rsid w:val="00125FB8"/>
    <w:rsid w:val="001261F7"/>
    <w:rsid w:val="00126392"/>
    <w:rsid w:val="00126594"/>
    <w:rsid w:val="00126879"/>
    <w:rsid w:val="0012688F"/>
    <w:rsid w:val="001268C2"/>
    <w:rsid w:val="001269E3"/>
    <w:rsid w:val="00126C51"/>
    <w:rsid w:val="00126CFA"/>
    <w:rsid w:val="00127018"/>
    <w:rsid w:val="00127187"/>
    <w:rsid w:val="001271AD"/>
    <w:rsid w:val="0012752E"/>
    <w:rsid w:val="001276FB"/>
    <w:rsid w:val="001279EF"/>
    <w:rsid w:val="00127A3F"/>
    <w:rsid w:val="00127BD3"/>
    <w:rsid w:val="00127C9D"/>
    <w:rsid w:val="00127D7E"/>
    <w:rsid w:val="00127DEB"/>
    <w:rsid w:val="00127E88"/>
    <w:rsid w:val="00127FB4"/>
    <w:rsid w:val="0013036A"/>
    <w:rsid w:val="00130533"/>
    <w:rsid w:val="00130617"/>
    <w:rsid w:val="00130655"/>
    <w:rsid w:val="00130736"/>
    <w:rsid w:val="001307C3"/>
    <w:rsid w:val="0013086C"/>
    <w:rsid w:val="0013090E"/>
    <w:rsid w:val="00130967"/>
    <w:rsid w:val="00130BBA"/>
    <w:rsid w:val="00130CE2"/>
    <w:rsid w:val="00130EF2"/>
    <w:rsid w:val="00130F4F"/>
    <w:rsid w:val="00131135"/>
    <w:rsid w:val="0013114B"/>
    <w:rsid w:val="0013120C"/>
    <w:rsid w:val="00131707"/>
    <w:rsid w:val="00131978"/>
    <w:rsid w:val="001319DE"/>
    <w:rsid w:val="00131DDD"/>
    <w:rsid w:val="00131E97"/>
    <w:rsid w:val="00131EB2"/>
    <w:rsid w:val="0013203B"/>
    <w:rsid w:val="001320EB"/>
    <w:rsid w:val="001321D2"/>
    <w:rsid w:val="00132238"/>
    <w:rsid w:val="0013246C"/>
    <w:rsid w:val="0013247F"/>
    <w:rsid w:val="00132526"/>
    <w:rsid w:val="0013270C"/>
    <w:rsid w:val="00132990"/>
    <w:rsid w:val="00132A2B"/>
    <w:rsid w:val="00132BCC"/>
    <w:rsid w:val="00132C30"/>
    <w:rsid w:val="00132C8D"/>
    <w:rsid w:val="001330C5"/>
    <w:rsid w:val="0013335E"/>
    <w:rsid w:val="001333C2"/>
    <w:rsid w:val="001334DF"/>
    <w:rsid w:val="0013362B"/>
    <w:rsid w:val="0013397D"/>
    <w:rsid w:val="001339AF"/>
    <w:rsid w:val="00133BE7"/>
    <w:rsid w:val="00133C93"/>
    <w:rsid w:val="00133D51"/>
    <w:rsid w:val="00134037"/>
    <w:rsid w:val="00134299"/>
    <w:rsid w:val="001344C1"/>
    <w:rsid w:val="00134797"/>
    <w:rsid w:val="0013490F"/>
    <w:rsid w:val="00134DBE"/>
    <w:rsid w:val="00134DE5"/>
    <w:rsid w:val="00134E2B"/>
    <w:rsid w:val="00134F2B"/>
    <w:rsid w:val="00134F2C"/>
    <w:rsid w:val="00134F73"/>
    <w:rsid w:val="0013516E"/>
    <w:rsid w:val="00135185"/>
    <w:rsid w:val="001352FC"/>
    <w:rsid w:val="001354E2"/>
    <w:rsid w:val="00135568"/>
    <w:rsid w:val="001355ED"/>
    <w:rsid w:val="00135906"/>
    <w:rsid w:val="0013594E"/>
    <w:rsid w:val="001359BB"/>
    <w:rsid w:val="00135A88"/>
    <w:rsid w:val="00135B49"/>
    <w:rsid w:val="00135BD8"/>
    <w:rsid w:val="00135C80"/>
    <w:rsid w:val="00135D2D"/>
    <w:rsid w:val="00135DC2"/>
    <w:rsid w:val="00136057"/>
    <w:rsid w:val="001360A4"/>
    <w:rsid w:val="0013616A"/>
    <w:rsid w:val="00136180"/>
    <w:rsid w:val="001362BA"/>
    <w:rsid w:val="0013644B"/>
    <w:rsid w:val="0013649A"/>
    <w:rsid w:val="001364C2"/>
    <w:rsid w:val="001367E0"/>
    <w:rsid w:val="0013692F"/>
    <w:rsid w:val="00136A4C"/>
    <w:rsid w:val="00136A95"/>
    <w:rsid w:val="00136B22"/>
    <w:rsid w:val="00136BAE"/>
    <w:rsid w:val="00136CBD"/>
    <w:rsid w:val="00136CFD"/>
    <w:rsid w:val="00136DB6"/>
    <w:rsid w:val="00136EF8"/>
    <w:rsid w:val="00137019"/>
    <w:rsid w:val="00137179"/>
    <w:rsid w:val="001373D6"/>
    <w:rsid w:val="0013746F"/>
    <w:rsid w:val="00137530"/>
    <w:rsid w:val="00137898"/>
    <w:rsid w:val="00137989"/>
    <w:rsid w:val="00137BF3"/>
    <w:rsid w:val="00137EC7"/>
    <w:rsid w:val="001401F7"/>
    <w:rsid w:val="00140207"/>
    <w:rsid w:val="001405A7"/>
    <w:rsid w:val="00140685"/>
    <w:rsid w:val="00140799"/>
    <w:rsid w:val="001407DA"/>
    <w:rsid w:val="00140848"/>
    <w:rsid w:val="00140876"/>
    <w:rsid w:val="00140C81"/>
    <w:rsid w:val="00140D72"/>
    <w:rsid w:val="0014107B"/>
    <w:rsid w:val="001410DC"/>
    <w:rsid w:val="00141253"/>
    <w:rsid w:val="00141266"/>
    <w:rsid w:val="001416F3"/>
    <w:rsid w:val="001416FE"/>
    <w:rsid w:val="001417CE"/>
    <w:rsid w:val="001418D7"/>
    <w:rsid w:val="00141DA8"/>
    <w:rsid w:val="00141DAB"/>
    <w:rsid w:val="00141DE7"/>
    <w:rsid w:val="001420B7"/>
    <w:rsid w:val="001421BD"/>
    <w:rsid w:val="00142249"/>
    <w:rsid w:val="001423D4"/>
    <w:rsid w:val="00142462"/>
    <w:rsid w:val="00142659"/>
    <w:rsid w:val="00142938"/>
    <w:rsid w:val="00142CF5"/>
    <w:rsid w:val="001430A9"/>
    <w:rsid w:val="001430C7"/>
    <w:rsid w:val="0014319A"/>
    <w:rsid w:val="00143462"/>
    <w:rsid w:val="00143579"/>
    <w:rsid w:val="001436B3"/>
    <w:rsid w:val="001436E1"/>
    <w:rsid w:val="0014378B"/>
    <w:rsid w:val="00144298"/>
    <w:rsid w:val="0014439E"/>
    <w:rsid w:val="00144555"/>
    <w:rsid w:val="0014463C"/>
    <w:rsid w:val="00144983"/>
    <w:rsid w:val="001449C0"/>
    <w:rsid w:val="0014505E"/>
    <w:rsid w:val="00145183"/>
    <w:rsid w:val="00145239"/>
    <w:rsid w:val="00145696"/>
    <w:rsid w:val="001456A3"/>
    <w:rsid w:val="001456E9"/>
    <w:rsid w:val="00145774"/>
    <w:rsid w:val="00145C2C"/>
    <w:rsid w:val="00145C2E"/>
    <w:rsid w:val="00145EA8"/>
    <w:rsid w:val="00145EF1"/>
    <w:rsid w:val="0014600C"/>
    <w:rsid w:val="00146047"/>
    <w:rsid w:val="0014624B"/>
    <w:rsid w:val="00146356"/>
    <w:rsid w:val="00146595"/>
    <w:rsid w:val="00146895"/>
    <w:rsid w:val="001468EA"/>
    <w:rsid w:val="00146BDA"/>
    <w:rsid w:val="00146BDE"/>
    <w:rsid w:val="00146C31"/>
    <w:rsid w:val="00146C4C"/>
    <w:rsid w:val="0014726E"/>
    <w:rsid w:val="001472C3"/>
    <w:rsid w:val="001472DE"/>
    <w:rsid w:val="00147362"/>
    <w:rsid w:val="001475F9"/>
    <w:rsid w:val="0014762F"/>
    <w:rsid w:val="00147656"/>
    <w:rsid w:val="00147685"/>
    <w:rsid w:val="001478CB"/>
    <w:rsid w:val="00147C38"/>
    <w:rsid w:val="00147E03"/>
    <w:rsid w:val="00150160"/>
    <w:rsid w:val="001501A4"/>
    <w:rsid w:val="00150301"/>
    <w:rsid w:val="001504B5"/>
    <w:rsid w:val="001505A5"/>
    <w:rsid w:val="00150604"/>
    <w:rsid w:val="00150699"/>
    <w:rsid w:val="001507A1"/>
    <w:rsid w:val="00150C2C"/>
    <w:rsid w:val="00150C64"/>
    <w:rsid w:val="00150D2C"/>
    <w:rsid w:val="00150D65"/>
    <w:rsid w:val="001511C8"/>
    <w:rsid w:val="00151217"/>
    <w:rsid w:val="0015123F"/>
    <w:rsid w:val="0015135A"/>
    <w:rsid w:val="001515EE"/>
    <w:rsid w:val="00151727"/>
    <w:rsid w:val="00151929"/>
    <w:rsid w:val="00151DE9"/>
    <w:rsid w:val="00151E67"/>
    <w:rsid w:val="00151E76"/>
    <w:rsid w:val="001520A9"/>
    <w:rsid w:val="001522D4"/>
    <w:rsid w:val="001525CE"/>
    <w:rsid w:val="00152665"/>
    <w:rsid w:val="0015290A"/>
    <w:rsid w:val="00152A30"/>
    <w:rsid w:val="00152AB4"/>
    <w:rsid w:val="00152ABC"/>
    <w:rsid w:val="00152B5F"/>
    <w:rsid w:val="00152E9E"/>
    <w:rsid w:val="00152EDE"/>
    <w:rsid w:val="00152F89"/>
    <w:rsid w:val="00152FC2"/>
    <w:rsid w:val="00153272"/>
    <w:rsid w:val="001536B1"/>
    <w:rsid w:val="00153726"/>
    <w:rsid w:val="00153789"/>
    <w:rsid w:val="0015382B"/>
    <w:rsid w:val="001538E6"/>
    <w:rsid w:val="00153B70"/>
    <w:rsid w:val="00153EE7"/>
    <w:rsid w:val="00153F2E"/>
    <w:rsid w:val="001540A9"/>
    <w:rsid w:val="001540B0"/>
    <w:rsid w:val="0015417B"/>
    <w:rsid w:val="0015432B"/>
    <w:rsid w:val="0015432D"/>
    <w:rsid w:val="00154517"/>
    <w:rsid w:val="00154542"/>
    <w:rsid w:val="001546F9"/>
    <w:rsid w:val="00154956"/>
    <w:rsid w:val="00154E08"/>
    <w:rsid w:val="00154FFA"/>
    <w:rsid w:val="0015500A"/>
    <w:rsid w:val="001550BE"/>
    <w:rsid w:val="001550D9"/>
    <w:rsid w:val="001551E9"/>
    <w:rsid w:val="00155328"/>
    <w:rsid w:val="001554CE"/>
    <w:rsid w:val="001555E8"/>
    <w:rsid w:val="0015590E"/>
    <w:rsid w:val="00155B90"/>
    <w:rsid w:val="00155C30"/>
    <w:rsid w:val="00155CF0"/>
    <w:rsid w:val="00155DB3"/>
    <w:rsid w:val="00155E6B"/>
    <w:rsid w:val="00156149"/>
    <w:rsid w:val="001563D0"/>
    <w:rsid w:val="00156560"/>
    <w:rsid w:val="00156820"/>
    <w:rsid w:val="00156BC5"/>
    <w:rsid w:val="00156ECC"/>
    <w:rsid w:val="00156F85"/>
    <w:rsid w:val="0015757B"/>
    <w:rsid w:val="00157848"/>
    <w:rsid w:val="00157923"/>
    <w:rsid w:val="00157C2E"/>
    <w:rsid w:val="00157C3E"/>
    <w:rsid w:val="00157CC1"/>
    <w:rsid w:val="00160143"/>
    <w:rsid w:val="001604FC"/>
    <w:rsid w:val="001607B8"/>
    <w:rsid w:val="00160967"/>
    <w:rsid w:val="00160B1F"/>
    <w:rsid w:val="00160B73"/>
    <w:rsid w:val="00160CB7"/>
    <w:rsid w:val="00160D33"/>
    <w:rsid w:val="00160DAC"/>
    <w:rsid w:val="00160EA8"/>
    <w:rsid w:val="00160EFF"/>
    <w:rsid w:val="00160FAF"/>
    <w:rsid w:val="00161027"/>
    <w:rsid w:val="0016104D"/>
    <w:rsid w:val="001610A6"/>
    <w:rsid w:val="00161126"/>
    <w:rsid w:val="00161288"/>
    <w:rsid w:val="00161441"/>
    <w:rsid w:val="00161502"/>
    <w:rsid w:val="00161C5E"/>
    <w:rsid w:val="00161CAB"/>
    <w:rsid w:val="00161ED5"/>
    <w:rsid w:val="001620D8"/>
    <w:rsid w:val="001621B5"/>
    <w:rsid w:val="00162574"/>
    <w:rsid w:val="001625FF"/>
    <w:rsid w:val="0016260A"/>
    <w:rsid w:val="00162624"/>
    <w:rsid w:val="0016277C"/>
    <w:rsid w:val="00162782"/>
    <w:rsid w:val="001628C9"/>
    <w:rsid w:val="00162A07"/>
    <w:rsid w:val="00162AE8"/>
    <w:rsid w:val="00162C62"/>
    <w:rsid w:val="00162F63"/>
    <w:rsid w:val="001633F3"/>
    <w:rsid w:val="0016353D"/>
    <w:rsid w:val="00163547"/>
    <w:rsid w:val="00163705"/>
    <w:rsid w:val="001638E4"/>
    <w:rsid w:val="00163AB4"/>
    <w:rsid w:val="00163C7A"/>
    <w:rsid w:val="00163D0D"/>
    <w:rsid w:val="00163D62"/>
    <w:rsid w:val="00163D87"/>
    <w:rsid w:val="0016425C"/>
    <w:rsid w:val="00164313"/>
    <w:rsid w:val="0016441F"/>
    <w:rsid w:val="001646E3"/>
    <w:rsid w:val="00164764"/>
    <w:rsid w:val="001647A5"/>
    <w:rsid w:val="00164975"/>
    <w:rsid w:val="00164B82"/>
    <w:rsid w:val="00164C58"/>
    <w:rsid w:val="00164F98"/>
    <w:rsid w:val="00165535"/>
    <w:rsid w:val="00165621"/>
    <w:rsid w:val="00165678"/>
    <w:rsid w:val="0016597D"/>
    <w:rsid w:val="00165D89"/>
    <w:rsid w:val="0016650E"/>
    <w:rsid w:val="00166513"/>
    <w:rsid w:val="001665E8"/>
    <w:rsid w:val="00166661"/>
    <w:rsid w:val="001666C6"/>
    <w:rsid w:val="00166745"/>
    <w:rsid w:val="001669D9"/>
    <w:rsid w:val="00166C01"/>
    <w:rsid w:val="00166FA8"/>
    <w:rsid w:val="00167140"/>
    <w:rsid w:val="001671C4"/>
    <w:rsid w:val="00167540"/>
    <w:rsid w:val="00167649"/>
    <w:rsid w:val="0016780E"/>
    <w:rsid w:val="00167AB5"/>
    <w:rsid w:val="00167E19"/>
    <w:rsid w:val="00167F1B"/>
    <w:rsid w:val="0017000C"/>
    <w:rsid w:val="0017030A"/>
    <w:rsid w:val="00170315"/>
    <w:rsid w:val="0017068F"/>
    <w:rsid w:val="001706AB"/>
    <w:rsid w:val="001707CD"/>
    <w:rsid w:val="00170809"/>
    <w:rsid w:val="0017094A"/>
    <w:rsid w:val="00170991"/>
    <w:rsid w:val="00170A28"/>
    <w:rsid w:val="00170A8B"/>
    <w:rsid w:val="00170AF5"/>
    <w:rsid w:val="00170B40"/>
    <w:rsid w:val="00170EF5"/>
    <w:rsid w:val="0017109F"/>
    <w:rsid w:val="0017119D"/>
    <w:rsid w:val="0017126D"/>
    <w:rsid w:val="001716D4"/>
    <w:rsid w:val="00171751"/>
    <w:rsid w:val="001718AA"/>
    <w:rsid w:val="001719D4"/>
    <w:rsid w:val="001719EF"/>
    <w:rsid w:val="00171A08"/>
    <w:rsid w:val="00171AB8"/>
    <w:rsid w:val="00171B9B"/>
    <w:rsid w:val="00171C31"/>
    <w:rsid w:val="00171D28"/>
    <w:rsid w:val="00171E02"/>
    <w:rsid w:val="001721B5"/>
    <w:rsid w:val="001725E1"/>
    <w:rsid w:val="001727C7"/>
    <w:rsid w:val="00172A1E"/>
    <w:rsid w:val="00172AA9"/>
    <w:rsid w:val="00172AAC"/>
    <w:rsid w:val="00172CC9"/>
    <w:rsid w:val="00172D8C"/>
    <w:rsid w:val="001730C9"/>
    <w:rsid w:val="00173281"/>
    <w:rsid w:val="00173393"/>
    <w:rsid w:val="00173585"/>
    <w:rsid w:val="00173696"/>
    <w:rsid w:val="0017398C"/>
    <w:rsid w:val="001739EF"/>
    <w:rsid w:val="00173A31"/>
    <w:rsid w:val="00173C3C"/>
    <w:rsid w:val="00173CD1"/>
    <w:rsid w:val="00173D2E"/>
    <w:rsid w:val="00173D84"/>
    <w:rsid w:val="00173E43"/>
    <w:rsid w:val="00173EA3"/>
    <w:rsid w:val="00173ECD"/>
    <w:rsid w:val="00174381"/>
    <w:rsid w:val="00174451"/>
    <w:rsid w:val="001744A5"/>
    <w:rsid w:val="00174593"/>
    <w:rsid w:val="00174A93"/>
    <w:rsid w:val="00174DA2"/>
    <w:rsid w:val="00174DE3"/>
    <w:rsid w:val="00175139"/>
    <w:rsid w:val="00175142"/>
    <w:rsid w:val="001751C0"/>
    <w:rsid w:val="0017522E"/>
    <w:rsid w:val="00175546"/>
    <w:rsid w:val="00175B1E"/>
    <w:rsid w:val="00175B45"/>
    <w:rsid w:val="00175D2C"/>
    <w:rsid w:val="00175D85"/>
    <w:rsid w:val="00175E24"/>
    <w:rsid w:val="00175E66"/>
    <w:rsid w:val="00175F07"/>
    <w:rsid w:val="00175FA4"/>
    <w:rsid w:val="00176082"/>
    <w:rsid w:val="001760A8"/>
    <w:rsid w:val="00176178"/>
    <w:rsid w:val="001761E2"/>
    <w:rsid w:val="00176242"/>
    <w:rsid w:val="0017637E"/>
    <w:rsid w:val="00176CE3"/>
    <w:rsid w:val="00176DBB"/>
    <w:rsid w:val="00176EF2"/>
    <w:rsid w:val="00176F49"/>
    <w:rsid w:val="00176FC7"/>
    <w:rsid w:val="00177061"/>
    <w:rsid w:val="00177557"/>
    <w:rsid w:val="001778F2"/>
    <w:rsid w:val="00177AB4"/>
    <w:rsid w:val="00177BDB"/>
    <w:rsid w:val="00177C94"/>
    <w:rsid w:val="00177CA3"/>
    <w:rsid w:val="00177E1E"/>
    <w:rsid w:val="00177F14"/>
    <w:rsid w:val="00177F4E"/>
    <w:rsid w:val="00177F96"/>
    <w:rsid w:val="0018005C"/>
    <w:rsid w:val="001801B6"/>
    <w:rsid w:val="00180491"/>
    <w:rsid w:val="0018054F"/>
    <w:rsid w:val="001806AC"/>
    <w:rsid w:val="001806DA"/>
    <w:rsid w:val="00180706"/>
    <w:rsid w:val="00180760"/>
    <w:rsid w:val="001807F4"/>
    <w:rsid w:val="00180AD1"/>
    <w:rsid w:val="00180BA6"/>
    <w:rsid w:val="00180BAC"/>
    <w:rsid w:val="00180BAD"/>
    <w:rsid w:val="00180CFD"/>
    <w:rsid w:val="00180F0C"/>
    <w:rsid w:val="001810D7"/>
    <w:rsid w:val="001812B7"/>
    <w:rsid w:val="00181538"/>
    <w:rsid w:val="00181767"/>
    <w:rsid w:val="0018177F"/>
    <w:rsid w:val="00181912"/>
    <w:rsid w:val="0018191C"/>
    <w:rsid w:val="00181B36"/>
    <w:rsid w:val="00181BD9"/>
    <w:rsid w:val="00181C5A"/>
    <w:rsid w:val="00181E61"/>
    <w:rsid w:val="0018239B"/>
    <w:rsid w:val="00182733"/>
    <w:rsid w:val="00182754"/>
    <w:rsid w:val="00182872"/>
    <w:rsid w:val="00182942"/>
    <w:rsid w:val="0018298C"/>
    <w:rsid w:val="0018298F"/>
    <w:rsid w:val="00182A36"/>
    <w:rsid w:val="00182AC9"/>
    <w:rsid w:val="00182BE5"/>
    <w:rsid w:val="00182DE0"/>
    <w:rsid w:val="0018320A"/>
    <w:rsid w:val="00183359"/>
    <w:rsid w:val="001833E1"/>
    <w:rsid w:val="001834C4"/>
    <w:rsid w:val="001835E1"/>
    <w:rsid w:val="0018372E"/>
    <w:rsid w:val="0018382A"/>
    <w:rsid w:val="001838E7"/>
    <w:rsid w:val="001838F0"/>
    <w:rsid w:val="00183A27"/>
    <w:rsid w:val="00183A41"/>
    <w:rsid w:val="00183B22"/>
    <w:rsid w:val="00183B9B"/>
    <w:rsid w:val="00183D88"/>
    <w:rsid w:val="00183EA1"/>
    <w:rsid w:val="0018405F"/>
    <w:rsid w:val="001841DF"/>
    <w:rsid w:val="00184230"/>
    <w:rsid w:val="001843EC"/>
    <w:rsid w:val="0018479E"/>
    <w:rsid w:val="00184AAF"/>
    <w:rsid w:val="00184B9C"/>
    <w:rsid w:val="00184BAA"/>
    <w:rsid w:val="00184C42"/>
    <w:rsid w:val="00184D6A"/>
    <w:rsid w:val="0018509B"/>
    <w:rsid w:val="00185359"/>
    <w:rsid w:val="0018536F"/>
    <w:rsid w:val="0018537B"/>
    <w:rsid w:val="00185A6D"/>
    <w:rsid w:val="00185B1E"/>
    <w:rsid w:val="00185B60"/>
    <w:rsid w:val="00185D6F"/>
    <w:rsid w:val="00185E11"/>
    <w:rsid w:val="001861BD"/>
    <w:rsid w:val="001861D6"/>
    <w:rsid w:val="0018649A"/>
    <w:rsid w:val="0018650C"/>
    <w:rsid w:val="0018656B"/>
    <w:rsid w:val="00186570"/>
    <w:rsid w:val="0018661B"/>
    <w:rsid w:val="0018676B"/>
    <w:rsid w:val="00186789"/>
    <w:rsid w:val="001868D2"/>
    <w:rsid w:val="00186CF2"/>
    <w:rsid w:val="00186D01"/>
    <w:rsid w:val="00186DE9"/>
    <w:rsid w:val="001872F8"/>
    <w:rsid w:val="00187375"/>
    <w:rsid w:val="00187404"/>
    <w:rsid w:val="00187479"/>
    <w:rsid w:val="001874DD"/>
    <w:rsid w:val="00187523"/>
    <w:rsid w:val="0018763D"/>
    <w:rsid w:val="0018763F"/>
    <w:rsid w:val="00187887"/>
    <w:rsid w:val="001879EA"/>
    <w:rsid w:val="00187F0D"/>
    <w:rsid w:val="00187FE7"/>
    <w:rsid w:val="00187FE9"/>
    <w:rsid w:val="001900DD"/>
    <w:rsid w:val="001901AA"/>
    <w:rsid w:val="001903ED"/>
    <w:rsid w:val="001904EE"/>
    <w:rsid w:val="001906F3"/>
    <w:rsid w:val="00190743"/>
    <w:rsid w:val="00190B9B"/>
    <w:rsid w:val="00190C73"/>
    <w:rsid w:val="00190EEB"/>
    <w:rsid w:val="0019122C"/>
    <w:rsid w:val="0019133A"/>
    <w:rsid w:val="0019144D"/>
    <w:rsid w:val="001916A8"/>
    <w:rsid w:val="0019170B"/>
    <w:rsid w:val="00191720"/>
    <w:rsid w:val="00191835"/>
    <w:rsid w:val="0019189B"/>
    <w:rsid w:val="00191D84"/>
    <w:rsid w:val="00191E46"/>
    <w:rsid w:val="00191FFD"/>
    <w:rsid w:val="001922F0"/>
    <w:rsid w:val="00192419"/>
    <w:rsid w:val="00192432"/>
    <w:rsid w:val="001924A1"/>
    <w:rsid w:val="00192643"/>
    <w:rsid w:val="00192671"/>
    <w:rsid w:val="0019267A"/>
    <w:rsid w:val="001927FE"/>
    <w:rsid w:val="0019288E"/>
    <w:rsid w:val="00192936"/>
    <w:rsid w:val="00192A7C"/>
    <w:rsid w:val="00192BD7"/>
    <w:rsid w:val="00192E95"/>
    <w:rsid w:val="0019309F"/>
    <w:rsid w:val="001930AD"/>
    <w:rsid w:val="001933E7"/>
    <w:rsid w:val="0019348B"/>
    <w:rsid w:val="001934E3"/>
    <w:rsid w:val="00193C37"/>
    <w:rsid w:val="00193DC0"/>
    <w:rsid w:val="00193F3A"/>
    <w:rsid w:val="00193F6E"/>
    <w:rsid w:val="001940FB"/>
    <w:rsid w:val="00194249"/>
    <w:rsid w:val="0019425B"/>
    <w:rsid w:val="0019442B"/>
    <w:rsid w:val="001944A8"/>
    <w:rsid w:val="0019476D"/>
    <w:rsid w:val="001947A9"/>
    <w:rsid w:val="001947C0"/>
    <w:rsid w:val="00194967"/>
    <w:rsid w:val="00194AE7"/>
    <w:rsid w:val="00194BC6"/>
    <w:rsid w:val="00194BFC"/>
    <w:rsid w:val="0019520F"/>
    <w:rsid w:val="00195235"/>
    <w:rsid w:val="001952D4"/>
    <w:rsid w:val="0019541E"/>
    <w:rsid w:val="001958A6"/>
    <w:rsid w:val="001959FB"/>
    <w:rsid w:val="00195B31"/>
    <w:rsid w:val="00195F3B"/>
    <w:rsid w:val="00195FBD"/>
    <w:rsid w:val="00195FE5"/>
    <w:rsid w:val="00196129"/>
    <w:rsid w:val="001963D4"/>
    <w:rsid w:val="0019644E"/>
    <w:rsid w:val="0019678E"/>
    <w:rsid w:val="001968F9"/>
    <w:rsid w:val="00196AD2"/>
    <w:rsid w:val="00196B54"/>
    <w:rsid w:val="00196B5C"/>
    <w:rsid w:val="00196EC9"/>
    <w:rsid w:val="00197333"/>
    <w:rsid w:val="00197687"/>
    <w:rsid w:val="00197735"/>
    <w:rsid w:val="001978F4"/>
    <w:rsid w:val="00197A10"/>
    <w:rsid w:val="00197ACE"/>
    <w:rsid w:val="00197EBF"/>
    <w:rsid w:val="00197EF7"/>
    <w:rsid w:val="00197F8F"/>
    <w:rsid w:val="00197FBE"/>
    <w:rsid w:val="001A010A"/>
    <w:rsid w:val="001A024E"/>
    <w:rsid w:val="001A02E6"/>
    <w:rsid w:val="001A031B"/>
    <w:rsid w:val="001A03C9"/>
    <w:rsid w:val="001A0659"/>
    <w:rsid w:val="001A06EF"/>
    <w:rsid w:val="001A0873"/>
    <w:rsid w:val="001A08D5"/>
    <w:rsid w:val="001A0AD5"/>
    <w:rsid w:val="001A0D11"/>
    <w:rsid w:val="001A0D4A"/>
    <w:rsid w:val="001A0E2B"/>
    <w:rsid w:val="001A0E74"/>
    <w:rsid w:val="001A11C3"/>
    <w:rsid w:val="001A1250"/>
    <w:rsid w:val="001A126F"/>
    <w:rsid w:val="001A14F8"/>
    <w:rsid w:val="001A15A7"/>
    <w:rsid w:val="001A1616"/>
    <w:rsid w:val="001A17D7"/>
    <w:rsid w:val="001A1A43"/>
    <w:rsid w:val="001A1A65"/>
    <w:rsid w:val="001A1B32"/>
    <w:rsid w:val="001A207E"/>
    <w:rsid w:val="001A2547"/>
    <w:rsid w:val="001A2581"/>
    <w:rsid w:val="001A2646"/>
    <w:rsid w:val="001A26F7"/>
    <w:rsid w:val="001A272C"/>
    <w:rsid w:val="001A283F"/>
    <w:rsid w:val="001A29AB"/>
    <w:rsid w:val="001A2BFB"/>
    <w:rsid w:val="001A2C4E"/>
    <w:rsid w:val="001A2CE7"/>
    <w:rsid w:val="001A2DCE"/>
    <w:rsid w:val="001A2DFF"/>
    <w:rsid w:val="001A2F01"/>
    <w:rsid w:val="001A2FAD"/>
    <w:rsid w:val="001A320C"/>
    <w:rsid w:val="001A327A"/>
    <w:rsid w:val="001A350F"/>
    <w:rsid w:val="001A37AE"/>
    <w:rsid w:val="001A3A00"/>
    <w:rsid w:val="001A3B21"/>
    <w:rsid w:val="001A3B67"/>
    <w:rsid w:val="001A3D25"/>
    <w:rsid w:val="001A3D60"/>
    <w:rsid w:val="001A3E27"/>
    <w:rsid w:val="001A3FFA"/>
    <w:rsid w:val="001A4063"/>
    <w:rsid w:val="001A41A1"/>
    <w:rsid w:val="001A4365"/>
    <w:rsid w:val="001A446D"/>
    <w:rsid w:val="001A49CD"/>
    <w:rsid w:val="001A4A62"/>
    <w:rsid w:val="001A4ABC"/>
    <w:rsid w:val="001A4B07"/>
    <w:rsid w:val="001A4BDC"/>
    <w:rsid w:val="001A4CF7"/>
    <w:rsid w:val="001A4DFC"/>
    <w:rsid w:val="001A4F18"/>
    <w:rsid w:val="001A4FA7"/>
    <w:rsid w:val="001A5014"/>
    <w:rsid w:val="001A52F4"/>
    <w:rsid w:val="001A5473"/>
    <w:rsid w:val="001A565E"/>
    <w:rsid w:val="001A59BD"/>
    <w:rsid w:val="001A5C62"/>
    <w:rsid w:val="001A5DC5"/>
    <w:rsid w:val="001A6037"/>
    <w:rsid w:val="001A6174"/>
    <w:rsid w:val="001A61D8"/>
    <w:rsid w:val="001A621E"/>
    <w:rsid w:val="001A6290"/>
    <w:rsid w:val="001A6417"/>
    <w:rsid w:val="001A64E3"/>
    <w:rsid w:val="001A65F7"/>
    <w:rsid w:val="001A6750"/>
    <w:rsid w:val="001A6819"/>
    <w:rsid w:val="001A6829"/>
    <w:rsid w:val="001A68C0"/>
    <w:rsid w:val="001A691F"/>
    <w:rsid w:val="001A6BED"/>
    <w:rsid w:val="001A6DB0"/>
    <w:rsid w:val="001A6EE4"/>
    <w:rsid w:val="001A6F04"/>
    <w:rsid w:val="001A6F92"/>
    <w:rsid w:val="001A729C"/>
    <w:rsid w:val="001A7371"/>
    <w:rsid w:val="001A741A"/>
    <w:rsid w:val="001A7447"/>
    <w:rsid w:val="001A749D"/>
    <w:rsid w:val="001A76EE"/>
    <w:rsid w:val="001A7C1A"/>
    <w:rsid w:val="001A7EB6"/>
    <w:rsid w:val="001A7F25"/>
    <w:rsid w:val="001A7F75"/>
    <w:rsid w:val="001A7FE2"/>
    <w:rsid w:val="001A7FE6"/>
    <w:rsid w:val="001B000D"/>
    <w:rsid w:val="001B0118"/>
    <w:rsid w:val="001B01B2"/>
    <w:rsid w:val="001B0464"/>
    <w:rsid w:val="001B0588"/>
    <w:rsid w:val="001B05B7"/>
    <w:rsid w:val="001B062D"/>
    <w:rsid w:val="001B08CF"/>
    <w:rsid w:val="001B0AB6"/>
    <w:rsid w:val="001B0C12"/>
    <w:rsid w:val="001B0DD4"/>
    <w:rsid w:val="001B0FC6"/>
    <w:rsid w:val="001B1271"/>
    <w:rsid w:val="001B12AD"/>
    <w:rsid w:val="001B14A0"/>
    <w:rsid w:val="001B1577"/>
    <w:rsid w:val="001B1C4D"/>
    <w:rsid w:val="001B1EEF"/>
    <w:rsid w:val="001B1F25"/>
    <w:rsid w:val="001B215E"/>
    <w:rsid w:val="001B2403"/>
    <w:rsid w:val="001B26D5"/>
    <w:rsid w:val="001B297B"/>
    <w:rsid w:val="001B2B3F"/>
    <w:rsid w:val="001B2DEB"/>
    <w:rsid w:val="001B2E5F"/>
    <w:rsid w:val="001B3073"/>
    <w:rsid w:val="001B30D2"/>
    <w:rsid w:val="001B333A"/>
    <w:rsid w:val="001B350D"/>
    <w:rsid w:val="001B3705"/>
    <w:rsid w:val="001B376B"/>
    <w:rsid w:val="001B37A0"/>
    <w:rsid w:val="001B38A8"/>
    <w:rsid w:val="001B39F4"/>
    <w:rsid w:val="001B3D32"/>
    <w:rsid w:val="001B3E04"/>
    <w:rsid w:val="001B4067"/>
    <w:rsid w:val="001B40A8"/>
    <w:rsid w:val="001B4127"/>
    <w:rsid w:val="001B4145"/>
    <w:rsid w:val="001B4289"/>
    <w:rsid w:val="001B42AC"/>
    <w:rsid w:val="001B42B1"/>
    <w:rsid w:val="001B4501"/>
    <w:rsid w:val="001B48D2"/>
    <w:rsid w:val="001B4AD2"/>
    <w:rsid w:val="001B4CB8"/>
    <w:rsid w:val="001B50D3"/>
    <w:rsid w:val="001B53D5"/>
    <w:rsid w:val="001B5445"/>
    <w:rsid w:val="001B5515"/>
    <w:rsid w:val="001B559C"/>
    <w:rsid w:val="001B57D8"/>
    <w:rsid w:val="001B5C01"/>
    <w:rsid w:val="001B5EB1"/>
    <w:rsid w:val="001B6014"/>
    <w:rsid w:val="001B63D4"/>
    <w:rsid w:val="001B65D9"/>
    <w:rsid w:val="001B65EE"/>
    <w:rsid w:val="001B6659"/>
    <w:rsid w:val="001B6951"/>
    <w:rsid w:val="001B6A04"/>
    <w:rsid w:val="001B6C55"/>
    <w:rsid w:val="001B6D65"/>
    <w:rsid w:val="001B72DA"/>
    <w:rsid w:val="001B741C"/>
    <w:rsid w:val="001B7471"/>
    <w:rsid w:val="001B769A"/>
    <w:rsid w:val="001B774D"/>
    <w:rsid w:val="001B786A"/>
    <w:rsid w:val="001B794A"/>
    <w:rsid w:val="001B7C29"/>
    <w:rsid w:val="001B7D2E"/>
    <w:rsid w:val="001B7DFE"/>
    <w:rsid w:val="001B7EB8"/>
    <w:rsid w:val="001B7FB3"/>
    <w:rsid w:val="001B7FD6"/>
    <w:rsid w:val="001C02A7"/>
    <w:rsid w:val="001C02BD"/>
    <w:rsid w:val="001C05DC"/>
    <w:rsid w:val="001C0600"/>
    <w:rsid w:val="001C069F"/>
    <w:rsid w:val="001C08E7"/>
    <w:rsid w:val="001C08EF"/>
    <w:rsid w:val="001C08F3"/>
    <w:rsid w:val="001C0AF8"/>
    <w:rsid w:val="001C0B07"/>
    <w:rsid w:val="001C0B46"/>
    <w:rsid w:val="001C0C3A"/>
    <w:rsid w:val="001C0C7B"/>
    <w:rsid w:val="001C0D28"/>
    <w:rsid w:val="001C0E08"/>
    <w:rsid w:val="001C0F47"/>
    <w:rsid w:val="001C11D4"/>
    <w:rsid w:val="001C127E"/>
    <w:rsid w:val="001C129E"/>
    <w:rsid w:val="001C1356"/>
    <w:rsid w:val="001C13B3"/>
    <w:rsid w:val="001C14B5"/>
    <w:rsid w:val="001C163F"/>
    <w:rsid w:val="001C17F6"/>
    <w:rsid w:val="001C1866"/>
    <w:rsid w:val="001C1906"/>
    <w:rsid w:val="001C19CC"/>
    <w:rsid w:val="001C1A7A"/>
    <w:rsid w:val="001C1C5B"/>
    <w:rsid w:val="001C1EC9"/>
    <w:rsid w:val="001C1FE1"/>
    <w:rsid w:val="001C1FF4"/>
    <w:rsid w:val="001C200A"/>
    <w:rsid w:val="001C2224"/>
    <w:rsid w:val="001C22E9"/>
    <w:rsid w:val="001C2465"/>
    <w:rsid w:val="001C25F9"/>
    <w:rsid w:val="001C26F1"/>
    <w:rsid w:val="001C29E1"/>
    <w:rsid w:val="001C29EC"/>
    <w:rsid w:val="001C29F7"/>
    <w:rsid w:val="001C2A51"/>
    <w:rsid w:val="001C2D00"/>
    <w:rsid w:val="001C2D45"/>
    <w:rsid w:val="001C2F2F"/>
    <w:rsid w:val="001C2F67"/>
    <w:rsid w:val="001C2F6F"/>
    <w:rsid w:val="001C30BF"/>
    <w:rsid w:val="001C329D"/>
    <w:rsid w:val="001C341B"/>
    <w:rsid w:val="001C3665"/>
    <w:rsid w:val="001C368F"/>
    <w:rsid w:val="001C378B"/>
    <w:rsid w:val="001C37C6"/>
    <w:rsid w:val="001C38F4"/>
    <w:rsid w:val="001C3CCD"/>
    <w:rsid w:val="001C3DF5"/>
    <w:rsid w:val="001C3EA2"/>
    <w:rsid w:val="001C3F24"/>
    <w:rsid w:val="001C3F5D"/>
    <w:rsid w:val="001C3FB3"/>
    <w:rsid w:val="001C40F5"/>
    <w:rsid w:val="001C43F6"/>
    <w:rsid w:val="001C4647"/>
    <w:rsid w:val="001C4650"/>
    <w:rsid w:val="001C4B0F"/>
    <w:rsid w:val="001C4B6B"/>
    <w:rsid w:val="001C4DE1"/>
    <w:rsid w:val="001C4E54"/>
    <w:rsid w:val="001C4F09"/>
    <w:rsid w:val="001C507C"/>
    <w:rsid w:val="001C554A"/>
    <w:rsid w:val="001C5585"/>
    <w:rsid w:val="001C57FE"/>
    <w:rsid w:val="001C59DD"/>
    <w:rsid w:val="001C5AB9"/>
    <w:rsid w:val="001C5C4F"/>
    <w:rsid w:val="001C5D7E"/>
    <w:rsid w:val="001C6193"/>
    <w:rsid w:val="001C629D"/>
    <w:rsid w:val="001C63B2"/>
    <w:rsid w:val="001C649D"/>
    <w:rsid w:val="001C64A2"/>
    <w:rsid w:val="001C6515"/>
    <w:rsid w:val="001C656C"/>
    <w:rsid w:val="001C658F"/>
    <w:rsid w:val="001C65B2"/>
    <w:rsid w:val="001C65C6"/>
    <w:rsid w:val="001C6CA3"/>
    <w:rsid w:val="001C6F8F"/>
    <w:rsid w:val="001C7304"/>
    <w:rsid w:val="001C7364"/>
    <w:rsid w:val="001C7482"/>
    <w:rsid w:val="001C775B"/>
    <w:rsid w:val="001C7A6B"/>
    <w:rsid w:val="001C7B8F"/>
    <w:rsid w:val="001C7C0F"/>
    <w:rsid w:val="001C7E6A"/>
    <w:rsid w:val="001C7F2F"/>
    <w:rsid w:val="001C7F3F"/>
    <w:rsid w:val="001D000E"/>
    <w:rsid w:val="001D0141"/>
    <w:rsid w:val="001D01BF"/>
    <w:rsid w:val="001D01FA"/>
    <w:rsid w:val="001D09C4"/>
    <w:rsid w:val="001D0A57"/>
    <w:rsid w:val="001D0AFC"/>
    <w:rsid w:val="001D0B59"/>
    <w:rsid w:val="001D0CA1"/>
    <w:rsid w:val="001D0E2E"/>
    <w:rsid w:val="001D0F42"/>
    <w:rsid w:val="001D0F52"/>
    <w:rsid w:val="001D132E"/>
    <w:rsid w:val="001D1332"/>
    <w:rsid w:val="001D14AF"/>
    <w:rsid w:val="001D16C7"/>
    <w:rsid w:val="001D1C9F"/>
    <w:rsid w:val="001D1F38"/>
    <w:rsid w:val="001D1FCD"/>
    <w:rsid w:val="001D1FD8"/>
    <w:rsid w:val="001D20F9"/>
    <w:rsid w:val="001D23DB"/>
    <w:rsid w:val="001D23EF"/>
    <w:rsid w:val="001D269F"/>
    <w:rsid w:val="001D2A23"/>
    <w:rsid w:val="001D2A8A"/>
    <w:rsid w:val="001D2AAD"/>
    <w:rsid w:val="001D2B1D"/>
    <w:rsid w:val="001D2E84"/>
    <w:rsid w:val="001D2EF6"/>
    <w:rsid w:val="001D3019"/>
    <w:rsid w:val="001D3080"/>
    <w:rsid w:val="001D3112"/>
    <w:rsid w:val="001D33EE"/>
    <w:rsid w:val="001D36EF"/>
    <w:rsid w:val="001D37CA"/>
    <w:rsid w:val="001D3945"/>
    <w:rsid w:val="001D39C9"/>
    <w:rsid w:val="001D3E00"/>
    <w:rsid w:val="001D3F95"/>
    <w:rsid w:val="001D4289"/>
    <w:rsid w:val="001D432F"/>
    <w:rsid w:val="001D46C2"/>
    <w:rsid w:val="001D4738"/>
    <w:rsid w:val="001D47CE"/>
    <w:rsid w:val="001D48E8"/>
    <w:rsid w:val="001D493D"/>
    <w:rsid w:val="001D49EE"/>
    <w:rsid w:val="001D4B9B"/>
    <w:rsid w:val="001D4EEF"/>
    <w:rsid w:val="001D502F"/>
    <w:rsid w:val="001D503B"/>
    <w:rsid w:val="001D53B4"/>
    <w:rsid w:val="001D55E1"/>
    <w:rsid w:val="001D596D"/>
    <w:rsid w:val="001D5A33"/>
    <w:rsid w:val="001D5C0E"/>
    <w:rsid w:val="001D5E7E"/>
    <w:rsid w:val="001D608F"/>
    <w:rsid w:val="001D6113"/>
    <w:rsid w:val="001D6680"/>
    <w:rsid w:val="001D66B9"/>
    <w:rsid w:val="001D672A"/>
    <w:rsid w:val="001D67CE"/>
    <w:rsid w:val="001D6D12"/>
    <w:rsid w:val="001D6E33"/>
    <w:rsid w:val="001D6EF0"/>
    <w:rsid w:val="001D6F96"/>
    <w:rsid w:val="001D702C"/>
    <w:rsid w:val="001D71D8"/>
    <w:rsid w:val="001D738A"/>
    <w:rsid w:val="001D7420"/>
    <w:rsid w:val="001D7696"/>
    <w:rsid w:val="001D78B5"/>
    <w:rsid w:val="001D7A75"/>
    <w:rsid w:val="001D7C0B"/>
    <w:rsid w:val="001D7E3F"/>
    <w:rsid w:val="001E0010"/>
    <w:rsid w:val="001E0093"/>
    <w:rsid w:val="001E0657"/>
    <w:rsid w:val="001E06AD"/>
    <w:rsid w:val="001E06F4"/>
    <w:rsid w:val="001E0A80"/>
    <w:rsid w:val="001E0B31"/>
    <w:rsid w:val="001E0B51"/>
    <w:rsid w:val="001E0BC4"/>
    <w:rsid w:val="001E0BCA"/>
    <w:rsid w:val="001E0D0B"/>
    <w:rsid w:val="001E1244"/>
    <w:rsid w:val="001E137D"/>
    <w:rsid w:val="001E147D"/>
    <w:rsid w:val="001E14B1"/>
    <w:rsid w:val="001E1502"/>
    <w:rsid w:val="001E162B"/>
    <w:rsid w:val="001E176D"/>
    <w:rsid w:val="001E18A9"/>
    <w:rsid w:val="001E1CBC"/>
    <w:rsid w:val="001E202B"/>
    <w:rsid w:val="001E20E7"/>
    <w:rsid w:val="001E2242"/>
    <w:rsid w:val="001E2291"/>
    <w:rsid w:val="001E230B"/>
    <w:rsid w:val="001E23A9"/>
    <w:rsid w:val="001E24A2"/>
    <w:rsid w:val="001E2642"/>
    <w:rsid w:val="001E278C"/>
    <w:rsid w:val="001E27E6"/>
    <w:rsid w:val="001E28E7"/>
    <w:rsid w:val="001E2903"/>
    <w:rsid w:val="001E2A39"/>
    <w:rsid w:val="001E2E32"/>
    <w:rsid w:val="001E2EFD"/>
    <w:rsid w:val="001E2FBA"/>
    <w:rsid w:val="001E30C7"/>
    <w:rsid w:val="001E3410"/>
    <w:rsid w:val="001E35B0"/>
    <w:rsid w:val="001E37B7"/>
    <w:rsid w:val="001E3A32"/>
    <w:rsid w:val="001E3AB2"/>
    <w:rsid w:val="001E3B83"/>
    <w:rsid w:val="001E3C7A"/>
    <w:rsid w:val="001E3CDC"/>
    <w:rsid w:val="001E3D2F"/>
    <w:rsid w:val="001E43A5"/>
    <w:rsid w:val="001E458E"/>
    <w:rsid w:val="001E465D"/>
    <w:rsid w:val="001E49C0"/>
    <w:rsid w:val="001E4C5C"/>
    <w:rsid w:val="001E4F2F"/>
    <w:rsid w:val="001E4F36"/>
    <w:rsid w:val="001E5241"/>
    <w:rsid w:val="001E53E5"/>
    <w:rsid w:val="001E5486"/>
    <w:rsid w:val="001E5578"/>
    <w:rsid w:val="001E5596"/>
    <w:rsid w:val="001E565D"/>
    <w:rsid w:val="001E59D8"/>
    <w:rsid w:val="001E59DC"/>
    <w:rsid w:val="001E5E71"/>
    <w:rsid w:val="001E5EE3"/>
    <w:rsid w:val="001E6683"/>
    <w:rsid w:val="001E68E1"/>
    <w:rsid w:val="001E68F4"/>
    <w:rsid w:val="001E6BED"/>
    <w:rsid w:val="001E6CA5"/>
    <w:rsid w:val="001E6E01"/>
    <w:rsid w:val="001E6E39"/>
    <w:rsid w:val="001E6FEE"/>
    <w:rsid w:val="001E71DD"/>
    <w:rsid w:val="001E7222"/>
    <w:rsid w:val="001E73C1"/>
    <w:rsid w:val="001E73FB"/>
    <w:rsid w:val="001E748C"/>
    <w:rsid w:val="001E7620"/>
    <w:rsid w:val="001E76CF"/>
    <w:rsid w:val="001E776B"/>
    <w:rsid w:val="001E778A"/>
    <w:rsid w:val="001E7A59"/>
    <w:rsid w:val="001E7AE8"/>
    <w:rsid w:val="001E7B92"/>
    <w:rsid w:val="001E7C15"/>
    <w:rsid w:val="001E7D25"/>
    <w:rsid w:val="001E7F8B"/>
    <w:rsid w:val="001F02DE"/>
    <w:rsid w:val="001F02EE"/>
    <w:rsid w:val="001F03B2"/>
    <w:rsid w:val="001F03D5"/>
    <w:rsid w:val="001F079B"/>
    <w:rsid w:val="001F0A4C"/>
    <w:rsid w:val="001F0D07"/>
    <w:rsid w:val="001F0E66"/>
    <w:rsid w:val="001F0E86"/>
    <w:rsid w:val="001F12C4"/>
    <w:rsid w:val="001F13D4"/>
    <w:rsid w:val="001F1407"/>
    <w:rsid w:val="001F15BC"/>
    <w:rsid w:val="001F1C17"/>
    <w:rsid w:val="001F232F"/>
    <w:rsid w:val="001F236E"/>
    <w:rsid w:val="001F24A5"/>
    <w:rsid w:val="001F2667"/>
    <w:rsid w:val="001F29EF"/>
    <w:rsid w:val="001F2E07"/>
    <w:rsid w:val="001F2E66"/>
    <w:rsid w:val="001F3045"/>
    <w:rsid w:val="001F3059"/>
    <w:rsid w:val="001F31A3"/>
    <w:rsid w:val="001F3221"/>
    <w:rsid w:val="001F32D9"/>
    <w:rsid w:val="001F33E3"/>
    <w:rsid w:val="001F351E"/>
    <w:rsid w:val="001F3760"/>
    <w:rsid w:val="001F39FF"/>
    <w:rsid w:val="001F3A78"/>
    <w:rsid w:val="001F441E"/>
    <w:rsid w:val="001F4707"/>
    <w:rsid w:val="001F48B1"/>
    <w:rsid w:val="001F4BB6"/>
    <w:rsid w:val="001F4CD2"/>
    <w:rsid w:val="001F4ED0"/>
    <w:rsid w:val="001F507F"/>
    <w:rsid w:val="001F516A"/>
    <w:rsid w:val="001F5199"/>
    <w:rsid w:val="001F5204"/>
    <w:rsid w:val="001F533B"/>
    <w:rsid w:val="001F547F"/>
    <w:rsid w:val="001F54A8"/>
    <w:rsid w:val="001F5AF0"/>
    <w:rsid w:val="001F5B39"/>
    <w:rsid w:val="001F5BEF"/>
    <w:rsid w:val="001F6024"/>
    <w:rsid w:val="001F62B1"/>
    <w:rsid w:val="001F6395"/>
    <w:rsid w:val="001F68EC"/>
    <w:rsid w:val="001F6B1A"/>
    <w:rsid w:val="001F6C3D"/>
    <w:rsid w:val="001F6E48"/>
    <w:rsid w:val="001F6FC4"/>
    <w:rsid w:val="001F707C"/>
    <w:rsid w:val="001F76BD"/>
    <w:rsid w:val="001F7AB5"/>
    <w:rsid w:val="001F7AC1"/>
    <w:rsid w:val="001F7AF8"/>
    <w:rsid w:val="0020030B"/>
    <w:rsid w:val="00200337"/>
    <w:rsid w:val="002003AE"/>
    <w:rsid w:val="00200501"/>
    <w:rsid w:val="00200673"/>
    <w:rsid w:val="002006FA"/>
    <w:rsid w:val="00200B88"/>
    <w:rsid w:val="00200C55"/>
    <w:rsid w:val="00200CBD"/>
    <w:rsid w:val="00201036"/>
    <w:rsid w:val="00201120"/>
    <w:rsid w:val="00201483"/>
    <w:rsid w:val="00201590"/>
    <w:rsid w:val="002015D3"/>
    <w:rsid w:val="00201631"/>
    <w:rsid w:val="00201731"/>
    <w:rsid w:val="002018A2"/>
    <w:rsid w:val="00201962"/>
    <w:rsid w:val="00201A34"/>
    <w:rsid w:val="00201B91"/>
    <w:rsid w:val="00201C8C"/>
    <w:rsid w:val="00201E53"/>
    <w:rsid w:val="00202031"/>
    <w:rsid w:val="002021FA"/>
    <w:rsid w:val="002025EB"/>
    <w:rsid w:val="0020265D"/>
    <w:rsid w:val="00202817"/>
    <w:rsid w:val="002028AB"/>
    <w:rsid w:val="00202947"/>
    <w:rsid w:val="00202B06"/>
    <w:rsid w:val="00202BD3"/>
    <w:rsid w:val="00202C61"/>
    <w:rsid w:val="00202C99"/>
    <w:rsid w:val="00202E4E"/>
    <w:rsid w:val="0020319C"/>
    <w:rsid w:val="00203251"/>
    <w:rsid w:val="00203296"/>
    <w:rsid w:val="00203317"/>
    <w:rsid w:val="00203577"/>
    <w:rsid w:val="0020388F"/>
    <w:rsid w:val="002038B0"/>
    <w:rsid w:val="00203AEA"/>
    <w:rsid w:val="00203B96"/>
    <w:rsid w:val="00203C7E"/>
    <w:rsid w:val="00203CD0"/>
    <w:rsid w:val="00203D5B"/>
    <w:rsid w:val="002040F8"/>
    <w:rsid w:val="00204127"/>
    <w:rsid w:val="002041D8"/>
    <w:rsid w:val="002042C4"/>
    <w:rsid w:val="0020433A"/>
    <w:rsid w:val="00204575"/>
    <w:rsid w:val="00204708"/>
    <w:rsid w:val="002047A4"/>
    <w:rsid w:val="002048FB"/>
    <w:rsid w:val="00204ABE"/>
    <w:rsid w:val="00204BCD"/>
    <w:rsid w:val="00204C11"/>
    <w:rsid w:val="00204D03"/>
    <w:rsid w:val="00204FED"/>
    <w:rsid w:val="00205539"/>
    <w:rsid w:val="0020573B"/>
    <w:rsid w:val="00205744"/>
    <w:rsid w:val="00205765"/>
    <w:rsid w:val="0020580B"/>
    <w:rsid w:val="00205C29"/>
    <w:rsid w:val="00205F06"/>
    <w:rsid w:val="002060BA"/>
    <w:rsid w:val="0020620A"/>
    <w:rsid w:val="0020626F"/>
    <w:rsid w:val="00206583"/>
    <w:rsid w:val="00206AD9"/>
    <w:rsid w:val="00206AFC"/>
    <w:rsid w:val="00206BE7"/>
    <w:rsid w:val="00206C36"/>
    <w:rsid w:val="00206E4B"/>
    <w:rsid w:val="00207056"/>
    <w:rsid w:val="00207170"/>
    <w:rsid w:val="00207219"/>
    <w:rsid w:val="00207258"/>
    <w:rsid w:val="0020737E"/>
    <w:rsid w:val="002076C2"/>
    <w:rsid w:val="002077A7"/>
    <w:rsid w:val="0020784B"/>
    <w:rsid w:val="002079D7"/>
    <w:rsid w:val="00207AF2"/>
    <w:rsid w:val="00207CCA"/>
    <w:rsid w:val="00207EB5"/>
    <w:rsid w:val="002100FA"/>
    <w:rsid w:val="00210173"/>
    <w:rsid w:val="00210343"/>
    <w:rsid w:val="00210461"/>
    <w:rsid w:val="00210610"/>
    <w:rsid w:val="00210614"/>
    <w:rsid w:val="00210A8B"/>
    <w:rsid w:val="00210B80"/>
    <w:rsid w:val="00210C0C"/>
    <w:rsid w:val="00210C39"/>
    <w:rsid w:val="00210D30"/>
    <w:rsid w:val="00210EED"/>
    <w:rsid w:val="0021116B"/>
    <w:rsid w:val="00211519"/>
    <w:rsid w:val="0021178F"/>
    <w:rsid w:val="00211797"/>
    <w:rsid w:val="002118F0"/>
    <w:rsid w:val="002119DF"/>
    <w:rsid w:val="00211A63"/>
    <w:rsid w:val="00211A89"/>
    <w:rsid w:val="00211B1B"/>
    <w:rsid w:val="00211BCD"/>
    <w:rsid w:val="00211C22"/>
    <w:rsid w:val="00211DAF"/>
    <w:rsid w:val="00211F17"/>
    <w:rsid w:val="00212029"/>
    <w:rsid w:val="002121E6"/>
    <w:rsid w:val="00212712"/>
    <w:rsid w:val="0021280B"/>
    <w:rsid w:val="00212857"/>
    <w:rsid w:val="00212C5F"/>
    <w:rsid w:val="00212CD6"/>
    <w:rsid w:val="00212DFF"/>
    <w:rsid w:val="00212F4B"/>
    <w:rsid w:val="00212F5C"/>
    <w:rsid w:val="00213179"/>
    <w:rsid w:val="002133B3"/>
    <w:rsid w:val="00213688"/>
    <w:rsid w:val="00213771"/>
    <w:rsid w:val="0021417C"/>
    <w:rsid w:val="002144B6"/>
    <w:rsid w:val="002144E4"/>
    <w:rsid w:val="0021463C"/>
    <w:rsid w:val="002146EA"/>
    <w:rsid w:val="002148A5"/>
    <w:rsid w:val="00214B19"/>
    <w:rsid w:val="00214B6C"/>
    <w:rsid w:val="00214E38"/>
    <w:rsid w:val="002152DB"/>
    <w:rsid w:val="002155B9"/>
    <w:rsid w:val="002155D2"/>
    <w:rsid w:val="0021566F"/>
    <w:rsid w:val="002156AE"/>
    <w:rsid w:val="0021591D"/>
    <w:rsid w:val="00215CE7"/>
    <w:rsid w:val="00216134"/>
    <w:rsid w:val="0021618B"/>
    <w:rsid w:val="002163B2"/>
    <w:rsid w:val="002164B6"/>
    <w:rsid w:val="002166D7"/>
    <w:rsid w:val="002166F3"/>
    <w:rsid w:val="00216978"/>
    <w:rsid w:val="00216D67"/>
    <w:rsid w:val="00217022"/>
    <w:rsid w:val="00217560"/>
    <w:rsid w:val="0021798D"/>
    <w:rsid w:val="00217AB6"/>
    <w:rsid w:val="00217EBB"/>
    <w:rsid w:val="002201BE"/>
    <w:rsid w:val="002202D5"/>
    <w:rsid w:val="00220B4F"/>
    <w:rsid w:val="00220C6F"/>
    <w:rsid w:val="00220E30"/>
    <w:rsid w:val="00220EF3"/>
    <w:rsid w:val="002212E6"/>
    <w:rsid w:val="00221B30"/>
    <w:rsid w:val="00221BBA"/>
    <w:rsid w:val="00221C13"/>
    <w:rsid w:val="00221CB6"/>
    <w:rsid w:val="00221D97"/>
    <w:rsid w:val="0022220E"/>
    <w:rsid w:val="00222436"/>
    <w:rsid w:val="0022272A"/>
    <w:rsid w:val="00222D31"/>
    <w:rsid w:val="00222D3E"/>
    <w:rsid w:val="00222F8A"/>
    <w:rsid w:val="00222FFC"/>
    <w:rsid w:val="002230BE"/>
    <w:rsid w:val="0022340F"/>
    <w:rsid w:val="00223416"/>
    <w:rsid w:val="0022349B"/>
    <w:rsid w:val="002234D6"/>
    <w:rsid w:val="00223823"/>
    <w:rsid w:val="0022388C"/>
    <w:rsid w:val="0022396E"/>
    <w:rsid w:val="002239CB"/>
    <w:rsid w:val="00223ABE"/>
    <w:rsid w:val="00223E77"/>
    <w:rsid w:val="00223F79"/>
    <w:rsid w:val="00224345"/>
    <w:rsid w:val="00224397"/>
    <w:rsid w:val="00224888"/>
    <w:rsid w:val="00224895"/>
    <w:rsid w:val="00224974"/>
    <w:rsid w:val="002249C4"/>
    <w:rsid w:val="00224FFF"/>
    <w:rsid w:val="002250FC"/>
    <w:rsid w:val="002254D7"/>
    <w:rsid w:val="0022553A"/>
    <w:rsid w:val="002256C8"/>
    <w:rsid w:val="00225A29"/>
    <w:rsid w:val="00225B37"/>
    <w:rsid w:val="00225B62"/>
    <w:rsid w:val="00225CAA"/>
    <w:rsid w:val="00225E96"/>
    <w:rsid w:val="00226022"/>
    <w:rsid w:val="0022608D"/>
    <w:rsid w:val="002260AC"/>
    <w:rsid w:val="0022615C"/>
    <w:rsid w:val="0022637F"/>
    <w:rsid w:val="002263D4"/>
    <w:rsid w:val="00226452"/>
    <w:rsid w:val="00226473"/>
    <w:rsid w:val="0022647E"/>
    <w:rsid w:val="0022649F"/>
    <w:rsid w:val="002264EE"/>
    <w:rsid w:val="0022688D"/>
    <w:rsid w:val="002268EB"/>
    <w:rsid w:val="00226B71"/>
    <w:rsid w:val="00226C86"/>
    <w:rsid w:val="00226C9E"/>
    <w:rsid w:val="00226DFF"/>
    <w:rsid w:val="00226E0A"/>
    <w:rsid w:val="00226E31"/>
    <w:rsid w:val="00226EA9"/>
    <w:rsid w:val="00226ECF"/>
    <w:rsid w:val="002272E2"/>
    <w:rsid w:val="002277DA"/>
    <w:rsid w:val="00227A9B"/>
    <w:rsid w:val="0022D535"/>
    <w:rsid w:val="0023014A"/>
    <w:rsid w:val="002302D6"/>
    <w:rsid w:val="00230474"/>
    <w:rsid w:val="00230563"/>
    <w:rsid w:val="0023089D"/>
    <w:rsid w:val="00230953"/>
    <w:rsid w:val="00230977"/>
    <w:rsid w:val="00230C79"/>
    <w:rsid w:val="00230CE8"/>
    <w:rsid w:val="00230DF9"/>
    <w:rsid w:val="00230E3D"/>
    <w:rsid w:val="00231113"/>
    <w:rsid w:val="002313DC"/>
    <w:rsid w:val="00231515"/>
    <w:rsid w:val="00231A4E"/>
    <w:rsid w:val="00231BFC"/>
    <w:rsid w:val="00231CC1"/>
    <w:rsid w:val="00231DEB"/>
    <w:rsid w:val="00231E24"/>
    <w:rsid w:val="00231FBE"/>
    <w:rsid w:val="0023202A"/>
    <w:rsid w:val="0023206D"/>
    <w:rsid w:val="0023212E"/>
    <w:rsid w:val="00232177"/>
    <w:rsid w:val="00232245"/>
    <w:rsid w:val="0023265C"/>
    <w:rsid w:val="00232670"/>
    <w:rsid w:val="00232A2F"/>
    <w:rsid w:val="00232D03"/>
    <w:rsid w:val="00232F5F"/>
    <w:rsid w:val="00232FA8"/>
    <w:rsid w:val="002330CB"/>
    <w:rsid w:val="00233111"/>
    <w:rsid w:val="002332A7"/>
    <w:rsid w:val="002333D1"/>
    <w:rsid w:val="00233413"/>
    <w:rsid w:val="0023348B"/>
    <w:rsid w:val="0023364A"/>
    <w:rsid w:val="002336FA"/>
    <w:rsid w:val="002339A9"/>
    <w:rsid w:val="002339CB"/>
    <w:rsid w:val="00233A21"/>
    <w:rsid w:val="00233B17"/>
    <w:rsid w:val="00233B5D"/>
    <w:rsid w:val="00233C46"/>
    <w:rsid w:val="0023436C"/>
    <w:rsid w:val="00234418"/>
    <w:rsid w:val="002344E3"/>
    <w:rsid w:val="002347DF"/>
    <w:rsid w:val="002348ED"/>
    <w:rsid w:val="00234B4C"/>
    <w:rsid w:val="00234CC1"/>
    <w:rsid w:val="00234EBB"/>
    <w:rsid w:val="00235116"/>
    <w:rsid w:val="0023532E"/>
    <w:rsid w:val="002354A2"/>
    <w:rsid w:val="0023555E"/>
    <w:rsid w:val="0023568D"/>
    <w:rsid w:val="00235775"/>
    <w:rsid w:val="00235976"/>
    <w:rsid w:val="00235DA4"/>
    <w:rsid w:val="00235E0D"/>
    <w:rsid w:val="002360E5"/>
    <w:rsid w:val="002361A4"/>
    <w:rsid w:val="002364E7"/>
    <w:rsid w:val="0023672D"/>
    <w:rsid w:val="00236765"/>
    <w:rsid w:val="0023687C"/>
    <w:rsid w:val="0023693C"/>
    <w:rsid w:val="0023695F"/>
    <w:rsid w:val="002369B3"/>
    <w:rsid w:val="00236A96"/>
    <w:rsid w:val="00236C98"/>
    <w:rsid w:val="00236D4B"/>
    <w:rsid w:val="00236F23"/>
    <w:rsid w:val="00236F4A"/>
    <w:rsid w:val="0023706C"/>
    <w:rsid w:val="00237220"/>
    <w:rsid w:val="00237901"/>
    <w:rsid w:val="00237985"/>
    <w:rsid w:val="00237AD8"/>
    <w:rsid w:val="00237B30"/>
    <w:rsid w:val="00237B33"/>
    <w:rsid w:val="00237B94"/>
    <w:rsid w:val="00240141"/>
    <w:rsid w:val="00240153"/>
    <w:rsid w:val="00240174"/>
    <w:rsid w:val="002401A4"/>
    <w:rsid w:val="002409E1"/>
    <w:rsid w:val="00240B66"/>
    <w:rsid w:val="00240BEE"/>
    <w:rsid w:val="00240EDF"/>
    <w:rsid w:val="002413C7"/>
    <w:rsid w:val="00241539"/>
    <w:rsid w:val="002415E6"/>
    <w:rsid w:val="00241750"/>
    <w:rsid w:val="00241AEB"/>
    <w:rsid w:val="00241CAC"/>
    <w:rsid w:val="00241CAD"/>
    <w:rsid w:val="00241D17"/>
    <w:rsid w:val="00241D68"/>
    <w:rsid w:val="00241DC7"/>
    <w:rsid w:val="00241F94"/>
    <w:rsid w:val="00241FB4"/>
    <w:rsid w:val="002422F3"/>
    <w:rsid w:val="002423A0"/>
    <w:rsid w:val="0024252D"/>
    <w:rsid w:val="00242548"/>
    <w:rsid w:val="0024280C"/>
    <w:rsid w:val="002428A0"/>
    <w:rsid w:val="00242A0F"/>
    <w:rsid w:val="00242BC6"/>
    <w:rsid w:val="00242C78"/>
    <w:rsid w:val="00242DD1"/>
    <w:rsid w:val="00242DE6"/>
    <w:rsid w:val="00242EFD"/>
    <w:rsid w:val="00243094"/>
    <w:rsid w:val="002430EC"/>
    <w:rsid w:val="00243133"/>
    <w:rsid w:val="002431A3"/>
    <w:rsid w:val="002432F7"/>
    <w:rsid w:val="0024337E"/>
    <w:rsid w:val="002434C0"/>
    <w:rsid w:val="002435B8"/>
    <w:rsid w:val="00243755"/>
    <w:rsid w:val="00243847"/>
    <w:rsid w:val="002438B3"/>
    <w:rsid w:val="00243BA3"/>
    <w:rsid w:val="00243CA1"/>
    <w:rsid w:val="00243D98"/>
    <w:rsid w:val="00243E65"/>
    <w:rsid w:val="00243F95"/>
    <w:rsid w:val="002441FE"/>
    <w:rsid w:val="002442D3"/>
    <w:rsid w:val="002445FC"/>
    <w:rsid w:val="002447C3"/>
    <w:rsid w:val="002447F0"/>
    <w:rsid w:val="00244A51"/>
    <w:rsid w:val="00244A7F"/>
    <w:rsid w:val="00244F1C"/>
    <w:rsid w:val="00245359"/>
    <w:rsid w:val="002453B2"/>
    <w:rsid w:val="002453BE"/>
    <w:rsid w:val="00245665"/>
    <w:rsid w:val="0024570B"/>
    <w:rsid w:val="002458A7"/>
    <w:rsid w:val="0024599A"/>
    <w:rsid w:val="00245AD4"/>
    <w:rsid w:val="00245AF7"/>
    <w:rsid w:val="00245EA4"/>
    <w:rsid w:val="00245F0D"/>
    <w:rsid w:val="0024600C"/>
    <w:rsid w:val="00246161"/>
    <w:rsid w:val="00246271"/>
    <w:rsid w:val="002463E2"/>
    <w:rsid w:val="00246482"/>
    <w:rsid w:val="002464A5"/>
    <w:rsid w:val="00246A24"/>
    <w:rsid w:val="00246A7F"/>
    <w:rsid w:val="00246C27"/>
    <w:rsid w:val="0024717B"/>
    <w:rsid w:val="0024741F"/>
    <w:rsid w:val="0024752B"/>
    <w:rsid w:val="00247601"/>
    <w:rsid w:val="002478D5"/>
    <w:rsid w:val="00247911"/>
    <w:rsid w:val="00247A62"/>
    <w:rsid w:val="00247E51"/>
    <w:rsid w:val="00247E94"/>
    <w:rsid w:val="00247FDF"/>
    <w:rsid w:val="0025047A"/>
    <w:rsid w:val="00250663"/>
    <w:rsid w:val="002506CA"/>
    <w:rsid w:val="002507EF"/>
    <w:rsid w:val="00250D40"/>
    <w:rsid w:val="00250DA7"/>
    <w:rsid w:val="00250EB7"/>
    <w:rsid w:val="002510A5"/>
    <w:rsid w:val="00251251"/>
    <w:rsid w:val="00251335"/>
    <w:rsid w:val="0025148E"/>
    <w:rsid w:val="00251721"/>
    <w:rsid w:val="00251813"/>
    <w:rsid w:val="002518B3"/>
    <w:rsid w:val="0025197F"/>
    <w:rsid w:val="00251A1A"/>
    <w:rsid w:val="00251CFB"/>
    <w:rsid w:val="00252027"/>
    <w:rsid w:val="00252469"/>
    <w:rsid w:val="00252520"/>
    <w:rsid w:val="0025253D"/>
    <w:rsid w:val="0025286D"/>
    <w:rsid w:val="0025293B"/>
    <w:rsid w:val="00252A20"/>
    <w:rsid w:val="00252CC7"/>
    <w:rsid w:val="00252CF7"/>
    <w:rsid w:val="00253350"/>
    <w:rsid w:val="0025357B"/>
    <w:rsid w:val="00253681"/>
    <w:rsid w:val="0025398D"/>
    <w:rsid w:val="00253B91"/>
    <w:rsid w:val="00253B94"/>
    <w:rsid w:val="00253BE2"/>
    <w:rsid w:val="00253DA7"/>
    <w:rsid w:val="00253FC3"/>
    <w:rsid w:val="00254140"/>
    <w:rsid w:val="00254360"/>
    <w:rsid w:val="002544B2"/>
    <w:rsid w:val="00254505"/>
    <w:rsid w:val="0025461C"/>
    <w:rsid w:val="002547AD"/>
    <w:rsid w:val="0025487A"/>
    <w:rsid w:val="002548A1"/>
    <w:rsid w:val="002548F6"/>
    <w:rsid w:val="002549DF"/>
    <w:rsid w:val="00254F72"/>
    <w:rsid w:val="002550BA"/>
    <w:rsid w:val="002551D8"/>
    <w:rsid w:val="002551E6"/>
    <w:rsid w:val="00255247"/>
    <w:rsid w:val="002552B7"/>
    <w:rsid w:val="00255374"/>
    <w:rsid w:val="0025539B"/>
    <w:rsid w:val="00255438"/>
    <w:rsid w:val="00255811"/>
    <w:rsid w:val="002559D0"/>
    <w:rsid w:val="00255B02"/>
    <w:rsid w:val="00255D47"/>
    <w:rsid w:val="00255DAD"/>
    <w:rsid w:val="00255E05"/>
    <w:rsid w:val="00255E9B"/>
    <w:rsid w:val="00255F83"/>
    <w:rsid w:val="002562FC"/>
    <w:rsid w:val="00256485"/>
    <w:rsid w:val="00256592"/>
    <w:rsid w:val="00256710"/>
    <w:rsid w:val="00256833"/>
    <w:rsid w:val="0025696A"/>
    <w:rsid w:val="00256A62"/>
    <w:rsid w:val="00256AB2"/>
    <w:rsid w:val="00256BCF"/>
    <w:rsid w:val="00256F7C"/>
    <w:rsid w:val="002572F6"/>
    <w:rsid w:val="0025747A"/>
    <w:rsid w:val="002576F1"/>
    <w:rsid w:val="00257790"/>
    <w:rsid w:val="002578B9"/>
    <w:rsid w:val="002579CC"/>
    <w:rsid w:val="00257CB0"/>
    <w:rsid w:val="002600D9"/>
    <w:rsid w:val="002601C6"/>
    <w:rsid w:val="00260258"/>
    <w:rsid w:val="002602E5"/>
    <w:rsid w:val="00260455"/>
    <w:rsid w:val="00260861"/>
    <w:rsid w:val="00260A21"/>
    <w:rsid w:val="00260ACF"/>
    <w:rsid w:val="00260B89"/>
    <w:rsid w:val="00260D21"/>
    <w:rsid w:val="00260E62"/>
    <w:rsid w:val="00260EFF"/>
    <w:rsid w:val="00260FCC"/>
    <w:rsid w:val="002611F4"/>
    <w:rsid w:val="002617CA"/>
    <w:rsid w:val="0026194E"/>
    <w:rsid w:val="00261C83"/>
    <w:rsid w:val="00261CA6"/>
    <w:rsid w:val="00261CE4"/>
    <w:rsid w:val="00261FA6"/>
    <w:rsid w:val="00262665"/>
    <w:rsid w:val="00262683"/>
    <w:rsid w:val="00262775"/>
    <w:rsid w:val="00262792"/>
    <w:rsid w:val="002627E7"/>
    <w:rsid w:val="002629B0"/>
    <w:rsid w:val="00262A6A"/>
    <w:rsid w:val="00262BF8"/>
    <w:rsid w:val="00262C0D"/>
    <w:rsid w:val="002632C3"/>
    <w:rsid w:val="00263421"/>
    <w:rsid w:val="00263576"/>
    <w:rsid w:val="00263688"/>
    <w:rsid w:val="002637ED"/>
    <w:rsid w:val="00263A23"/>
    <w:rsid w:val="00263B07"/>
    <w:rsid w:val="00263BC6"/>
    <w:rsid w:val="00263C36"/>
    <w:rsid w:val="00263C62"/>
    <w:rsid w:val="00263CD5"/>
    <w:rsid w:val="00263D44"/>
    <w:rsid w:val="00263E6F"/>
    <w:rsid w:val="00263EA5"/>
    <w:rsid w:val="002643C7"/>
    <w:rsid w:val="00265028"/>
    <w:rsid w:val="002655B2"/>
    <w:rsid w:val="002656AE"/>
    <w:rsid w:val="00265A60"/>
    <w:rsid w:val="00265B23"/>
    <w:rsid w:val="00265B94"/>
    <w:rsid w:val="00265BA8"/>
    <w:rsid w:val="00265C4D"/>
    <w:rsid w:val="00265DE3"/>
    <w:rsid w:val="00265E4D"/>
    <w:rsid w:val="0026600B"/>
    <w:rsid w:val="00266428"/>
    <w:rsid w:val="0026648D"/>
    <w:rsid w:val="002669BC"/>
    <w:rsid w:val="00266BAF"/>
    <w:rsid w:val="00266D65"/>
    <w:rsid w:val="00266F68"/>
    <w:rsid w:val="00266F71"/>
    <w:rsid w:val="00266F74"/>
    <w:rsid w:val="00267453"/>
    <w:rsid w:val="0026748C"/>
    <w:rsid w:val="0026751B"/>
    <w:rsid w:val="00267DF5"/>
    <w:rsid w:val="00267EAF"/>
    <w:rsid w:val="00268E49"/>
    <w:rsid w:val="0027021F"/>
    <w:rsid w:val="00270559"/>
    <w:rsid w:val="00270568"/>
    <w:rsid w:val="002706F1"/>
    <w:rsid w:val="0027084E"/>
    <w:rsid w:val="00270A77"/>
    <w:rsid w:val="00270CFB"/>
    <w:rsid w:val="00270DD7"/>
    <w:rsid w:val="002710A5"/>
    <w:rsid w:val="00271342"/>
    <w:rsid w:val="0027189E"/>
    <w:rsid w:val="002718EB"/>
    <w:rsid w:val="00271B61"/>
    <w:rsid w:val="00271C65"/>
    <w:rsid w:val="00271F40"/>
    <w:rsid w:val="00271FB1"/>
    <w:rsid w:val="00272183"/>
    <w:rsid w:val="0027221E"/>
    <w:rsid w:val="00272508"/>
    <w:rsid w:val="0027253F"/>
    <w:rsid w:val="0027269F"/>
    <w:rsid w:val="002727D0"/>
    <w:rsid w:val="00272B3C"/>
    <w:rsid w:val="00272DE5"/>
    <w:rsid w:val="00272E8F"/>
    <w:rsid w:val="00273230"/>
    <w:rsid w:val="002733C3"/>
    <w:rsid w:val="00273806"/>
    <w:rsid w:val="00273A57"/>
    <w:rsid w:val="00273A82"/>
    <w:rsid w:val="00273AD6"/>
    <w:rsid w:val="00273B6B"/>
    <w:rsid w:val="00273BE4"/>
    <w:rsid w:val="00273C4C"/>
    <w:rsid w:val="00273E21"/>
    <w:rsid w:val="00273E5F"/>
    <w:rsid w:val="00273EEC"/>
    <w:rsid w:val="00274038"/>
    <w:rsid w:val="002741A8"/>
    <w:rsid w:val="002743AB"/>
    <w:rsid w:val="00274427"/>
    <w:rsid w:val="00274636"/>
    <w:rsid w:val="00274BEF"/>
    <w:rsid w:val="00274F16"/>
    <w:rsid w:val="00274F7C"/>
    <w:rsid w:val="0027524A"/>
    <w:rsid w:val="0027525D"/>
    <w:rsid w:val="0027544F"/>
    <w:rsid w:val="002756F7"/>
    <w:rsid w:val="002757EC"/>
    <w:rsid w:val="00275822"/>
    <w:rsid w:val="00275F4D"/>
    <w:rsid w:val="0027610E"/>
    <w:rsid w:val="002761DA"/>
    <w:rsid w:val="002763F4"/>
    <w:rsid w:val="00276443"/>
    <w:rsid w:val="0027683A"/>
    <w:rsid w:val="002768F6"/>
    <w:rsid w:val="00276CB3"/>
    <w:rsid w:val="00276D2E"/>
    <w:rsid w:val="00276E2E"/>
    <w:rsid w:val="00277231"/>
    <w:rsid w:val="00277243"/>
    <w:rsid w:val="00277618"/>
    <w:rsid w:val="0027761B"/>
    <w:rsid w:val="00277762"/>
    <w:rsid w:val="00277798"/>
    <w:rsid w:val="00277893"/>
    <w:rsid w:val="002778A8"/>
    <w:rsid w:val="00277964"/>
    <w:rsid w:val="00277B51"/>
    <w:rsid w:val="002800FE"/>
    <w:rsid w:val="0028033D"/>
    <w:rsid w:val="002803C4"/>
    <w:rsid w:val="002805CB"/>
    <w:rsid w:val="00280CDC"/>
    <w:rsid w:val="00280E95"/>
    <w:rsid w:val="00280EE3"/>
    <w:rsid w:val="00281176"/>
    <w:rsid w:val="002815C4"/>
    <w:rsid w:val="00281624"/>
    <w:rsid w:val="00281D22"/>
    <w:rsid w:val="002820DA"/>
    <w:rsid w:val="002821D5"/>
    <w:rsid w:val="00282456"/>
    <w:rsid w:val="002828F3"/>
    <w:rsid w:val="00282986"/>
    <w:rsid w:val="00282D4A"/>
    <w:rsid w:val="00282E0C"/>
    <w:rsid w:val="0028341D"/>
    <w:rsid w:val="00283DB9"/>
    <w:rsid w:val="00283FCE"/>
    <w:rsid w:val="00284126"/>
    <w:rsid w:val="00284C04"/>
    <w:rsid w:val="00285163"/>
    <w:rsid w:val="00285396"/>
    <w:rsid w:val="002854AF"/>
    <w:rsid w:val="00285638"/>
    <w:rsid w:val="002856EE"/>
    <w:rsid w:val="00285813"/>
    <w:rsid w:val="00285838"/>
    <w:rsid w:val="00285B81"/>
    <w:rsid w:val="00285FC0"/>
    <w:rsid w:val="0028619F"/>
    <w:rsid w:val="00286323"/>
    <w:rsid w:val="002863CD"/>
    <w:rsid w:val="002864D7"/>
    <w:rsid w:val="00286909"/>
    <w:rsid w:val="00286AC9"/>
    <w:rsid w:val="00286BAA"/>
    <w:rsid w:val="00286C14"/>
    <w:rsid w:val="00286DC3"/>
    <w:rsid w:val="00286DE8"/>
    <w:rsid w:val="00286E5C"/>
    <w:rsid w:val="00286E5F"/>
    <w:rsid w:val="00287138"/>
    <w:rsid w:val="00287311"/>
    <w:rsid w:val="00287363"/>
    <w:rsid w:val="00287486"/>
    <w:rsid w:val="0028754A"/>
    <w:rsid w:val="0028766A"/>
    <w:rsid w:val="002876A5"/>
    <w:rsid w:val="002876B7"/>
    <w:rsid w:val="0028773F"/>
    <w:rsid w:val="002877BD"/>
    <w:rsid w:val="00287841"/>
    <w:rsid w:val="00287944"/>
    <w:rsid w:val="00287979"/>
    <w:rsid w:val="00287A64"/>
    <w:rsid w:val="00287CFF"/>
    <w:rsid w:val="00287E85"/>
    <w:rsid w:val="00287EFD"/>
    <w:rsid w:val="00290014"/>
    <w:rsid w:val="0029009B"/>
    <w:rsid w:val="00290196"/>
    <w:rsid w:val="00290250"/>
    <w:rsid w:val="00290346"/>
    <w:rsid w:val="00290360"/>
    <w:rsid w:val="002904EB"/>
    <w:rsid w:val="002907E4"/>
    <w:rsid w:val="002908A0"/>
    <w:rsid w:val="002908B1"/>
    <w:rsid w:val="00290A2C"/>
    <w:rsid w:val="00290B22"/>
    <w:rsid w:val="00290E61"/>
    <w:rsid w:val="00291021"/>
    <w:rsid w:val="0029120D"/>
    <w:rsid w:val="0029157B"/>
    <w:rsid w:val="00291958"/>
    <w:rsid w:val="00291AC5"/>
    <w:rsid w:val="00291BFE"/>
    <w:rsid w:val="00291F23"/>
    <w:rsid w:val="0029200E"/>
    <w:rsid w:val="0029222B"/>
    <w:rsid w:val="002923BC"/>
    <w:rsid w:val="00292E85"/>
    <w:rsid w:val="002932B4"/>
    <w:rsid w:val="00293369"/>
    <w:rsid w:val="00293388"/>
    <w:rsid w:val="002933A9"/>
    <w:rsid w:val="002935E6"/>
    <w:rsid w:val="0029387F"/>
    <w:rsid w:val="002938B9"/>
    <w:rsid w:val="002939FF"/>
    <w:rsid w:val="00293D9D"/>
    <w:rsid w:val="00294087"/>
    <w:rsid w:val="002942BE"/>
    <w:rsid w:val="00294350"/>
    <w:rsid w:val="00294364"/>
    <w:rsid w:val="0029455E"/>
    <w:rsid w:val="00294650"/>
    <w:rsid w:val="002947C0"/>
    <w:rsid w:val="002948DD"/>
    <w:rsid w:val="0029498E"/>
    <w:rsid w:val="002949FE"/>
    <w:rsid w:val="00294A2A"/>
    <w:rsid w:val="00294C7E"/>
    <w:rsid w:val="00294CFE"/>
    <w:rsid w:val="00294D0B"/>
    <w:rsid w:val="00294F55"/>
    <w:rsid w:val="002954A9"/>
    <w:rsid w:val="00295714"/>
    <w:rsid w:val="00295764"/>
    <w:rsid w:val="00295B60"/>
    <w:rsid w:val="00295C5A"/>
    <w:rsid w:val="00295D21"/>
    <w:rsid w:val="00295D56"/>
    <w:rsid w:val="00296089"/>
    <w:rsid w:val="00296304"/>
    <w:rsid w:val="002965B7"/>
    <w:rsid w:val="00296B07"/>
    <w:rsid w:val="00296C5D"/>
    <w:rsid w:val="00296D99"/>
    <w:rsid w:val="00296E36"/>
    <w:rsid w:val="0029723D"/>
    <w:rsid w:val="0029757D"/>
    <w:rsid w:val="00297682"/>
    <w:rsid w:val="00297865"/>
    <w:rsid w:val="002978E3"/>
    <w:rsid w:val="00297E44"/>
    <w:rsid w:val="002A01D2"/>
    <w:rsid w:val="002A024C"/>
    <w:rsid w:val="002A0297"/>
    <w:rsid w:val="002A02C7"/>
    <w:rsid w:val="002A08A4"/>
    <w:rsid w:val="002A091B"/>
    <w:rsid w:val="002A0AD2"/>
    <w:rsid w:val="002A0B00"/>
    <w:rsid w:val="002A0C44"/>
    <w:rsid w:val="002A1214"/>
    <w:rsid w:val="002A136B"/>
    <w:rsid w:val="002A19D6"/>
    <w:rsid w:val="002A1A63"/>
    <w:rsid w:val="002A1C2E"/>
    <w:rsid w:val="002A1EC3"/>
    <w:rsid w:val="002A1EF8"/>
    <w:rsid w:val="002A1F47"/>
    <w:rsid w:val="002A23E5"/>
    <w:rsid w:val="002A25BD"/>
    <w:rsid w:val="002A2766"/>
    <w:rsid w:val="002A27B4"/>
    <w:rsid w:val="002A27FF"/>
    <w:rsid w:val="002A28B1"/>
    <w:rsid w:val="002A2965"/>
    <w:rsid w:val="002A29C6"/>
    <w:rsid w:val="002A2ACB"/>
    <w:rsid w:val="002A2B60"/>
    <w:rsid w:val="002A2B93"/>
    <w:rsid w:val="002A2D12"/>
    <w:rsid w:val="002A2E63"/>
    <w:rsid w:val="002A3111"/>
    <w:rsid w:val="002A31BA"/>
    <w:rsid w:val="002A3295"/>
    <w:rsid w:val="002A3324"/>
    <w:rsid w:val="002A3337"/>
    <w:rsid w:val="002A36F3"/>
    <w:rsid w:val="002A390D"/>
    <w:rsid w:val="002A3D40"/>
    <w:rsid w:val="002A3DCA"/>
    <w:rsid w:val="002A3F11"/>
    <w:rsid w:val="002A40FF"/>
    <w:rsid w:val="002A44A7"/>
    <w:rsid w:val="002A4510"/>
    <w:rsid w:val="002A45F1"/>
    <w:rsid w:val="002A465D"/>
    <w:rsid w:val="002A4A40"/>
    <w:rsid w:val="002A4AE7"/>
    <w:rsid w:val="002A4BE4"/>
    <w:rsid w:val="002A4CAA"/>
    <w:rsid w:val="002A4CB1"/>
    <w:rsid w:val="002A4E1D"/>
    <w:rsid w:val="002A5188"/>
    <w:rsid w:val="002A51D6"/>
    <w:rsid w:val="002A5367"/>
    <w:rsid w:val="002A54B1"/>
    <w:rsid w:val="002A5651"/>
    <w:rsid w:val="002A5823"/>
    <w:rsid w:val="002A5833"/>
    <w:rsid w:val="002A5A1B"/>
    <w:rsid w:val="002A5CAF"/>
    <w:rsid w:val="002A5DEC"/>
    <w:rsid w:val="002A5EB1"/>
    <w:rsid w:val="002A5EB8"/>
    <w:rsid w:val="002A5FA1"/>
    <w:rsid w:val="002A5FA6"/>
    <w:rsid w:val="002A603E"/>
    <w:rsid w:val="002A674F"/>
    <w:rsid w:val="002A680A"/>
    <w:rsid w:val="002A6928"/>
    <w:rsid w:val="002A6959"/>
    <w:rsid w:val="002A6979"/>
    <w:rsid w:val="002A6CC0"/>
    <w:rsid w:val="002A6E0C"/>
    <w:rsid w:val="002A6E0D"/>
    <w:rsid w:val="002A6E0E"/>
    <w:rsid w:val="002A6F21"/>
    <w:rsid w:val="002A7353"/>
    <w:rsid w:val="002A761C"/>
    <w:rsid w:val="002A76C1"/>
    <w:rsid w:val="002A7729"/>
    <w:rsid w:val="002A7798"/>
    <w:rsid w:val="002A77CF"/>
    <w:rsid w:val="002A7D5B"/>
    <w:rsid w:val="002A7E15"/>
    <w:rsid w:val="002B01C3"/>
    <w:rsid w:val="002B051B"/>
    <w:rsid w:val="002B056C"/>
    <w:rsid w:val="002B059F"/>
    <w:rsid w:val="002B06B2"/>
    <w:rsid w:val="002B07D8"/>
    <w:rsid w:val="002B08CE"/>
    <w:rsid w:val="002B0B87"/>
    <w:rsid w:val="002B0C5B"/>
    <w:rsid w:val="002B0E85"/>
    <w:rsid w:val="002B0EB0"/>
    <w:rsid w:val="002B0ED3"/>
    <w:rsid w:val="002B11EE"/>
    <w:rsid w:val="002B12E3"/>
    <w:rsid w:val="002B14C6"/>
    <w:rsid w:val="002B157D"/>
    <w:rsid w:val="002B15CB"/>
    <w:rsid w:val="002B1A5A"/>
    <w:rsid w:val="002B1AAB"/>
    <w:rsid w:val="002B1B1A"/>
    <w:rsid w:val="002B1BE4"/>
    <w:rsid w:val="002B1C8D"/>
    <w:rsid w:val="002B1DFF"/>
    <w:rsid w:val="002B1EAB"/>
    <w:rsid w:val="002B1FD0"/>
    <w:rsid w:val="002B20D9"/>
    <w:rsid w:val="002B2298"/>
    <w:rsid w:val="002B23A6"/>
    <w:rsid w:val="002B24C6"/>
    <w:rsid w:val="002B254B"/>
    <w:rsid w:val="002B25B1"/>
    <w:rsid w:val="002B27DB"/>
    <w:rsid w:val="002B2830"/>
    <w:rsid w:val="002B2A99"/>
    <w:rsid w:val="002B2B2E"/>
    <w:rsid w:val="002B336B"/>
    <w:rsid w:val="002B351B"/>
    <w:rsid w:val="002B3823"/>
    <w:rsid w:val="002B388E"/>
    <w:rsid w:val="002B3A90"/>
    <w:rsid w:val="002B3E86"/>
    <w:rsid w:val="002B4007"/>
    <w:rsid w:val="002B41BE"/>
    <w:rsid w:val="002B42AA"/>
    <w:rsid w:val="002B4344"/>
    <w:rsid w:val="002B445E"/>
    <w:rsid w:val="002B45D3"/>
    <w:rsid w:val="002B45D4"/>
    <w:rsid w:val="002B4763"/>
    <w:rsid w:val="002B480A"/>
    <w:rsid w:val="002B4954"/>
    <w:rsid w:val="002B4CEF"/>
    <w:rsid w:val="002B4F12"/>
    <w:rsid w:val="002B5012"/>
    <w:rsid w:val="002B53D2"/>
    <w:rsid w:val="002B55EE"/>
    <w:rsid w:val="002B5671"/>
    <w:rsid w:val="002B5A9C"/>
    <w:rsid w:val="002B5CC7"/>
    <w:rsid w:val="002B5EB1"/>
    <w:rsid w:val="002B603F"/>
    <w:rsid w:val="002B62F9"/>
    <w:rsid w:val="002B634C"/>
    <w:rsid w:val="002B655B"/>
    <w:rsid w:val="002B68AB"/>
    <w:rsid w:val="002B6916"/>
    <w:rsid w:val="002B694A"/>
    <w:rsid w:val="002B6A0C"/>
    <w:rsid w:val="002B6C0C"/>
    <w:rsid w:val="002B6CBA"/>
    <w:rsid w:val="002B6D2D"/>
    <w:rsid w:val="002B6D64"/>
    <w:rsid w:val="002B7287"/>
    <w:rsid w:val="002B73FE"/>
    <w:rsid w:val="002B7461"/>
    <w:rsid w:val="002B7665"/>
    <w:rsid w:val="002B7955"/>
    <w:rsid w:val="002B7972"/>
    <w:rsid w:val="002B7C9E"/>
    <w:rsid w:val="002B7E68"/>
    <w:rsid w:val="002C0345"/>
    <w:rsid w:val="002C041F"/>
    <w:rsid w:val="002C04EB"/>
    <w:rsid w:val="002C0612"/>
    <w:rsid w:val="002C06B6"/>
    <w:rsid w:val="002C0724"/>
    <w:rsid w:val="002C07E9"/>
    <w:rsid w:val="002C0DDE"/>
    <w:rsid w:val="002C0E11"/>
    <w:rsid w:val="002C0E6D"/>
    <w:rsid w:val="002C10AE"/>
    <w:rsid w:val="002C1135"/>
    <w:rsid w:val="002C12A3"/>
    <w:rsid w:val="002C14AF"/>
    <w:rsid w:val="002C14B3"/>
    <w:rsid w:val="002C16F3"/>
    <w:rsid w:val="002C1792"/>
    <w:rsid w:val="002C18A1"/>
    <w:rsid w:val="002C18F2"/>
    <w:rsid w:val="002C1913"/>
    <w:rsid w:val="002C19EB"/>
    <w:rsid w:val="002C1A40"/>
    <w:rsid w:val="002C1A79"/>
    <w:rsid w:val="002C1BD9"/>
    <w:rsid w:val="002C1C19"/>
    <w:rsid w:val="002C1D1B"/>
    <w:rsid w:val="002C23FF"/>
    <w:rsid w:val="002C2459"/>
    <w:rsid w:val="002C2593"/>
    <w:rsid w:val="002C2645"/>
    <w:rsid w:val="002C2715"/>
    <w:rsid w:val="002C2989"/>
    <w:rsid w:val="002C2BBB"/>
    <w:rsid w:val="002C2CC9"/>
    <w:rsid w:val="002C2E00"/>
    <w:rsid w:val="002C2E1A"/>
    <w:rsid w:val="002C2EA8"/>
    <w:rsid w:val="002C2F17"/>
    <w:rsid w:val="002C2F20"/>
    <w:rsid w:val="002C30CA"/>
    <w:rsid w:val="002C315D"/>
    <w:rsid w:val="002C32ED"/>
    <w:rsid w:val="002C364F"/>
    <w:rsid w:val="002C36B6"/>
    <w:rsid w:val="002C378D"/>
    <w:rsid w:val="002C3C67"/>
    <w:rsid w:val="002C3CA0"/>
    <w:rsid w:val="002C3FAA"/>
    <w:rsid w:val="002C4047"/>
    <w:rsid w:val="002C40B3"/>
    <w:rsid w:val="002C40C9"/>
    <w:rsid w:val="002C4365"/>
    <w:rsid w:val="002C448E"/>
    <w:rsid w:val="002C47BD"/>
    <w:rsid w:val="002C49E6"/>
    <w:rsid w:val="002C4C46"/>
    <w:rsid w:val="002C4E6B"/>
    <w:rsid w:val="002C51F0"/>
    <w:rsid w:val="002C539F"/>
    <w:rsid w:val="002C554A"/>
    <w:rsid w:val="002C59C4"/>
    <w:rsid w:val="002C59FA"/>
    <w:rsid w:val="002C5CCE"/>
    <w:rsid w:val="002C5F13"/>
    <w:rsid w:val="002C5F54"/>
    <w:rsid w:val="002C626C"/>
    <w:rsid w:val="002C6526"/>
    <w:rsid w:val="002C6856"/>
    <w:rsid w:val="002C687E"/>
    <w:rsid w:val="002C69C9"/>
    <w:rsid w:val="002C6A64"/>
    <w:rsid w:val="002C6A8C"/>
    <w:rsid w:val="002C6ADF"/>
    <w:rsid w:val="002C6BEF"/>
    <w:rsid w:val="002C6C59"/>
    <w:rsid w:val="002C6DFE"/>
    <w:rsid w:val="002C6E1C"/>
    <w:rsid w:val="002C6FCE"/>
    <w:rsid w:val="002C702C"/>
    <w:rsid w:val="002C7042"/>
    <w:rsid w:val="002C7048"/>
    <w:rsid w:val="002C7395"/>
    <w:rsid w:val="002C7570"/>
    <w:rsid w:val="002C7618"/>
    <w:rsid w:val="002C780B"/>
    <w:rsid w:val="002C78F7"/>
    <w:rsid w:val="002C7CA2"/>
    <w:rsid w:val="002C7DA8"/>
    <w:rsid w:val="002C7F60"/>
    <w:rsid w:val="002C7F79"/>
    <w:rsid w:val="002C7FBB"/>
    <w:rsid w:val="002D0061"/>
    <w:rsid w:val="002D0201"/>
    <w:rsid w:val="002D037D"/>
    <w:rsid w:val="002D054C"/>
    <w:rsid w:val="002D08D8"/>
    <w:rsid w:val="002D0950"/>
    <w:rsid w:val="002D0CF3"/>
    <w:rsid w:val="002D0E01"/>
    <w:rsid w:val="002D17F5"/>
    <w:rsid w:val="002D1A07"/>
    <w:rsid w:val="002D1C79"/>
    <w:rsid w:val="002D1CB9"/>
    <w:rsid w:val="002D2014"/>
    <w:rsid w:val="002D216F"/>
    <w:rsid w:val="002D21CF"/>
    <w:rsid w:val="002D22EB"/>
    <w:rsid w:val="002D23BE"/>
    <w:rsid w:val="002D2534"/>
    <w:rsid w:val="002D2563"/>
    <w:rsid w:val="002D2728"/>
    <w:rsid w:val="002D27C8"/>
    <w:rsid w:val="002D2AC4"/>
    <w:rsid w:val="002D2B16"/>
    <w:rsid w:val="002D2F79"/>
    <w:rsid w:val="002D3078"/>
    <w:rsid w:val="002D30A8"/>
    <w:rsid w:val="002D3B2D"/>
    <w:rsid w:val="002D3DAD"/>
    <w:rsid w:val="002D3E61"/>
    <w:rsid w:val="002D3FC2"/>
    <w:rsid w:val="002D4D52"/>
    <w:rsid w:val="002D5348"/>
    <w:rsid w:val="002D53C3"/>
    <w:rsid w:val="002D5529"/>
    <w:rsid w:val="002D5682"/>
    <w:rsid w:val="002D5716"/>
    <w:rsid w:val="002D58F3"/>
    <w:rsid w:val="002D594E"/>
    <w:rsid w:val="002D59DB"/>
    <w:rsid w:val="002D5A29"/>
    <w:rsid w:val="002D5B2F"/>
    <w:rsid w:val="002D5C15"/>
    <w:rsid w:val="002D5DFA"/>
    <w:rsid w:val="002D5E5C"/>
    <w:rsid w:val="002D5F4B"/>
    <w:rsid w:val="002D62BD"/>
    <w:rsid w:val="002D6445"/>
    <w:rsid w:val="002D64DC"/>
    <w:rsid w:val="002D66F9"/>
    <w:rsid w:val="002D6764"/>
    <w:rsid w:val="002D691E"/>
    <w:rsid w:val="002D6B64"/>
    <w:rsid w:val="002D6BDC"/>
    <w:rsid w:val="002D6C32"/>
    <w:rsid w:val="002D6D76"/>
    <w:rsid w:val="002D6ED7"/>
    <w:rsid w:val="002D704B"/>
    <w:rsid w:val="002D7116"/>
    <w:rsid w:val="002D7254"/>
    <w:rsid w:val="002D732A"/>
    <w:rsid w:val="002D75DC"/>
    <w:rsid w:val="002D7F57"/>
    <w:rsid w:val="002E040D"/>
    <w:rsid w:val="002E0450"/>
    <w:rsid w:val="002E0730"/>
    <w:rsid w:val="002E073E"/>
    <w:rsid w:val="002E087E"/>
    <w:rsid w:val="002E08DD"/>
    <w:rsid w:val="002E0A7B"/>
    <w:rsid w:val="002E0C75"/>
    <w:rsid w:val="002E0D6A"/>
    <w:rsid w:val="002E136A"/>
    <w:rsid w:val="002E154B"/>
    <w:rsid w:val="002E15DB"/>
    <w:rsid w:val="002E1C64"/>
    <w:rsid w:val="002E1E77"/>
    <w:rsid w:val="002E1EF5"/>
    <w:rsid w:val="002E20D5"/>
    <w:rsid w:val="002E212D"/>
    <w:rsid w:val="002E2286"/>
    <w:rsid w:val="002E22BF"/>
    <w:rsid w:val="002E26FE"/>
    <w:rsid w:val="002E28BE"/>
    <w:rsid w:val="002E2B20"/>
    <w:rsid w:val="002E2B81"/>
    <w:rsid w:val="002E2BC6"/>
    <w:rsid w:val="002E2CFC"/>
    <w:rsid w:val="002E2D27"/>
    <w:rsid w:val="002E308A"/>
    <w:rsid w:val="002E313F"/>
    <w:rsid w:val="002E321B"/>
    <w:rsid w:val="002E3278"/>
    <w:rsid w:val="002E348E"/>
    <w:rsid w:val="002E35E7"/>
    <w:rsid w:val="002E3969"/>
    <w:rsid w:val="002E403E"/>
    <w:rsid w:val="002E41B1"/>
    <w:rsid w:val="002E41CB"/>
    <w:rsid w:val="002E428C"/>
    <w:rsid w:val="002E43B9"/>
    <w:rsid w:val="002E4544"/>
    <w:rsid w:val="002E47AE"/>
    <w:rsid w:val="002E4873"/>
    <w:rsid w:val="002E4B5C"/>
    <w:rsid w:val="002E4F0B"/>
    <w:rsid w:val="002E50C1"/>
    <w:rsid w:val="002E5103"/>
    <w:rsid w:val="002E51BE"/>
    <w:rsid w:val="002E536D"/>
    <w:rsid w:val="002E5393"/>
    <w:rsid w:val="002E5637"/>
    <w:rsid w:val="002E567C"/>
    <w:rsid w:val="002E5875"/>
    <w:rsid w:val="002E5990"/>
    <w:rsid w:val="002E5B4C"/>
    <w:rsid w:val="002E5D61"/>
    <w:rsid w:val="002E6018"/>
    <w:rsid w:val="002E6375"/>
    <w:rsid w:val="002E6414"/>
    <w:rsid w:val="002E6554"/>
    <w:rsid w:val="002E6588"/>
    <w:rsid w:val="002E658E"/>
    <w:rsid w:val="002E6AD6"/>
    <w:rsid w:val="002E6BD4"/>
    <w:rsid w:val="002E7063"/>
    <w:rsid w:val="002E70E6"/>
    <w:rsid w:val="002E71A1"/>
    <w:rsid w:val="002E723A"/>
    <w:rsid w:val="002E7396"/>
    <w:rsid w:val="002E74E6"/>
    <w:rsid w:val="002E7525"/>
    <w:rsid w:val="002E7651"/>
    <w:rsid w:val="002E7699"/>
    <w:rsid w:val="002E78B9"/>
    <w:rsid w:val="002E7A00"/>
    <w:rsid w:val="002E7CFB"/>
    <w:rsid w:val="002E7D0E"/>
    <w:rsid w:val="002E7FFB"/>
    <w:rsid w:val="002F0389"/>
    <w:rsid w:val="002F046A"/>
    <w:rsid w:val="002F0736"/>
    <w:rsid w:val="002F07D6"/>
    <w:rsid w:val="002F089A"/>
    <w:rsid w:val="002F0D49"/>
    <w:rsid w:val="002F0EA3"/>
    <w:rsid w:val="002F0F60"/>
    <w:rsid w:val="002F107D"/>
    <w:rsid w:val="002F1302"/>
    <w:rsid w:val="002F13CA"/>
    <w:rsid w:val="002F13DA"/>
    <w:rsid w:val="002F14A5"/>
    <w:rsid w:val="002F1723"/>
    <w:rsid w:val="002F17A0"/>
    <w:rsid w:val="002F1C59"/>
    <w:rsid w:val="002F1D39"/>
    <w:rsid w:val="002F1E27"/>
    <w:rsid w:val="002F1EBE"/>
    <w:rsid w:val="002F20B1"/>
    <w:rsid w:val="002F2219"/>
    <w:rsid w:val="002F24CD"/>
    <w:rsid w:val="002F28C0"/>
    <w:rsid w:val="002F28FE"/>
    <w:rsid w:val="002F291F"/>
    <w:rsid w:val="002F2994"/>
    <w:rsid w:val="002F2A1C"/>
    <w:rsid w:val="002F2F74"/>
    <w:rsid w:val="002F30AB"/>
    <w:rsid w:val="002F3101"/>
    <w:rsid w:val="002F3271"/>
    <w:rsid w:val="002F342E"/>
    <w:rsid w:val="002F3463"/>
    <w:rsid w:val="002F3515"/>
    <w:rsid w:val="002F3688"/>
    <w:rsid w:val="002F37FF"/>
    <w:rsid w:val="002F393D"/>
    <w:rsid w:val="002F3BF5"/>
    <w:rsid w:val="002F3CE6"/>
    <w:rsid w:val="002F3E5A"/>
    <w:rsid w:val="002F3F36"/>
    <w:rsid w:val="002F413D"/>
    <w:rsid w:val="002F42A3"/>
    <w:rsid w:val="002F4341"/>
    <w:rsid w:val="002F44BC"/>
    <w:rsid w:val="002F47B2"/>
    <w:rsid w:val="002F48AD"/>
    <w:rsid w:val="002F4A6A"/>
    <w:rsid w:val="002F4E29"/>
    <w:rsid w:val="002F4EB0"/>
    <w:rsid w:val="002F4F92"/>
    <w:rsid w:val="002F5215"/>
    <w:rsid w:val="002F528E"/>
    <w:rsid w:val="002F5353"/>
    <w:rsid w:val="002F53B3"/>
    <w:rsid w:val="002F542C"/>
    <w:rsid w:val="002F55A7"/>
    <w:rsid w:val="002F57C2"/>
    <w:rsid w:val="002F58F2"/>
    <w:rsid w:val="002F5939"/>
    <w:rsid w:val="002F5C90"/>
    <w:rsid w:val="002F5E17"/>
    <w:rsid w:val="002F60F3"/>
    <w:rsid w:val="002F616A"/>
    <w:rsid w:val="002F6282"/>
    <w:rsid w:val="002F634E"/>
    <w:rsid w:val="002F674C"/>
    <w:rsid w:val="002F6BE5"/>
    <w:rsid w:val="002F6CEF"/>
    <w:rsid w:val="002F6E34"/>
    <w:rsid w:val="002F704B"/>
    <w:rsid w:val="002F7084"/>
    <w:rsid w:val="002F709B"/>
    <w:rsid w:val="002F710A"/>
    <w:rsid w:val="002F71B7"/>
    <w:rsid w:val="002F71BD"/>
    <w:rsid w:val="002F71E0"/>
    <w:rsid w:val="002F7268"/>
    <w:rsid w:val="002F749F"/>
    <w:rsid w:val="002F757E"/>
    <w:rsid w:val="002F75C5"/>
    <w:rsid w:val="002F7757"/>
    <w:rsid w:val="002F7904"/>
    <w:rsid w:val="002F7BCD"/>
    <w:rsid w:val="002F7D59"/>
    <w:rsid w:val="002F7ED1"/>
    <w:rsid w:val="002F7F70"/>
    <w:rsid w:val="003001C9"/>
    <w:rsid w:val="0030027C"/>
    <w:rsid w:val="00300311"/>
    <w:rsid w:val="00300345"/>
    <w:rsid w:val="003005B5"/>
    <w:rsid w:val="00300DEB"/>
    <w:rsid w:val="00300EAD"/>
    <w:rsid w:val="00301011"/>
    <w:rsid w:val="00301081"/>
    <w:rsid w:val="003014D7"/>
    <w:rsid w:val="00301524"/>
    <w:rsid w:val="003016BA"/>
    <w:rsid w:val="0030191E"/>
    <w:rsid w:val="00301B03"/>
    <w:rsid w:val="00301E54"/>
    <w:rsid w:val="00301FE6"/>
    <w:rsid w:val="003026F6"/>
    <w:rsid w:val="0030275F"/>
    <w:rsid w:val="003028FA"/>
    <w:rsid w:val="00302958"/>
    <w:rsid w:val="00302AE3"/>
    <w:rsid w:val="00302B62"/>
    <w:rsid w:val="00302E29"/>
    <w:rsid w:val="00302F5A"/>
    <w:rsid w:val="00303117"/>
    <w:rsid w:val="00303542"/>
    <w:rsid w:val="0030371A"/>
    <w:rsid w:val="00303CDF"/>
    <w:rsid w:val="0030409D"/>
    <w:rsid w:val="003043F1"/>
    <w:rsid w:val="0030482F"/>
    <w:rsid w:val="003048A1"/>
    <w:rsid w:val="00304B93"/>
    <w:rsid w:val="00304BB4"/>
    <w:rsid w:val="00304E49"/>
    <w:rsid w:val="00305393"/>
    <w:rsid w:val="003053AE"/>
    <w:rsid w:val="00305B1C"/>
    <w:rsid w:val="00305CF7"/>
    <w:rsid w:val="00305D2C"/>
    <w:rsid w:val="00305E25"/>
    <w:rsid w:val="00305F99"/>
    <w:rsid w:val="0030604D"/>
    <w:rsid w:val="00306269"/>
    <w:rsid w:val="0030632F"/>
    <w:rsid w:val="00306396"/>
    <w:rsid w:val="00306950"/>
    <w:rsid w:val="003069B4"/>
    <w:rsid w:val="00306A0D"/>
    <w:rsid w:val="00306AE3"/>
    <w:rsid w:val="00306DD7"/>
    <w:rsid w:val="003072E1"/>
    <w:rsid w:val="003073BD"/>
    <w:rsid w:val="0030740F"/>
    <w:rsid w:val="0030752A"/>
    <w:rsid w:val="0030778D"/>
    <w:rsid w:val="00307972"/>
    <w:rsid w:val="00307CE0"/>
    <w:rsid w:val="00307D78"/>
    <w:rsid w:val="00307E55"/>
    <w:rsid w:val="00307FC1"/>
    <w:rsid w:val="0031056D"/>
    <w:rsid w:val="003105BD"/>
    <w:rsid w:val="003105EE"/>
    <w:rsid w:val="00310675"/>
    <w:rsid w:val="003108D7"/>
    <w:rsid w:val="00310913"/>
    <w:rsid w:val="00310C7C"/>
    <w:rsid w:val="00310D0D"/>
    <w:rsid w:val="00310E4B"/>
    <w:rsid w:val="00310F2B"/>
    <w:rsid w:val="00310F76"/>
    <w:rsid w:val="00311275"/>
    <w:rsid w:val="003112C7"/>
    <w:rsid w:val="00311302"/>
    <w:rsid w:val="0031143D"/>
    <w:rsid w:val="003114CC"/>
    <w:rsid w:val="003114CF"/>
    <w:rsid w:val="00311551"/>
    <w:rsid w:val="003115E7"/>
    <w:rsid w:val="00311650"/>
    <w:rsid w:val="0031199D"/>
    <w:rsid w:val="0031214D"/>
    <w:rsid w:val="00312246"/>
    <w:rsid w:val="003124B5"/>
    <w:rsid w:val="0031255F"/>
    <w:rsid w:val="00312594"/>
    <w:rsid w:val="003125BD"/>
    <w:rsid w:val="003125C3"/>
    <w:rsid w:val="003125CE"/>
    <w:rsid w:val="00312796"/>
    <w:rsid w:val="00312BE0"/>
    <w:rsid w:val="00312D01"/>
    <w:rsid w:val="00312DDE"/>
    <w:rsid w:val="00312E96"/>
    <w:rsid w:val="00313326"/>
    <w:rsid w:val="0031345B"/>
    <w:rsid w:val="0031349A"/>
    <w:rsid w:val="003136EF"/>
    <w:rsid w:val="0031378F"/>
    <w:rsid w:val="00313C05"/>
    <w:rsid w:val="00313E54"/>
    <w:rsid w:val="00313E82"/>
    <w:rsid w:val="00314340"/>
    <w:rsid w:val="0031434F"/>
    <w:rsid w:val="003144A6"/>
    <w:rsid w:val="00314989"/>
    <w:rsid w:val="00314CCF"/>
    <w:rsid w:val="00314D91"/>
    <w:rsid w:val="00314DD4"/>
    <w:rsid w:val="00314E12"/>
    <w:rsid w:val="00315250"/>
    <w:rsid w:val="00315274"/>
    <w:rsid w:val="003152C3"/>
    <w:rsid w:val="00315330"/>
    <w:rsid w:val="00315341"/>
    <w:rsid w:val="00315607"/>
    <w:rsid w:val="00315717"/>
    <w:rsid w:val="0031584D"/>
    <w:rsid w:val="0031594E"/>
    <w:rsid w:val="00315B34"/>
    <w:rsid w:val="00315B4D"/>
    <w:rsid w:val="00315F4E"/>
    <w:rsid w:val="00316022"/>
    <w:rsid w:val="00316192"/>
    <w:rsid w:val="003162DA"/>
    <w:rsid w:val="0031631E"/>
    <w:rsid w:val="0031639E"/>
    <w:rsid w:val="003163D8"/>
    <w:rsid w:val="0031647A"/>
    <w:rsid w:val="00316556"/>
    <w:rsid w:val="003165C1"/>
    <w:rsid w:val="003167A0"/>
    <w:rsid w:val="00316A14"/>
    <w:rsid w:val="00316AA7"/>
    <w:rsid w:val="00316BAE"/>
    <w:rsid w:val="00316D1A"/>
    <w:rsid w:val="00316DAB"/>
    <w:rsid w:val="00316DC0"/>
    <w:rsid w:val="00316E1A"/>
    <w:rsid w:val="00317008"/>
    <w:rsid w:val="00317141"/>
    <w:rsid w:val="0031746D"/>
    <w:rsid w:val="00317ABF"/>
    <w:rsid w:val="00317C07"/>
    <w:rsid w:val="00317C5C"/>
    <w:rsid w:val="00317E63"/>
    <w:rsid w:val="00317FF2"/>
    <w:rsid w:val="003200A7"/>
    <w:rsid w:val="00320331"/>
    <w:rsid w:val="00320410"/>
    <w:rsid w:val="00320588"/>
    <w:rsid w:val="00320766"/>
    <w:rsid w:val="0032086E"/>
    <w:rsid w:val="00320A00"/>
    <w:rsid w:val="00320BDF"/>
    <w:rsid w:val="003211BC"/>
    <w:rsid w:val="003215A3"/>
    <w:rsid w:val="00321709"/>
    <w:rsid w:val="00321A7A"/>
    <w:rsid w:val="00321BFC"/>
    <w:rsid w:val="00321C2C"/>
    <w:rsid w:val="00321C3B"/>
    <w:rsid w:val="00321C8A"/>
    <w:rsid w:val="00321C8E"/>
    <w:rsid w:val="00321D4A"/>
    <w:rsid w:val="00321D66"/>
    <w:rsid w:val="00321DEE"/>
    <w:rsid w:val="00321F68"/>
    <w:rsid w:val="0032217D"/>
    <w:rsid w:val="003221EC"/>
    <w:rsid w:val="0032225D"/>
    <w:rsid w:val="00322286"/>
    <w:rsid w:val="003224B3"/>
    <w:rsid w:val="00322834"/>
    <w:rsid w:val="00322B2C"/>
    <w:rsid w:val="00322C01"/>
    <w:rsid w:val="00322C7E"/>
    <w:rsid w:val="00322C8D"/>
    <w:rsid w:val="00322E18"/>
    <w:rsid w:val="00323244"/>
    <w:rsid w:val="0032333D"/>
    <w:rsid w:val="00323458"/>
    <w:rsid w:val="003234F6"/>
    <w:rsid w:val="003235D8"/>
    <w:rsid w:val="00323A7F"/>
    <w:rsid w:val="00324463"/>
    <w:rsid w:val="0032451E"/>
    <w:rsid w:val="00324596"/>
    <w:rsid w:val="003245EC"/>
    <w:rsid w:val="003245EF"/>
    <w:rsid w:val="00324906"/>
    <w:rsid w:val="003249A7"/>
    <w:rsid w:val="00324BF2"/>
    <w:rsid w:val="00324C91"/>
    <w:rsid w:val="00324CF5"/>
    <w:rsid w:val="00324DE2"/>
    <w:rsid w:val="0032515B"/>
    <w:rsid w:val="00325244"/>
    <w:rsid w:val="003254D7"/>
    <w:rsid w:val="0032552F"/>
    <w:rsid w:val="00325733"/>
    <w:rsid w:val="00325763"/>
    <w:rsid w:val="00325851"/>
    <w:rsid w:val="003258EC"/>
    <w:rsid w:val="00325922"/>
    <w:rsid w:val="0032594E"/>
    <w:rsid w:val="00325AEB"/>
    <w:rsid w:val="00325C12"/>
    <w:rsid w:val="00325CAF"/>
    <w:rsid w:val="00325F0B"/>
    <w:rsid w:val="00325FE0"/>
    <w:rsid w:val="00326331"/>
    <w:rsid w:val="003264B4"/>
    <w:rsid w:val="003268DC"/>
    <w:rsid w:val="003269DF"/>
    <w:rsid w:val="00326B2E"/>
    <w:rsid w:val="00326B33"/>
    <w:rsid w:val="00326B92"/>
    <w:rsid w:val="00326D94"/>
    <w:rsid w:val="00326FCC"/>
    <w:rsid w:val="00327398"/>
    <w:rsid w:val="003273BA"/>
    <w:rsid w:val="003275D3"/>
    <w:rsid w:val="00327890"/>
    <w:rsid w:val="00327CE6"/>
    <w:rsid w:val="00327D4B"/>
    <w:rsid w:val="00327F22"/>
    <w:rsid w:val="003300BE"/>
    <w:rsid w:val="00330326"/>
    <w:rsid w:val="0033036C"/>
    <w:rsid w:val="003304C7"/>
    <w:rsid w:val="003307A9"/>
    <w:rsid w:val="00330A11"/>
    <w:rsid w:val="00330C3D"/>
    <w:rsid w:val="00330E12"/>
    <w:rsid w:val="00331083"/>
    <w:rsid w:val="0033114E"/>
    <w:rsid w:val="0033147B"/>
    <w:rsid w:val="0033147E"/>
    <w:rsid w:val="003315A7"/>
    <w:rsid w:val="003316BE"/>
    <w:rsid w:val="0033171A"/>
    <w:rsid w:val="00331AB7"/>
    <w:rsid w:val="00331AC0"/>
    <w:rsid w:val="00331F2F"/>
    <w:rsid w:val="00331F6C"/>
    <w:rsid w:val="00332324"/>
    <w:rsid w:val="00332660"/>
    <w:rsid w:val="003326F6"/>
    <w:rsid w:val="00332858"/>
    <w:rsid w:val="00332AD7"/>
    <w:rsid w:val="00332AF5"/>
    <w:rsid w:val="00332D0E"/>
    <w:rsid w:val="00332D8F"/>
    <w:rsid w:val="00332E80"/>
    <w:rsid w:val="00332F11"/>
    <w:rsid w:val="00333183"/>
    <w:rsid w:val="003331A5"/>
    <w:rsid w:val="003331A9"/>
    <w:rsid w:val="003333DB"/>
    <w:rsid w:val="00333555"/>
    <w:rsid w:val="003335A1"/>
    <w:rsid w:val="0033363C"/>
    <w:rsid w:val="0033368F"/>
    <w:rsid w:val="00333705"/>
    <w:rsid w:val="0033391F"/>
    <w:rsid w:val="003339B7"/>
    <w:rsid w:val="00333A70"/>
    <w:rsid w:val="00333B63"/>
    <w:rsid w:val="00333C5F"/>
    <w:rsid w:val="00333D01"/>
    <w:rsid w:val="00333D20"/>
    <w:rsid w:val="00333FE2"/>
    <w:rsid w:val="0033422D"/>
    <w:rsid w:val="0033427B"/>
    <w:rsid w:val="00334296"/>
    <w:rsid w:val="0033440D"/>
    <w:rsid w:val="00334828"/>
    <w:rsid w:val="00334A0B"/>
    <w:rsid w:val="00334CE5"/>
    <w:rsid w:val="0033508B"/>
    <w:rsid w:val="003350D5"/>
    <w:rsid w:val="00335464"/>
    <w:rsid w:val="00335737"/>
    <w:rsid w:val="0033587E"/>
    <w:rsid w:val="00335AB9"/>
    <w:rsid w:val="00335AC8"/>
    <w:rsid w:val="00335C0C"/>
    <w:rsid w:val="00335EE2"/>
    <w:rsid w:val="003361AF"/>
    <w:rsid w:val="00336432"/>
    <w:rsid w:val="0033643E"/>
    <w:rsid w:val="0033656F"/>
    <w:rsid w:val="0033660F"/>
    <w:rsid w:val="00336690"/>
    <w:rsid w:val="00336937"/>
    <w:rsid w:val="0033698B"/>
    <w:rsid w:val="00336C5E"/>
    <w:rsid w:val="00336CA8"/>
    <w:rsid w:val="00337002"/>
    <w:rsid w:val="00337104"/>
    <w:rsid w:val="003371B8"/>
    <w:rsid w:val="00337219"/>
    <w:rsid w:val="0033736A"/>
    <w:rsid w:val="00337578"/>
    <w:rsid w:val="00337763"/>
    <w:rsid w:val="00337927"/>
    <w:rsid w:val="00337BB3"/>
    <w:rsid w:val="00337FBF"/>
    <w:rsid w:val="00340094"/>
    <w:rsid w:val="00340220"/>
    <w:rsid w:val="00340438"/>
    <w:rsid w:val="00340468"/>
    <w:rsid w:val="003404D7"/>
    <w:rsid w:val="0034068B"/>
    <w:rsid w:val="003406A6"/>
    <w:rsid w:val="0034080C"/>
    <w:rsid w:val="00340A2C"/>
    <w:rsid w:val="00340AB9"/>
    <w:rsid w:val="00340B2B"/>
    <w:rsid w:val="00340B3E"/>
    <w:rsid w:val="00340E18"/>
    <w:rsid w:val="00340E34"/>
    <w:rsid w:val="00340F1E"/>
    <w:rsid w:val="003410C5"/>
    <w:rsid w:val="00341134"/>
    <w:rsid w:val="0034118B"/>
    <w:rsid w:val="00341339"/>
    <w:rsid w:val="0034134E"/>
    <w:rsid w:val="00341410"/>
    <w:rsid w:val="003414D2"/>
    <w:rsid w:val="0034156E"/>
    <w:rsid w:val="0034158F"/>
    <w:rsid w:val="003417C1"/>
    <w:rsid w:val="00341814"/>
    <w:rsid w:val="00341891"/>
    <w:rsid w:val="00341D48"/>
    <w:rsid w:val="003421C5"/>
    <w:rsid w:val="00342350"/>
    <w:rsid w:val="00342479"/>
    <w:rsid w:val="0034256A"/>
    <w:rsid w:val="00342670"/>
    <w:rsid w:val="0034269B"/>
    <w:rsid w:val="003427AC"/>
    <w:rsid w:val="00342923"/>
    <w:rsid w:val="0034298C"/>
    <w:rsid w:val="003429C8"/>
    <w:rsid w:val="00342B51"/>
    <w:rsid w:val="00342B7E"/>
    <w:rsid w:val="00342D6E"/>
    <w:rsid w:val="00342E92"/>
    <w:rsid w:val="00342F29"/>
    <w:rsid w:val="00343226"/>
    <w:rsid w:val="0034372B"/>
    <w:rsid w:val="00343BF5"/>
    <w:rsid w:val="003440B3"/>
    <w:rsid w:val="00344180"/>
    <w:rsid w:val="00344395"/>
    <w:rsid w:val="00344397"/>
    <w:rsid w:val="003443CA"/>
    <w:rsid w:val="003444E8"/>
    <w:rsid w:val="00344F2F"/>
    <w:rsid w:val="00344FBA"/>
    <w:rsid w:val="00345570"/>
    <w:rsid w:val="00345582"/>
    <w:rsid w:val="00345716"/>
    <w:rsid w:val="0034576D"/>
    <w:rsid w:val="00345882"/>
    <w:rsid w:val="00345BFD"/>
    <w:rsid w:val="00345CD1"/>
    <w:rsid w:val="00345DF2"/>
    <w:rsid w:val="00345E8F"/>
    <w:rsid w:val="00345EE3"/>
    <w:rsid w:val="00346507"/>
    <w:rsid w:val="003465FC"/>
    <w:rsid w:val="003466A4"/>
    <w:rsid w:val="0034687F"/>
    <w:rsid w:val="00346911"/>
    <w:rsid w:val="00346B09"/>
    <w:rsid w:val="00346CF6"/>
    <w:rsid w:val="00346D45"/>
    <w:rsid w:val="00346DFC"/>
    <w:rsid w:val="00347021"/>
    <w:rsid w:val="003473C2"/>
    <w:rsid w:val="00347488"/>
    <w:rsid w:val="003475B7"/>
    <w:rsid w:val="0034796F"/>
    <w:rsid w:val="00347A94"/>
    <w:rsid w:val="00347BAE"/>
    <w:rsid w:val="00347E88"/>
    <w:rsid w:val="00350132"/>
    <w:rsid w:val="00350384"/>
    <w:rsid w:val="0035039A"/>
    <w:rsid w:val="003503ED"/>
    <w:rsid w:val="00350684"/>
    <w:rsid w:val="00350D97"/>
    <w:rsid w:val="0035103E"/>
    <w:rsid w:val="00351121"/>
    <w:rsid w:val="0035157E"/>
    <w:rsid w:val="00351698"/>
    <w:rsid w:val="00351838"/>
    <w:rsid w:val="00351A15"/>
    <w:rsid w:val="00351A24"/>
    <w:rsid w:val="00351A2F"/>
    <w:rsid w:val="00351D10"/>
    <w:rsid w:val="00351F35"/>
    <w:rsid w:val="00352088"/>
    <w:rsid w:val="003526BA"/>
    <w:rsid w:val="00352A2C"/>
    <w:rsid w:val="00352BB8"/>
    <w:rsid w:val="00352C16"/>
    <w:rsid w:val="00352CB5"/>
    <w:rsid w:val="00352ED1"/>
    <w:rsid w:val="00352FBF"/>
    <w:rsid w:val="00352FD9"/>
    <w:rsid w:val="00352FDD"/>
    <w:rsid w:val="003530B9"/>
    <w:rsid w:val="0035327F"/>
    <w:rsid w:val="003534D6"/>
    <w:rsid w:val="00353C0F"/>
    <w:rsid w:val="00353F42"/>
    <w:rsid w:val="003540B7"/>
    <w:rsid w:val="00354306"/>
    <w:rsid w:val="00354456"/>
    <w:rsid w:val="003545EB"/>
    <w:rsid w:val="003546A6"/>
    <w:rsid w:val="0035487F"/>
    <w:rsid w:val="003549DE"/>
    <w:rsid w:val="0035546D"/>
    <w:rsid w:val="00355606"/>
    <w:rsid w:val="0035571E"/>
    <w:rsid w:val="00355760"/>
    <w:rsid w:val="00355E2B"/>
    <w:rsid w:val="00355E4A"/>
    <w:rsid w:val="00355E6A"/>
    <w:rsid w:val="003560B2"/>
    <w:rsid w:val="00356104"/>
    <w:rsid w:val="00356142"/>
    <w:rsid w:val="003562AD"/>
    <w:rsid w:val="00356313"/>
    <w:rsid w:val="00356347"/>
    <w:rsid w:val="00356496"/>
    <w:rsid w:val="0035669A"/>
    <w:rsid w:val="003566CA"/>
    <w:rsid w:val="003568E7"/>
    <w:rsid w:val="00356904"/>
    <w:rsid w:val="00356B88"/>
    <w:rsid w:val="00356C6A"/>
    <w:rsid w:val="00356DB4"/>
    <w:rsid w:val="00356DCE"/>
    <w:rsid w:val="0035700C"/>
    <w:rsid w:val="0035707C"/>
    <w:rsid w:val="003571E3"/>
    <w:rsid w:val="00357487"/>
    <w:rsid w:val="0035770A"/>
    <w:rsid w:val="00357C9A"/>
    <w:rsid w:val="00357D7E"/>
    <w:rsid w:val="00360105"/>
    <w:rsid w:val="0036039A"/>
    <w:rsid w:val="003605DE"/>
    <w:rsid w:val="00360606"/>
    <w:rsid w:val="0036061A"/>
    <w:rsid w:val="00360637"/>
    <w:rsid w:val="003608EF"/>
    <w:rsid w:val="00360A84"/>
    <w:rsid w:val="00360AFD"/>
    <w:rsid w:val="00360C8F"/>
    <w:rsid w:val="00360D0F"/>
    <w:rsid w:val="00360F7F"/>
    <w:rsid w:val="00361461"/>
    <w:rsid w:val="003617A3"/>
    <w:rsid w:val="00361AAA"/>
    <w:rsid w:val="00361B6F"/>
    <w:rsid w:val="00361C3A"/>
    <w:rsid w:val="00361D41"/>
    <w:rsid w:val="00361ECD"/>
    <w:rsid w:val="00361F25"/>
    <w:rsid w:val="00362016"/>
    <w:rsid w:val="0036212B"/>
    <w:rsid w:val="00362133"/>
    <w:rsid w:val="0036224D"/>
    <w:rsid w:val="003624F8"/>
    <w:rsid w:val="00362A01"/>
    <w:rsid w:val="00362AAC"/>
    <w:rsid w:val="00362AC6"/>
    <w:rsid w:val="00362E74"/>
    <w:rsid w:val="00362FE3"/>
    <w:rsid w:val="00362FE5"/>
    <w:rsid w:val="003631DA"/>
    <w:rsid w:val="00363356"/>
    <w:rsid w:val="003633C0"/>
    <w:rsid w:val="00363461"/>
    <w:rsid w:val="00363563"/>
    <w:rsid w:val="003636C1"/>
    <w:rsid w:val="0036385C"/>
    <w:rsid w:val="0036391F"/>
    <w:rsid w:val="00363A0B"/>
    <w:rsid w:val="00363A1F"/>
    <w:rsid w:val="00363B1E"/>
    <w:rsid w:val="00363CE9"/>
    <w:rsid w:val="00363D60"/>
    <w:rsid w:val="003643EA"/>
    <w:rsid w:val="003644D8"/>
    <w:rsid w:val="00364591"/>
    <w:rsid w:val="00364787"/>
    <w:rsid w:val="00364814"/>
    <w:rsid w:val="0036482B"/>
    <w:rsid w:val="003648EF"/>
    <w:rsid w:val="0036494F"/>
    <w:rsid w:val="00364CDF"/>
    <w:rsid w:val="00364D94"/>
    <w:rsid w:val="00364E4B"/>
    <w:rsid w:val="003650BE"/>
    <w:rsid w:val="003650F6"/>
    <w:rsid w:val="0036533B"/>
    <w:rsid w:val="00365620"/>
    <w:rsid w:val="00365732"/>
    <w:rsid w:val="0036582D"/>
    <w:rsid w:val="00365941"/>
    <w:rsid w:val="00365BCD"/>
    <w:rsid w:val="00365BDF"/>
    <w:rsid w:val="00365C6E"/>
    <w:rsid w:val="00365CC6"/>
    <w:rsid w:val="00365D32"/>
    <w:rsid w:val="00365D61"/>
    <w:rsid w:val="00365D79"/>
    <w:rsid w:val="00365E33"/>
    <w:rsid w:val="00365FA4"/>
    <w:rsid w:val="00366050"/>
    <w:rsid w:val="003660E2"/>
    <w:rsid w:val="00366B75"/>
    <w:rsid w:val="00366ECB"/>
    <w:rsid w:val="00366F97"/>
    <w:rsid w:val="003672B3"/>
    <w:rsid w:val="0036742F"/>
    <w:rsid w:val="003674E8"/>
    <w:rsid w:val="0036761B"/>
    <w:rsid w:val="00367780"/>
    <w:rsid w:val="0036781B"/>
    <w:rsid w:val="00367820"/>
    <w:rsid w:val="00367937"/>
    <w:rsid w:val="00367B75"/>
    <w:rsid w:val="00367F91"/>
    <w:rsid w:val="00367FD2"/>
    <w:rsid w:val="0037032A"/>
    <w:rsid w:val="00370789"/>
    <w:rsid w:val="00370AD8"/>
    <w:rsid w:val="00370BCA"/>
    <w:rsid w:val="00370CED"/>
    <w:rsid w:val="00370F4B"/>
    <w:rsid w:val="00370F70"/>
    <w:rsid w:val="003710A4"/>
    <w:rsid w:val="0037113D"/>
    <w:rsid w:val="003716DB"/>
    <w:rsid w:val="00371E1C"/>
    <w:rsid w:val="00371FD5"/>
    <w:rsid w:val="00372475"/>
    <w:rsid w:val="003724BE"/>
    <w:rsid w:val="003724FF"/>
    <w:rsid w:val="00372693"/>
    <w:rsid w:val="0037269D"/>
    <w:rsid w:val="0037282A"/>
    <w:rsid w:val="0037284E"/>
    <w:rsid w:val="0037288E"/>
    <w:rsid w:val="00372DC3"/>
    <w:rsid w:val="0037303C"/>
    <w:rsid w:val="003731DB"/>
    <w:rsid w:val="00373294"/>
    <w:rsid w:val="003732D5"/>
    <w:rsid w:val="0037339A"/>
    <w:rsid w:val="003733B6"/>
    <w:rsid w:val="003733DD"/>
    <w:rsid w:val="0037374D"/>
    <w:rsid w:val="00373C05"/>
    <w:rsid w:val="00373E48"/>
    <w:rsid w:val="00373EA8"/>
    <w:rsid w:val="00373EAE"/>
    <w:rsid w:val="00373FA0"/>
    <w:rsid w:val="0037406F"/>
    <w:rsid w:val="003740ED"/>
    <w:rsid w:val="00374114"/>
    <w:rsid w:val="003741E9"/>
    <w:rsid w:val="0037461C"/>
    <w:rsid w:val="003748E7"/>
    <w:rsid w:val="0037497B"/>
    <w:rsid w:val="003749C2"/>
    <w:rsid w:val="00374A46"/>
    <w:rsid w:val="00374AF5"/>
    <w:rsid w:val="00374C03"/>
    <w:rsid w:val="00374D01"/>
    <w:rsid w:val="00374E9B"/>
    <w:rsid w:val="00374F1A"/>
    <w:rsid w:val="00374F65"/>
    <w:rsid w:val="00374FF3"/>
    <w:rsid w:val="00375061"/>
    <w:rsid w:val="00375069"/>
    <w:rsid w:val="00375462"/>
    <w:rsid w:val="00375528"/>
    <w:rsid w:val="0037552C"/>
    <w:rsid w:val="0037557E"/>
    <w:rsid w:val="00375600"/>
    <w:rsid w:val="00375625"/>
    <w:rsid w:val="003756BF"/>
    <w:rsid w:val="003758ED"/>
    <w:rsid w:val="00375DC3"/>
    <w:rsid w:val="00375FC5"/>
    <w:rsid w:val="00376186"/>
    <w:rsid w:val="00376236"/>
    <w:rsid w:val="003766C5"/>
    <w:rsid w:val="00376BE1"/>
    <w:rsid w:val="00376D74"/>
    <w:rsid w:val="00377145"/>
    <w:rsid w:val="0037715B"/>
    <w:rsid w:val="0037758C"/>
    <w:rsid w:val="003775E5"/>
    <w:rsid w:val="003776A5"/>
    <w:rsid w:val="0037777A"/>
    <w:rsid w:val="0037782B"/>
    <w:rsid w:val="00377B8B"/>
    <w:rsid w:val="00377E2A"/>
    <w:rsid w:val="00377ED4"/>
    <w:rsid w:val="00377EED"/>
    <w:rsid w:val="0038001B"/>
    <w:rsid w:val="0038001F"/>
    <w:rsid w:val="0038009B"/>
    <w:rsid w:val="003801C0"/>
    <w:rsid w:val="003801EE"/>
    <w:rsid w:val="00380318"/>
    <w:rsid w:val="00380387"/>
    <w:rsid w:val="0038039A"/>
    <w:rsid w:val="00380422"/>
    <w:rsid w:val="003804CC"/>
    <w:rsid w:val="003808B5"/>
    <w:rsid w:val="003808D3"/>
    <w:rsid w:val="00380A2B"/>
    <w:rsid w:val="0038100B"/>
    <w:rsid w:val="003810B2"/>
    <w:rsid w:val="00381651"/>
    <w:rsid w:val="003816E8"/>
    <w:rsid w:val="00381702"/>
    <w:rsid w:val="00381A85"/>
    <w:rsid w:val="00381AB2"/>
    <w:rsid w:val="00381AB6"/>
    <w:rsid w:val="00381B97"/>
    <w:rsid w:val="00381C92"/>
    <w:rsid w:val="00381CAF"/>
    <w:rsid w:val="00381CC2"/>
    <w:rsid w:val="00381F3D"/>
    <w:rsid w:val="00382005"/>
    <w:rsid w:val="00382129"/>
    <w:rsid w:val="00382280"/>
    <w:rsid w:val="003823FE"/>
    <w:rsid w:val="003825EE"/>
    <w:rsid w:val="003828A8"/>
    <w:rsid w:val="003828BF"/>
    <w:rsid w:val="00382AEC"/>
    <w:rsid w:val="00382B57"/>
    <w:rsid w:val="00382D24"/>
    <w:rsid w:val="00382E98"/>
    <w:rsid w:val="00382FCA"/>
    <w:rsid w:val="00383251"/>
    <w:rsid w:val="003833AD"/>
    <w:rsid w:val="003834A8"/>
    <w:rsid w:val="003836C6"/>
    <w:rsid w:val="00383B80"/>
    <w:rsid w:val="00383BDD"/>
    <w:rsid w:val="00383EAC"/>
    <w:rsid w:val="00383EE1"/>
    <w:rsid w:val="0038420C"/>
    <w:rsid w:val="003842D5"/>
    <w:rsid w:val="003843D4"/>
    <w:rsid w:val="00384414"/>
    <w:rsid w:val="00384434"/>
    <w:rsid w:val="00384688"/>
    <w:rsid w:val="003848FD"/>
    <w:rsid w:val="00384A85"/>
    <w:rsid w:val="00384B1C"/>
    <w:rsid w:val="00384BA5"/>
    <w:rsid w:val="00384BBD"/>
    <w:rsid w:val="003852F1"/>
    <w:rsid w:val="003855B4"/>
    <w:rsid w:val="003855EF"/>
    <w:rsid w:val="00385704"/>
    <w:rsid w:val="00385861"/>
    <w:rsid w:val="00385890"/>
    <w:rsid w:val="003858B7"/>
    <w:rsid w:val="00385C42"/>
    <w:rsid w:val="00385CCE"/>
    <w:rsid w:val="00385DD6"/>
    <w:rsid w:val="00385F4A"/>
    <w:rsid w:val="00385FB2"/>
    <w:rsid w:val="00385FC1"/>
    <w:rsid w:val="003860D1"/>
    <w:rsid w:val="00386168"/>
    <w:rsid w:val="00386243"/>
    <w:rsid w:val="00386357"/>
    <w:rsid w:val="003868F1"/>
    <w:rsid w:val="00386980"/>
    <w:rsid w:val="00386ACC"/>
    <w:rsid w:val="00386C9E"/>
    <w:rsid w:val="00386DB6"/>
    <w:rsid w:val="00386DF4"/>
    <w:rsid w:val="003875DF"/>
    <w:rsid w:val="0038767C"/>
    <w:rsid w:val="003876E9"/>
    <w:rsid w:val="00387777"/>
    <w:rsid w:val="003878A2"/>
    <w:rsid w:val="00387930"/>
    <w:rsid w:val="00387A27"/>
    <w:rsid w:val="00387AAF"/>
    <w:rsid w:val="00387E4D"/>
    <w:rsid w:val="00390133"/>
    <w:rsid w:val="0039018B"/>
    <w:rsid w:val="003901B6"/>
    <w:rsid w:val="00390577"/>
    <w:rsid w:val="003908B8"/>
    <w:rsid w:val="003909DD"/>
    <w:rsid w:val="00390BBD"/>
    <w:rsid w:val="00390C80"/>
    <w:rsid w:val="00390D51"/>
    <w:rsid w:val="00390E17"/>
    <w:rsid w:val="00390EB5"/>
    <w:rsid w:val="00390FD6"/>
    <w:rsid w:val="00391083"/>
    <w:rsid w:val="00391087"/>
    <w:rsid w:val="00391148"/>
    <w:rsid w:val="0039121C"/>
    <w:rsid w:val="003914E1"/>
    <w:rsid w:val="003915B4"/>
    <w:rsid w:val="003915B8"/>
    <w:rsid w:val="003917B3"/>
    <w:rsid w:val="003917F5"/>
    <w:rsid w:val="00391808"/>
    <w:rsid w:val="00391899"/>
    <w:rsid w:val="0039190E"/>
    <w:rsid w:val="003919E9"/>
    <w:rsid w:val="00391F9D"/>
    <w:rsid w:val="003920B2"/>
    <w:rsid w:val="003925CE"/>
    <w:rsid w:val="003926CA"/>
    <w:rsid w:val="003928D6"/>
    <w:rsid w:val="00392981"/>
    <w:rsid w:val="00392B63"/>
    <w:rsid w:val="00392C54"/>
    <w:rsid w:val="003931B9"/>
    <w:rsid w:val="003932C1"/>
    <w:rsid w:val="00393339"/>
    <w:rsid w:val="0039349A"/>
    <w:rsid w:val="0039370B"/>
    <w:rsid w:val="0039380F"/>
    <w:rsid w:val="00393B16"/>
    <w:rsid w:val="00393B43"/>
    <w:rsid w:val="00393B47"/>
    <w:rsid w:val="00393BE9"/>
    <w:rsid w:val="00393E6D"/>
    <w:rsid w:val="00394223"/>
    <w:rsid w:val="0039459B"/>
    <w:rsid w:val="003946FC"/>
    <w:rsid w:val="003948FC"/>
    <w:rsid w:val="00394AB3"/>
    <w:rsid w:val="00394B9F"/>
    <w:rsid w:val="00394DB6"/>
    <w:rsid w:val="003951C4"/>
    <w:rsid w:val="0039558D"/>
    <w:rsid w:val="003958DA"/>
    <w:rsid w:val="00395A5A"/>
    <w:rsid w:val="00395B17"/>
    <w:rsid w:val="00395C79"/>
    <w:rsid w:val="00395CDB"/>
    <w:rsid w:val="00395F22"/>
    <w:rsid w:val="00395F6F"/>
    <w:rsid w:val="0039602C"/>
    <w:rsid w:val="0039622F"/>
    <w:rsid w:val="003962CC"/>
    <w:rsid w:val="00396307"/>
    <w:rsid w:val="00396531"/>
    <w:rsid w:val="003965F6"/>
    <w:rsid w:val="00396782"/>
    <w:rsid w:val="003967F1"/>
    <w:rsid w:val="00396A0D"/>
    <w:rsid w:val="00396A9A"/>
    <w:rsid w:val="00396D90"/>
    <w:rsid w:val="00396E71"/>
    <w:rsid w:val="00397322"/>
    <w:rsid w:val="003976A4"/>
    <w:rsid w:val="00397A7B"/>
    <w:rsid w:val="00397B10"/>
    <w:rsid w:val="00397D37"/>
    <w:rsid w:val="00397FDF"/>
    <w:rsid w:val="003A02AD"/>
    <w:rsid w:val="003A0376"/>
    <w:rsid w:val="003A0538"/>
    <w:rsid w:val="003A0840"/>
    <w:rsid w:val="003A0DAC"/>
    <w:rsid w:val="003A1037"/>
    <w:rsid w:val="003A1038"/>
    <w:rsid w:val="003A11F7"/>
    <w:rsid w:val="003A1868"/>
    <w:rsid w:val="003A19F9"/>
    <w:rsid w:val="003A1A0A"/>
    <w:rsid w:val="003A1B3D"/>
    <w:rsid w:val="003A1DE3"/>
    <w:rsid w:val="003A1E95"/>
    <w:rsid w:val="003A20DF"/>
    <w:rsid w:val="003A215D"/>
    <w:rsid w:val="003A21B3"/>
    <w:rsid w:val="003A2207"/>
    <w:rsid w:val="003A22FD"/>
    <w:rsid w:val="003A232E"/>
    <w:rsid w:val="003A2478"/>
    <w:rsid w:val="003A255B"/>
    <w:rsid w:val="003A26A5"/>
    <w:rsid w:val="003A29B5"/>
    <w:rsid w:val="003A2D52"/>
    <w:rsid w:val="003A2EC6"/>
    <w:rsid w:val="003A2F4C"/>
    <w:rsid w:val="003A2FE9"/>
    <w:rsid w:val="003A3007"/>
    <w:rsid w:val="003A3055"/>
    <w:rsid w:val="003A30E0"/>
    <w:rsid w:val="003A31B1"/>
    <w:rsid w:val="003A32FA"/>
    <w:rsid w:val="003A3326"/>
    <w:rsid w:val="003A33C2"/>
    <w:rsid w:val="003A34A2"/>
    <w:rsid w:val="003A36D4"/>
    <w:rsid w:val="003A3825"/>
    <w:rsid w:val="003A3889"/>
    <w:rsid w:val="003A38BE"/>
    <w:rsid w:val="003A39EA"/>
    <w:rsid w:val="003A3A0C"/>
    <w:rsid w:val="003A4188"/>
    <w:rsid w:val="003A422C"/>
    <w:rsid w:val="003A45D7"/>
    <w:rsid w:val="003A47CA"/>
    <w:rsid w:val="003A4847"/>
    <w:rsid w:val="003A49D9"/>
    <w:rsid w:val="003A4B57"/>
    <w:rsid w:val="003A4D01"/>
    <w:rsid w:val="003A4FA5"/>
    <w:rsid w:val="003A51F4"/>
    <w:rsid w:val="003A54B1"/>
    <w:rsid w:val="003A56AB"/>
    <w:rsid w:val="003A5813"/>
    <w:rsid w:val="003A5867"/>
    <w:rsid w:val="003A593D"/>
    <w:rsid w:val="003A593F"/>
    <w:rsid w:val="003A59D8"/>
    <w:rsid w:val="003A5B0D"/>
    <w:rsid w:val="003A5B9E"/>
    <w:rsid w:val="003A5C68"/>
    <w:rsid w:val="003A5D5A"/>
    <w:rsid w:val="003A5F5C"/>
    <w:rsid w:val="003A606A"/>
    <w:rsid w:val="003A62AC"/>
    <w:rsid w:val="003A6482"/>
    <w:rsid w:val="003A655B"/>
    <w:rsid w:val="003A664E"/>
    <w:rsid w:val="003A6750"/>
    <w:rsid w:val="003A6866"/>
    <w:rsid w:val="003A6A6B"/>
    <w:rsid w:val="003A6A77"/>
    <w:rsid w:val="003A6D50"/>
    <w:rsid w:val="003A6D8A"/>
    <w:rsid w:val="003A6DA0"/>
    <w:rsid w:val="003A6E85"/>
    <w:rsid w:val="003A703C"/>
    <w:rsid w:val="003A72A5"/>
    <w:rsid w:val="003A72BC"/>
    <w:rsid w:val="003A77A0"/>
    <w:rsid w:val="003A796C"/>
    <w:rsid w:val="003A7A5D"/>
    <w:rsid w:val="003B0210"/>
    <w:rsid w:val="003B0263"/>
    <w:rsid w:val="003B0327"/>
    <w:rsid w:val="003B03A4"/>
    <w:rsid w:val="003B0572"/>
    <w:rsid w:val="003B0620"/>
    <w:rsid w:val="003B0A46"/>
    <w:rsid w:val="003B0CB5"/>
    <w:rsid w:val="003B0E15"/>
    <w:rsid w:val="003B0F47"/>
    <w:rsid w:val="003B1071"/>
    <w:rsid w:val="003B11B1"/>
    <w:rsid w:val="003B12B2"/>
    <w:rsid w:val="003B13EC"/>
    <w:rsid w:val="003B15CB"/>
    <w:rsid w:val="003B197E"/>
    <w:rsid w:val="003B1E80"/>
    <w:rsid w:val="003B22BF"/>
    <w:rsid w:val="003B26A7"/>
    <w:rsid w:val="003B275E"/>
    <w:rsid w:val="003B27ED"/>
    <w:rsid w:val="003B2803"/>
    <w:rsid w:val="003B2ED7"/>
    <w:rsid w:val="003B2EEC"/>
    <w:rsid w:val="003B2F6E"/>
    <w:rsid w:val="003B3088"/>
    <w:rsid w:val="003B31E7"/>
    <w:rsid w:val="003B3265"/>
    <w:rsid w:val="003B35BC"/>
    <w:rsid w:val="003B3620"/>
    <w:rsid w:val="003B3B64"/>
    <w:rsid w:val="003B3D22"/>
    <w:rsid w:val="003B3E7D"/>
    <w:rsid w:val="003B3F4D"/>
    <w:rsid w:val="003B4040"/>
    <w:rsid w:val="003B4667"/>
    <w:rsid w:val="003B48D9"/>
    <w:rsid w:val="003B4910"/>
    <w:rsid w:val="003B49CD"/>
    <w:rsid w:val="003B4A83"/>
    <w:rsid w:val="003B4AD2"/>
    <w:rsid w:val="003B4BD3"/>
    <w:rsid w:val="003B4C63"/>
    <w:rsid w:val="003B4E12"/>
    <w:rsid w:val="003B53FA"/>
    <w:rsid w:val="003B555B"/>
    <w:rsid w:val="003B55BD"/>
    <w:rsid w:val="003B5687"/>
    <w:rsid w:val="003B57CF"/>
    <w:rsid w:val="003B5860"/>
    <w:rsid w:val="003B5AB7"/>
    <w:rsid w:val="003B5B5A"/>
    <w:rsid w:val="003B5E16"/>
    <w:rsid w:val="003B6018"/>
    <w:rsid w:val="003B607E"/>
    <w:rsid w:val="003B6181"/>
    <w:rsid w:val="003B650E"/>
    <w:rsid w:val="003B65B9"/>
    <w:rsid w:val="003B65FA"/>
    <w:rsid w:val="003B660A"/>
    <w:rsid w:val="003B67B2"/>
    <w:rsid w:val="003B6955"/>
    <w:rsid w:val="003B69B6"/>
    <w:rsid w:val="003B6BAD"/>
    <w:rsid w:val="003B6BF7"/>
    <w:rsid w:val="003B6C16"/>
    <w:rsid w:val="003B6D84"/>
    <w:rsid w:val="003B7011"/>
    <w:rsid w:val="003B705F"/>
    <w:rsid w:val="003B71E8"/>
    <w:rsid w:val="003B73B8"/>
    <w:rsid w:val="003B73E7"/>
    <w:rsid w:val="003B744C"/>
    <w:rsid w:val="003B74BC"/>
    <w:rsid w:val="003B79A3"/>
    <w:rsid w:val="003B7A39"/>
    <w:rsid w:val="003B7BB0"/>
    <w:rsid w:val="003B7BC9"/>
    <w:rsid w:val="003B7C8A"/>
    <w:rsid w:val="003B7F77"/>
    <w:rsid w:val="003C03DE"/>
    <w:rsid w:val="003C0513"/>
    <w:rsid w:val="003C0613"/>
    <w:rsid w:val="003C0794"/>
    <w:rsid w:val="003C091A"/>
    <w:rsid w:val="003C0B8E"/>
    <w:rsid w:val="003C0ED7"/>
    <w:rsid w:val="003C106A"/>
    <w:rsid w:val="003C10A0"/>
    <w:rsid w:val="003C117D"/>
    <w:rsid w:val="003C12AD"/>
    <w:rsid w:val="003C136E"/>
    <w:rsid w:val="003C15C8"/>
    <w:rsid w:val="003C1752"/>
    <w:rsid w:val="003C1799"/>
    <w:rsid w:val="003C1803"/>
    <w:rsid w:val="003C1A55"/>
    <w:rsid w:val="003C1B4E"/>
    <w:rsid w:val="003C1C4F"/>
    <w:rsid w:val="003C1D64"/>
    <w:rsid w:val="003C1E0D"/>
    <w:rsid w:val="003C2213"/>
    <w:rsid w:val="003C2503"/>
    <w:rsid w:val="003C2578"/>
    <w:rsid w:val="003C27D6"/>
    <w:rsid w:val="003C289D"/>
    <w:rsid w:val="003C28E5"/>
    <w:rsid w:val="003C29C4"/>
    <w:rsid w:val="003C29E9"/>
    <w:rsid w:val="003C2ADC"/>
    <w:rsid w:val="003C2BA2"/>
    <w:rsid w:val="003C2DFA"/>
    <w:rsid w:val="003C2E05"/>
    <w:rsid w:val="003C340F"/>
    <w:rsid w:val="003C355A"/>
    <w:rsid w:val="003C3817"/>
    <w:rsid w:val="003C3A15"/>
    <w:rsid w:val="003C3A9A"/>
    <w:rsid w:val="003C3EA0"/>
    <w:rsid w:val="003C4283"/>
    <w:rsid w:val="003C43E2"/>
    <w:rsid w:val="003C4509"/>
    <w:rsid w:val="003C4531"/>
    <w:rsid w:val="003C46C1"/>
    <w:rsid w:val="003C474F"/>
    <w:rsid w:val="003C4BC7"/>
    <w:rsid w:val="003C5448"/>
    <w:rsid w:val="003C5510"/>
    <w:rsid w:val="003C553B"/>
    <w:rsid w:val="003C5791"/>
    <w:rsid w:val="003C5824"/>
    <w:rsid w:val="003C5BC6"/>
    <w:rsid w:val="003C5C1A"/>
    <w:rsid w:val="003C5D08"/>
    <w:rsid w:val="003C5D38"/>
    <w:rsid w:val="003C5DB4"/>
    <w:rsid w:val="003C5F25"/>
    <w:rsid w:val="003C5FAF"/>
    <w:rsid w:val="003C6021"/>
    <w:rsid w:val="003C60FB"/>
    <w:rsid w:val="003C6335"/>
    <w:rsid w:val="003C6420"/>
    <w:rsid w:val="003C661A"/>
    <w:rsid w:val="003C6911"/>
    <w:rsid w:val="003C6B00"/>
    <w:rsid w:val="003C6FE4"/>
    <w:rsid w:val="003C708F"/>
    <w:rsid w:val="003C72A6"/>
    <w:rsid w:val="003C7636"/>
    <w:rsid w:val="003C7A75"/>
    <w:rsid w:val="003C7B47"/>
    <w:rsid w:val="003C7C10"/>
    <w:rsid w:val="003C7C72"/>
    <w:rsid w:val="003C7D1F"/>
    <w:rsid w:val="003D02A5"/>
    <w:rsid w:val="003D02A9"/>
    <w:rsid w:val="003D0496"/>
    <w:rsid w:val="003D0887"/>
    <w:rsid w:val="003D08E3"/>
    <w:rsid w:val="003D0A66"/>
    <w:rsid w:val="003D0BB5"/>
    <w:rsid w:val="003D0FB5"/>
    <w:rsid w:val="003D1158"/>
    <w:rsid w:val="003D115C"/>
    <w:rsid w:val="003D1175"/>
    <w:rsid w:val="003D13D7"/>
    <w:rsid w:val="003D1413"/>
    <w:rsid w:val="003D1509"/>
    <w:rsid w:val="003D15EB"/>
    <w:rsid w:val="003D1E44"/>
    <w:rsid w:val="003D2081"/>
    <w:rsid w:val="003D208F"/>
    <w:rsid w:val="003D20A1"/>
    <w:rsid w:val="003D20A3"/>
    <w:rsid w:val="003D20D1"/>
    <w:rsid w:val="003D20F6"/>
    <w:rsid w:val="003D2498"/>
    <w:rsid w:val="003D28ED"/>
    <w:rsid w:val="003D3060"/>
    <w:rsid w:val="003D310D"/>
    <w:rsid w:val="003D3787"/>
    <w:rsid w:val="003D379A"/>
    <w:rsid w:val="003D3AC5"/>
    <w:rsid w:val="003D3BE1"/>
    <w:rsid w:val="003D3D0A"/>
    <w:rsid w:val="003D3DA2"/>
    <w:rsid w:val="003D3E81"/>
    <w:rsid w:val="003D4103"/>
    <w:rsid w:val="003D414A"/>
    <w:rsid w:val="003D4155"/>
    <w:rsid w:val="003D41D8"/>
    <w:rsid w:val="003D4230"/>
    <w:rsid w:val="003D4331"/>
    <w:rsid w:val="003D4537"/>
    <w:rsid w:val="003D4581"/>
    <w:rsid w:val="003D4585"/>
    <w:rsid w:val="003D45E2"/>
    <w:rsid w:val="003D479B"/>
    <w:rsid w:val="003D49E3"/>
    <w:rsid w:val="003D4AB6"/>
    <w:rsid w:val="003D550D"/>
    <w:rsid w:val="003D5644"/>
    <w:rsid w:val="003D56F5"/>
    <w:rsid w:val="003D5906"/>
    <w:rsid w:val="003D5F12"/>
    <w:rsid w:val="003D6070"/>
    <w:rsid w:val="003D6190"/>
    <w:rsid w:val="003D661F"/>
    <w:rsid w:val="003D66B9"/>
    <w:rsid w:val="003D674B"/>
    <w:rsid w:val="003D6BE8"/>
    <w:rsid w:val="003D6C9A"/>
    <w:rsid w:val="003D6CBC"/>
    <w:rsid w:val="003D6CCF"/>
    <w:rsid w:val="003D6ECF"/>
    <w:rsid w:val="003D6F89"/>
    <w:rsid w:val="003D7139"/>
    <w:rsid w:val="003D71A1"/>
    <w:rsid w:val="003D726B"/>
    <w:rsid w:val="003D739C"/>
    <w:rsid w:val="003D773F"/>
    <w:rsid w:val="003D7791"/>
    <w:rsid w:val="003D78F7"/>
    <w:rsid w:val="003D790F"/>
    <w:rsid w:val="003D7BE9"/>
    <w:rsid w:val="003D7C68"/>
    <w:rsid w:val="003D7C6D"/>
    <w:rsid w:val="003D7D78"/>
    <w:rsid w:val="003D7DE4"/>
    <w:rsid w:val="003D7EBF"/>
    <w:rsid w:val="003E017C"/>
    <w:rsid w:val="003E022B"/>
    <w:rsid w:val="003E0399"/>
    <w:rsid w:val="003E04FC"/>
    <w:rsid w:val="003E05BF"/>
    <w:rsid w:val="003E082A"/>
    <w:rsid w:val="003E09D4"/>
    <w:rsid w:val="003E09F3"/>
    <w:rsid w:val="003E0A58"/>
    <w:rsid w:val="003E0B7E"/>
    <w:rsid w:val="003E0E3D"/>
    <w:rsid w:val="003E0F62"/>
    <w:rsid w:val="003E149B"/>
    <w:rsid w:val="003E14A0"/>
    <w:rsid w:val="003E156F"/>
    <w:rsid w:val="003E16DD"/>
    <w:rsid w:val="003E1A80"/>
    <w:rsid w:val="003E1B1D"/>
    <w:rsid w:val="003E1E92"/>
    <w:rsid w:val="003E1EA5"/>
    <w:rsid w:val="003E1EEF"/>
    <w:rsid w:val="003E1FC9"/>
    <w:rsid w:val="003E20BE"/>
    <w:rsid w:val="003E2126"/>
    <w:rsid w:val="003E214D"/>
    <w:rsid w:val="003E2157"/>
    <w:rsid w:val="003E2268"/>
    <w:rsid w:val="003E2380"/>
    <w:rsid w:val="003E2471"/>
    <w:rsid w:val="003E24FF"/>
    <w:rsid w:val="003E268F"/>
    <w:rsid w:val="003E285D"/>
    <w:rsid w:val="003E2913"/>
    <w:rsid w:val="003E2A49"/>
    <w:rsid w:val="003E2A8F"/>
    <w:rsid w:val="003E2D33"/>
    <w:rsid w:val="003E2DE9"/>
    <w:rsid w:val="003E31B6"/>
    <w:rsid w:val="003E327D"/>
    <w:rsid w:val="003E32FD"/>
    <w:rsid w:val="003E33BD"/>
    <w:rsid w:val="003E33EC"/>
    <w:rsid w:val="003E3476"/>
    <w:rsid w:val="003E3538"/>
    <w:rsid w:val="003E353F"/>
    <w:rsid w:val="003E356D"/>
    <w:rsid w:val="003E370B"/>
    <w:rsid w:val="003E3830"/>
    <w:rsid w:val="003E38A3"/>
    <w:rsid w:val="003E38E8"/>
    <w:rsid w:val="003E3CFC"/>
    <w:rsid w:val="003E3D34"/>
    <w:rsid w:val="003E3D65"/>
    <w:rsid w:val="003E40D2"/>
    <w:rsid w:val="003E4203"/>
    <w:rsid w:val="003E42EF"/>
    <w:rsid w:val="003E4362"/>
    <w:rsid w:val="003E46DA"/>
    <w:rsid w:val="003E49EC"/>
    <w:rsid w:val="003E4F1D"/>
    <w:rsid w:val="003E4FE0"/>
    <w:rsid w:val="003E5011"/>
    <w:rsid w:val="003E540B"/>
    <w:rsid w:val="003E54D6"/>
    <w:rsid w:val="003E553F"/>
    <w:rsid w:val="003E564C"/>
    <w:rsid w:val="003E5876"/>
    <w:rsid w:val="003E5A4F"/>
    <w:rsid w:val="003E5B4D"/>
    <w:rsid w:val="003E5F68"/>
    <w:rsid w:val="003E60AA"/>
    <w:rsid w:val="003E63C4"/>
    <w:rsid w:val="003E6847"/>
    <w:rsid w:val="003E6891"/>
    <w:rsid w:val="003E6C14"/>
    <w:rsid w:val="003E6D98"/>
    <w:rsid w:val="003E6DB3"/>
    <w:rsid w:val="003E6EA5"/>
    <w:rsid w:val="003E71C3"/>
    <w:rsid w:val="003E7382"/>
    <w:rsid w:val="003F00C6"/>
    <w:rsid w:val="003F0288"/>
    <w:rsid w:val="003F030F"/>
    <w:rsid w:val="003F0432"/>
    <w:rsid w:val="003F04C4"/>
    <w:rsid w:val="003F050D"/>
    <w:rsid w:val="003F0529"/>
    <w:rsid w:val="003F0713"/>
    <w:rsid w:val="003F0BCE"/>
    <w:rsid w:val="003F0C01"/>
    <w:rsid w:val="003F0C0A"/>
    <w:rsid w:val="003F1227"/>
    <w:rsid w:val="003F1252"/>
    <w:rsid w:val="003F1CF9"/>
    <w:rsid w:val="003F1FC0"/>
    <w:rsid w:val="003F21E3"/>
    <w:rsid w:val="003F2488"/>
    <w:rsid w:val="003F249E"/>
    <w:rsid w:val="003F28A6"/>
    <w:rsid w:val="003F28AA"/>
    <w:rsid w:val="003F2E41"/>
    <w:rsid w:val="003F2F1A"/>
    <w:rsid w:val="003F31F8"/>
    <w:rsid w:val="003F3224"/>
    <w:rsid w:val="003F33EE"/>
    <w:rsid w:val="003F3599"/>
    <w:rsid w:val="003F381A"/>
    <w:rsid w:val="003F3859"/>
    <w:rsid w:val="003F3A32"/>
    <w:rsid w:val="003F431B"/>
    <w:rsid w:val="003F4463"/>
    <w:rsid w:val="003F4641"/>
    <w:rsid w:val="003F4A74"/>
    <w:rsid w:val="003F5076"/>
    <w:rsid w:val="003F509B"/>
    <w:rsid w:val="003F5178"/>
    <w:rsid w:val="003F5587"/>
    <w:rsid w:val="003F5716"/>
    <w:rsid w:val="003F5ADB"/>
    <w:rsid w:val="003F5BBD"/>
    <w:rsid w:val="003F5BE7"/>
    <w:rsid w:val="003F604E"/>
    <w:rsid w:val="003F62A1"/>
    <w:rsid w:val="003F6536"/>
    <w:rsid w:val="003F65B9"/>
    <w:rsid w:val="003F68FB"/>
    <w:rsid w:val="003F6AC7"/>
    <w:rsid w:val="003F6C7D"/>
    <w:rsid w:val="003F6C8D"/>
    <w:rsid w:val="003F6E32"/>
    <w:rsid w:val="003F7287"/>
    <w:rsid w:val="003F7541"/>
    <w:rsid w:val="003F79E9"/>
    <w:rsid w:val="003F7D1D"/>
    <w:rsid w:val="003F7FC4"/>
    <w:rsid w:val="0040004F"/>
    <w:rsid w:val="004002C2"/>
    <w:rsid w:val="00400916"/>
    <w:rsid w:val="0040096C"/>
    <w:rsid w:val="00400AD7"/>
    <w:rsid w:val="00400B6F"/>
    <w:rsid w:val="00400B97"/>
    <w:rsid w:val="00401200"/>
    <w:rsid w:val="0040149D"/>
    <w:rsid w:val="00401729"/>
    <w:rsid w:val="00401789"/>
    <w:rsid w:val="00401892"/>
    <w:rsid w:val="00401898"/>
    <w:rsid w:val="004019CA"/>
    <w:rsid w:val="00401C2A"/>
    <w:rsid w:val="00401DAE"/>
    <w:rsid w:val="0040206B"/>
    <w:rsid w:val="00402132"/>
    <w:rsid w:val="0040213C"/>
    <w:rsid w:val="004021EC"/>
    <w:rsid w:val="00402203"/>
    <w:rsid w:val="004025DF"/>
    <w:rsid w:val="004025E1"/>
    <w:rsid w:val="0040267E"/>
    <w:rsid w:val="004029BC"/>
    <w:rsid w:val="00402AEE"/>
    <w:rsid w:val="00402C1B"/>
    <w:rsid w:val="00402CEA"/>
    <w:rsid w:val="00402D1F"/>
    <w:rsid w:val="00402F1B"/>
    <w:rsid w:val="00402F47"/>
    <w:rsid w:val="00402F59"/>
    <w:rsid w:val="0040321A"/>
    <w:rsid w:val="00403282"/>
    <w:rsid w:val="004033E7"/>
    <w:rsid w:val="00403467"/>
    <w:rsid w:val="00404078"/>
    <w:rsid w:val="00404220"/>
    <w:rsid w:val="00404319"/>
    <w:rsid w:val="00404384"/>
    <w:rsid w:val="00404434"/>
    <w:rsid w:val="0040444E"/>
    <w:rsid w:val="004044E2"/>
    <w:rsid w:val="00404662"/>
    <w:rsid w:val="004046D8"/>
    <w:rsid w:val="00404D0E"/>
    <w:rsid w:val="00404D5C"/>
    <w:rsid w:val="00404FEE"/>
    <w:rsid w:val="004050FE"/>
    <w:rsid w:val="0040519C"/>
    <w:rsid w:val="0040525A"/>
    <w:rsid w:val="004052DE"/>
    <w:rsid w:val="004052E1"/>
    <w:rsid w:val="00405364"/>
    <w:rsid w:val="0040537B"/>
    <w:rsid w:val="00405472"/>
    <w:rsid w:val="0040560A"/>
    <w:rsid w:val="004056A5"/>
    <w:rsid w:val="00405CC0"/>
    <w:rsid w:val="00405D30"/>
    <w:rsid w:val="004061C6"/>
    <w:rsid w:val="00406241"/>
    <w:rsid w:val="00406363"/>
    <w:rsid w:val="004064DD"/>
    <w:rsid w:val="0040668A"/>
    <w:rsid w:val="00406752"/>
    <w:rsid w:val="0040695E"/>
    <w:rsid w:val="00406DCF"/>
    <w:rsid w:val="00407022"/>
    <w:rsid w:val="004071A2"/>
    <w:rsid w:val="004071AF"/>
    <w:rsid w:val="004071B3"/>
    <w:rsid w:val="004071E5"/>
    <w:rsid w:val="004072FE"/>
    <w:rsid w:val="0040733D"/>
    <w:rsid w:val="0040736E"/>
    <w:rsid w:val="004073BA"/>
    <w:rsid w:val="00407460"/>
    <w:rsid w:val="0040753B"/>
    <w:rsid w:val="00407951"/>
    <w:rsid w:val="00407C43"/>
    <w:rsid w:val="00407C62"/>
    <w:rsid w:val="00407DAC"/>
    <w:rsid w:val="00407E41"/>
    <w:rsid w:val="00407F2A"/>
    <w:rsid w:val="00407FE5"/>
    <w:rsid w:val="00410176"/>
    <w:rsid w:val="0041049F"/>
    <w:rsid w:val="0041058B"/>
    <w:rsid w:val="0041070F"/>
    <w:rsid w:val="00410866"/>
    <w:rsid w:val="00410E0E"/>
    <w:rsid w:val="00411161"/>
    <w:rsid w:val="004112DB"/>
    <w:rsid w:val="004113F0"/>
    <w:rsid w:val="004114A9"/>
    <w:rsid w:val="00411575"/>
    <w:rsid w:val="00411609"/>
    <w:rsid w:val="004118B5"/>
    <w:rsid w:val="00411AB2"/>
    <w:rsid w:val="00411CA1"/>
    <w:rsid w:val="00412155"/>
    <w:rsid w:val="0041224D"/>
    <w:rsid w:val="0041247C"/>
    <w:rsid w:val="004125FC"/>
    <w:rsid w:val="004129FA"/>
    <w:rsid w:val="00412AC0"/>
    <w:rsid w:val="00412EC5"/>
    <w:rsid w:val="00412EF7"/>
    <w:rsid w:val="0041308E"/>
    <w:rsid w:val="004134E4"/>
    <w:rsid w:val="0041390D"/>
    <w:rsid w:val="00413AB9"/>
    <w:rsid w:val="00413B46"/>
    <w:rsid w:val="00413D41"/>
    <w:rsid w:val="00413DCB"/>
    <w:rsid w:val="00413E29"/>
    <w:rsid w:val="00413E70"/>
    <w:rsid w:val="00414049"/>
    <w:rsid w:val="004141E3"/>
    <w:rsid w:val="0041437D"/>
    <w:rsid w:val="00414517"/>
    <w:rsid w:val="0041459B"/>
    <w:rsid w:val="004145AF"/>
    <w:rsid w:val="00414872"/>
    <w:rsid w:val="00414873"/>
    <w:rsid w:val="004148F7"/>
    <w:rsid w:val="0041499A"/>
    <w:rsid w:val="00414C8F"/>
    <w:rsid w:val="00414C95"/>
    <w:rsid w:val="00414CE5"/>
    <w:rsid w:val="00414E31"/>
    <w:rsid w:val="00414F75"/>
    <w:rsid w:val="00414F88"/>
    <w:rsid w:val="00415016"/>
    <w:rsid w:val="004150D0"/>
    <w:rsid w:val="004150E7"/>
    <w:rsid w:val="004151D5"/>
    <w:rsid w:val="0041567D"/>
    <w:rsid w:val="00415955"/>
    <w:rsid w:val="004159F0"/>
    <w:rsid w:val="00415A68"/>
    <w:rsid w:val="00415EA5"/>
    <w:rsid w:val="00416084"/>
    <w:rsid w:val="004160AF"/>
    <w:rsid w:val="00416186"/>
    <w:rsid w:val="00416331"/>
    <w:rsid w:val="00416393"/>
    <w:rsid w:val="004169F8"/>
    <w:rsid w:val="00416B41"/>
    <w:rsid w:val="00416B5B"/>
    <w:rsid w:val="00416C0B"/>
    <w:rsid w:val="00416C27"/>
    <w:rsid w:val="00416D5E"/>
    <w:rsid w:val="00416E66"/>
    <w:rsid w:val="004170E3"/>
    <w:rsid w:val="0041711D"/>
    <w:rsid w:val="0041720C"/>
    <w:rsid w:val="00417300"/>
    <w:rsid w:val="00417613"/>
    <w:rsid w:val="0041769E"/>
    <w:rsid w:val="004176CB"/>
    <w:rsid w:val="004177CE"/>
    <w:rsid w:val="00417802"/>
    <w:rsid w:val="00417A08"/>
    <w:rsid w:val="00417C86"/>
    <w:rsid w:val="00417D95"/>
    <w:rsid w:val="00417E1E"/>
    <w:rsid w:val="0042020C"/>
    <w:rsid w:val="0042053B"/>
    <w:rsid w:val="0042093C"/>
    <w:rsid w:val="004209DE"/>
    <w:rsid w:val="00420BB1"/>
    <w:rsid w:val="00420BC8"/>
    <w:rsid w:val="00420D88"/>
    <w:rsid w:val="00420D8A"/>
    <w:rsid w:val="00420FEE"/>
    <w:rsid w:val="004210F9"/>
    <w:rsid w:val="004211B4"/>
    <w:rsid w:val="00421273"/>
    <w:rsid w:val="00421421"/>
    <w:rsid w:val="0042150F"/>
    <w:rsid w:val="00421563"/>
    <w:rsid w:val="00421BC0"/>
    <w:rsid w:val="00421C79"/>
    <w:rsid w:val="0042216F"/>
    <w:rsid w:val="00422273"/>
    <w:rsid w:val="0042234A"/>
    <w:rsid w:val="00422462"/>
    <w:rsid w:val="00422495"/>
    <w:rsid w:val="00422758"/>
    <w:rsid w:val="00422924"/>
    <w:rsid w:val="00422CF6"/>
    <w:rsid w:val="00422E70"/>
    <w:rsid w:val="00422E88"/>
    <w:rsid w:val="00422FF0"/>
    <w:rsid w:val="00423558"/>
    <w:rsid w:val="00423678"/>
    <w:rsid w:val="004237B4"/>
    <w:rsid w:val="00423BCC"/>
    <w:rsid w:val="00423C17"/>
    <w:rsid w:val="00423E0C"/>
    <w:rsid w:val="00423F4D"/>
    <w:rsid w:val="004241A8"/>
    <w:rsid w:val="0042477D"/>
    <w:rsid w:val="00424846"/>
    <w:rsid w:val="00424859"/>
    <w:rsid w:val="00424862"/>
    <w:rsid w:val="0042489E"/>
    <w:rsid w:val="00424AE5"/>
    <w:rsid w:val="00424B9E"/>
    <w:rsid w:val="00424BF4"/>
    <w:rsid w:val="00424DC3"/>
    <w:rsid w:val="00424EF7"/>
    <w:rsid w:val="004254B7"/>
    <w:rsid w:val="00425500"/>
    <w:rsid w:val="0042583F"/>
    <w:rsid w:val="00425A6C"/>
    <w:rsid w:val="00425A8C"/>
    <w:rsid w:val="00425B46"/>
    <w:rsid w:val="00425BC3"/>
    <w:rsid w:val="00425CC3"/>
    <w:rsid w:val="00425DE5"/>
    <w:rsid w:val="00425EDC"/>
    <w:rsid w:val="0042623A"/>
    <w:rsid w:val="004263CB"/>
    <w:rsid w:val="00426407"/>
    <w:rsid w:val="004267E3"/>
    <w:rsid w:val="0042680A"/>
    <w:rsid w:val="00426939"/>
    <w:rsid w:val="00426AE2"/>
    <w:rsid w:val="00426CDE"/>
    <w:rsid w:val="00426D4F"/>
    <w:rsid w:val="00426DA9"/>
    <w:rsid w:val="0042713E"/>
    <w:rsid w:val="00427384"/>
    <w:rsid w:val="00427398"/>
    <w:rsid w:val="004273BD"/>
    <w:rsid w:val="004275D0"/>
    <w:rsid w:val="00427822"/>
    <w:rsid w:val="0042789F"/>
    <w:rsid w:val="00427C3A"/>
    <w:rsid w:val="00427F3B"/>
    <w:rsid w:val="00427FF9"/>
    <w:rsid w:val="00430189"/>
    <w:rsid w:val="0043026F"/>
    <w:rsid w:val="00430433"/>
    <w:rsid w:val="0043076D"/>
    <w:rsid w:val="00430AA2"/>
    <w:rsid w:val="00430BD9"/>
    <w:rsid w:val="00430F57"/>
    <w:rsid w:val="00430FEA"/>
    <w:rsid w:val="00430FF9"/>
    <w:rsid w:val="00431004"/>
    <w:rsid w:val="00431034"/>
    <w:rsid w:val="004310D5"/>
    <w:rsid w:val="00431163"/>
    <w:rsid w:val="004313E1"/>
    <w:rsid w:val="004315A8"/>
    <w:rsid w:val="004315FC"/>
    <w:rsid w:val="0043163D"/>
    <w:rsid w:val="00431A0C"/>
    <w:rsid w:val="00431AED"/>
    <w:rsid w:val="00431B14"/>
    <w:rsid w:val="00431D9F"/>
    <w:rsid w:val="00431DF2"/>
    <w:rsid w:val="00431F4E"/>
    <w:rsid w:val="00432152"/>
    <w:rsid w:val="004321A6"/>
    <w:rsid w:val="004323AF"/>
    <w:rsid w:val="004326EC"/>
    <w:rsid w:val="0043279C"/>
    <w:rsid w:val="00432842"/>
    <w:rsid w:val="004329C3"/>
    <w:rsid w:val="004330F6"/>
    <w:rsid w:val="00433452"/>
    <w:rsid w:val="004335A8"/>
    <w:rsid w:val="004335E2"/>
    <w:rsid w:val="0043362E"/>
    <w:rsid w:val="00433855"/>
    <w:rsid w:val="004338A5"/>
    <w:rsid w:val="004338BC"/>
    <w:rsid w:val="00433BF2"/>
    <w:rsid w:val="00433E2E"/>
    <w:rsid w:val="00433EA3"/>
    <w:rsid w:val="00434073"/>
    <w:rsid w:val="004343A7"/>
    <w:rsid w:val="0043466A"/>
    <w:rsid w:val="00434824"/>
    <w:rsid w:val="004348C4"/>
    <w:rsid w:val="00434C8F"/>
    <w:rsid w:val="00434DAB"/>
    <w:rsid w:val="00434FD0"/>
    <w:rsid w:val="0043543C"/>
    <w:rsid w:val="00435476"/>
    <w:rsid w:val="0043548E"/>
    <w:rsid w:val="0043591C"/>
    <w:rsid w:val="00435986"/>
    <w:rsid w:val="00435C87"/>
    <w:rsid w:val="00435F22"/>
    <w:rsid w:val="00435FBA"/>
    <w:rsid w:val="00436354"/>
    <w:rsid w:val="004364E4"/>
    <w:rsid w:val="0043652A"/>
    <w:rsid w:val="00436667"/>
    <w:rsid w:val="00436727"/>
    <w:rsid w:val="004367DB"/>
    <w:rsid w:val="004372AA"/>
    <w:rsid w:val="004375B9"/>
    <w:rsid w:val="00437758"/>
    <w:rsid w:val="00437850"/>
    <w:rsid w:val="004379A4"/>
    <w:rsid w:val="00437E47"/>
    <w:rsid w:val="00437F6F"/>
    <w:rsid w:val="004400A3"/>
    <w:rsid w:val="004400B0"/>
    <w:rsid w:val="0044012E"/>
    <w:rsid w:val="004402D6"/>
    <w:rsid w:val="004403B7"/>
    <w:rsid w:val="00440427"/>
    <w:rsid w:val="00440465"/>
    <w:rsid w:val="004406C5"/>
    <w:rsid w:val="00440B9A"/>
    <w:rsid w:val="00440BFC"/>
    <w:rsid w:val="00440EB2"/>
    <w:rsid w:val="00440EE4"/>
    <w:rsid w:val="00440EF9"/>
    <w:rsid w:val="00440F3D"/>
    <w:rsid w:val="00440FE6"/>
    <w:rsid w:val="00441553"/>
    <w:rsid w:val="004417ED"/>
    <w:rsid w:val="00441C02"/>
    <w:rsid w:val="00441C9D"/>
    <w:rsid w:val="004421A2"/>
    <w:rsid w:val="004422DF"/>
    <w:rsid w:val="004422EE"/>
    <w:rsid w:val="004423D0"/>
    <w:rsid w:val="00442426"/>
    <w:rsid w:val="0044259D"/>
    <w:rsid w:val="004426C2"/>
    <w:rsid w:val="0044282C"/>
    <w:rsid w:val="004429C4"/>
    <w:rsid w:val="00442B68"/>
    <w:rsid w:val="00442C31"/>
    <w:rsid w:val="00442C47"/>
    <w:rsid w:val="00442D6A"/>
    <w:rsid w:val="00442DE2"/>
    <w:rsid w:val="00442EF4"/>
    <w:rsid w:val="00443314"/>
    <w:rsid w:val="00443320"/>
    <w:rsid w:val="004433A7"/>
    <w:rsid w:val="00443685"/>
    <w:rsid w:val="00443B3F"/>
    <w:rsid w:val="00443CE3"/>
    <w:rsid w:val="00443FBE"/>
    <w:rsid w:val="00444055"/>
    <w:rsid w:val="004440CD"/>
    <w:rsid w:val="00444168"/>
    <w:rsid w:val="00444211"/>
    <w:rsid w:val="00444346"/>
    <w:rsid w:val="0044461E"/>
    <w:rsid w:val="00444BF3"/>
    <w:rsid w:val="00444C6C"/>
    <w:rsid w:val="00444CD8"/>
    <w:rsid w:val="00444D59"/>
    <w:rsid w:val="00444D96"/>
    <w:rsid w:val="00444DFA"/>
    <w:rsid w:val="00444E65"/>
    <w:rsid w:val="00444FC8"/>
    <w:rsid w:val="00444FEB"/>
    <w:rsid w:val="00445293"/>
    <w:rsid w:val="0044529C"/>
    <w:rsid w:val="004454CC"/>
    <w:rsid w:val="00445596"/>
    <w:rsid w:val="004455FA"/>
    <w:rsid w:val="00445A08"/>
    <w:rsid w:val="00445B64"/>
    <w:rsid w:val="00445D06"/>
    <w:rsid w:val="00445DD6"/>
    <w:rsid w:val="00445E09"/>
    <w:rsid w:val="0044614C"/>
    <w:rsid w:val="00446250"/>
    <w:rsid w:val="00446304"/>
    <w:rsid w:val="00446367"/>
    <w:rsid w:val="004463D7"/>
    <w:rsid w:val="0044645F"/>
    <w:rsid w:val="00446483"/>
    <w:rsid w:val="004468E1"/>
    <w:rsid w:val="00446995"/>
    <w:rsid w:val="00446D3B"/>
    <w:rsid w:val="00446FD3"/>
    <w:rsid w:val="00446FEB"/>
    <w:rsid w:val="004470BE"/>
    <w:rsid w:val="004471B1"/>
    <w:rsid w:val="0044754C"/>
    <w:rsid w:val="00447699"/>
    <w:rsid w:val="00447895"/>
    <w:rsid w:val="004479DB"/>
    <w:rsid w:val="00447A0C"/>
    <w:rsid w:val="00447A93"/>
    <w:rsid w:val="00447FF2"/>
    <w:rsid w:val="00450192"/>
    <w:rsid w:val="00450254"/>
    <w:rsid w:val="004502CB"/>
    <w:rsid w:val="00450499"/>
    <w:rsid w:val="0045062B"/>
    <w:rsid w:val="004507A7"/>
    <w:rsid w:val="004507D0"/>
    <w:rsid w:val="00450AA4"/>
    <w:rsid w:val="00450B02"/>
    <w:rsid w:val="00450BC1"/>
    <w:rsid w:val="00450C06"/>
    <w:rsid w:val="00450C46"/>
    <w:rsid w:val="00450DD6"/>
    <w:rsid w:val="00450EC9"/>
    <w:rsid w:val="00450F47"/>
    <w:rsid w:val="00451213"/>
    <w:rsid w:val="0045128D"/>
    <w:rsid w:val="00451482"/>
    <w:rsid w:val="00451572"/>
    <w:rsid w:val="00451619"/>
    <w:rsid w:val="00451627"/>
    <w:rsid w:val="0045175F"/>
    <w:rsid w:val="00451B35"/>
    <w:rsid w:val="00451C1D"/>
    <w:rsid w:val="00451C5F"/>
    <w:rsid w:val="00451E00"/>
    <w:rsid w:val="0045204F"/>
    <w:rsid w:val="004520AE"/>
    <w:rsid w:val="004520C5"/>
    <w:rsid w:val="0045221C"/>
    <w:rsid w:val="004522D0"/>
    <w:rsid w:val="0045247B"/>
    <w:rsid w:val="004524EC"/>
    <w:rsid w:val="004525FC"/>
    <w:rsid w:val="00452649"/>
    <w:rsid w:val="004528A5"/>
    <w:rsid w:val="00452A12"/>
    <w:rsid w:val="00452A5D"/>
    <w:rsid w:val="00452C83"/>
    <w:rsid w:val="00452D57"/>
    <w:rsid w:val="00453114"/>
    <w:rsid w:val="00453252"/>
    <w:rsid w:val="004532F6"/>
    <w:rsid w:val="0045340E"/>
    <w:rsid w:val="00453699"/>
    <w:rsid w:val="00453778"/>
    <w:rsid w:val="004537DC"/>
    <w:rsid w:val="004537E8"/>
    <w:rsid w:val="00453973"/>
    <w:rsid w:val="00453A1C"/>
    <w:rsid w:val="00453A2E"/>
    <w:rsid w:val="00453B7B"/>
    <w:rsid w:val="00453DF8"/>
    <w:rsid w:val="00453F94"/>
    <w:rsid w:val="004544B0"/>
    <w:rsid w:val="004544E5"/>
    <w:rsid w:val="0045451C"/>
    <w:rsid w:val="004546F1"/>
    <w:rsid w:val="0045477C"/>
    <w:rsid w:val="00454BC6"/>
    <w:rsid w:val="00454D15"/>
    <w:rsid w:val="00454DD9"/>
    <w:rsid w:val="0045511C"/>
    <w:rsid w:val="0045549C"/>
    <w:rsid w:val="0045577B"/>
    <w:rsid w:val="004557D4"/>
    <w:rsid w:val="00455B85"/>
    <w:rsid w:val="00455F53"/>
    <w:rsid w:val="00455FDA"/>
    <w:rsid w:val="0045606B"/>
    <w:rsid w:val="004565CD"/>
    <w:rsid w:val="004566A8"/>
    <w:rsid w:val="004566EF"/>
    <w:rsid w:val="00456D23"/>
    <w:rsid w:val="00456DD3"/>
    <w:rsid w:val="00456E84"/>
    <w:rsid w:val="004572D3"/>
    <w:rsid w:val="00457320"/>
    <w:rsid w:val="00457341"/>
    <w:rsid w:val="00457347"/>
    <w:rsid w:val="00457385"/>
    <w:rsid w:val="00457420"/>
    <w:rsid w:val="00457543"/>
    <w:rsid w:val="00457610"/>
    <w:rsid w:val="004576CB"/>
    <w:rsid w:val="00457876"/>
    <w:rsid w:val="00457CDA"/>
    <w:rsid w:val="00457CF9"/>
    <w:rsid w:val="00457F14"/>
    <w:rsid w:val="00457F54"/>
    <w:rsid w:val="00457F6C"/>
    <w:rsid w:val="00457FB9"/>
    <w:rsid w:val="0045E612"/>
    <w:rsid w:val="00460062"/>
    <w:rsid w:val="00460235"/>
    <w:rsid w:val="0046023A"/>
    <w:rsid w:val="004603FA"/>
    <w:rsid w:val="0046074D"/>
    <w:rsid w:val="004608DC"/>
    <w:rsid w:val="00460A4B"/>
    <w:rsid w:val="00460CC2"/>
    <w:rsid w:val="00460DCD"/>
    <w:rsid w:val="00460F2F"/>
    <w:rsid w:val="00460FA1"/>
    <w:rsid w:val="0046112D"/>
    <w:rsid w:val="004612AF"/>
    <w:rsid w:val="004613E2"/>
    <w:rsid w:val="00461490"/>
    <w:rsid w:val="00461657"/>
    <w:rsid w:val="004616A3"/>
    <w:rsid w:val="004616D9"/>
    <w:rsid w:val="004617A5"/>
    <w:rsid w:val="00461BBB"/>
    <w:rsid w:val="00461BED"/>
    <w:rsid w:val="00461C76"/>
    <w:rsid w:val="00461CBA"/>
    <w:rsid w:val="00461D7C"/>
    <w:rsid w:val="00461E3C"/>
    <w:rsid w:val="004622DD"/>
    <w:rsid w:val="00462403"/>
    <w:rsid w:val="00462530"/>
    <w:rsid w:val="004626CE"/>
    <w:rsid w:val="0046283A"/>
    <w:rsid w:val="004628F5"/>
    <w:rsid w:val="004629D4"/>
    <w:rsid w:val="004629F6"/>
    <w:rsid w:val="00462A26"/>
    <w:rsid w:val="00462CDF"/>
    <w:rsid w:val="00462CE1"/>
    <w:rsid w:val="00462D28"/>
    <w:rsid w:val="00462EBE"/>
    <w:rsid w:val="00462F8B"/>
    <w:rsid w:val="00463090"/>
    <w:rsid w:val="00463147"/>
    <w:rsid w:val="00463434"/>
    <w:rsid w:val="0046363E"/>
    <w:rsid w:val="00463C4E"/>
    <w:rsid w:val="004642E8"/>
    <w:rsid w:val="004643E5"/>
    <w:rsid w:val="004646D8"/>
    <w:rsid w:val="00464C47"/>
    <w:rsid w:val="00464CA2"/>
    <w:rsid w:val="00464FD0"/>
    <w:rsid w:val="004650B1"/>
    <w:rsid w:val="004650BC"/>
    <w:rsid w:val="004651C8"/>
    <w:rsid w:val="0046527B"/>
    <w:rsid w:val="004653F6"/>
    <w:rsid w:val="0046540A"/>
    <w:rsid w:val="0046558B"/>
    <w:rsid w:val="004655F0"/>
    <w:rsid w:val="00465B2E"/>
    <w:rsid w:val="00465BC9"/>
    <w:rsid w:val="00466031"/>
    <w:rsid w:val="00466127"/>
    <w:rsid w:val="004661C7"/>
    <w:rsid w:val="004662B7"/>
    <w:rsid w:val="0046630D"/>
    <w:rsid w:val="004667B1"/>
    <w:rsid w:val="00466A35"/>
    <w:rsid w:val="00466AEE"/>
    <w:rsid w:val="00466BEE"/>
    <w:rsid w:val="00466C28"/>
    <w:rsid w:val="00467146"/>
    <w:rsid w:val="00467170"/>
    <w:rsid w:val="00467916"/>
    <w:rsid w:val="00467A01"/>
    <w:rsid w:val="00467A41"/>
    <w:rsid w:val="00467DBD"/>
    <w:rsid w:val="00467DD1"/>
    <w:rsid w:val="00467F04"/>
    <w:rsid w:val="004697E4"/>
    <w:rsid w:val="0047019E"/>
    <w:rsid w:val="0047020A"/>
    <w:rsid w:val="004702FF"/>
    <w:rsid w:val="00470576"/>
    <w:rsid w:val="00470AD3"/>
    <w:rsid w:val="00470BB5"/>
    <w:rsid w:val="00470C45"/>
    <w:rsid w:val="00470C86"/>
    <w:rsid w:val="00470E56"/>
    <w:rsid w:val="0047113E"/>
    <w:rsid w:val="00471445"/>
    <w:rsid w:val="00471691"/>
    <w:rsid w:val="004717D0"/>
    <w:rsid w:val="00471919"/>
    <w:rsid w:val="00471960"/>
    <w:rsid w:val="00471A56"/>
    <w:rsid w:val="00471A91"/>
    <w:rsid w:val="00471B56"/>
    <w:rsid w:val="00471C6F"/>
    <w:rsid w:val="0047244E"/>
    <w:rsid w:val="004725FA"/>
    <w:rsid w:val="0047269F"/>
    <w:rsid w:val="0047273A"/>
    <w:rsid w:val="00472823"/>
    <w:rsid w:val="00472876"/>
    <w:rsid w:val="0047294D"/>
    <w:rsid w:val="00472CBC"/>
    <w:rsid w:val="00473308"/>
    <w:rsid w:val="00473396"/>
    <w:rsid w:val="004733C1"/>
    <w:rsid w:val="00473633"/>
    <w:rsid w:val="00473777"/>
    <w:rsid w:val="004738CC"/>
    <w:rsid w:val="00473E03"/>
    <w:rsid w:val="00473FEE"/>
    <w:rsid w:val="00474279"/>
    <w:rsid w:val="00474540"/>
    <w:rsid w:val="0047455C"/>
    <w:rsid w:val="004746CE"/>
    <w:rsid w:val="0047497C"/>
    <w:rsid w:val="00474AA6"/>
    <w:rsid w:val="00474B70"/>
    <w:rsid w:val="00474B83"/>
    <w:rsid w:val="00474DEA"/>
    <w:rsid w:val="004750C8"/>
    <w:rsid w:val="0047514C"/>
    <w:rsid w:val="0047543B"/>
    <w:rsid w:val="004754F2"/>
    <w:rsid w:val="004757E8"/>
    <w:rsid w:val="0047580D"/>
    <w:rsid w:val="00475883"/>
    <w:rsid w:val="0047591F"/>
    <w:rsid w:val="00475B23"/>
    <w:rsid w:val="00475B78"/>
    <w:rsid w:val="00475BAE"/>
    <w:rsid w:val="00475C67"/>
    <w:rsid w:val="00475DFF"/>
    <w:rsid w:val="00475E17"/>
    <w:rsid w:val="004760AC"/>
    <w:rsid w:val="00476238"/>
    <w:rsid w:val="00476446"/>
    <w:rsid w:val="0047647B"/>
    <w:rsid w:val="004764C7"/>
    <w:rsid w:val="004767E8"/>
    <w:rsid w:val="00476847"/>
    <w:rsid w:val="00476A01"/>
    <w:rsid w:val="00476A44"/>
    <w:rsid w:val="00476B32"/>
    <w:rsid w:val="00476D12"/>
    <w:rsid w:val="00476F39"/>
    <w:rsid w:val="00476F59"/>
    <w:rsid w:val="00476FD6"/>
    <w:rsid w:val="00476FE3"/>
    <w:rsid w:val="00477142"/>
    <w:rsid w:val="00477227"/>
    <w:rsid w:val="0047723D"/>
    <w:rsid w:val="004772DD"/>
    <w:rsid w:val="00477635"/>
    <w:rsid w:val="00477719"/>
    <w:rsid w:val="00477926"/>
    <w:rsid w:val="0047794C"/>
    <w:rsid w:val="00477A0F"/>
    <w:rsid w:val="004800F5"/>
    <w:rsid w:val="00480328"/>
    <w:rsid w:val="00480460"/>
    <w:rsid w:val="00480464"/>
    <w:rsid w:val="004805F5"/>
    <w:rsid w:val="00480619"/>
    <w:rsid w:val="004807E4"/>
    <w:rsid w:val="004809CF"/>
    <w:rsid w:val="004809DF"/>
    <w:rsid w:val="00481403"/>
    <w:rsid w:val="00481424"/>
    <w:rsid w:val="00481501"/>
    <w:rsid w:val="00481568"/>
    <w:rsid w:val="004819BF"/>
    <w:rsid w:val="00481A58"/>
    <w:rsid w:val="00481C18"/>
    <w:rsid w:val="00481F13"/>
    <w:rsid w:val="00481F1A"/>
    <w:rsid w:val="00481FDE"/>
    <w:rsid w:val="00482028"/>
    <w:rsid w:val="004822AD"/>
    <w:rsid w:val="00482C93"/>
    <w:rsid w:val="00482CD9"/>
    <w:rsid w:val="00482D7F"/>
    <w:rsid w:val="00482DAD"/>
    <w:rsid w:val="00482FCD"/>
    <w:rsid w:val="004831FA"/>
    <w:rsid w:val="0048321D"/>
    <w:rsid w:val="004832E5"/>
    <w:rsid w:val="00483831"/>
    <w:rsid w:val="00483900"/>
    <w:rsid w:val="00483972"/>
    <w:rsid w:val="00483A34"/>
    <w:rsid w:val="00483CC3"/>
    <w:rsid w:val="00483EE9"/>
    <w:rsid w:val="004840D5"/>
    <w:rsid w:val="0048412E"/>
    <w:rsid w:val="00484403"/>
    <w:rsid w:val="00484950"/>
    <w:rsid w:val="00484C80"/>
    <w:rsid w:val="00484CD6"/>
    <w:rsid w:val="00485003"/>
    <w:rsid w:val="00485331"/>
    <w:rsid w:val="004856A8"/>
    <w:rsid w:val="00485993"/>
    <w:rsid w:val="00485C7A"/>
    <w:rsid w:val="00485FAA"/>
    <w:rsid w:val="00486131"/>
    <w:rsid w:val="00486402"/>
    <w:rsid w:val="004864CC"/>
    <w:rsid w:val="00486B55"/>
    <w:rsid w:val="00486CD1"/>
    <w:rsid w:val="00486F79"/>
    <w:rsid w:val="004871F1"/>
    <w:rsid w:val="00487662"/>
    <w:rsid w:val="004876B5"/>
    <w:rsid w:val="004877D0"/>
    <w:rsid w:val="00487823"/>
    <w:rsid w:val="00487932"/>
    <w:rsid w:val="004879E1"/>
    <w:rsid w:val="004879F7"/>
    <w:rsid w:val="00487A5F"/>
    <w:rsid w:val="00487B6A"/>
    <w:rsid w:val="00487EF8"/>
    <w:rsid w:val="00487F3F"/>
    <w:rsid w:val="004900E0"/>
    <w:rsid w:val="004905D1"/>
    <w:rsid w:val="00490773"/>
    <w:rsid w:val="00490B11"/>
    <w:rsid w:val="00490B85"/>
    <w:rsid w:val="00490F48"/>
    <w:rsid w:val="0049105C"/>
    <w:rsid w:val="00491187"/>
    <w:rsid w:val="00491233"/>
    <w:rsid w:val="004915AC"/>
    <w:rsid w:val="0049178D"/>
    <w:rsid w:val="004917BD"/>
    <w:rsid w:val="004919A7"/>
    <w:rsid w:val="00491AC5"/>
    <w:rsid w:val="00491ACB"/>
    <w:rsid w:val="00491AD2"/>
    <w:rsid w:val="00491E0D"/>
    <w:rsid w:val="00492067"/>
    <w:rsid w:val="00492534"/>
    <w:rsid w:val="004928CE"/>
    <w:rsid w:val="00492A3A"/>
    <w:rsid w:val="00492AA2"/>
    <w:rsid w:val="00492CAF"/>
    <w:rsid w:val="00492E72"/>
    <w:rsid w:val="00493497"/>
    <w:rsid w:val="004937EC"/>
    <w:rsid w:val="004938F7"/>
    <w:rsid w:val="004939EC"/>
    <w:rsid w:val="00493CA6"/>
    <w:rsid w:val="00493D29"/>
    <w:rsid w:val="00493E18"/>
    <w:rsid w:val="00493F7C"/>
    <w:rsid w:val="00493F95"/>
    <w:rsid w:val="0049417D"/>
    <w:rsid w:val="00494199"/>
    <w:rsid w:val="00494546"/>
    <w:rsid w:val="00494549"/>
    <w:rsid w:val="00494638"/>
    <w:rsid w:val="0049465B"/>
    <w:rsid w:val="004946A3"/>
    <w:rsid w:val="0049477A"/>
    <w:rsid w:val="00494789"/>
    <w:rsid w:val="00494A86"/>
    <w:rsid w:val="00494A89"/>
    <w:rsid w:val="00495044"/>
    <w:rsid w:val="004952C0"/>
    <w:rsid w:val="0049542D"/>
    <w:rsid w:val="00495F59"/>
    <w:rsid w:val="00496010"/>
    <w:rsid w:val="00496277"/>
    <w:rsid w:val="00496392"/>
    <w:rsid w:val="00496752"/>
    <w:rsid w:val="0049686A"/>
    <w:rsid w:val="00496996"/>
    <w:rsid w:val="00496E67"/>
    <w:rsid w:val="00497189"/>
    <w:rsid w:val="0049738D"/>
    <w:rsid w:val="0049753A"/>
    <w:rsid w:val="0049758C"/>
    <w:rsid w:val="0049783E"/>
    <w:rsid w:val="00497AEF"/>
    <w:rsid w:val="00497DAE"/>
    <w:rsid w:val="004A01FD"/>
    <w:rsid w:val="004A0486"/>
    <w:rsid w:val="004A089C"/>
    <w:rsid w:val="004A0925"/>
    <w:rsid w:val="004A0A1D"/>
    <w:rsid w:val="004A0BF3"/>
    <w:rsid w:val="004A0EC0"/>
    <w:rsid w:val="004A105E"/>
    <w:rsid w:val="004A1436"/>
    <w:rsid w:val="004A157F"/>
    <w:rsid w:val="004A186B"/>
    <w:rsid w:val="004A1986"/>
    <w:rsid w:val="004A1DA4"/>
    <w:rsid w:val="004A1E62"/>
    <w:rsid w:val="004A2221"/>
    <w:rsid w:val="004A2238"/>
    <w:rsid w:val="004A2367"/>
    <w:rsid w:val="004A237A"/>
    <w:rsid w:val="004A2673"/>
    <w:rsid w:val="004A2679"/>
    <w:rsid w:val="004A26C6"/>
    <w:rsid w:val="004A288B"/>
    <w:rsid w:val="004A2A01"/>
    <w:rsid w:val="004A2A24"/>
    <w:rsid w:val="004A2EFC"/>
    <w:rsid w:val="004A2FBA"/>
    <w:rsid w:val="004A3308"/>
    <w:rsid w:val="004A337F"/>
    <w:rsid w:val="004A380D"/>
    <w:rsid w:val="004A390B"/>
    <w:rsid w:val="004A3B6F"/>
    <w:rsid w:val="004A3CC0"/>
    <w:rsid w:val="004A3FB4"/>
    <w:rsid w:val="004A3FD2"/>
    <w:rsid w:val="004A4110"/>
    <w:rsid w:val="004A441B"/>
    <w:rsid w:val="004A46CB"/>
    <w:rsid w:val="004A47C6"/>
    <w:rsid w:val="004A4988"/>
    <w:rsid w:val="004A4B47"/>
    <w:rsid w:val="004A5012"/>
    <w:rsid w:val="004A5568"/>
    <w:rsid w:val="004A560E"/>
    <w:rsid w:val="004A57AE"/>
    <w:rsid w:val="004A5810"/>
    <w:rsid w:val="004A5873"/>
    <w:rsid w:val="004A618D"/>
    <w:rsid w:val="004A6231"/>
    <w:rsid w:val="004A6429"/>
    <w:rsid w:val="004A65C4"/>
    <w:rsid w:val="004A6654"/>
    <w:rsid w:val="004A6B18"/>
    <w:rsid w:val="004A6ED2"/>
    <w:rsid w:val="004A718F"/>
    <w:rsid w:val="004A78AC"/>
    <w:rsid w:val="004A7AEB"/>
    <w:rsid w:val="004A7C33"/>
    <w:rsid w:val="004A7D67"/>
    <w:rsid w:val="004A7F30"/>
    <w:rsid w:val="004B01A1"/>
    <w:rsid w:val="004B0249"/>
    <w:rsid w:val="004B042F"/>
    <w:rsid w:val="004B0485"/>
    <w:rsid w:val="004B04A3"/>
    <w:rsid w:val="004B06C9"/>
    <w:rsid w:val="004B06E7"/>
    <w:rsid w:val="004B089E"/>
    <w:rsid w:val="004B08B2"/>
    <w:rsid w:val="004B08C4"/>
    <w:rsid w:val="004B0AA4"/>
    <w:rsid w:val="004B0BCF"/>
    <w:rsid w:val="004B0C18"/>
    <w:rsid w:val="004B0C9A"/>
    <w:rsid w:val="004B0D5E"/>
    <w:rsid w:val="004B1068"/>
    <w:rsid w:val="004B116A"/>
    <w:rsid w:val="004B11D0"/>
    <w:rsid w:val="004B1F05"/>
    <w:rsid w:val="004B2099"/>
    <w:rsid w:val="004B22D6"/>
    <w:rsid w:val="004B255F"/>
    <w:rsid w:val="004B268F"/>
    <w:rsid w:val="004B2714"/>
    <w:rsid w:val="004B2A1C"/>
    <w:rsid w:val="004B30BF"/>
    <w:rsid w:val="004B35A1"/>
    <w:rsid w:val="004B35BD"/>
    <w:rsid w:val="004B3701"/>
    <w:rsid w:val="004B37FD"/>
    <w:rsid w:val="004B3C00"/>
    <w:rsid w:val="004B4006"/>
    <w:rsid w:val="004B4216"/>
    <w:rsid w:val="004B42F9"/>
    <w:rsid w:val="004B4420"/>
    <w:rsid w:val="004B460B"/>
    <w:rsid w:val="004B46B6"/>
    <w:rsid w:val="004B4779"/>
    <w:rsid w:val="004B48C3"/>
    <w:rsid w:val="004B48C6"/>
    <w:rsid w:val="004B4AF3"/>
    <w:rsid w:val="004B4ED9"/>
    <w:rsid w:val="004B4F6F"/>
    <w:rsid w:val="004B4FD9"/>
    <w:rsid w:val="004B53AF"/>
    <w:rsid w:val="004B55CB"/>
    <w:rsid w:val="004B56B7"/>
    <w:rsid w:val="004B58BC"/>
    <w:rsid w:val="004B5A44"/>
    <w:rsid w:val="004B5A73"/>
    <w:rsid w:val="004B5BAE"/>
    <w:rsid w:val="004B5CC6"/>
    <w:rsid w:val="004B5CF2"/>
    <w:rsid w:val="004B5FA0"/>
    <w:rsid w:val="004B604C"/>
    <w:rsid w:val="004B6177"/>
    <w:rsid w:val="004B62B4"/>
    <w:rsid w:val="004B62CE"/>
    <w:rsid w:val="004B6325"/>
    <w:rsid w:val="004B63EE"/>
    <w:rsid w:val="004B64A3"/>
    <w:rsid w:val="004B66BC"/>
    <w:rsid w:val="004B6702"/>
    <w:rsid w:val="004B68A6"/>
    <w:rsid w:val="004B6B62"/>
    <w:rsid w:val="004B6CC6"/>
    <w:rsid w:val="004B6E12"/>
    <w:rsid w:val="004B6E65"/>
    <w:rsid w:val="004B6F1A"/>
    <w:rsid w:val="004B741D"/>
    <w:rsid w:val="004B7458"/>
    <w:rsid w:val="004B766C"/>
    <w:rsid w:val="004B79AE"/>
    <w:rsid w:val="004B7D26"/>
    <w:rsid w:val="004B7D54"/>
    <w:rsid w:val="004B7DCA"/>
    <w:rsid w:val="004B7EB5"/>
    <w:rsid w:val="004B7FD8"/>
    <w:rsid w:val="004BA3E2"/>
    <w:rsid w:val="004C01D1"/>
    <w:rsid w:val="004C0402"/>
    <w:rsid w:val="004C0611"/>
    <w:rsid w:val="004C0D45"/>
    <w:rsid w:val="004C0F77"/>
    <w:rsid w:val="004C1348"/>
    <w:rsid w:val="004C144D"/>
    <w:rsid w:val="004C14A2"/>
    <w:rsid w:val="004C156A"/>
    <w:rsid w:val="004C159A"/>
    <w:rsid w:val="004C1834"/>
    <w:rsid w:val="004C1845"/>
    <w:rsid w:val="004C1B15"/>
    <w:rsid w:val="004C1B9A"/>
    <w:rsid w:val="004C1CF3"/>
    <w:rsid w:val="004C1D10"/>
    <w:rsid w:val="004C1D36"/>
    <w:rsid w:val="004C1F09"/>
    <w:rsid w:val="004C238D"/>
    <w:rsid w:val="004C242A"/>
    <w:rsid w:val="004C2469"/>
    <w:rsid w:val="004C2992"/>
    <w:rsid w:val="004C2AE1"/>
    <w:rsid w:val="004C2C7E"/>
    <w:rsid w:val="004C2F61"/>
    <w:rsid w:val="004C3075"/>
    <w:rsid w:val="004C30A6"/>
    <w:rsid w:val="004C3455"/>
    <w:rsid w:val="004C35CC"/>
    <w:rsid w:val="004C3B0D"/>
    <w:rsid w:val="004C3B78"/>
    <w:rsid w:val="004C3BF7"/>
    <w:rsid w:val="004C3CB3"/>
    <w:rsid w:val="004C3E69"/>
    <w:rsid w:val="004C3E8C"/>
    <w:rsid w:val="004C3FEA"/>
    <w:rsid w:val="004C4393"/>
    <w:rsid w:val="004C49B5"/>
    <w:rsid w:val="004C4A4F"/>
    <w:rsid w:val="004C4A68"/>
    <w:rsid w:val="004C4B6C"/>
    <w:rsid w:val="004C4CC2"/>
    <w:rsid w:val="004C502F"/>
    <w:rsid w:val="004C51A8"/>
    <w:rsid w:val="004C5238"/>
    <w:rsid w:val="004C5309"/>
    <w:rsid w:val="004C5347"/>
    <w:rsid w:val="004C535F"/>
    <w:rsid w:val="004C5647"/>
    <w:rsid w:val="004C56D9"/>
    <w:rsid w:val="004C57F2"/>
    <w:rsid w:val="004C5863"/>
    <w:rsid w:val="004C5AF9"/>
    <w:rsid w:val="004C5CE3"/>
    <w:rsid w:val="004C5EDD"/>
    <w:rsid w:val="004C5F3C"/>
    <w:rsid w:val="004C601D"/>
    <w:rsid w:val="004C6310"/>
    <w:rsid w:val="004C6352"/>
    <w:rsid w:val="004C64F0"/>
    <w:rsid w:val="004C675A"/>
    <w:rsid w:val="004C67D8"/>
    <w:rsid w:val="004C6897"/>
    <w:rsid w:val="004C69F2"/>
    <w:rsid w:val="004C6B82"/>
    <w:rsid w:val="004C6C47"/>
    <w:rsid w:val="004C6EA7"/>
    <w:rsid w:val="004C6F02"/>
    <w:rsid w:val="004C6F1B"/>
    <w:rsid w:val="004C6F73"/>
    <w:rsid w:val="004C6FA0"/>
    <w:rsid w:val="004C7002"/>
    <w:rsid w:val="004C722C"/>
    <w:rsid w:val="004C7497"/>
    <w:rsid w:val="004C7A97"/>
    <w:rsid w:val="004C7AEE"/>
    <w:rsid w:val="004C7BFE"/>
    <w:rsid w:val="004C7E4E"/>
    <w:rsid w:val="004C7FAA"/>
    <w:rsid w:val="004D01F4"/>
    <w:rsid w:val="004D04B8"/>
    <w:rsid w:val="004D04BB"/>
    <w:rsid w:val="004D0635"/>
    <w:rsid w:val="004D0666"/>
    <w:rsid w:val="004D070E"/>
    <w:rsid w:val="004D0732"/>
    <w:rsid w:val="004D0851"/>
    <w:rsid w:val="004D0858"/>
    <w:rsid w:val="004D0A6C"/>
    <w:rsid w:val="004D0C41"/>
    <w:rsid w:val="004D0FBC"/>
    <w:rsid w:val="004D138C"/>
    <w:rsid w:val="004D1582"/>
    <w:rsid w:val="004D178F"/>
    <w:rsid w:val="004D17F5"/>
    <w:rsid w:val="004D1B69"/>
    <w:rsid w:val="004D1CE7"/>
    <w:rsid w:val="004D1D22"/>
    <w:rsid w:val="004D1D45"/>
    <w:rsid w:val="004D1E25"/>
    <w:rsid w:val="004D1EDB"/>
    <w:rsid w:val="004D208A"/>
    <w:rsid w:val="004D2106"/>
    <w:rsid w:val="004D21B1"/>
    <w:rsid w:val="004D237A"/>
    <w:rsid w:val="004D24AE"/>
    <w:rsid w:val="004D27AA"/>
    <w:rsid w:val="004D28CE"/>
    <w:rsid w:val="004D2C6B"/>
    <w:rsid w:val="004D2E74"/>
    <w:rsid w:val="004D328C"/>
    <w:rsid w:val="004D35E8"/>
    <w:rsid w:val="004D374B"/>
    <w:rsid w:val="004D383A"/>
    <w:rsid w:val="004D3950"/>
    <w:rsid w:val="004D3A81"/>
    <w:rsid w:val="004D3CE1"/>
    <w:rsid w:val="004D3D46"/>
    <w:rsid w:val="004D3E77"/>
    <w:rsid w:val="004D3ED9"/>
    <w:rsid w:val="004D3F38"/>
    <w:rsid w:val="004D403D"/>
    <w:rsid w:val="004D4083"/>
    <w:rsid w:val="004D42AC"/>
    <w:rsid w:val="004D43A2"/>
    <w:rsid w:val="004D4755"/>
    <w:rsid w:val="004D476C"/>
    <w:rsid w:val="004D4862"/>
    <w:rsid w:val="004D48B7"/>
    <w:rsid w:val="004D4986"/>
    <w:rsid w:val="004D4AC6"/>
    <w:rsid w:val="004D4AEC"/>
    <w:rsid w:val="004D4B3D"/>
    <w:rsid w:val="004D4B6A"/>
    <w:rsid w:val="004D4C98"/>
    <w:rsid w:val="004D4D6A"/>
    <w:rsid w:val="004D4F19"/>
    <w:rsid w:val="004D4FEC"/>
    <w:rsid w:val="004D5125"/>
    <w:rsid w:val="004D51A4"/>
    <w:rsid w:val="004D525F"/>
    <w:rsid w:val="004D52C6"/>
    <w:rsid w:val="004D53DE"/>
    <w:rsid w:val="004D56FC"/>
    <w:rsid w:val="004D5859"/>
    <w:rsid w:val="004D58D0"/>
    <w:rsid w:val="004D59CD"/>
    <w:rsid w:val="004D5B27"/>
    <w:rsid w:val="004D5DDF"/>
    <w:rsid w:val="004D5EA0"/>
    <w:rsid w:val="004D5F24"/>
    <w:rsid w:val="004D5FA7"/>
    <w:rsid w:val="004D6054"/>
    <w:rsid w:val="004D61BD"/>
    <w:rsid w:val="004D63E4"/>
    <w:rsid w:val="004D653E"/>
    <w:rsid w:val="004D6688"/>
    <w:rsid w:val="004D68CC"/>
    <w:rsid w:val="004D6915"/>
    <w:rsid w:val="004D6C21"/>
    <w:rsid w:val="004D6FD5"/>
    <w:rsid w:val="004D70B7"/>
    <w:rsid w:val="004D71A3"/>
    <w:rsid w:val="004D71E5"/>
    <w:rsid w:val="004D72DD"/>
    <w:rsid w:val="004D73CB"/>
    <w:rsid w:val="004D78AE"/>
    <w:rsid w:val="004D7957"/>
    <w:rsid w:val="004D7C7C"/>
    <w:rsid w:val="004E0103"/>
    <w:rsid w:val="004E01A9"/>
    <w:rsid w:val="004E02D4"/>
    <w:rsid w:val="004E02D5"/>
    <w:rsid w:val="004E0539"/>
    <w:rsid w:val="004E06BC"/>
    <w:rsid w:val="004E06C5"/>
    <w:rsid w:val="004E0779"/>
    <w:rsid w:val="004E0B1A"/>
    <w:rsid w:val="004E0BE6"/>
    <w:rsid w:val="004E0CCD"/>
    <w:rsid w:val="004E0CFD"/>
    <w:rsid w:val="004E0E11"/>
    <w:rsid w:val="004E1079"/>
    <w:rsid w:val="004E1634"/>
    <w:rsid w:val="004E172B"/>
    <w:rsid w:val="004E1737"/>
    <w:rsid w:val="004E1794"/>
    <w:rsid w:val="004E197F"/>
    <w:rsid w:val="004E1A7B"/>
    <w:rsid w:val="004E23C7"/>
    <w:rsid w:val="004E27B5"/>
    <w:rsid w:val="004E288A"/>
    <w:rsid w:val="004E2927"/>
    <w:rsid w:val="004E2A3F"/>
    <w:rsid w:val="004E2C83"/>
    <w:rsid w:val="004E2DF7"/>
    <w:rsid w:val="004E2EDD"/>
    <w:rsid w:val="004E2F03"/>
    <w:rsid w:val="004E307F"/>
    <w:rsid w:val="004E31E5"/>
    <w:rsid w:val="004E3260"/>
    <w:rsid w:val="004E34DC"/>
    <w:rsid w:val="004E3504"/>
    <w:rsid w:val="004E3507"/>
    <w:rsid w:val="004E366E"/>
    <w:rsid w:val="004E380C"/>
    <w:rsid w:val="004E39A8"/>
    <w:rsid w:val="004E3A5A"/>
    <w:rsid w:val="004E3AEB"/>
    <w:rsid w:val="004E3B27"/>
    <w:rsid w:val="004E3DB4"/>
    <w:rsid w:val="004E40A5"/>
    <w:rsid w:val="004E415D"/>
    <w:rsid w:val="004E416E"/>
    <w:rsid w:val="004E41AF"/>
    <w:rsid w:val="004E4216"/>
    <w:rsid w:val="004E4364"/>
    <w:rsid w:val="004E4637"/>
    <w:rsid w:val="004E4671"/>
    <w:rsid w:val="004E4CF5"/>
    <w:rsid w:val="004E4EC1"/>
    <w:rsid w:val="004E4F0C"/>
    <w:rsid w:val="004E4F24"/>
    <w:rsid w:val="004E510F"/>
    <w:rsid w:val="004E51BA"/>
    <w:rsid w:val="004E51D2"/>
    <w:rsid w:val="004E524C"/>
    <w:rsid w:val="004E56DD"/>
    <w:rsid w:val="004E579E"/>
    <w:rsid w:val="004E58A2"/>
    <w:rsid w:val="004E5B18"/>
    <w:rsid w:val="004E5E61"/>
    <w:rsid w:val="004E5F88"/>
    <w:rsid w:val="004E6212"/>
    <w:rsid w:val="004E626B"/>
    <w:rsid w:val="004E62A4"/>
    <w:rsid w:val="004E62B6"/>
    <w:rsid w:val="004E62C4"/>
    <w:rsid w:val="004E642A"/>
    <w:rsid w:val="004E690D"/>
    <w:rsid w:val="004E69CE"/>
    <w:rsid w:val="004E6A56"/>
    <w:rsid w:val="004E6C2D"/>
    <w:rsid w:val="004E6C53"/>
    <w:rsid w:val="004E6E81"/>
    <w:rsid w:val="004E701D"/>
    <w:rsid w:val="004E71B3"/>
    <w:rsid w:val="004E720C"/>
    <w:rsid w:val="004E7240"/>
    <w:rsid w:val="004E727B"/>
    <w:rsid w:val="004E73C4"/>
    <w:rsid w:val="004E7601"/>
    <w:rsid w:val="004E77A3"/>
    <w:rsid w:val="004E785D"/>
    <w:rsid w:val="004E79B4"/>
    <w:rsid w:val="004E7A86"/>
    <w:rsid w:val="004E7BBD"/>
    <w:rsid w:val="004E7D45"/>
    <w:rsid w:val="004E7D47"/>
    <w:rsid w:val="004F0188"/>
    <w:rsid w:val="004F0267"/>
    <w:rsid w:val="004F034D"/>
    <w:rsid w:val="004F03DB"/>
    <w:rsid w:val="004F06DD"/>
    <w:rsid w:val="004F0737"/>
    <w:rsid w:val="004F087F"/>
    <w:rsid w:val="004F0DDE"/>
    <w:rsid w:val="004F0E68"/>
    <w:rsid w:val="004F0E72"/>
    <w:rsid w:val="004F0F11"/>
    <w:rsid w:val="004F0F18"/>
    <w:rsid w:val="004F130B"/>
    <w:rsid w:val="004F1506"/>
    <w:rsid w:val="004F160C"/>
    <w:rsid w:val="004F1672"/>
    <w:rsid w:val="004F1A00"/>
    <w:rsid w:val="004F1B6F"/>
    <w:rsid w:val="004F1C7B"/>
    <w:rsid w:val="004F1CC6"/>
    <w:rsid w:val="004F1E16"/>
    <w:rsid w:val="004F1EB1"/>
    <w:rsid w:val="004F1FE5"/>
    <w:rsid w:val="004F22A0"/>
    <w:rsid w:val="004F2626"/>
    <w:rsid w:val="004F27F7"/>
    <w:rsid w:val="004F2B75"/>
    <w:rsid w:val="004F2C8C"/>
    <w:rsid w:val="004F3033"/>
    <w:rsid w:val="004F31A4"/>
    <w:rsid w:val="004F3225"/>
    <w:rsid w:val="004F343E"/>
    <w:rsid w:val="004F34C9"/>
    <w:rsid w:val="004F34FF"/>
    <w:rsid w:val="004F36AC"/>
    <w:rsid w:val="004F36B5"/>
    <w:rsid w:val="004F36CE"/>
    <w:rsid w:val="004F36FD"/>
    <w:rsid w:val="004F3724"/>
    <w:rsid w:val="004F37E0"/>
    <w:rsid w:val="004F3A21"/>
    <w:rsid w:val="004F3B2E"/>
    <w:rsid w:val="004F3C39"/>
    <w:rsid w:val="004F3D04"/>
    <w:rsid w:val="004F3DB6"/>
    <w:rsid w:val="004F40CF"/>
    <w:rsid w:val="004F4468"/>
    <w:rsid w:val="004F4602"/>
    <w:rsid w:val="004F460D"/>
    <w:rsid w:val="004F4792"/>
    <w:rsid w:val="004F4825"/>
    <w:rsid w:val="004F495B"/>
    <w:rsid w:val="004F4B7E"/>
    <w:rsid w:val="004F4EAB"/>
    <w:rsid w:val="004F51EA"/>
    <w:rsid w:val="004F521C"/>
    <w:rsid w:val="004F522D"/>
    <w:rsid w:val="004F56E2"/>
    <w:rsid w:val="004F5B17"/>
    <w:rsid w:val="004F625B"/>
    <w:rsid w:val="004F684F"/>
    <w:rsid w:val="004F693E"/>
    <w:rsid w:val="004F6A00"/>
    <w:rsid w:val="004F6ABD"/>
    <w:rsid w:val="004F6B0E"/>
    <w:rsid w:val="004F6C8B"/>
    <w:rsid w:val="004F6D0F"/>
    <w:rsid w:val="004F6D28"/>
    <w:rsid w:val="004F6E2A"/>
    <w:rsid w:val="004F6EAD"/>
    <w:rsid w:val="004F6EBF"/>
    <w:rsid w:val="004F6FB1"/>
    <w:rsid w:val="004F70B3"/>
    <w:rsid w:val="004F70F6"/>
    <w:rsid w:val="004F71B3"/>
    <w:rsid w:val="004F7236"/>
    <w:rsid w:val="004F738F"/>
    <w:rsid w:val="004F73C6"/>
    <w:rsid w:val="004F773E"/>
    <w:rsid w:val="004F7A84"/>
    <w:rsid w:val="004F7AB7"/>
    <w:rsid w:val="004F7C00"/>
    <w:rsid w:val="004F7E1D"/>
    <w:rsid w:val="00500117"/>
    <w:rsid w:val="005002BF"/>
    <w:rsid w:val="00500504"/>
    <w:rsid w:val="005009DC"/>
    <w:rsid w:val="00500F08"/>
    <w:rsid w:val="00500F1F"/>
    <w:rsid w:val="00501167"/>
    <w:rsid w:val="005014A3"/>
    <w:rsid w:val="00501571"/>
    <w:rsid w:val="0050163B"/>
    <w:rsid w:val="005017EC"/>
    <w:rsid w:val="00501824"/>
    <w:rsid w:val="005018A3"/>
    <w:rsid w:val="005018D7"/>
    <w:rsid w:val="0050194B"/>
    <w:rsid w:val="005019AC"/>
    <w:rsid w:val="00501B94"/>
    <w:rsid w:val="00501D28"/>
    <w:rsid w:val="005021C0"/>
    <w:rsid w:val="005022C1"/>
    <w:rsid w:val="00502376"/>
    <w:rsid w:val="00502507"/>
    <w:rsid w:val="00502653"/>
    <w:rsid w:val="005026BE"/>
    <w:rsid w:val="005026C8"/>
    <w:rsid w:val="005029C8"/>
    <w:rsid w:val="00502D70"/>
    <w:rsid w:val="00502E38"/>
    <w:rsid w:val="005030F4"/>
    <w:rsid w:val="00503364"/>
    <w:rsid w:val="00503498"/>
    <w:rsid w:val="005034F2"/>
    <w:rsid w:val="00503980"/>
    <w:rsid w:val="00503AD6"/>
    <w:rsid w:val="00503C7C"/>
    <w:rsid w:val="00503CA5"/>
    <w:rsid w:val="00503CCD"/>
    <w:rsid w:val="00503E6D"/>
    <w:rsid w:val="00503EC6"/>
    <w:rsid w:val="00503F40"/>
    <w:rsid w:val="00503FA2"/>
    <w:rsid w:val="0050402C"/>
    <w:rsid w:val="0050419A"/>
    <w:rsid w:val="005042B2"/>
    <w:rsid w:val="005046F1"/>
    <w:rsid w:val="0050473E"/>
    <w:rsid w:val="0050479A"/>
    <w:rsid w:val="005049F1"/>
    <w:rsid w:val="00504A85"/>
    <w:rsid w:val="00504C5A"/>
    <w:rsid w:val="00504E77"/>
    <w:rsid w:val="00505213"/>
    <w:rsid w:val="005052B5"/>
    <w:rsid w:val="00505504"/>
    <w:rsid w:val="00505516"/>
    <w:rsid w:val="0050555C"/>
    <w:rsid w:val="005055EA"/>
    <w:rsid w:val="005055F9"/>
    <w:rsid w:val="00505842"/>
    <w:rsid w:val="0050599E"/>
    <w:rsid w:val="00505A7D"/>
    <w:rsid w:val="00505C5C"/>
    <w:rsid w:val="00505DDC"/>
    <w:rsid w:val="00505F5B"/>
    <w:rsid w:val="0050600F"/>
    <w:rsid w:val="00506186"/>
    <w:rsid w:val="00506239"/>
    <w:rsid w:val="00506286"/>
    <w:rsid w:val="00506391"/>
    <w:rsid w:val="005064C2"/>
    <w:rsid w:val="0050650A"/>
    <w:rsid w:val="00506647"/>
    <w:rsid w:val="005066BA"/>
    <w:rsid w:val="005069CD"/>
    <w:rsid w:val="00506D28"/>
    <w:rsid w:val="00506DAC"/>
    <w:rsid w:val="00506EB2"/>
    <w:rsid w:val="0050700F"/>
    <w:rsid w:val="00507126"/>
    <w:rsid w:val="00507693"/>
    <w:rsid w:val="0050782B"/>
    <w:rsid w:val="00507C82"/>
    <w:rsid w:val="00507CCA"/>
    <w:rsid w:val="00510049"/>
    <w:rsid w:val="0051015D"/>
    <w:rsid w:val="005101F3"/>
    <w:rsid w:val="00510327"/>
    <w:rsid w:val="00510919"/>
    <w:rsid w:val="00510BDE"/>
    <w:rsid w:val="00510CFD"/>
    <w:rsid w:val="00510DD7"/>
    <w:rsid w:val="005113AA"/>
    <w:rsid w:val="00511753"/>
    <w:rsid w:val="005117DB"/>
    <w:rsid w:val="005119A7"/>
    <w:rsid w:val="00511B31"/>
    <w:rsid w:val="00511EB7"/>
    <w:rsid w:val="005125FC"/>
    <w:rsid w:val="00512642"/>
    <w:rsid w:val="005128AA"/>
    <w:rsid w:val="005134E1"/>
    <w:rsid w:val="0051355C"/>
    <w:rsid w:val="005136C8"/>
    <w:rsid w:val="00513836"/>
    <w:rsid w:val="00513859"/>
    <w:rsid w:val="00513897"/>
    <w:rsid w:val="00513914"/>
    <w:rsid w:val="00513AB6"/>
    <w:rsid w:val="00513C38"/>
    <w:rsid w:val="00513D61"/>
    <w:rsid w:val="00513EAF"/>
    <w:rsid w:val="00513EE0"/>
    <w:rsid w:val="00514177"/>
    <w:rsid w:val="005142DA"/>
    <w:rsid w:val="0051449F"/>
    <w:rsid w:val="005146DF"/>
    <w:rsid w:val="005147B0"/>
    <w:rsid w:val="00514921"/>
    <w:rsid w:val="0051494B"/>
    <w:rsid w:val="005149C6"/>
    <w:rsid w:val="00514A4A"/>
    <w:rsid w:val="00514B13"/>
    <w:rsid w:val="00514B9B"/>
    <w:rsid w:val="00514CE9"/>
    <w:rsid w:val="00514F20"/>
    <w:rsid w:val="00514F58"/>
    <w:rsid w:val="00514F65"/>
    <w:rsid w:val="0051514D"/>
    <w:rsid w:val="005156D8"/>
    <w:rsid w:val="005157E5"/>
    <w:rsid w:val="00515A0F"/>
    <w:rsid w:val="00515A17"/>
    <w:rsid w:val="00515A4F"/>
    <w:rsid w:val="00515BAD"/>
    <w:rsid w:val="00515BF7"/>
    <w:rsid w:val="00515C08"/>
    <w:rsid w:val="00515CC2"/>
    <w:rsid w:val="00515E8E"/>
    <w:rsid w:val="0051603E"/>
    <w:rsid w:val="0051603F"/>
    <w:rsid w:val="005163C1"/>
    <w:rsid w:val="00516487"/>
    <w:rsid w:val="005164B0"/>
    <w:rsid w:val="00516B3E"/>
    <w:rsid w:val="005172EB"/>
    <w:rsid w:val="0051758D"/>
    <w:rsid w:val="00517663"/>
    <w:rsid w:val="00517870"/>
    <w:rsid w:val="00517B7D"/>
    <w:rsid w:val="00517D2F"/>
    <w:rsid w:val="00517FDB"/>
    <w:rsid w:val="00520238"/>
    <w:rsid w:val="005202E4"/>
    <w:rsid w:val="00520317"/>
    <w:rsid w:val="00520652"/>
    <w:rsid w:val="0052082D"/>
    <w:rsid w:val="005208E2"/>
    <w:rsid w:val="00520B60"/>
    <w:rsid w:val="00520CAC"/>
    <w:rsid w:val="00520F8B"/>
    <w:rsid w:val="00520FBF"/>
    <w:rsid w:val="00521038"/>
    <w:rsid w:val="00521271"/>
    <w:rsid w:val="005213F0"/>
    <w:rsid w:val="0052184A"/>
    <w:rsid w:val="0052185C"/>
    <w:rsid w:val="0052193D"/>
    <w:rsid w:val="00521B85"/>
    <w:rsid w:val="0052213E"/>
    <w:rsid w:val="0052227E"/>
    <w:rsid w:val="0052247D"/>
    <w:rsid w:val="00522708"/>
    <w:rsid w:val="00522C97"/>
    <w:rsid w:val="00522D5C"/>
    <w:rsid w:val="00522FF8"/>
    <w:rsid w:val="00523032"/>
    <w:rsid w:val="00523056"/>
    <w:rsid w:val="00523057"/>
    <w:rsid w:val="0052320F"/>
    <w:rsid w:val="0052326A"/>
    <w:rsid w:val="00523308"/>
    <w:rsid w:val="005237C7"/>
    <w:rsid w:val="00523C1B"/>
    <w:rsid w:val="005241B3"/>
    <w:rsid w:val="005244D1"/>
    <w:rsid w:val="00524738"/>
    <w:rsid w:val="0052487F"/>
    <w:rsid w:val="00524BFD"/>
    <w:rsid w:val="00524C81"/>
    <w:rsid w:val="0052518A"/>
    <w:rsid w:val="0052530F"/>
    <w:rsid w:val="00525720"/>
    <w:rsid w:val="00525738"/>
    <w:rsid w:val="00525B30"/>
    <w:rsid w:val="00525DA4"/>
    <w:rsid w:val="00525E40"/>
    <w:rsid w:val="00526514"/>
    <w:rsid w:val="0052667D"/>
    <w:rsid w:val="00526922"/>
    <w:rsid w:val="00526C0F"/>
    <w:rsid w:val="0052702C"/>
    <w:rsid w:val="005271D4"/>
    <w:rsid w:val="005272DA"/>
    <w:rsid w:val="00527300"/>
    <w:rsid w:val="00527588"/>
    <w:rsid w:val="0052761D"/>
    <w:rsid w:val="00527636"/>
    <w:rsid w:val="00527847"/>
    <w:rsid w:val="00527C21"/>
    <w:rsid w:val="00527CFD"/>
    <w:rsid w:val="00527F5E"/>
    <w:rsid w:val="00530239"/>
    <w:rsid w:val="0053025D"/>
    <w:rsid w:val="005304F8"/>
    <w:rsid w:val="005305F7"/>
    <w:rsid w:val="00530698"/>
    <w:rsid w:val="00530771"/>
    <w:rsid w:val="00530788"/>
    <w:rsid w:val="005307FA"/>
    <w:rsid w:val="00530995"/>
    <w:rsid w:val="00530A46"/>
    <w:rsid w:val="00530ABF"/>
    <w:rsid w:val="00530CEA"/>
    <w:rsid w:val="00530D91"/>
    <w:rsid w:val="005313AB"/>
    <w:rsid w:val="0053160C"/>
    <w:rsid w:val="005319FE"/>
    <w:rsid w:val="00531AD8"/>
    <w:rsid w:val="00531C8B"/>
    <w:rsid w:val="00531CFB"/>
    <w:rsid w:val="00531D97"/>
    <w:rsid w:val="00531FF7"/>
    <w:rsid w:val="0053222C"/>
    <w:rsid w:val="005324D1"/>
    <w:rsid w:val="00532934"/>
    <w:rsid w:val="0053299B"/>
    <w:rsid w:val="005329C7"/>
    <w:rsid w:val="00532B54"/>
    <w:rsid w:val="00532C57"/>
    <w:rsid w:val="00532C5F"/>
    <w:rsid w:val="00532C93"/>
    <w:rsid w:val="00532CE7"/>
    <w:rsid w:val="00532D1F"/>
    <w:rsid w:val="00532DC5"/>
    <w:rsid w:val="00532E39"/>
    <w:rsid w:val="00532EB9"/>
    <w:rsid w:val="00533178"/>
    <w:rsid w:val="00533277"/>
    <w:rsid w:val="005332A8"/>
    <w:rsid w:val="005332DD"/>
    <w:rsid w:val="005333B7"/>
    <w:rsid w:val="005333FA"/>
    <w:rsid w:val="00533572"/>
    <w:rsid w:val="00533800"/>
    <w:rsid w:val="00533845"/>
    <w:rsid w:val="005338B1"/>
    <w:rsid w:val="005339C7"/>
    <w:rsid w:val="00533A55"/>
    <w:rsid w:val="00533AB2"/>
    <w:rsid w:val="00533B0A"/>
    <w:rsid w:val="0053415C"/>
    <w:rsid w:val="005344A9"/>
    <w:rsid w:val="00534915"/>
    <w:rsid w:val="00534962"/>
    <w:rsid w:val="00534AA3"/>
    <w:rsid w:val="00534B8B"/>
    <w:rsid w:val="00534C67"/>
    <w:rsid w:val="00534DF5"/>
    <w:rsid w:val="00534E49"/>
    <w:rsid w:val="00534F01"/>
    <w:rsid w:val="005350A6"/>
    <w:rsid w:val="0053516D"/>
    <w:rsid w:val="0053521D"/>
    <w:rsid w:val="005352BC"/>
    <w:rsid w:val="0053561D"/>
    <w:rsid w:val="0053587D"/>
    <w:rsid w:val="00535A71"/>
    <w:rsid w:val="00535D49"/>
    <w:rsid w:val="00535FB7"/>
    <w:rsid w:val="00535FF7"/>
    <w:rsid w:val="0053602E"/>
    <w:rsid w:val="005362A8"/>
    <w:rsid w:val="005363EA"/>
    <w:rsid w:val="00536658"/>
    <w:rsid w:val="00536B37"/>
    <w:rsid w:val="00536C56"/>
    <w:rsid w:val="00536F22"/>
    <w:rsid w:val="0053736D"/>
    <w:rsid w:val="0053743E"/>
    <w:rsid w:val="00537580"/>
    <w:rsid w:val="00537711"/>
    <w:rsid w:val="0053773F"/>
    <w:rsid w:val="005377D0"/>
    <w:rsid w:val="0053780E"/>
    <w:rsid w:val="0053786F"/>
    <w:rsid w:val="00537CBF"/>
    <w:rsid w:val="00537ED7"/>
    <w:rsid w:val="00537F29"/>
    <w:rsid w:val="005401E7"/>
    <w:rsid w:val="00540585"/>
    <w:rsid w:val="00540657"/>
    <w:rsid w:val="00540858"/>
    <w:rsid w:val="005408F6"/>
    <w:rsid w:val="005409FA"/>
    <w:rsid w:val="00540C05"/>
    <w:rsid w:val="00540C6D"/>
    <w:rsid w:val="00540C74"/>
    <w:rsid w:val="00540DBB"/>
    <w:rsid w:val="00540EFA"/>
    <w:rsid w:val="00540F66"/>
    <w:rsid w:val="0054101D"/>
    <w:rsid w:val="005410AC"/>
    <w:rsid w:val="0054117A"/>
    <w:rsid w:val="005412D3"/>
    <w:rsid w:val="00541351"/>
    <w:rsid w:val="005413B5"/>
    <w:rsid w:val="00541430"/>
    <w:rsid w:val="005416CB"/>
    <w:rsid w:val="005416D8"/>
    <w:rsid w:val="0054185B"/>
    <w:rsid w:val="00541CB8"/>
    <w:rsid w:val="00541DC3"/>
    <w:rsid w:val="00541EBE"/>
    <w:rsid w:val="0054223D"/>
    <w:rsid w:val="0054255E"/>
    <w:rsid w:val="00542587"/>
    <w:rsid w:val="00542600"/>
    <w:rsid w:val="00542620"/>
    <w:rsid w:val="00542638"/>
    <w:rsid w:val="00542743"/>
    <w:rsid w:val="00542758"/>
    <w:rsid w:val="005427EC"/>
    <w:rsid w:val="00542826"/>
    <w:rsid w:val="00542A75"/>
    <w:rsid w:val="00543050"/>
    <w:rsid w:val="00543103"/>
    <w:rsid w:val="0054323E"/>
    <w:rsid w:val="0054353B"/>
    <w:rsid w:val="005436A7"/>
    <w:rsid w:val="005438E2"/>
    <w:rsid w:val="0054391B"/>
    <w:rsid w:val="00543BC0"/>
    <w:rsid w:val="00543D14"/>
    <w:rsid w:val="005440EF"/>
    <w:rsid w:val="00544280"/>
    <w:rsid w:val="005443AB"/>
    <w:rsid w:val="00544442"/>
    <w:rsid w:val="00544534"/>
    <w:rsid w:val="00544559"/>
    <w:rsid w:val="00544968"/>
    <w:rsid w:val="00544CC5"/>
    <w:rsid w:val="00544D08"/>
    <w:rsid w:val="00544D7D"/>
    <w:rsid w:val="00544E7E"/>
    <w:rsid w:val="00545009"/>
    <w:rsid w:val="00545179"/>
    <w:rsid w:val="0054537E"/>
    <w:rsid w:val="00545614"/>
    <w:rsid w:val="00545618"/>
    <w:rsid w:val="005456A7"/>
    <w:rsid w:val="00545876"/>
    <w:rsid w:val="0054588F"/>
    <w:rsid w:val="00545930"/>
    <w:rsid w:val="005459C0"/>
    <w:rsid w:val="00545C9B"/>
    <w:rsid w:val="00545D21"/>
    <w:rsid w:val="005464A7"/>
    <w:rsid w:val="00546577"/>
    <w:rsid w:val="00546833"/>
    <w:rsid w:val="005468E2"/>
    <w:rsid w:val="005469FD"/>
    <w:rsid w:val="00546B6D"/>
    <w:rsid w:val="00546E0C"/>
    <w:rsid w:val="00546E59"/>
    <w:rsid w:val="005470E4"/>
    <w:rsid w:val="0054716D"/>
    <w:rsid w:val="00547175"/>
    <w:rsid w:val="005473E1"/>
    <w:rsid w:val="0054760F"/>
    <w:rsid w:val="005477A1"/>
    <w:rsid w:val="00547A34"/>
    <w:rsid w:val="00547ABC"/>
    <w:rsid w:val="00547B13"/>
    <w:rsid w:val="00547B67"/>
    <w:rsid w:val="00547D98"/>
    <w:rsid w:val="00547F2F"/>
    <w:rsid w:val="005500F9"/>
    <w:rsid w:val="0055015B"/>
    <w:rsid w:val="00550388"/>
    <w:rsid w:val="00550450"/>
    <w:rsid w:val="00550507"/>
    <w:rsid w:val="005506CF"/>
    <w:rsid w:val="0055077E"/>
    <w:rsid w:val="005507C6"/>
    <w:rsid w:val="00550B9E"/>
    <w:rsid w:val="005514CE"/>
    <w:rsid w:val="0055183A"/>
    <w:rsid w:val="00551BB3"/>
    <w:rsid w:val="00551CFC"/>
    <w:rsid w:val="00551F02"/>
    <w:rsid w:val="0055229D"/>
    <w:rsid w:val="005523D4"/>
    <w:rsid w:val="0055240D"/>
    <w:rsid w:val="00552612"/>
    <w:rsid w:val="00552681"/>
    <w:rsid w:val="005526B9"/>
    <w:rsid w:val="005528DB"/>
    <w:rsid w:val="005529F0"/>
    <w:rsid w:val="00552AB3"/>
    <w:rsid w:val="00552AD0"/>
    <w:rsid w:val="00552AD1"/>
    <w:rsid w:val="00552AD5"/>
    <w:rsid w:val="00552BB6"/>
    <w:rsid w:val="00552C15"/>
    <w:rsid w:val="00552D7F"/>
    <w:rsid w:val="00552ED0"/>
    <w:rsid w:val="00553181"/>
    <w:rsid w:val="00553189"/>
    <w:rsid w:val="00553193"/>
    <w:rsid w:val="005531EF"/>
    <w:rsid w:val="00553318"/>
    <w:rsid w:val="00553392"/>
    <w:rsid w:val="00553433"/>
    <w:rsid w:val="00553758"/>
    <w:rsid w:val="005537AC"/>
    <w:rsid w:val="00553C29"/>
    <w:rsid w:val="00553D10"/>
    <w:rsid w:val="00553D91"/>
    <w:rsid w:val="00553E67"/>
    <w:rsid w:val="00554170"/>
    <w:rsid w:val="005543AF"/>
    <w:rsid w:val="00554418"/>
    <w:rsid w:val="005545F5"/>
    <w:rsid w:val="00554612"/>
    <w:rsid w:val="005549BE"/>
    <w:rsid w:val="005549D5"/>
    <w:rsid w:val="00554C64"/>
    <w:rsid w:val="00554D41"/>
    <w:rsid w:val="0055503F"/>
    <w:rsid w:val="00555193"/>
    <w:rsid w:val="005554BF"/>
    <w:rsid w:val="00555594"/>
    <w:rsid w:val="0055568F"/>
    <w:rsid w:val="00555867"/>
    <w:rsid w:val="005558F3"/>
    <w:rsid w:val="0055590B"/>
    <w:rsid w:val="00555BE1"/>
    <w:rsid w:val="00555C64"/>
    <w:rsid w:val="00555CC1"/>
    <w:rsid w:val="00555DE9"/>
    <w:rsid w:val="00555FC5"/>
    <w:rsid w:val="00555FD4"/>
    <w:rsid w:val="0055600B"/>
    <w:rsid w:val="0055627B"/>
    <w:rsid w:val="00556327"/>
    <w:rsid w:val="0055645C"/>
    <w:rsid w:val="00556511"/>
    <w:rsid w:val="00556656"/>
    <w:rsid w:val="005566E1"/>
    <w:rsid w:val="005567EB"/>
    <w:rsid w:val="00556B8B"/>
    <w:rsid w:val="00556C7C"/>
    <w:rsid w:val="00556F22"/>
    <w:rsid w:val="00556F86"/>
    <w:rsid w:val="00556F90"/>
    <w:rsid w:val="00556FB7"/>
    <w:rsid w:val="005570E7"/>
    <w:rsid w:val="00557128"/>
    <w:rsid w:val="0055737D"/>
    <w:rsid w:val="00557396"/>
    <w:rsid w:val="00557449"/>
    <w:rsid w:val="005579AF"/>
    <w:rsid w:val="00557A6D"/>
    <w:rsid w:val="00557CCF"/>
    <w:rsid w:val="00557EEA"/>
    <w:rsid w:val="0056002B"/>
    <w:rsid w:val="0056016D"/>
    <w:rsid w:val="00560301"/>
    <w:rsid w:val="005603A7"/>
    <w:rsid w:val="00560437"/>
    <w:rsid w:val="0056044E"/>
    <w:rsid w:val="00560523"/>
    <w:rsid w:val="005606D0"/>
    <w:rsid w:val="00560947"/>
    <w:rsid w:val="0056096A"/>
    <w:rsid w:val="00560E52"/>
    <w:rsid w:val="00560F59"/>
    <w:rsid w:val="00561261"/>
    <w:rsid w:val="005612EE"/>
    <w:rsid w:val="00561444"/>
    <w:rsid w:val="00561467"/>
    <w:rsid w:val="0056167C"/>
    <w:rsid w:val="0056169E"/>
    <w:rsid w:val="00561875"/>
    <w:rsid w:val="00561C30"/>
    <w:rsid w:val="00561C85"/>
    <w:rsid w:val="00561CC3"/>
    <w:rsid w:val="00561CC7"/>
    <w:rsid w:val="00561E94"/>
    <w:rsid w:val="00561ECF"/>
    <w:rsid w:val="0056208A"/>
    <w:rsid w:val="005620B4"/>
    <w:rsid w:val="005620C4"/>
    <w:rsid w:val="005620CC"/>
    <w:rsid w:val="005620D3"/>
    <w:rsid w:val="00562114"/>
    <w:rsid w:val="00562260"/>
    <w:rsid w:val="005622C1"/>
    <w:rsid w:val="005625C4"/>
    <w:rsid w:val="005626B3"/>
    <w:rsid w:val="005628A5"/>
    <w:rsid w:val="00562B89"/>
    <w:rsid w:val="00562E01"/>
    <w:rsid w:val="00562E51"/>
    <w:rsid w:val="00562E91"/>
    <w:rsid w:val="00562ECF"/>
    <w:rsid w:val="00562EE7"/>
    <w:rsid w:val="00563024"/>
    <w:rsid w:val="0056315A"/>
    <w:rsid w:val="00563427"/>
    <w:rsid w:val="005638A7"/>
    <w:rsid w:val="00563A62"/>
    <w:rsid w:val="00563AC4"/>
    <w:rsid w:val="00563D2A"/>
    <w:rsid w:val="00563E46"/>
    <w:rsid w:val="0056418E"/>
    <w:rsid w:val="005643C5"/>
    <w:rsid w:val="0056442F"/>
    <w:rsid w:val="00564572"/>
    <w:rsid w:val="00564792"/>
    <w:rsid w:val="00564954"/>
    <w:rsid w:val="00564AB4"/>
    <w:rsid w:val="00564B56"/>
    <w:rsid w:val="00564BB8"/>
    <w:rsid w:val="00564BBF"/>
    <w:rsid w:val="00564D15"/>
    <w:rsid w:val="00564E31"/>
    <w:rsid w:val="00564E60"/>
    <w:rsid w:val="0056507C"/>
    <w:rsid w:val="005652B3"/>
    <w:rsid w:val="00565495"/>
    <w:rsid w:val="0056594A"/>
    <w:rsid w:val="00565959"/>
    <w:rsid w:val="005659F3"/>
    <w:rsid w:val="00565B81"/>
    <w:rsid w:val="00565B88"/>
    <w:rsid w:val="00565B8C"/>
    <w:rsid w:val="00565CBB"/>
    <w:rsid w:val="005661C3"/>
    <w:rsid w:val="005661D3"/>
    <w:rsid w:val="00566269"/>
    <w:rsid w:val="005664E5"/>
    <w:rsid w:val="0056657B"/>
    <w:rsid w:val="005668BF"/>
    <w:rsid w:val="005668EF"/>
    <w:rsid w:val="00566AE3"/>
    <w:rsid w:val="00566AEE"/>
    <w:rsid w:val="00566DB5"/>
    <w:rsid w:val="00567055"/>
    <w:rsid w:val="0056714B"/>
    <w:rsid w:val="00567373"/>
    <w:rsid w:val="0056741A"/>
    <w:rsid w:val="00567997"/>
    <w:rsid w:val="00567A26"/>
    <w:rsid w:val="00567B23"/>
    <w:rsid w:val="00567B33"/>
    <w:rsid w:val="00567CAD"/>
    <w:rsid w:val="00570540"/>
    <w:rsid w:val="00570546"/>
    <w:rsid w:val="0057057D"/>
    <w:rsid w:val="00570A99"/>
    <w:rsid w:val="00570B1E"/>
    <w:rsid w:val="00570B2E"/>
    <w:rsid w:val="00570C06"/>
    <w:rsid w:val="00570F0B"/>
    <w:rsid w:val="0057103E"/>
    <w:rsid w:val="00571125"/>
    <w:rsid w:val="0057126C"/>
    <w:rsid w:val="0057129E"/>
    <w:rsid w:val="005716A0"/>
    <w:rsid w:val="00571718"/>
    <w:rsid w:val="0057174A"/>
    <w:rsid w:val="005718CF"/>
    <w:rsid w:val="005718EE"/>
    <w:rsid w:val="00571B41"/>
    <w:rsid w:val="00571B59"/>
    <w:rsid w:val="00571C59"/>
    <w:rsid w:val="00571C92"/>
    <w:rsid w:val="00571DFD"/>
    <w:rsid w:val="00571F2B"/>
    <w:rsid w:val="005721E0"/>
    <w:rsid w:val="0057235C"/>
    <w:rsid w:val="005723BD"/>
    <w:rsid w:val="005724FE"/>
    <w:rsid w:val="00572646"/>
    <w:rsid w:val="005726E2"/>
    <w:rsid w:val="0057270B"/>
    <w:rsid w:val="00572972"/>
    <w:rsid w:val="00572BA9"/>
    <w:rsid w:val="00572D91"/>
    <w:rsid w:val="00573316"/>
    <w:rsid w:val="0057360B"/>
    <w:rsid w:val="005736A3"/>
    <w:rsid w:val="005736C3"/>
    <w:rsid w:val="00573726"/>
    <w:rsid w:val="0057376D"/>
    <w:rsid w:val="00573948"/>
    <w:rsid w:val="0057396A"/>
    <w:rsid w:val="00573ADD"/>
    <w:rsid w:val="00573D93"/>
    <w:rsid w:val="00573E35"/>
    <w:rsid w:val="00573E90"/>
    <w:rsid w:val="00574009"/>
    <w:rsid w:val="00574174"/>
    <w:rsid w:val="005742C4"/>
    <w:rsid w:val="00574741"/>
    <w:rsid w:val="005748B9"/>
    <w:rsid w:val="00574ABE"/>
    <w:rsid w:val="00574B65"/>
    <w:rsid w:val="00574EFE"/>
    <w:rsid w:val="005751E7"/>
    <w:rsid w:val="0057524A"/>
    <w:rsid w:val="00575461"/>
    <w:rsid w:val="005754EA"/>
    <w:rsid w:val="005755B9"/>
    <w:rsid w:val="0057568B"/>
    <w:rsid w:val="00575978"/>
    <w:rsid w:val="00575BB8"/>
    <w:rsid w:val="00575C46"/>
    <w:rsid w:val="00575C8D"/>
    <w:rsid w:val="0057605F"/>
    <w:rsid w:val="00576207"/>
    <w:rsid w:val="0057620A"/>
    <w:rsid w:val="005762EA"/>
    <w:rsid w:val="005767D6"/>
    <w:rsid w:val="005769EC"/>
    <w:rsid w:val="00576A61"/>
    <w:rsid w:val="00576C0B"/>
    <w:rsid w:val="00576C46"/>
    <w:rsid w:val="00577019"/>
    <w:rsid w:val="005770AE"/>
    <w:rsid w:val="005770E2"/>
    <w:rsid w:val="00577289"/>
    <w:rsid w:val="0057736C"/>
    <w:rsid w:val="00577406"/>
    <w:rsid w:val="00577E34"/>
    <w:rsid w:val="00577E7F"/>
    <w:rsid w:val="00577F9D"/>
    <w:rsid w:val="00577FD0"/>
    <w:rsid w:val="005800DC"/>
    <w:rsid w:val="0058018B"/>
    <w:rsid w:val="005801DE"/>
    <w:rsid w:val="0058023E"/>
    <w:rsid w:val="005803A6"/>
    <w:rsid w:val="005803BA"/>
    <w:rsid w:val="005803DC"/>
    <w:rsid w:val="005804FD"/>
    <w:rsid w:val="0058085F"/>
    <w:rsid w:val="00580AA9"/>
    <w:rsid w:val="00580DF1"/>
    <w:rsid w:val="00580E4D"/>
    <w:rsid w:val="00580E53"/>
    <w:rsid w:val="0058133B"/>
    <w:rsid w:val="0058138D"/>
    <w:rsid w:val="0058140A"/>
    <w:rsid w:val="0058149A"/>
    <w:rsid w:val="00581580"/>
    <w:rsid w:val="0058168A"/>
    <w:rsid w:val="00581690"/>
    <w:rsid w:val="0058172C"/>
    <w:rsid w:val="00581853"/>
    <w:rsid w:val="00581BC8"/>
    <w:rsid w:val="00581D22"/>
    <w:rsid w:val="00581FE8"/>
    <w:rsid w:val="005824F2"/>
    <w:rsid w:val="005825AC"/>
    <w:rsid w:val="00582843"/>
    <w:rsid w:val="00582B01"/>
    <w:rsid w:val="00582C1D"/>
    <w:rsid w:val="00582E48"/>
    <w:rsid w:val="00582F54"/>
    <w:rsid w:val="0058319E"/>
    <w:rsid w:val="00583207"/>
    <w:rsid w:val="00583227"/>
    <w:rsid w:val="0058339C"/>
    <w:rsid w:val="005833AA"/>
    <w:rsid w:val="0058355D"/>
    <w:rsid w:val="005835C2"/>
    <w:rsid w:val="0058385A"/>
    <w:rsid w:val="0058397A"/>
    <w:rsid w:val="005839E3"/>
    <w:rsid w:val="00583C4D"/>
    <w:rsid w:val="00583F10"/>
    <w:rsid w:val="005840C0"/>
    <w:rsid w:val="005841E7"/>
    <w:rsid w:val="00584215"/>
    <w:rsid w:val="00584322"/>
    <w:rsid w:val="0058479D"/>
    <w:rsid w:val="005847C4"/>
    <w:rsid w:val="005848D4"/>
    <w:rsid w:val="0058497F"/>
    <w:rsid w:val="00584AD7"/>
    <w:rsid w:val="00584B19"/>
    <w:rsid w:val="00584C61"/>
    <w:rsid w:val="00584CF9"/>
    <w:rsid w:val="00584D47"/>
    <w:rsid w:val="00584DB4"/>
    <w:rsid w:val="00585302"/>
    <w:rsid w:val="00585303"/>
    <w:rsid w:val="0058542B"/>
    <w:rsid w:val="005854A7"/>
    <w:rsid w:val="005854D6"/>
    <w:rsid w:val="0058552D"/>
    <w:rsid w:val="0058581A"/>
    <w:rsid w:val="00585A50"/>
    <w:rsid w:val="00585C87"/>
    <w:rsid w:val="00585DD9"/>
    <w:rsid w:val="00585E5D"/>
    <w:rsid w:val="00585EEA"/>
    <w:rsid w:val="0058628B"/>
    <w:rsid w:val="005863BA"/>
    <w:rsid w:val="005864A1"/>
    <w:rsid w:val="005864F9"/>
    <w:rsid w:val="005865FB"/>
    <w:rsid w:val="00586661"/>
    <w:rsid w:val="00586723"/>
    <w:rsid w:val="00586803"/>
    <w:rsid w:val="005868E4"/>
    <w:rsid w:val="00586D7B"/>
    <w:rsid w:val="005870A1"/>
    <w:rsid w:val="005870C8"/>
    <w:rsid w:val="00587406"/>
    <w:rsid w:val="00587856"/>
    <w:rsid w:val="005878F7"/>
    <w:rsid w:val="00587B9E"/>
    <w:rsid w:val="00587CDB"/>
    <w:rsid w:val="00587DC4"/>
    <w:rsid w:val="00587E73"/>
    <w:rsid w:val="00587FA1"/>
    <w:rsid w:val="00590000"/>
    <w:rsid w:val="00590343"/>
    <w:rsid w:val="00590810"/>
    <w:rsid w:val="0059087C"/>
    <w:rsid w:val="0059099B"/>
    <w:rsid w:val="00590A23"/>
    <w:rsid w:val="00590C2E"/>
    <w:rsid w:val="00590C80"/>
    <w:rsid w:val="00590D84"/>
    <w:rsid w:val="00590D98"/>
    <w:rsid w:val="00590EFB"/>
    <w:rsid w:val="00590F0D"/>
    <w:rsid w:val="00590F29"/>
    <w:rsid w:val="005912C8"/>
    <w:rsid w:val="0059191F"/>
    <w:rsid w:val="0059199F"/>
    <w:rsid w:val="00591A8C"/>
    <w:rsid w:val="00591C71"/>
    <w:rsid w:val="00591C98"/>
    <w:rsid w:val="00591CFC"/>
    <w:rsid w:val="00591DC3"/>
    <w:rsid w:val="00591ECD"/>
    <w:rsid w:val="00592380"/>
    <w:rsid w:val="00592401"/>
    <w:rsid w:val="00592777"/>
    <w:rsid w:val="005929FD"/>
    <w:rsid w:val="00592A61"/>
    <w:rsid w:val="00592FB0"/>
    <w:rsid w:val="00592FCB"/>
    <w:rsid w:val="00593064"/>
    <w:rsid w:val="0059333F"/>
    <w:rsid w:val="005934BC"/>
    <w:rsid w:val="00593585"/>
    <w:rsid w:val="005935D4"/>
    <w:rsid w:val="0059369B"/>
    <w:rsid w:val="005938F7"/>
    <w:rsid w:val="00593D68"/>
    <w:rsid w:val="00593EE3"/>
    <w:rsid w:val="005940D9"/>
    <w:rsid w:val="00594165"/>
    <w:rsid w:val="00594223"/>
    <w:rsid w:val="00594353"/>
    <w:rsid w:val="00594599"/>
    <w:rsid w:val="005947F2"/>
    <w:rsid w:val="00594932"/>
    <w:rsid w:val="00594E0D"/>
    <w:rsid w:val="00595154"/>
    <w:rsid w:val="0059559A"/>
    <w:rsid w:val="005955D0"/>
    <w:rsid w:val="00595642"/>
    <w:rsid w:val="00595714"/>
    <w:rsid w:val="0059571F"/>
    <w:rsid w:val="005959C5"/>
    <w:rsid w:val="005959CB"/>
    <w:rsid w:val="00595DD1"/>
    <w:rsid w:val="00595F6F"/>
    <w:rsid w:val="00595F7B"/>
    <w:rsid w:val="00595FA6"/>
    <w:rsid w:val="00596248"/>
    <w:rsid w:val="005962A3"/>
    <w:rsid w:val="005965C5"/>
    <w:rsid w:val="005967F3"/>
    <w:rsid w:val="0059685C"/>
    <w:rsid w:val="005968EB"/>
    <w:rsid w:val="0059692B"/>
    <w:rsid w:val="00596AE0"/>
    <w:rsid w:val="00596B81"/>
    <w:rsid w:val="00596FEE"/>
    <w:rsid w:val="0059747A"/>
    <w:rsid w:val="005974EF"/>
    <w:rsid w:val="005974FC"/>
    <w:rsid w:val="005978A1"/>
    <w:rsid w:val="0059799C"/>
    <w:rsid w:val="00597A4A"/>
    <w:rsid w:val="00597B10"/>
    <w:rsid w:val="00597BBE"/>
    <w:rsid w:val="00597BC8"/>
    <w:rsid w:val="00597C02"/>
    <w:rsid w:val="00597CC6"/>
    <w:rsid w:val="00597D7D"/>
    <w:rsid w:val="00597ECB"/>
    <w:rsid w:val="00597F4F"/>
    <w:rsid w:val="00597FAA"/>
    <w:rsid w:val="005A035B"/>
    <w:rsid w:val="005A06E6"/>
    <w:rsid w:val="005A08CA"/>
    <w:rsid w:val="005A09E7"/>
    <w:rsid w:val="005A0A00"/>
    <w:rsid w:val="005A0AF4"/>
    <w:rsid w:val="005A0CB9"/>
    <w:rsid w:val="005A0D07"/>
    <w:rsid w:val="005A0D0C"/>
    <w:rsid w:val="005A0D21"/>
    <w:rsid w:val="005A0FF8"/>
    <w:rsid w:val="005A1171"/>
    <w:rsid w:val="005A1181"/>
    <w:rsid w:val="005A128E"/>
    <w:rsid w:val="005A1356"/>
    <w:rsid w:val="005A1486"/>
    <w:rsid w:val="005A15C6"/>
    <w:rsid w:val="005A1719"/>
    <w:rsid w:val="005A187E"/>
    <w:rsid w:val="005A1F42"/>
    <w:rsid w:val="005A20B3"/>
    <w:rsid w:val="005A2396"/>
    <w:rsid w:val="005A2583"/>
    <w:rsid w:val="005A26EE"/>
    <w:rsid w:val="005A2A1C"/>
    <w:rsid w:val="005A2B90"/>
    <w:rsid w:val="005A2F32"/>
    <w:rsid w:val="005A31A4"/>
    <w:rsid w:val="005A31B7"/>
    <w:rsid w:val="005A3261"/>
    <w:rsid w:val="005A3A89"/>
    <w:rsid w:val="005A3BDD"/>
    <w:rsid w:val="005A3BF2"/>
    <w:rsid w:val="005A3D28"/>
    <w:rsid w:val="005A3EA2"/>
    <w:rsid w:val="005A3F05"/>
    <w:rsid w:val="005A3F5E"/>
    <w:rsid w:val="005A40B4"/>
    <w:rsid w:val="005A444E"/>
    <w:rsid w:val="005A44C8"/>
    <w:rsid w:val="005A458D"/>
    <w:rsid w:val="005A45C6"/>
    <w:rsid w:val="005A46BE"/>
    <w:rsid w:val="005A48D4"/>
    <w:rsid w:val="005A4DCB"/>
    <w:rsid w:val="005A4E65"/>
    <w:rsid w:val="005A5064"/>
    <w:rsid w:val="005A5086"/>
    <w:rsid w:val="005A5777"/>
    <w:rsid w:val="005A5B9D"/>
    <w:rsid w:val="005A5CA7"/>
    <w:rsid w:val="005A607A"/>
    <w:rsid w:val="005A61A9"/>
    <w:rsid w:val="005A61F2"/>
    <w:rsid w:val="005A62B4"/>
    <w:rsid w:val="005A65A2"/>
    <w:rsid w:val="005A65AA"/>
    <w:rsid w:val="005A678E"/>
    <w:rsid w:val="005A68F5"/>
    <w:rsid w:val="005A6BD1"/>
    <w:rsid w:val="005A6EDC"/>
    <w:rsid w:val="005A6F24"/>
    <w:rsid w:val="005A7166"/>
    <w:rsid w:val="005A719F"/>
    <w:rsid w:val="005A7704"/>
    <w:rsid w:val="005A7872"/>
    <w:rsid w:val="005A78C3"/>
    <w:rsid w:val="005A7917"/>
    <w:rsid w:val="005A7993"/>
    <w:rsid w:val="005A7B2B"/>
    <w:rsid w:val="005A7DA2"/>
    <w:rsid w:val="005A7F65"/>
    <w:rsid w:val="005A7FCA"/>
    <w:rsid w:val="005B0052"/>
    <w:rsid w:val="005B0358"/>
    <w:rsid w:val="005B048A"/>
    <w:rsid w:val="005B0602"/>
    <w:rsid w:val="005B0A4A"/>
    <w:rsid w:val="005B0ECF"/>
    <w:rsid w:val="005B0FC7"/>
    <w:rsid w:val="005B1033"/>
    <w:rsid w:val="005B1049"/>
    <w:rsid w:val="005B1257"/>
    <w:rsid w:val="005B1278"/>
    <w:rsid w:val="005B1656"/>
    <w:rsid w:val="005B1682"/>
    <w:rsid w:val="005B1C50"/>
    <w:rsid w:val="005B20CE"/>
    <w:rsid w:val="005B22FD"/>
    <w:rsid w:val="005B2396"/>
    <w:rsid w:val="005B25B4"/>
    <w:rsid w:val="005B2619"/>
    <w:rsid w:val="005B2668"/>
    <w:rsid w:val="005B2850"/>
    <w:rsid w:val="005B29CE"/>
    <w:rsid w:val="005B2DAF"/>
    <w:rsid w:val="005B2EF4"/>
    <w:rsid w:val="005B2FEC"/>
    <w:rsid w:val="005B3092"/>
    <w:rsid w:val="005B318E"/>
    <w:rsid w:val="005B328B"/>
    <w:rsid w:val="005B34AB"/>
    <w:rsid w:val="005B362A"/>
    <w:rsid w:val="005B3775"/>
    <w:rsid w:val="005B381D"/>
    <w:rsid w:val="005B3889"/>
    <w:rsid w:val="005B38C2"/>
    <w:rsid w:val="005B394E"/>
    <w:rsid w:val="005B3ABB"/>
    <w:rsid w:val="005B3B7E"/>
    <w:rsid w:val="005B3BEC"/>
    <w:rsid w:val="005B3FF5"/>
    <w:rsid w:val="005B40D7"/>
    <w:rsid w:val="005B4117"/>
    <w:rsid w:val="005B4425"/>
    <w:rsid w:val="005B45F5"/>
    <w:rsid w:val="005B4838"/>
    <w:rsid w:val="005B4ADE"/>
    <w:rsid w:val="005B4B8D"/>
    <w:rsid w:val="005B4C51"/>
    <w:rsid w:val="005B4E40"/>
    <w:rsid w:val="005B57A5"/>
    <w:rsid w:val="005B58C0"/>
    <w:rsid w:val="005B593B"/>
    <w:rsid w:val="005B5D6B"/>
    <w:rsid w:val="005B5EBA"/>
    <w:rsid w:val="005B6182"/>
    <w:rsid w:val="005B61A0"/>
    <w:rsid w:val="005B627A"/>
    <w:rsid w:val="005B63C4"/>
    <w:rsid w:val="005B6839"/>
    <w:rsid w:val="005B69FB"/>
    <w:rsid w:val="005B6AB0"/>
    <w:rsid w:val="005B6E01"/>
    <w:rsid w:val="005B6F26"/>
    <w:rsid w:val="005B71C7"/>
    <w:rsid w:val="005B7291"/>
    <w:rsid w:val="005B72FF"/>
    <w:rsid w:val="005B7317"/>
    <w:rsid w:val="005B7498"/>
    <w:rsid w:val="005B769B"/>
    <w:rsid w:val="005B76FB"/>
    <w:rsid w:val="005B7904"/>
    <w:rsid w:val="005B79A8"/>
    <w:rsid w:val="005B7CBC"/>
    <w:rsid w:val="005B7DBF"/>
    <w:rsid w:val="005BA5E4"/>
    <w:rsid w:val="005C0078"/>
    <w:rsid w:val="005C042A"/>
    <w:rsid w:val="005C04DD"/>
    <w:rsid w:val="005C0567"/>
    <w:rsid w:val="005C0578"/>
    <w:rsid w:val="005C0848"/>
    <w:rsid w:val="005C08BF"/>
    <w:rsid w:val="005C0AB6"/>
    <w:rsid w:val="005C1102"/>
    <w:rsid w:val="005C1299"/>
    <w:rsid w:val="005C14B3"/>
    <w:rsid w:val="005C14C6"/>
    <w:rsid w:val="005C14CC"/>
    <w:rsid w:val="005C1829"/>
    <w:rsid w:val="005C1AC9"/>
    <w:rsid w:val="005C1ADA"/>
    <w:rsid w:val="005C1F94"/>
    <w:rsid w:val="005C21D4"/>
    <w:rsid w:val="005C2385"/>
    <w:rsid w:val="005C2425"/>
    <w:rsid w:val="005C2514"/>
    <w:rsid w:val="005C2529"/>
    <w:rsid w:val="005C2592"/>
    <w:rsid w:val="005C292B"/>
    <w:rsid w:val="005C2975"/>
    <w:rsid w:val="005C2A82"/>
    <w:rsid w:val="005C2A85"/>
    <w:rsid w:val="005C2B6D"/>
    <w:rsid w:val="005C2C1A"/>
    <w:rsid w:val="005C30AC"/>
    <w:rsid w:val="005C33BD"/>
    <w:rsid w:val="005C35A1"/>
    <w:rsid w:val="005C3DCF"/>
    <w:rsid w:val="005C3E21"/>
    <w:rsid w:val="005C3EF2"/>
    <w:rsid w:val="005C404C"/>
    <w:rsid w:val="005C4254"/>
    <w:rsid w:val="005C42EF"/>
    <w:rsid w:val="005C4324"/>
    <w:rsid w:val="005C438C"/>
    <w:rsid w:val="005C4788"/>
    <w:rsid w:val="005C4A87"/>
    <w:rsid w:val="005C4B9E"/>
    <w:rsid w:val="005C4C21"/>
    <w:rsid w:val="005C4C6A"/>
    <w:rsid w:val="005C4DC1"/>
    <w:rsid w:val="005C4F0C"/>
    <w:rsid w:val="005C504C"/>
    <w:rsid w:val="005C536E"/>
    <w:rsid w:val="005C5414"/>
    <w:rsid w:val="005C55D0"/>
    <w:rsid w:val="005C5632"/>
    <w:rsid w:val="005C56D6"/>
    <w:rsid w:val="005C575C"/>
    <w:rsid w:val="005C57FF"/>
    <w:rsid w:val="005C5C3F"/>
    <w:rsid w:val="005C5DDF"/>
    <w:rsid w:val="005C5F0E"/>
    <w:rsid w:val="005C5FC7"/>
    <w:rsid w:val="005C601A"/>
    <w:rsid w:val="005C6091"/>
    <w:rsid w:val="005C630A"/>
    <w:rsid w:val="005C6350"/>
    <w:rsid w:val="005C6402"/>
    <w:rsid w:val="005C65DD"/>
    <w:rsid w:val="005C6637"/>
    <w:rsid w:val="005C6835"/>
    <w:rsid w:val="005C6A1A"/>
    <w:rsid w:val="005C6CFB"/>
    <w:rsid w:val="005C7087"/>
    <w:rsid w:val="005C7191"/>
    <w:rsid w:val="005C7198"/>
    <w:rsid w:val="005C727C"/>
    <w:rsid w:val="005C741F"/>
    <w:rsid w:val="005C7450"/>
    <w:rsid w:val="005C7591"/>
    <w:rsid w:val="005C76C9"/>
    <w:rsid w:val="005C77FF"/>
    <w:rsid w:val="005C7897"/>
    <w:rsid w:val="005C79C9"/>
    <w:rsid w:val="005C7A4C"/>
    <w:rsid w:val="005C7B32"/>
    <w:rsid w:val="005C7C71"/>
    <w:rsid w:val="005C7DF9"/>
    <w:rsid w:val="005C7EFB"/>
    <w:rsid w:val="005CCE00"/>
    <w:rsid w:val="005D01BD"/>
    <w:rsid w:val="005D01F1"/>
    <w:rsid w:val="005D0276"/>
    <w:rsid w:val="005D032D"/>
    <w:rsid w:val="005D035C"/>
    <w:rsid w:val="005D03EF"/>
    <w:rsid w:val="005D04AF"/>
    <w:rsid w:val="005D0662"/>
    <w:rsid w:val="005D0752"/>
    <w:rsid w:val="005D0A58"/>
    <w:rsid w:val="005D0A77"/>
    <w:rsid w:val="005D0CF7"/>
    <w:rsid w:val="005D0D6C"/>
    <w:rsid w:val="005D0E28"/>
    <w:rsid w:val="005D1037"/>
    <w:rsid w:val="005D106A"/>
    <w:rsid w:val="005D1202"/>
    <w:rsid w:val="005D121A"/>
    <w:rsid w:val="005D127D"/>
    <w:rsid w:val="005D1391"/>
    <w:rsid w:val="005D13E7"/>
    <w:rsid w:val="005D15DF"/>
    <w:rsid w:val="005D1A27"/>
    <w:rsid w:val="005D1A54"/>
    <w:rsid w:val="005D1BFB"/>
    <w:rsid w:val="005D1CC7"/>
    <w:rsid w:val="005D1DC9"/>
    <w:rsid w:val="005D2290"/>
    <w:rsid w:val="005D2568"/>
    <w:rsid w:val="005D26DF"/>
    <w:rsid w:val="005D286A"/>
    <w:rsid w:val="005D288F"/>
    <w:rsid w:val="005D28DF"/>
    <w:rsid w:val="005D292A"/>
    <w:rsid w:val="005D2A0A"/>
    <w:rsid w:val="005D2B37"/>
    <w:rsid w:val="005D2C7A"/>
    <w:rsid w:val="005D2F39"/>
    <w:rsid w:val="005D3489"/>
    <w:rsid w:val="005D35BE"/>
    <w:rsid w:val="005D368A"/>
    <w:rsid w:val="005D36B1"/>
    <w:rsid w:val="005D3B80"/>
    <w:rsid w:val="005D3CA0"/>
    <w:rsid w:val="005D3F2E"/>
    <w:rsid w:val="005D42D0"/>
    <w:rsid w:val="005D4383"/>
    <w:rsid w:val="005D448A"/>
    <w:rsid w:val="005D477E"/>
    <w:rsid w:val="005D4819"/>
    <w:rsid w:val="005D49BF"/>
    <w:rsid w:val="005D4C6E"/>
    <w:rsid w:val="005D50E4"/>
    <w:rsid w:val="005D524D"/>
    <w:rsid w:val="005D52B0"/>
    <w:rsid w:val="005D53BC"/>
    <w:rsid w:val="005D54EF"/>
    <w:rsid w:val="005D580E"/>
    <w:rsid w:val="005D5846"/>
    <w:rsid w:val="005D5991"/>
    <w:rsid w:val="005D5C73"/>
    <w:rsid w:val="005D5CDB"/>
    <w:rsid w:val="005D5CE4"/>
    <w:rsid w:val="005D5FCC"/>
    <w:rsid w:val="005D5FFE"/>
    <w:rsid w:val="005D601A"/>
    <w:rsid w:val="005D606E"/>
    <w:rsid w:val="005D64CC"/>
    <w:rsid w:val="005D64E9"/>
    <w:rsid w:val="005D65A7"/>
    <w:rsid w:val="005D66B0"/>
    <w:rsid w:val="005D673D"/>
    <w:rsid w:val="005D6789"/>
    <w:rsid w:val="005D6995"/>
    <w:rsid w:val="005D6CF6"/>
    <w:rsid w:val="005D71C2"/>
    <w:rsid w:val="005D72D2"/>
    <w:rsid w:val="005D746B"/>
    <w:rsid w:val="005D7540"/>
    <w:rsid w:val="005D76F3"/>
    <w:rsid w:val="005D77A9"/>
    <w:rsid w:val="005D7810"/>
    <w:rsid w:val="005D79B2"/>
    <w:rsid w:val="005D7A1A"/>
    <w:rsid w:val="005D7AE1"/>
    <w:rsid w:val="005E0069"/>
    <w:rsid w:val="005E035A"/>
    <w:rsid w:val="005E0467"/>
    <w:rsid w:val="005E0586"/>
    <w:rsid w:val="005E062A"/>
    <w:rsid w:val="005E06CE"/>
    <w:rsid w:val="005E08A1"/>
    <w:rsid w:val="005E08F4"/>
    <w:rsid w:val="005E09A5"/>
    <w:rsid w:val="005E0A47"/>
    <w:rsid w:val="005E0CF1"/>
    <w:rsid w:val="005E0E81"/>
    <w:rsid w:val="005E1212"/>
    <w:rsid w:val="005E13C3"/>
    <w:rsid w:val="005E1402"/>
    <w:rsid w:val="005E1416"/>
    <w:rsid w:val="005E1520"/>
    <w:rsid w:val="005E16F3"/>
    <w:rsid w:val="005E177A"/>
    <w:rsid w:val="005E1CCE"/>
    <w:rsid w:val="005E1E7E"/>
    <w:rsid w:val="005E2475"/>
    <w:rsid w:val="005E2648"/>
    <w:rsid w:val="005E2709"/>
    <w:rsid w:val="005E2909"/>
    <w:rsid w:val="005E2A8E"/>
    <w:rsid w:val="005E2B9B"/>
    <w:rsid w:val="005E2C5B"/>
    <w:rsid w:val="005E2C79"/>
    <w:rsid w:val="005E2D75"/>
    <w:rsid w:val="005E2EBE"/>
    <w:rsid w:val="005E319A"/>
    <w:rsid w:val="005E31B9"/>
    <w:rsid w:val="005E371D"/>
    <w:rsid w:val="005E381D"/>
    <w:rsid w:val="005E3856"/>
    <w:rsid w:val="005E3866"/>
    <w:rsid w:val="005E3913"/>
    <w:rsid w:val="005E3A51"/>
    <w:rsid w:val="005E3A77"/>
    <w:rsid w:val="005E3E47"/>
    <w:rsid w:val="005E3FE2"/>
    <w:rsid w:val="005E4115"/>
    <w:rsid w:val="005E44FA"/>
    <w:rsid w:val="005E4530"/>
    <w:rsid w:val="005E4599"/>
    <w:rsid w:val="005E45D5"/>
    <w:rsid w:val="005E46E8"/>
    <w:rsid w:val="005E48DB"/>
    <w:rsid w:val="005E4DCA"/>
    <w:rsid w:val="005E4E8F"/>
    <w:rsid w:val="005E502F"/>
    <w:rsid w:val="005E51F9"/>
    <w:rsid w:val="005E540B"/>
    <w:rsid w:val="005E543D"/>
    <w:rsid w:val="005E5520"/>
    <w:rsid w:val="005E58F9"/>
    <w:rsid w:val="005E593C"/>
    <w:rsid w:val="005E60A4"/>
    <w:rsid w:val="005E6222"/>
    <w:rsid w:val="005E6305"/>
    <w:rsid w:val="005E63B1"/>
    <w:rsid w:val="005E6AAA"/>
    <w:rsid w:val="005E6BEE"/>
    <w:rsid w:val="005E6C6D"/>
    <w:rsid w:val="005E6CA8"/>
    <w:rsid w:val="005E6CF6"/>
    <w:rsid w:val="005E6DB3"/>
    <w:rsid w:val="005E6F2F"/>
    <w:rsid w:val="005E723E"/>
    <w:rsid w:val="005E7302"/>
    <w:rsid w:val="005E73A9"/>
    <w:rsid w:val="005E75E5"/>
    <w:rsid w:val="005E76D0"/>
    <w:rsid w:val="005E7807"/>
    <w:rsid w:val="005E7908"/>
    <w:rsid w:val="005E79FF"/>
    <w:rsid w:val="005E7B89"/>
    <w:rsid w:val="005E7F95"/>
    <w:rsid w:val="005F00F5"/>
    <w:rsid w:val="005F01DD"/>
    <w:rsid w:val="005F02D2"/>
    <w:rsid w:val="005F08D4"/>
    <w:rsid w:val="005F08E9"/>
    <w:rsid w:val="005F0941"/>
    <w:rsid w:val="005F097A"/>
    <w:rsid w:val="005F0A04"/>
    <w:rsid w:val="005F0A46"/>
    <w:rsid w:val="005F0A83"/>
    <w:rsid w:val="005F0BBA"/>
    <w:rsid w:val="005F0CB4"/>
    <w:rsid w:val="005F0D2E"/>
    <w:rsid w:val="005F0D40"/>
    <w:rsid w:val="005F0D67"/>
    <w:rsid w:val="005F0FCB"/>
    <w:rsid w:val="005F0FEE"/>
    <w:rsid w:val="005F117A"/>
    <w:rsid w:val="005F1326"/>
    <w:rsid w:val="005F1389"/>
    <w:rsid w:val="005F13F7"/>
    <w:rsid w:val="005F14A5"/>
    <w:rsid w:val="005F1714"/>
    <w:rsid w:val="005F1ABD"/>
    <w:rsid w:val="005F1C0D"/>
    <w:rsid w:val="005F1C86"/>
    <w:rsid w:val="005F1D0C"/>
    <w:rsid w:val="005F2281"/>
    <w:rsid w:val="005F229C"/>
    <w:rsid w:val="005F2405"/>
    <w:rsid w:val="005F278F"/>
    <w:rsid w:val="005F2977"/>
    <w:rsid w:val="005F2C1C"/>
    <w:rsid w:val="005F2C7E"/>
    <w:rsid w:val="005F2EBB"/>
    <w:rsid w:val="005F2F1E"/>
    <w:rsid w:val="005F2F8C"/>
    <w:rsid w:val="005F329C"/>
    <w:rsid w:val="005F3A0E"/>
    <w:rsid w:val="005F3DEB"/>
    <w:rsid w:val="005F3F62"/>
    <w:rsid w:val="005F41EF"/>
    <w:rsid w:val="005F4202"/>
    <w:rsid w:val="005F4481"/>
    <w:rsid w:val="005F45B9"/>
    <w:rsid w:val="005F4C09"/>
    <w:rsid w:val="005F4D02"/>
    <w:rsid w:val="005F4F25"/>
    <w:rsid w:val="005F4F78"/>
    <w:rsid w:val="005F5003"/>
    <w:rsid w:val="005F5034"/>
    <w:rsid w:val="005F50C1"/>
    <w:rsid w:val="005F5165"/>
    <w:rsid w:val="005F518F"/>
    <w:rsid w:val="005F5211"/>
    <w:rsid w:val="005F53C5"/>
    <w:rsid w:val="005F551C"/>
    <w:rsid w:val="005F5622"/>
    <w:rsid w:val="005F57BC"/>
    <w:rsid w:val="005F5ED3"/>
    <w:rsid w:val="005F609D"/>
    <w:rsid w:val="005F6195"/>
    <w:rsid w:val="005F6217"/>
    <w:rsid w:val="005F63E2"/>
    <w:rsid w:val="005F64B3"/>
    <w:rsid w:val="005F671B"/>
    <w:rsid w:val="005F688A"/>
    <w:rsid w:val="005F68B1"/>
    <w:rsid w:val="005F6907"/>
    <w:rsid w:val="005F6E11"/>
    <w:rsid w:val="005F7228"/>
    <w:rsid w:val="005F72A1"/>
    <w:rsid w:val="005F736D"/>
    <w:rsid w:val="005F74DD"/>
    <w:rsid w:val="005F78F8"/>
    <w:rsid w:val="005F7A41"/>
    <w:rsid w:val="005F7BB2"/>
    <w:rsid w:val="005F7D6A"/>
    <w:rsid w:val="005F7D9C"/>
    <w:rsid w:val="005F7EC0"/>
    <w:rsid w:val="005F7F24"/>
    <w:rsid w:val="00600152"/>
    <w:rsid w:val="00600285"/>
    <w:rsid w:val="00600326"/>
    <w:rsid w:val="00600347"/>
    <w:rsid w:val="00600405"/>
    <w:rsid w:val="00600462"/>
    <w:rsid w:val="00600737"/>
    <w:rsid w:val="00600784"/>
    <w:rsid w:val="006008A5"/>
    <w:rsid w:val="0060093E"/>
    <w:rsid w:val="006011A2"/>
    <w:rsid w:val="0060136F"/>
    <w:rsid w:val="006016FB"/>
    <w:rsid w:val="0060174D"/>
    <w:rsid w:val="006017B8"/>
    <w:rsid w:val="006017DE"/>
    <w:rsid w:val="00601858"/>
    <w:rsid w:val="0060195D"/>
    <w:rsid w:val="006019CB"/>
    <w:rsid w:val="00601BF4"/>
    <w:rsid w:val="00601C36"/>
    <w:rsid w:val="00601D13"/>
    <w:rsid w:val="00601DAB"/>
    <w:rsid w:val="00602045"/>
    <w:rsid w:val="0060215B"/>
    <w:rsid w:val="00602476"/>
    <w:rsid w:val="006026A9"/>
    <w:rsid w:val="006028ED"/>
    <w:rsid w:val="00602A6B"/>
    <w:rsid w:val="00602A83"/>
    <w:rsid w:val="00602BB8"/>
    <w:rsid w:val="00602D55"/>
    <w:rsid w:val="00602E41"/>
    <w:rsid w:val="00603019"/>
    <w:rsid w:val="0060303D"/>
    <w:rsid w:val="006031FD"/>
    <w:rsid w:val="0060321C"/>
    <w:rsid w:val="0060381A"/>
    <w:rsid w:val="00603856"/>
    <w:rsid w:val="0060387E"/>
    <w:rsid w:val="006039EE"/>
    <w:rsid w:val="00603A73"/>
    <w:rsid w:val="00603CBA"/>
    <w:rsid w:val="00603D15"/>
    <w:rsid w:val="00603EC1"/>
    <w:rsid w:val="00603FA0"/>
    <w:rsid w:val="00604103"/>
    <w:rsid w:val="00604210"/>
    <w:rsid w:val="0060425A"/>
    <w:rsid w:val="00604351"/>
    <w:rsid w:val="00604419"/>
    <w:rsid w:val="0060441C"/>
    <w:rsid w:val="00604495"/>
    <w:rsid w:val="0060469C"/>
    <w:rsid w:val="0060471A"/>
    <w:rsid w:val="00604736"/>
    <w:rsid w:val="006047AA"/>
    <w:rsid w:val="00604B06"/>
    <w:rsid w:val="00604CAB"/>
    <w:rsid w:val="00604CF0"/>
    <w:rsid w:val="00604F3C"/>
    <w:rsid w:val="00604F72"/>
    <w:rsid w:val="0060543B"/>
    <w:rsid w:val="0060544A"/>
    <w:rsid w:val="00605669"/>
    <w:rsid w:val="006057B6"/>
    <w:rsid w:val="00605B80"/>
    <w:rsid w:val="00605C7C"/>
    <w:rsid w:val="00605D01"/>
    <w:rsid w:val="00605D92"/>
    <w:rsid w:val="00605DD6"/>
    <w:rsid w:val="00605EA6"/>
    <w:rsid w:val="00605FC6"/>
    <w:rsid w:val="00606370"/>
    <w:rsid w:val="006063E1"/>
    <w:rsid w:val="00606478"/>
    <w:rsid w:val="006064D5"/>
    <w:rsid w:val="0060650A"/>
    <w:rsid w:val="006065F5"/>
    <w:rsid w:val="006067AC"/>
    <w:rsid w:val="00606D3C"/>
    <w:rsid w:val="00606FF8"/>
    <w:rsid w:val="006070F7"/>
    <w:rsid w:val="00607168"/>
    <w:rsid w:val="006073FB"/>
    <w:rsid w:val="006074DD"/>
    <w:rsid w:val="0060756D"/>
    <w:rsid w:val="00607625"/>
    <w:rsid w:val="00607639"/>
    <w:rsid w:val="00607657"/>
    <w:rsid w:val="00607B29"/>
    <w:rsid w:val="00607D3C"/>
    <w:rsid w:val="0061010A"/>
    <w:rsid w:val="0061021F"/>
    <w:rsid w:val="006104FC"/>
    <w:rsid w:val="00610947"/>
    <w:rsid w:val="00610A78"/>
    <w:rsid w:val="00611090"/>
    <w:rsid w:val="006112D5"/>
    <w:rsid w:val="006118B0"/>
    <w:rsid w:val="00611B6B"/>
    <w:rsid w:val="00611B8C"/>
    <w:rsid w:val="00611D08"/>
    <w:rsid w:val="00611D4A"/>
    <w:rsid w:val="00611F78"/>
    <w:rsid w:val="006120CB"/>
    <w:rsid w:val="0061215B"/>
    <w:rsid w:val="006125D5"/>
    <w:rsid w:val="00612826"/>
    <w:rsid w:val="006128B4"/>
    <w:rsid w:val="00612A5F"/>
    <w:rsid w:val="00612A93"/>
    <w:rsid w:val="00612DC5"/>
    <w:rsid w:val="00612FF8"/>
    <w:rsid w:val="006131B8"/>
    <w:rsid w:val="0061328F"/>
    <w:rsid w:val="006132DE"/>
    <w:rsid w:val="0061339E"/>
    <w:rsid w:val="00613491"/>
    <w:rsid w:val="00613522"/>
    <w:rsid w:val="00613A09"/>
    <w:rsid w:val="00613B1A"/>
    <w:rsid w:val="00613CB4"/>
    <w:rsid w:val="00613CF7"/>
    <w:rsid w:val="00613D40"/>
    <w:rsid w:val="00613D5B"/>
    <w:rsid w:val="006142B9"/>
    <w:rsid w:val="00614440"/>
    <w:rsid w:val="00614A86"/>
    <w:rsid w:val="00614ECE"/>
    <w:rsid w:val="00614FE9"/>
    <w:rsid w:val="00615607"/>
    <w:rsid w:val="0061560A"/>
    <w:rsid w:val="006158AD"/>
    <w:rsid w:val="006159E7"/>
    <w:rsid w:val="00615A61"/>
    <w:rsid w:val="00615A8C"/>
    <w:rsid w:val="00615B1E"/>
    <w:rsid w:val="00615B67"/>
    <w:rsid w:val="00615BA0"/>
    <w:rsid w:val="00615BA8"/>
    <w:rsid w:val="00615BC0"/>
    <w:rsid w:val="00615C89"/>
    <w:rsid w:val="00615C98"/>
    <w:rsid w:val="00615F73"/>
    <w:rsid w:val="00616286"/>
    <w:rsid w:val="00616708"/>
    <w:rsid w:val="006168BC"/>
    <w:rsid w:val="00616C9F"/>
    <w:rsid w:val="00616D45"/>
    <w:rsid w:val="00616D69"/>
    <w:rsid w:val="00616E6B"/>
    <w:rsid w:val="00616F41"/>
    <w:rsid w:val="00617263"/>
    <w:rsid w:val="00617324"/>
    <w:rsid w:val="0061760C"/>
    <w:rsid w:val="00617BC3"/>
    <w:rsid w:val="00617C76"/>
    <w:rsid w:val="00617D1A"/>
    <w:rsid w:val="00617D3B"/>
    <w:rsid w:val="00617FF2"/>
    <w:rsid w:val="0062012F"/>
    <w:rsid w:val="00620193"/>
    <w:rsid w:val="006202BE"/>
    <w:rsid w:val="00620382"/>
    <w:rsid w:val="006204ED"/>
    <w:rsid w:val="0062053B"/>
    <w:rsid w:val="0062060A"/>
    <w:rsid w:val="0062086F"/>
    <w:rsid w:val="00620EEA"/>
    <w:rsid w:val="00620FAD"/>
    <w:rsid w:val="0062103B"/>
    <w:rsid w:val="0062110B"/>
    <w:rsid w:val="00621428"/>
    <w:rsid w:val="00621459"/>
    <w:rsid w:val="00621750"/>
    <w:rsid w:val="0062187A"/>
    <w:rsid w:val="006218AD"/>
    <w:rsid w:val="00621968"/>
    <w:rsid w:val="00621B5B"/>
    <w:rsid w:val="00621BE6"/>
    <w:rsid w:val="00621E45"/>
    <w:rsid w:val="00621F5B"/>
    <w:rsid w:val="00622205"/>
    <w:rsid w:val="00622231"/>
    <w:rsid w:val="0062255F"/>
    <w:rsid w:val="006226BE"/>
    <w:rsid w:val="00622B1A"/>
    <w:rsid w:val="00622D11"/>
    <w:rsid w:val="00622D39"/>
    <w:rsid w:val="00622DAF"/>
    <w:rsid w:val="00622FEF"/>
    <w:rsid w:val="00623125"/>
    <w:rsid w:val="00623297"/>
    <w:rsid w:val="006232DB"/>
    <w:rsid w:val="00623405"/>
    <w:rsid w:val="0062347A"/>
    <w:rsid w:val="0062373E"/>
    <w:rsid w:val="0062388D"/>
    <w:rsid w:val="006238B0"/>
    <w:rsid w:val="00623931"/>
    <w:rsid w:val="00623A84"/>
    <w:rsid w:val="00623B98"/>
    <w:rsid w:val="006240C6"/>
    <w:rsid w:val="0062469D"/>
    <w:rsid w:val="00624710"/>
    <w:rsid w:val="006248AB"/>
    <w:rsid w:val="006248DE"/>
    <w:rsid w:val="00624938"/>
    <w:rsid w:val="0062499B"/>
    <w:rsid w:val="00624AA6"/>
    <w:rsid w:val="00624AE0"/>
    <w:rsid w:val="00624B9B"/>
    <w:rsid w:val="00624BBF"/>
    <w:rsid w:val="00624C13"/>
    <w:rsid w:val="00624C9B"/>
    <w:rsid w:val="00624E47"/>
    <w:rsid w:val="00625284"/>
    <w:rsid w:val="00625413"/>
    <w:rsid w:val="00625825"/>
    <w:rsid w:val="00625988"/>
    <w:rsid w:val="00625B41"/>
    <w:rsid w:val="00625C67"/>
    <w:rsid w:val="00625CFB"/>
    <w:rsid w:val="00625E32"/>
    <w:rsid w:val="0062616C"/>
    <w:rsid w:val="00626238"/>
    <w:rsid w:val="00626272"/>
    <w:rsid w:val="0062631A"/>
    <w:rsid w:val="006264DA"/>
    <w:rsid w:val="00626575"/>
    <w:rsid w:val="0062661A"/>
    <w:rsid w:val="00626ADA"/>
    <w:rsid w:val="00626D32"/>
    <w:rsid w:val="00626D64"/>
    <w:rsid w:val="00626D86"/>
    <w:rsid w:val="00626EF4"/>
    <w:rsid w:val="00627414"/>
    <w:rsid w:val="00627571"/>
    <w:rsid w:val="0062790D"/>
    <w:rsid w:val="00627F4F"/>
    <w:rsid w:val="00630368"/>
    <w:rsid w:val="00630467"/>
    <w:rsid w:val="006304B8"/>
    <w:rsid w:val="00630556"/>
    <w:rsid w:val="00630650"/>
    <w:rsid w:val="00630906"/>
    <w:rsid w:val="00630908"/>
    <w:rsid w:val="00630982"/>
    <w:rsid w:val="00630C29"/>
    <w:rsid w:val="0063124D"/>
    <w:rsid w:val="00631351"/>
    <w:rsid w:val="00631353"/>
    <w:rsid w:val="00631903"/>
    <w:rsid w:val="00631C0D"/>
    <w:rsid w:val="00631C18"/>
    <w:rsid w:val="00631D90"/>
    <w:rsid w:val="00632017"/>
    <w:rsid w:val="00632110"/>
    <w:rsid w:val="006323A5"/>
    <w:rsid w:val="00632590"/>
    <w:rsid w:val="00632648"/>
    <w:rsid w:val="006326A1"/>
    <w:rsid w:val="006326CB"/>
    <w:rsid w:val="006326EB"/>
    <w:rsid w:val="00632725"/>
    <w:rsid w:val="006328FC"/>
    <w:rsid w:val="00632B15"/>
    <w:rsid w:val="00632BF2"/>
    <w:rsid w:val="00632DAB"/>
    <w:rsid w:val="00632DB7"/>
    <w:rsid w:val="006330F7"/>
    <w:rsid w:val="0063352A"/>
    <w:rsid w:val="00633624"/>
    <w:rsid w:val="00633709"/>
    <w:rsid w:val="00633826"/>
    <w:rsid w:val="006338C9"/>
    <w:rsid w:val="00633DAB"/>
    <w:rsid w:val="00633E8B"/>
    <w:rsid w:val="00633F20"/>
    <w:rsid w:val="00633F35"/>
    <w:rsid w:val="0063419A"/>
    <w:rsid w:val="006342BF"/>
    <w:rsid w:val="006344C0"/>
    <w:rsid w:val="006345F0"/>
    <w:rsid w:val="0063460B"/>
    <w:rsid w:val="00634639"/>
    <w:rsid w:val="00634693"/>
    <w:rsid w:val="00634782"/>
    <w:rsid w:val="00634A57"/>
    <w:rsid w:val="00634DCB"/>
    <w:rsid w:val="00634E0B"/>
    <w:rsid w:val="00634EE6"/>
    <w:rsid w:val="006357FA"/>
    <w:rsid w:val="006358F4"/>
    <w:rsid w:val="00635B6D"/>
    <w:rsid w:val="00635B81"/>
    <w:rsid w:val="00635BE0"/>
    <w:rsid w:val="00635BF5"/>
    <w:rsid w:val="00635CA2"/>
    <w:rsid w:val="00635D45"/>
    <w:rsid w:val="00635E0E"/>
    <w:rsid w:val="00635E51"/>
    <w:rsid w:val="006361B9"/>
    <w:rsid w:val="006362CE"/>
    <w:rsid w:val="006368AB"/>
    <w:rsid w:val="00636955"/>
    <w:rsid w:val="00636960"/>
    <w:rsid w:val="006369BE"/>
    <w:rsid w:val="00636A4A"/>
    <w:rsid w:val="00636AD9"/>
    <w:rsid w:val="006370AE"/>
    <w:rsid w:val="00637203"/>
    <w:rsid w:val="00637291"/>
    <w:rsid w:val="006374D8"/>
    <w:rsid w:val="0063751F"/>
    <w:rsid w:val="00637549"/>
    <w:rsid w:val="006378E8"/>
    <w:rsid w:val="00637974"/>
    <w:rsid w:val="00637AC1"/>
    <w:rsid w:val="00637AF9"/>
    <w:rsid w:val="00637EA7"/>
    <w:rsid w:val="006400D2"/>
    <w:rsid w:val="0064028A"/>
    <w:rsid w:val="0064029E"/>
    <w:rsid w:val="00640334"/>
    <w:rsid w:val="00640419"/>
    <w:rsid w:val="00640567"/>
    <w:rsid w:val="00640607"/>
    <w:rsid w:val="00640A06"/>
    <w:rsid w:val="00640B76"/>
    <w:rsid w:val="00640C66"/>
    <w:rsid w:val="00640C6B"/>
    <w:rsid w:val="00641195"/>
    <w:rsid w:val="00641293"/>
    <w:rsid w:val="006415AD"/>
    <w:rsid w:val="0064182E"/>
    <w:rsid w:val="00641B4E"/>
    <w:rsid w:val="00641B6D"/>
    <w:rsid w:val="00641D30"/>
    <w:rsid w:val="00641F89"/>
    <w:rsid w:val="00641F90"/>
    <w:rsid w:val="006422A6"/>
    <w:rsid w:val="00642326"/>
    <w:rsid w:val="006425DB"/>
    <w:rsid w:val="00642A9A"/>
    <w:rsid w:val="00642C9A"/>
    <w:rsid w:val="00642CC6"/>
    <w:rsid w:val="00642D2F"/>
    <w:rsid w:val="00643168"/>
    <w:rsid w:val="00643219"/>
    <w:rsid w:val="0064352B"/>
    <w:rsid w:val="00643762"/>
    <w:rsid w:val="00643A12"/>
    <w:rsid w:val="00643C1B"/>
    <w:rsid w:val="00643C1C"/>
    <w:rsid w:val="00643C3B"/>
    <w:rsid w:val="00643D77"/>
    <w:rsid w:val="00643D89"/>
    <w:rsid w:val="00643DF1"/>
    <w:rsid w:val="00643EE1"/>
    <w:rsid w:val="00643FA4"/>
    <w:rsid w:val="0064409C"/>
    <w:rsid w:val="006441CC"/>
    <w:rsid w:val="0064428E"/>
    <w:rsid w:val="00644802"/>
    <w:rsid w:val="0064496C"/>
    <w:rsid w:val="00644977"/>
    <w:rsid w:val="006449EA"/>
    <w:rsid w:val="00644DB8"/>
    <w:rsid w:val="0064501F"/>
    <w:rsid w:val="00645221"/>
    <w:rsid w:val="0064532C"/>
    <w:rsid w:val="006453FA"/>
    <w:rsid w:val="00645677"/>
    <w:rsid w:val="00645960"/>
    <w:rsid w:val="00645A1A"/>
    <w:rsid w:val="00645CE2"/>
    <w:rsid w:val="00645DEE"/>
    <w:rsid w:val="006461E9"/>
    <w:rsid w:val="00646338"/>
    <w:rsid w:val="006466B6"/>
    <w:rsid w:val="00646868"/>
    <w:rsid w:val="00646946"/>
    <w:rsid w:val="0064694F"/>
    <w:rsid w:val="00646A15"/>
    <w:rsid w:val="00646A19"/>
    <w:rsid w:val="00646B00"/>
    <w:rsid w:val="00646CF2"/>
    <w:rsid w:val="00646D0C"/>
    <w:rsid w:val="00646DEB"/>
    <w:rsid w:val="00647258"/>
    <w:rsid w:val="00647289"/>
    <w:rsid w:val="006472E6"/>
    <w:rsid w:val="006475BA"/>
    <w:rsid w:val="006475C1"/>
    <w:rsid w:val="00647720"/>
    <w:rsid w:val="0064774F"/>
    <w:rsid w:val="00647896"/>
    <w:rsid w:val="00647A0C"/>
    <w:rsid w:val="00647A9C"/>
    <w:rsid w:val="00647C81"/>
    <w:rsid w:val="0064BEE4"/>
    <w:rsid w:val="0064E08B"/>
    <w:rsid w:val="00650317"/>
    <w:rsid w:val="00650406"/>
    <w:rsid w:val="006506E7"/>
    <w:rsid w:val="006506FF"/>
    <w:rsid w:val="0065086E"/>
    <w:rsid w:val="00650883"/>
    <w:rsid w:val="00650A00"/>
    <w:rsid w:val="00650BC5"/>
    <w:rsid w:val="00650F05"/>
    <w:rsid w:val="00651087"/>
    <w:rsid w:val="006512CD"/>
    <w:rsid w:val="00651586"/>
    <w:rsid w:val="00651C27"/>
    <w:rsid w:val="00651CF8"/>
    <w:rsid w:val="00651E08"/>
    <w:rsid w:val="00651EB7"/>
    <w:rsid w:val="00651F13"/>
    <w:rsid w:val="00651FC4"/>
    <w:rsid w:val="0065237F"/>
    <w:rsid w:val="00652390"/>
    <w:rsid w:val="0065258C"/>
    <w:rsid w:val="00652763"/>
    <w:rsid w:val="0065279B"/>
    <w:rsid w:val="00652814"/>
    <w:rsid w:val="00652958"/>
    <w:rsid w:val="00652CBD"/>
    <w:rsid w:val="00652F1D"/>
    <w:rsid w:val="00653317"/>
    <w:rsid w:val="00653393"/>
    <w:rsid w:val="00653451"/>
    <w:rsid w:val="00653585"/>
    <w:rsid w:val="00653713"/>
    <w:rsid w:val="00653791"/>
    <w:rsid w:val="006538B2"/>
    <w:rsid w:val="00653B4D"/>
    <w:rsid w:val="00653B9F"/>
    <w:rsid w:val="00653C08"/>
    <w:rsid w:val="00653CDB"/>
    <w:rsid w:val="00653D61"/>
    <w:rsid w:val="00653D7C"/>
    <w:rsid w:val="00654081"/>
    <w:rsid w:val="00654154"/>
    <w:rsid w:val="006542B5"/>
    <w:rsid w:val="0065460F"/>
    <w:rsid w:val="00654DB4"/>
    <w:rsid w:val="00654ED8"/>
    <w:rsid w:val="00654EF2"/>
    <w:rsid w:val="00654FEA"/>
    <w:rsid w:val="00655152"/>
    <w:rsid w:val="00655308"/>
    <w:rsid w:val="006555A5"/>
    <w:rsid w:val="006555AA"/>
    <w:rsid w:val="00655B21"/>
    <w:rsid w:val="00655D5B"/>
    <w:rsid w:val="00655D8D"/>
    <w:rsid w:val="00655EA3"/>
    <w:rsid w:val="00655FAF"/>
    <w:rsid w:val="00656326"/>
    <w:rsid w:val="00656334"/>
    <w:rsid w:val="006566A3"/>
    <w:rsid w:val="00656821"/>
    <w:rsid w:val="00656975"/>
    <w:rsid w:val="00656C5A"/>
    <w:rsid w:val="00656DD5"/>
    <w:rsid w:val="0065737F"/>
    <w:rsid w:val="0065753C"/>
    <w:rsid w:val="00657628"/>
    <w:rsid w:val="00657634"/>
    <w:rsid w:val="00657A3B"/>
    <w:rsid w:val="00657B38"/>
    <w:rsid w:val="00657BD3"/>
    <w:rsid w:val="00657EA8"/>
    <w:rsid w:val="00657EAA"/>
    <w:rsid w:val="00657F87"/>
    <w:rsid w:val="0066006E"/>
    <w:rsid w:val="00660386"/>
    <w:rsid w:val="00660423"/>
    <w:rsid w:val="006604B2"/>
    <w:rsid w:val="0066065C"/>
    <w:rsid w:val="0066068D"/>
    <w:rsid w:val="0066074A"/>
    <w:rsid w:val="00660BAC"/>
    <w:rsid w:val="00660D41"/>
    <w:rsid w:val="0066116F"/>
    <w:rsid w:val="00661A20"/>
    <w:rsid w:val="00661C45"/>
    <w:rsid w:val="00661CD3"/>
    <w:rsid w:val="00661D7F"/>
    <w:rsid w:val="00661D88"/>
    <w:rsid w:val="00662048"/>
    <w:rsid w:val="006620E5"/>
    <w:rsid w:val="0066222C"/>
    <w:rsid w:val="0066232E"/>
    <w:rsid w:val="006623CA"/>
    <w:rsid w:val="0066270C"/>
    <w:rsid w:val="0066288E"/>
    <w:rsid w:val="00662981"/>
    <w:rsid w:val="006629C5"/>
    <w:rsid w:val="00662DFC"/>
    <w:rsid w:val="00662EB1"/>
    <w:rsid w:val="006631B5"/>
    <w:rsid w:val="00663460"/>
    <w:rsid w:val="006635EE"/>
    <w:rsid w:val="006638AF"/>
    <w:rsid w:val="006639AF"/>
    <w:rsid w:val="00663BCB"/>
    <w:rsid w:val="00663BEB"/>
    <w:rsid w:val="00663C2A"/>
    <w:rsid w:val="00663F6D"/>
    <w:rsid w:val="00664024"/>
    <w:rsid w:val="0066405E"/>
    <w:rsid w:val="006640AA"/>
    <w:rsid w:val="006645CD"/>
    <w:rsid w:val="00664718"/>
    <w:rsid w:val="006647BE"/>
    <w:rsid w:val="00664865"/>
    <w:rsid w:val="006648D4"/>
    <w:rsid w:val="00664987"/>
    <w:rsid w:val="006649E4"/>
    <w:rsid w:val="00664B64"/>
    <w:rsid w:val="00664BC2"/>
    <w:rsid w:val="00664EA0"/>
    <w:rsid w:val="00664F06"/>
    <w:rsid w:val="006650BA"/>
    <w:rsid w:val="006650D8"/>
    <w:rsid w:val="00665136"/>
    <w:rsid w:val="00665196"/>
    <w:rsid w:val="006652C8"/>
    <w:rsid w:val="00665514"/>
    <w:rsid w:val="00665610"/>
    <w:rsid w:val="00665AC0"/>
    <w:rsid w:val="00665BC3"/>
    <w:rsid w:val="00665DEE"/>
    <w:rsid w:val="00665EDE"/>
    <w:rsid w:val="00665F58"/>
    <w:rsid w:val="00666071"/>
    <w:rsid w:val="0066614E"/>
    <w:rsid w:val="006664C9"/>
    <w:rsid w:val="00666670"/>
    <w:rsid w:val="00666790"/>
    <w:rsid w:val="006667F0"/>
    <w:rsid w:val="00666926"/>
    <w:rsid w:val="00666A2D"/>
    <w:rsid w:val="00666A64"/>
    <w:rsid w:val="00666BE7"/>
    <w:rsid w:val="00666E06"/>
    <w:rsid w:val="00666F43"/>
    <w:rsid w:val="0066787A"/>
    <w:rsid w:val="006678E4"/>
    <w:rsid w:val="006678F4"/>
    <w:rsid w:val="00667A70"/>
    <w:rsid w:val="00667AD8"/>
    <w:rsid w:val="00667FC0"/>
    <w:rsid w:val="0067023E"/>
    <w:rsid w:val="006703E2"/>
    <w:rsid w:val="0067065F"/>
    <w:rsid w:val="0067086E"/>
    <w:rsid w:val="0067090A"/>
    <w:rsid w:val="00670C89"/>
    <w:rsid w:val="00670D87"/>
    <w:rsid w:val="00670F59"/>
    <w:rsid w:val="00670F9D"/>
    <w:rsid w:val="00670FE9"/>
    <w:rsid w:val="00671043"/>
    <w:rsid w:val="006712A7"/>
    <w:rsid w:val="0067145E"/>
    <w:rsid w:val="006715D2"/>
    <w:rsid w:val="006715F8"/>
    <w:rsid w:val="00671626"/>
    <w:rsid w:val="0067171E"/>
    <w:rsid w:val="0067175E"/>
    <w:rsid w:val="00671943"/>
    <w:rsid w:val="006719C2"/>
    <w:rsid w:val="00671AE2"/>
    <w:rsid w:val="00671BC0"/>
    <w:rsid w:val="00671BD0"/>
    <w:rsid w:val="00671D50"/>
    <w:rsid w:val="0067207F"/>
    <w:rsid w:val="006720C4"/>
    <w:rsid w:val="00672224"/>
    <w:rsid w:val="00672527"/>
    <w:rsid w:val="006725C5"/>
    <w:rsid w:val="00672630"/>
    <w:rsid w:val="00672674"/>
    <w:rsid w:val="00672EBC"/>
    <w:rsid w:val="006730B4"/>
    <w:rsid w:val="00673242"/>
    <w:rsid w:val="00673256"/>
    <w:rsid w:val="006732C2"/>
    <w:rsid w:val="0067354E"/>
    <w:rsid w:val="006738C9"/>
    <w:rsid w:val="00673B19"/>
    <w:rsid w:val="00673B3C"/>
    <w:rsid w:val="00673B68"/>
    <w:rsid w:val="00674143"/>
    <w:rsid w:val="006741BC"/>
    <w:rsid w:val="006747D8"/>
    <w:rsid w:val="00674865"/>
    <w:rsid w:val="00674CBA"/>
    <w:rsid w:val="00674CCB"/>
    <w:rsid w:val="00674DB7"/>
    <w:rsid w:val="00674ECA"/>
    <w:rsid w:val="00674EEC"/>
    <w:rsid w:val="00674F07"/>
    <w:rsid w:val="00674F57"/>
    <w:rsid w:val="00675004"/>
    <w:rsid w:val="006750C1"/>
    <w:rsid w:val="0067519B"/>
    <w:rsid w:val="00675545"/>
    <w:rsid w:val="00675682"/>
    <w:rsid w:val="0067581D"/>
    <w:rsid w:val="00675839"/>
    <w:rsid w:val="00675892"/>
    <w:rsid w:val="00675C80"/>
    <w:rsid w:val="00675CFC"/>
    <w:rsid w:val="00675D1A"/>
    <w:rsid w:val="00675F76"/>
    <w:rsid w:val="006761E4"/>
    <w:rsid w:val="006761F6"/>
    <w:rsid w:val="006765B7"/>
    <w:rsid w:val="006766C5"/>
    <w:rsid w:val="006766E1"/>
    <w:rsid w:val="006767E3"/>
    <w:rsid w:val="0067696C"/>
    <w:rsid w:val="00676F3F"/>
    <w:rsid w:val="00676FE8"/>
    <w:rsid w:val="00677001"/>
    <w:rsid w:val="0067700A"/>
    <w:rsid w:val="00677017"/>
    <w:rsid w:val="00677091"/>
    <w:rsid w:val="00677216"/>
    <w:rsid w:val="0067725D"/>
    <w:rsid w:val="0067738F"/>
    <w:rsid w:val="00677513"/>
    <w:rsid w:val="0067756F"/>
    <w:rsid w:val="006776A2"/>
    <w:rsid w:val="006776BE"/>
    <w:rsid w:val="006776D8"/>
    <w:rsid w:val="006777A8"/>
    <w:rsid w:val="006778A9"/>
    <w:rsid w:val="0067790D"/>
    <w:rsid w:val="00677998"/>
    <w:rsid w:val="00677BC3"/>
    <w:rsid w:val="00677BFD"/>
    <w:rsid w:val="00677C61"/>
    <w:rsid w:val="00677C7C"/>
    <w:rsid w:val="00677CB5"/>
    <w:rsid w:val="00677F27"/>
    <w:rsid w:val="00677F36"/>
    <w:rsid w:val="00677FBE"/>
    <w:rsid w:val="00680631"/>
    <w:rsid w:val="0068065B"/>
    <w:rsid w:val="006808FF"/>
    <w:rsid w:val="0068099D"/>
    <w:rsid w:val="00680B47"/>
    <w:rsid w:val="00680D27"/>
    <w:rsid w:val="00680DA7"/>
    <w:rsid w:val="00680E2C"/>
    <w:rsid w:val="0068131D"/>
    <w:rsid w:val="00681380"/>
    <w:rsid w:val="006814C6"/>
    <w:rsid w:val="006815E6"/>
    <w:rsid w:val="006815FE"/>
    <w:rsid w:val="0068161E"/>
    <w:rsid w:val="0068172A"/>
    <w:rsid w:val="00681763"/>
    <w:rsid w:val="00681815"/>
    <w:rsid w:val="0068194B"/>
    <w:rsid w:val="00681A71"/>
    <w:rsid w:val="00681CFF"/>
    <w:rsid w:val="00681D98"/>
    <w:rsid w:val="00681DF5"/>
    <w:rsid w:val="00681E15"/>
    <w:rsid w:val="00681E25"/>
    <w:rsid w:val="00682288"/>
    <w:rsid w:val="00682416"/>
    <w:rsid w:val="0068241B"/>
    <w:rsid w:val="0068242C"/>
    <w:rsid w:val="00682558"/>
    <w:rsid w:val="0068259F"/>
    <w:rsid w:val="006828E0"/>
    <w:rsid w:val="00682970"/>
    <w:rsid w:val="00682C74"/>
    <w:rsid w:val="00682E4E"/>
    <w:rsid w:val="00683163"/>
    <w:rsid w:val="00683227"/>
    <w:rsid w:val="006836C2"/>
    <w:rsid w:val="0068376D"/>
    <w:rsid w:val="006838B4"/>
    <w:rsid w:val="00683C40"/>
    <w:rsid w:val="00683C4D"/>
    <w:rsid w:val="00683D6A"/>
    <w:rsid w:val="00683F12"/>
    <w:rsid w:val="00683F69"/>
    <w:rsid w:val="006842F5"/>
    <w:rsid w:val="006843E1"/>
    <w:rsid w:val="006845AE"/>
    <w:rsid w:val="006846D3"/>
    <w:rsid w:val="00684779"/>
    <w:rsid w:val="0068486C"/>
    <w:rsid w:val="006848C9"/>
    <w:rsid w:val="00684D4C"/>
    <w:rsid w:val="00684E27"/>
    <w:rsid w:val="00684EA8"/>
    <w:rsid w:val="0068503F"/>
    <w:rsid w:val="0068528D"/>
    <w:rsid w:val="0068538A"/>
    <w:rsid w:val="006854D9"/>
    <w:rsid w:val="006855A3"/>
    <w:rsid w:val="00685738"/>
    <w:rsid w:val="006858D6"/>
    <w:rsid w:val="00685ACA"/>
    <w:rsid w:val="00685D2E"/>
    <w:rsid w:val="0068602D"/>
    <w:rsid w:val="00686161"/>
    <w:rsid w:val="0068619B"/>
    <w:rsid w:val="0068656E"/>
    <w:rsid w:val="00686867"/>
    <w:rsid w:val="00686917"/>
    <w:rsid w:val="00686998"/>
    <w:rsid w:val="006869EC"/>
    <w:rsid w:val="00686C33"/>
    <w:rsid w:val="00686D71"/>
    <w:rsid w:val="00686F58"/>
    <w:rsid w:val="0068729E"/>
    <w:rsid w:val="00687611"/>
    <w:rsid w:val="00687A51"/>
    <w:rsid w:val="00687AC3"/>
    <w:rsid w:val="00687CDD"/>
    <w:rsid w:val="00687D1C"/>
    <w:rsid w:val="00690030"/>
    <w:rsid w:val="006900B6"/>
    <w:rsid w:val="006902FB"/>
    <w:rsid w:val="0069045D"/>
    <w:rsid w:val="0069047B"/>
    <w:rsid w:val="006904A0"/>
    <w:rsid w:val="006904E6"/>
    <w:rsid w:val="0069060E"/>
    <w:rsid w:val="00690679"/>
    <w:rsid w:val="00690700"/>
    <w:rsid w:val="006909BC"/>
    <w:rsid w:val="00690BD3"/>
    <w:rsid w:val="00690C7B"/>
    <w:rsid w:val="00690D97"/>
    <w:rsid w:val="00690E7A"/>
    <w:rsid w:val="00690EF5"/>
    <w:rsid w:val="00690F49"/>
    <w:rsid w:val="00690FBF"/>
    <w:rsid w:val="0069140E"/>
    <w:rsid w:val="006914E6"/>
    <w:rsid w:val="006914FF"/>
    <w:rsid w:val="00691785"/>
    <w:rsid w:val="00691ACC"/>
    <w:rsid w:val="00691C17"/>
    <w:rsid w:val="00691F65"/>
    <w:rsid w:val="00692016"/>
    <w:rsid w:val="006921FA"/>
    <w:rsid w:val="00692556"/>
    <w:rsid w:val="00692747"/>
    <w:rsid w:val="006927A6"/>
    <w:rsid w:val="006927AC"/>
    <w:rsid w:val="006928F2"/>
    <w:rsid w:val="00692945"/>
    <w:rsid w:val="00692A9C"/>
    <w:rsid w:val="00692BF0"/>
    <w:rsid w:val="00692D91"/>
    <w:rsid w:val="00692F79"/>
    <w:rsid w:val="006931BA"/>
    <w:rsid w:val="00693242"/>
    <w:rsid w:val="006937BE"/>
    <w:rsid w:val="00693CC3"/>
    <w:rsid w:val="0069418F"/>
    <w:rsid w:val="006942A1"/>
    <w:rsid w:val="006942D2"/>
    <w:rsid w:val="0069435F"/>
    <w:rsid w:val="006944CA"/>
    <w:rsid w:val="00694A4B"/>
    <w:rsid w:val="00694F9C"/>
    <w:rsid w:val="006950F3"/>
    <w:rsid w:val="006951D3"/>
    <w:rsid w:val="006952A8"/>
    <w:rsid w:val="00695459"/>
    <w:rsid w:val="0069547B"/>
    <w:rsid w:val="00695575"/>
    <w:rsid w:val="006955F3"/>
    <w:rsid w:val="006958CF"/>
    <w:rsid w:val="00695980"/>
    <w:rsid w:val="00695C77"/>
    <w:rsid w:val="00695D08"/>
    <w:rsid w:val="00695D68"/>
    <w:rsid w:val="00695FFB"/>
    <w:rsid w:val="006961CC"/>
    <w:rsid w:val="006961DB"/>
    <w:rsid w:val="0069621A"/>
    <w:rsid w:val="006962D6"/>
    <w:rsid w:val="00696F38"/>
    <w:rsid w:val="00697125"/>
    <w:rsid w:val="006972C8"/>
    <w:rsid w:val="006974FC"/>
    <w:rsid w:val="0069755A"/>
    <w:rsid w:val="006975D4"/>
    <w:rsid w:val="00697603"/>
    <w:rsid w:val="00697622"/>
    <w:rsid w:val="0069779D"/>
    <w:rsid w:val="006978B9"/>
    <w:rsid w:val="006979B6"/>
    <w:rsid w:val="006979EF"/>
    <w:rsid w:val="006979FA"/>
    <w:rsid w:val="00697D7A"/>
    <w:rsid w:val="00697DFF"/>
    <w:rsid w:val="00697EEE"/>
    <w:rsid w:val="00697F78"/>
    <w:rsid w:val="006A0426"/>
    <w:rsid w:val="006A068A"/>
    <w:rsid w:val="006A070E"/>
    <w:rsid w:val="006A099F"/>
    <w:rsid w:val="006A0A4D"/>
    <w:rsid w:val="006A0B31"/>
    <w:rsid w:val="006A0B79"/>
    <w:rsid w:val="006A0CDD"/>
    <w:rsid w:val="006A0CF6"/>
    <w:rsid w:val="006A0DB9"/>
    <w:rsid w:val="006A1039"/>
    <w:rsid w:val="006A10D3"/>
    <w:rsid w:val="006A173E"/>
    <w:rsid w:val="006A1AD9"/>
    <w:rsid w:val="006A1B2F"/>
    <w:rsid w:val="006A1EF6"/>
    <w:rsid w:val="006A1F71"/>
    <w:rsid w:val="006A1FA1"/>
    <w:rsid w:val="006A2026"/>
    <w:rsid w:val="006A20D0"/>
    <w:rsid w:val="006A21A9"/>
    <w:rsid w:val="006A22CC"/>
    <w:rsid w:val="006A262A"/>
    <w:rsid w:val="006A268C"/>
    <w:rsid w:val="006A281B"/>
    <w:rsid w:val="006A2B75"/>
    <w:rsid w:val="006A2B93"/>
    <w:rsid w:val="006A2CA3"/>
    <w:rsid w:val="006A3103"/>
    <w:rsid w:val="006A361C"/>
    <w:rsid w:val="006A3A0E"/>
    <w:rsid w:val="006A3BB1"/>
    <w:rsid w:val="006A3C49"/>
    <w:rsid w:val="006A3F06"/>
    <w:rsid w:val="006A3F0A"/>
    <w:rsid w:val="006A41AF"/>
    <w:rsid w:val="006A41D0"/>
    <w:rsid w:val="006A4325"/>
    <w:rsid w:val="006A4364"/>
    <w:rsid w:val="006A4558"/>
    <w:rsid w:val="006A45C3"/>
    <w:rsid w:val="006A4658"/>
    <w:rsid w:val="006A475A"/>
    <w:rsid w:val="006A4760"/>
    <w:rsid w:val="006A4999"/>
    <w:rsid w:val="006A49CE"/>
    <w:rsid w:val="006A4A48"/>
    <w:rsid w:val="006A4AA9"/>
    <w:rsid w:val="006A4DC6"/>
    <w:rsid w:val="006A4F36"/>
    <w:rsid w:val="006A4F44"/>
    <w:rsid w:val="006A5140"/>
    <w:rsid w:val="006A514A"/>
    <w:rsid w:val="006A514B"/>
    <w:rsid w:val="006A5254"/>
    <w:rsid w:val="006A5387"/>
    <w:rsid w:val="006A567A"/>
    <w:rsid w:val="006A573A"/>
    <w:rsid w:val="006A5932"/>
    <w:rsid w:val="006A5BE2"/>
    <w:rsid w:val="006A5D16"/>
    <w:rsid w:val="006A5D4E"/>
    <w:rsid w:val="006A5E44"/>
    <w:rsid w:val="006A5EA8"/>
    <w:rsid w:val="006A60C1"/>
    <w:rsid w:val="006A644F"/>
    <w:rsid w:val="006A6588"/>
    <w:rsid w:val="006A6671"/>
    <w:rsid w:val="006A66A7"/>
    <w:rsid w:val="006A66EC"/>
    <w:rsid w:val="006A6A01"/>
    <w:rsid w:val="006A6AFA"/>
    <w:rsid w:val="006A6B0F"/>
    <w:rsid w:val="006A6B5C"/>
    <w:rsid w:val="006A6BA3"/>
    <w:rsid w:val="006A6BD6"/>
    <w:rsid w:val="006A6C83"/>
    <w:rsid w:val="006A6E05"/>
    <w:rsid w:val="006A6E9F"/>
    <w:rsid w:val="006A6ED2"/>
    <w:rsid w:val="006A6FA0"/>
    <w:rsid w:val="006A7010"/>
    <w:rsid w:val="006A725C"/>
    <w:rsid w:val="006A728D"/>
    <w:rsid w:val="006A7464"/>
    <w:rsid w:val="006A74E8"/>
    <w:rsid w:val="006A770C"/>
    <w:rsid w:val="006A776F"/>
    <w:rsid w:val="006A77B6"/>
    <w:rsid w:val="006A77ED"/>
    <w:rsid w:val="006A78F4"/>
    <w:rsid w:val="006A7AE4"/>
    <w:rsid w:val="006A7C65"/>
    <w:rsid w:val="006B0006"/>
    <w:rsid w:val="006B01B9"/>
    <w:rsid w:val="006B01ED"/>
    <w:rsid w:val="006B03A1"/>
    <w:rsid w:val="006B041D"/>
    <w:rsid w:val="006B09BA"/>
    <w:rsid w:val="006B1110"/>
    <w:rsid w:val="006B1797"/>
    <w:rsid w:val="006B17AD"/>
    <w:rsid w:val="006B17DD"/>
    <w:rsid w:val="006B1AAB"/>
    <w:rsid w:val="006B1AE9"/>
    <w:rsid w:val="006B1BEA"/>
    <w:rsid w:val="006B1C22"/>
    <w:rsid w:val="006B1F7E"/>
    <w:rsid w:val="006B20C0"/>
    <w:rsid w:val="006B2709"/>
    <w:rsid w:val="006B283C"/>
    <w:rsid w:val="006B2A5C"/>
    <w:rsid w:val="006B2AD6"/>
    <w:rsid w:val="006B2C6A"/>
    <w:rsid w:val="006B2CB5"/>
    <w:rsid w:val="006B2D2A"/>
    <w:rsid w:val="006B2DA2"/>
    <w:rsid w:val="006B2E00"/>
    <w:rsid w:val="006B2E2A"/>
    <w:rsid w:val="006B3104"/>
    <w:rsid w:val="006B32D4"/>
    <w:rsid w:val="006B3317"/>
    <w:rsid w:val="006B35BB"/>
    <w:rsid w:val="006B36CC"/>
    <w:rsid w:val="006B3799"/>
    <w:rsid w:val="006B3B77"/>
    <w:rsid w:val="006B3D53"/>
    <w:rsid w:val="006B3DB1"/>
    <w:rsid w:val="006B3F7F"/>
    <w:rsid w:val="006B412F"/>
    <w:rsid w:val="006B4441"/>
    <w:rsid w:val="006B45C3"/>
    <w:rsid w:val="006B45C7"/>
    <w:rsid w:val="006B46B7"/>
    <w:rsid w:val="006B4777"/>
    <w:rsid w:val="006B4926"/>
    <w:rsid w:val="006B4944"/>
    <w:rsid w:val="006B4A58"/>
    <w:rsid w:val="006B4A72"/>
    <w:rsid w:val="006B5060"/>
    <w:rsid w:val="006B5122"/>
    <w:rsid w:val="006B51C5"/>
    <w:rsid w:val="006B51DD"/>
    <w:rsid w:val="006B54E9"/>
    <w:rsid w:val="006B568F"/>
    <w:rsid w:val="006B584C"/>
    <w:rsid w:val="006B5956"/>
    <w:rsid w:val="006B64C9"/>
    <w:rsid w:val="006B662A"/>
    <w:rsid w:val="006B666E"/>
    <w:rsid w:val="006B6B0E"/>
    <w:rsid w:val="006B6CDA"/>
    <w:rsid w:val="006B6D1E"/>
    <w:rsid w:val="006B6D7B"/>
    <w:rsid w:val="006B71D0"/>
    <w:rsid w:val="006B734C"/>
    <w:rsid w:val="006B7378"/>
    <w:rsid w:val="006B74CD"/>
    <w:rsid w:val="006B75A4"/>
    <w:rsid w:val="006B76F5"/>
    <w:rsid w:val="006B76FD"/>
    <w:rsid w:val="006B7C04"/>
    <w:rsid w:val="006B7CBB"/>
    <w:rsid w:val="006C0032"/>
    <w:rsid w:val="006C00BE"/>
    <w:rsid w:val="006C01C7"/>
    <w:rsid w:val="006C069A"/>
    <w:rsid w:val="006C075C"/>
    <w:rsid w:val="006C0923"/>
    <w:rsid w:val="006C0D1F"/>
    <w:rsid w:val="006C0E9F"/>
    <w:rsid w:val="006C0FAD"/>
    <w:rsid w:val="006C173E"/>
    <w:rsid w:val="006C186C"/>
    <w:rsid w:val="006C19E2"/>
    <w:rsid w:val="006C1B77"/>
    <w:rsid w:val="006C1B78"/>
    <w:rsid w:val="006C1C1C"/>
    <w:rsid w:val="006C1D7A"/>
    <w:rsid w:val="006C1DC5"/>
    <w:rsid w:val="006C1E72"/>
    <w:rsid w:val="006C21CE"/>
    <w:rsid w:val="006C2314"/>
    <w:rsid w:val="006C23D1"/>
    <w:rsid w:val="006C24B9"/>
    <w:rsid w:val="006C2796"/>
    <w:rsid w:val="006C2932"/>
    <w:rsid w:val="006C2A87"/>
    <w:rsid w:val="006C3087"/>
    <w:rsid w:val="006C324C"/>
    <w:rsid w:val="006C34BF"/>
    <w:rsid w:val="006C3657"/>
    <w:rsid w:val="006C36CF"/>
    <w:rsid w:val="006C3A4E"/>
    <w:rsid w:val="006C3B21"/>
    <w:rsid w:val="006C40A6"/>
    <w:rsid w:val="006C4967"/>
    <w:rsid w:val="006C4A41"/>
    <w:rsid w:val="006C4B40"/>
    <w:rsid w:val="006C4E4B"/>
    <w:rsid w:val="006C50CB"/>
    <w:rsid w:val="006C5323"/>
    <w:rsid w:val="006C53F1"/>
    <w:rsid w:val="006C541C"/>
    <w:rsid w:val="006C55FA"/>
    <w:rsid w:val="006C583F"/>
    <w:rsid w:val="006C5939"/>
    <w:rsid w:val="006C59FF"/>
    <w:rsid w:val="006C5A70"/>
    <w:rsid w:val="006C5C00"/>
    <w:rsid w:val="006C5C9D"/>
    <w:rsid w:val="006C5EC2"/>
    <w:rsid w:val="006C6055"/>
    <w:rsid w:val="006C686D"/>
    <w:rsid w:val="006C68C3"/>
    <w:rsid w:val="006C6D6C"/>
    <w:rsid w:val="006C7312"/>
    <w:rsid w:val="006C753E"/>
    <w:rsid w:val="006C7657"/>
    <w:rsid w:val="006C7706"/>
    <w:rsid w:val="006C7859"/>
    <w:rsid w:val="006C7EE8"/>
    <w:rsid w:val="006D018B"/>
    <w:rsid w:val="006D0363"/>
    <w:rsid w:val="006D04CC"/>
    <w:rsid w:val="006D06D3"/>
    <w:rsid w:val="006D07A5"/>
    <w:rsid w:val="006D07C8"/>
    <w:rsid w:val="006D082E"/>
    <w:rsid w:val="006D085B"/>
    <w:rsid w:val="006D0897"/>
    <w:rsid w:val="006D0B48"/>
    <w:rsid w:val="006D0CB5"/>
    <w:rsid w:val="006D0D95"/>
    <w:rsid w:val="006D110B"/>
    <w:rsid w:val="006D1140"/>
    <w:rsid w:val="006D11D9"/>
    <w:rsid w:val="006D15F7"/>
    <w:rsid w:val="006D171E"/>
    <w:rsid w:val="006D1A1E"/>
    <w:rsid w:val="006D1AF9"/>
    <w:rsid w:val="006D1B24"/>
    <w:rsid w:val="006D1B6E"/>
    <w:rsid w:val="006D1BBA"/>
    <w:rsid w:val="006D1C78"/>
    <w:rsid w:val="006D1F8C"/>
    <w:rsid w:val="006D2051"/>
    <w:rsid w:val="006D22B5"/>
    <w:rsid w:val="006D23AA"/>
    <w:rsid w:val="006D2554"/>
    <w:rsid w:val="006D2818"/>
    <w:rsid w:val="006D281B"/>
    <w:rsid w:val="006D2E6A"/>
    <w:rsid w:val="006D300C"/>
    <w:rsid w:val="006D301A"/>
    <w:rsid w:val="006D32F5"/>
    <w:rsid w:val="006D330B"/>
    <w:rsid w:val="006D331B"/>
    <w:rsid w:val="006D3324"/>
    <w:rsid w:val="006D33D5"/>
    <w:rsid w:val="006D33D8"/>
    <w:rsid w:val="006D3415"/>
    <w:rsid w:val="006D36FD"/>
    <w:rsid w:val="006D372D"/>
    <w:rsid w:val="006D376D"/>
    <w:rsid w:val="006D3794"/>
    <w:rsid w:val="006D3815"/>
    <w:rsid w:val="006D3E10"/>
    <w:rsid w:val="006D3EA9"/>
    <w:rsid w:val="006D40B5"/>
    <w:rsid w:val="006D4102"/>
    <w:rsid w:val="006D41DD"/>
    <w:rsid w:val="006D4269"/>
    <w:rsid w:val="006D42EF"/>
    <w:rsid w:val="006D4418"/>
    <w:rsid w:val="006D44B7"/>
    <w:rsid w:val="006D44C7"/>
    <w:rsid w:val="006D452F"/>
    <w:rsid w:val="006D456D"/>
    <w:rsid w:val="006D469C"/>
    <w:rsid w:val="006D470F"/>
    <w:rsid w:val="006D4710"/>
    <w:rsid w:val="006D4976"/>
    <w:rsid w:val="006D4BD7"/>
    <w:rsid w:val="006D4F93"/>
    <w:rsid w:val="006D5780"/>
    <w:rsid w:val="006D5848"/>
    <w:rsid w:val="006D5C81"/>
    <w:rsid w:val="006D5CC3"/>
    <w:rsid w:val="006D5D60"/>
    <w:rsid w:val="006D5E2E"/>
    <w:rsid w:val="006D5F02"/>
    <w:rsid w:val="006D6122"/>
    <w:rsid w:val="006D6370"/>
    <w:rsid w:val="006D645D"/>
    <w:rsid w:val="006D64A8"/>
    <w:rsid w:val="006D64DC"/>
    <w:rsid w:val="006D670C"/>
    <w:rsid w:val="006D6F36"/>
    <w:rsid w:val="006D6F96"/>
    <w:rsid w:val="006D717C"/>
    <w:rsid w:val="006D7243"/>
    <w:rsid w:val="006D7274"/>
    <w:rsid w:val="006D7338"/>
    <w:rsid w:val="006D74FF"/>
    <w:rsid w:val="006D7946"/>
    <w:rsid w:val="006D7A3A"/>
    <w:rsid w:val="006D7B97"/>
    <w:rsid w:val="006D7B9C"/>
    <w:rsid w:val="006D7C47"/>
    <w:rsid w:val="006E00FB"/>
    <w:rsid w:val="006E0103"/>
    <w:rsid w:val="006E019B"/>
    <w:rsid w:val="006E02E5"/>
    <w:rsid w:val="006E04E2"/>
    <w:rsid w:val="006E05AD"/>
    <w:rsid w:val="006E0D6C"/>
    <w:rsid w:val="006E112E"/>
    <w:rsid w:val="006E1195"/>
    <w:rsid w:val="006E12AF"/>
    <w:rsid w:val="006E12F0"/>
    <w:rsid w:val="006E1402"/>
    <w:rsid w:val="006E1875"/>
    <w:rsid w:val="006E1911"/>
    <w:rsid w:val="006E1AFE"/>
    <w:rsid w:val="006E1B57"/>
    <w:rsid w:val="006E20B1"/>
    <w:rsid w:val="006E210D"/>
    <w:rsid w:val="006E21EA"/>
    <w:rsid w:val="006E22C3"/>
    <w:rsid w:val="006E22C5"/>
    <w:rsid w:val="006E2375"/>
    <w:rsid w:val="006E24A1"/>
    <w:rsid w:val="006E24A8"/>
    <w:rsid w:val="006E2779"/>
    <w:rsid w:val="006E282F"/>
    <w:rsid w:val="006E2A68"/>
    <w:rsid w:val="006E2AC7"/>
    <w:rsid w:val="006E2B26"/>
    <w:rsid w:val="006E2BC8"/>
    <w:rsid w:val="006E2E4B"/>
    <w:rsid w:val="006E2E4C"/>
    <w:rsid w:val="006E340A"/>
    <w:rsid w:val="006E36D3"/>
    <w:rsid w:val="006E3732"/>
    <w:rsid w:val="006E374D"/>
    <w:rsid w:val="006E3829"/>
    <w:rsid w:val="006E3B8C"/>
    <w:rsid w:val="006E414D"/>
    <w:rsid w:val="006E41AB"/>
    <w:rsid w:val="006E41B1"/>
    <w:rsid w:val="006E41C5"/>
    <w:rsid w:val="006E42AE"/>
    <w:rsid w:val="006E43E7"/>
    <w:rsid w:val="006E45FA"/>
    <w:rsid w:val="006E4646"/>
    <w:rsid w:val="006E4B88"/>
    <w:rsid w:val="006E4BCA"/>
    <w:rsid w:val="006E4BD0"/>
    <w:rsid w:val="006E4C32"/>
    <w:rsid w:val="006E4F81"/>
    <w:rsid w:val="006E4FE9"/>
    <w:rsid w:val="006E5022"/>
    <w:rsid w:val="006E5070"/>
    <w:rsid w:val="006E51B2"/>
    <w:rsid w:val="006E536E"/>
    <w:rsid w:val="006E5416"/>
    <w:rsid w:val="006E54DC"/>
    <w:rsid w:val="006E5901"/>
    <w:rsid w:val="006E5A0D"/>
    <w:rsid w:val="006E5B7D"/>
    <w:rsid w:val="006E5BEE"/>
    <w:rsid w:val="006E5CF9"/>
    <w:rsid w:val="006E5EF0"/>
    <w:rsid w:val="006E6045"/>
    <w:rsid w:val="006E6250"/>
    <w:rsid w:val="006E65F3"/>
    <w:rsid w:val="006E65F4"/>
    <w:rsid w:val="006E670B"/>
    <w:rsid w:val="006E6BC8"/>
    <w:rsid w:val="006E6BD5"/>
    <w:rsid w:val="006E6BEF"/>
    <w:rsid w:val="006E6C27"/>
    <w:rsid w:val="006E6D47"/>
    <w:rsid w:val="006E6F2F"/>
    <w:rsid w:val="006E716C"/>
    <w:rsid w:val="006E750F"/>
    <w:rsid w:val="006E76C6"/>
    <w:rsid w:val="006E76DC"/>
    <w:rsid w:val="006E7ACD"/>
    <w:rsid w:val="006E7B22"/>
    <w:rsid w:val="006E7B36"/>
    <w:rsid w:val="006E7B8D"/>
    <w:rsid w:val="006E7C7E"/>
    <w:rsid w:val="006E7DAC"/>
    <w:rsid w:val="006E7E6E"/>
    <w:rsid w:val="006E7EC3"/>
    <w:rsid w:val="006EF91E"/>
    <w:rsid w:val="006F0076"/>
    <w:rsid w:val="006F043A"/>
    <w:rsid w:val="006F0523"/>
    <w:rsid w:val="006F0A2E"/>
    <w:rsid w:val="006F0CE5"/>
    <w:rsid w:val="006F0D1F"/>
    <w:rsid w:val="006F0D99"/>
    <w:rsid w:val="006F0E2D"/>
    <w:rsid w:val="006F102B"/>
    <w:rsid w:val="006F14C2"/>
    <w:rsid w:val="006F15D2"/>
    <w:rsid w:val="006F166C"/>
    <w:rsid w:val="006F1A0C"/>
    <w:rsid w:val="006F1B8D"/>
    <w:rsid w:val="006F1BB1"/>
    <w:rsid w:val="006F1C58"/>
    <w:rsid w:val="006F1D06"/>
    <w:rsid w:val="006F1D31"/>
    <w:rsid w:val="006F1D7E"/>
    <w:rsid w:val="006F1DEE"/>
    <w:rsid w:val="006F20BF"/>
    <w:rsid w:val="006F2151"/>
    <w:rsid w:val="006F2182"/>
    <w:rsid w:val="006F21D7"/>
    <w:rsid w:val="006F2287"/>
    <w:rsid w:val="006F2340"/>
    <w:rsid w:val="006F235A"/>
    <w:rsid w:val="006F24A1"/>
    <w:rsid w:val="006F24DD"/>
    <w:rsid w:val="006F254F"/>
    <w:rsid w:val="006F2856"/>
    <w:rsid w:val="006F2957"/>
    <w:rsid w:val="006F2AA0"/>
    <w:rsid w:val="006F2D4C"/>
    <w:rsid w:val="006F2FFD"/>
    <w:rsid w:val="006F3133"/>
    <w:rsid w:val="006F33E9"/>
    <w:rsid w:val="006F3698"/>
    <w:rsid w:val="006F36EA"/>
    <w:rsid w:val="006F38C8"/>
    <w:rsid w:val="006F394A"/>
    <w:rsid w:val="006F3967"/>
    <w:rsid w:val="006F3F98"/>
    <w:rsid w:val="006F3FFC"/>
    <w:rsid w:val="006F4231"/>
    <w:rsid w:val="006F4249"/>
    <w:rsid w:val="006F44D5"/>
    <w:rsid w:val="006F45B7"/>
    <w:rsid w:val="006F4607"/>
    <w:rsid w:val="006F481E"/>
    <w:rsid w:val="006F48E5"/>
    <w:rsid w:val="006F4909"/>
    <w:rsid w:val="006F4A8C"/>
    <w:rsid w:val="006F4BCA"/>
    <w:rsid w:val="006F4D31"/>
    <w:rsid w:val="006F5013"/>
    <w:rsid w:val="006F5020"/>
    <w:rsid w:val="006F507C"/>
    <w:rsid w:val="006F52BF"/>
    <w:rsid w:val="006F5367"/>
    <w:rsid w:val="006F5398"/>
    <w:rsid w:val="006F539A"/>
    <w:rsid w:val="006F5674"/>
    <w:rsid w:val="006F56CB"/>
    <w:rsid w:val="006F58C0"/>
    <w:rsid w:val="006F59B8"/>
    <w:rsid w:val="006F5A66"/>
    <w:rsid w:val="006F5CF5"/>
    <w:rsid w:val="006F6342"/>
    <w:rsid w:val="006F6344"/>
    <w:rsid w:val="006F6378"/>
    <w:rsid w:val="006F64E8"/>
    <w:rsid w:val="006F66C3"/>
    <w:rsid w:val="006F66E0"/>
    <w:rsid w:val="006F69CA"/>
    <w:rsid w:val="006F6BFC"/>
    <w:rsid w:val="006F6EDC"/>
    <w:rsid w:val="006F70F7"/>
    <w:rsid w:val="006F7566"/>
    <w:rsid w:val="006F7593"/>
    <w:rsid w:val="006F7824"/>
    <w:rsid w:val="006F7A61"/>
    <w:rsid w:val="006F7E71"/>
    <w:rsid w:val="006F7FFB"/>
    <w:rsid w:val="007002D6"/>
    <w:rsid w:val="007002F9"/>
    <w:rsid w:val="0070033C"/>
    <w:rsid w:val="00700580"/>
    <w:rsid w:val="007005C0"/>
    <w:rsid w:val="007008A6"/>
    <w:rsid w:val="00700912"/>
    <w:rsid w:val="007009B2"/>
    <w:rsid w:val="00700CED"/>
    <w:rsid w:val="00700F8F"/>
    <w:rsid w:val="00701342"/>
    <w:rsid w:val="00701348"/>
    <w:rsid w:val="0070145D"/>
    <w:rsid w:val="007015C4"/>
    <w:rsid w:val="00701745"/>
    <w:rsid w:val="00701848"/>
    <w:rsid w:val="0070198D"/>
    <w:rsid w:val="00701A60"/>
    <w:rsid w:val="00701E0E"/>
    <w:rsid w:val="00701E5E"/>
    <w:rsid w:val="00702556"/>
    <w:rsid w:val="00702794"/>
    <w:rsid w:val="007029E2"/>
    <w:rsid w:val="00702A42"/>
    <w:rsid w:val="00702B4D"/>
    <w:rsid w:val="00702C19"/>
    <w:rsid w:val="00702F8C"/>
    <w:rsid w:val="007030AA"/>
    <w:rsid w:val="00703149"/>
    <w:rsid w:val="007033C7"/>
    <w:rsid w:val="00703491"/>
    <w:rsid w:val="007034EB"/>
    <w:rsid w:val="00703503"/>
    <w:rsid w:val="00703559"/>
    <w:rsid w:val="007035C4"/>
    <w:rsid w:val="0070365F"/>
    <w:rsid w:val="0070373A"/>
    <w:rsid w:val="007037A9"/>
    <w:rsid w:val="007038F8"/>
    <w:rsid w:val="00703960"/>
    <w:rsid w:val="00703BF1"/>
    <w:rsid w:val="00703C98"/>
    <w:rsid w:val="00703FDA"/>
    <w:rsid w:val="00704465"/>
    <w:rsid w:val="00704615"/>
    <w:rsid w:val="0070464A"/>
    <w:rsid w:val="00704751"/>
    <w:rsid w:val="00704993"/>
    <w:rsid w:val="00704F14"/>
    <w:rsid w:val="00704FB1"/>
    <w:rsid w:val="0070503B"/>
    <w:rsid w:val="007051E2"/>
    <w:rsid w:val="0070546D"/>
    <w:rsid w:val="0070582B"/>
    <w:rsid w:val="007059A7"/>
    <w:rsid w:val="00705A11"/>
    <w:rsid w:val="00705B3C"/>
    <w:rsid w:val="00705CE7"/>
    <w:rsid w:val="00705E40"/>
    <w:rsid w:val="00705F18"/>
    <w:rsid w:val="007060FE"/>
    <w:rsid w:val="00706173"/>
    <w:rsid w:val="007062A9"/>
    <w:rsid w:val="007062AB"/>
    <w:rsid w:val="007062EC"/>
    <w:rsid w:val="0070632E"/>
    <w:rsid w:val="0070647C"/>
    <w:rsid w:val="0070654E"/>
    <w:rsid w:val="00706585"/>
    <w:rsid w:val="0070694E"/>
    <w:rsid w:val="00706C1D"/>
    <w:rsid w:val="00707228"/>
    <w:rsid w:val="00707274"/>
    <w:rsid w:val="00707503"/>
    <w:rsid w:val="00707712"/>
    <w:rsid w:val="0070778C"/>
    <w:rsid w:val="0070784B"/>
    <w:rsid w:val="007078E1"/>
    <w:rsid w:val="00707A3F"/>
    <w:rsid w:val="00707BE1"/>
    <w:rsid w:val="00707BFD"/>
    <w:rsid w:val="007100EC"/>
    <w:rsid w:val="007101C0"/>
    <w:rsid w:val="007101C5"/>
    <w:rsid w:val="007103C9"/>
    <w:rsid w:val="00710525"/>
    <w:rsid w:val="0071057F"/>
    <w:rsid w:val="00710A9D"/>
    <w:rsid w:val="00710CE7"/>
    <w:rsid w:val="00710DD8"/>
    <w:rsid w:val="00710EAD"/>
    <w:rsid w:val="00710F76"/>
    <w:rsid w:val="007110E3"/>
    <w:rsid w:val="00711191"/>
    <w:rsid w:val="0071168E"/>
    <w:rsid w:val="00711976"/>
    <w:rsid w:val="00711E19"/>
    <w:rsid w:val="00711EAA"/>
    <w:rsid w:val="007120AC"/>
    <w:rsid w:val="007121FD"/>
    <w:rsid w:val="007123D3"/>
    <w:rsid w:val="0071240F"/>
    <w:rsid w:val="00712462"/>
    <w:rsid w:val="007124D0"/>
    <w:rsid w:val="00712514"/>
    <w:rsid w:val="00712566"/>
    <w:rsid w:val="00712580"/>
    <w:rsid w:val="0071281F"/>
    <w:rsid w:val="00712825"/>
    <w:rsid w:val="007128F2"/>
    <w:rsid w:val="007129B1"/>
    <w:rsid w:val="007129DD"/>
    <w:rsid w:val="00712A1B"/>
    <w:rsid w:val="00712C9A"/>
    <w:rsid w:val="00712CB7"/>
    <w:rsid w:val="00712ED6"/>
    <w:rsid w:val="00713035"/>
    <w:rsid w:val="00713108"/>
    <w:rsid w:val="007131B6"/>
    <w:rsid w:val="007132E7"/>
    <w:rsid w:val="00713706"/>
    <w:rsid w:val="00713716"/>
    <w:rsid w:val="0071380E"/>
    <w:rsid w:val="00713C21"/>
    <w:rsid w:val="00713CCA"/>
    <w:rsid w:val="00713E28"/>
    <w:rsid w:val="00713EB2"/>
    <w:rsid w:val="0071413E"/>
    <w:rsid w:val="0071442D"/>
    <w:rsid w:val="0071449D"/>
    <w:rsid w:val="00714580"/>
    <w:rsid w:val="0071478D"/>
    <w:rsid w:val="007148F7"/>
    <w:rsid w:val="00714B29"/>
    <w:rsid w:val="0071501E"/>
    <w:rsid w:val="007150B8"/>
    <w:rsid w:val="00715392"/>
    <w:rsid w:val="00715403"/>
    <w:rsid w:val="0071548A"/>
    <w:rsid w:val="007155E0"/>
    <w:rsid w:val="007156CC"/>
    <w:rsid w:val="0071590A"/>
    <w:rsid w:val="00715A59"/>
    <w:rsid w:val="00715ABF"/>
    <w:rsid w:val="00715C4F"/>
    <w:rsid w:val="00715D59"/>
    <w:rsid w:val="00715DCC"/>
    <w:rsid w:val="00715F15"/>
    <w:rsid w:val="00715FC3"/>
    <w:rsid w:val="00716108"/>
    <w:rsid w:val="0071638D"/>
    <w:rsid w:val="00716624"/>
    <w:rsid w:val="00716698"/>
    <w:rsid w:val="00716A37"/>
    <w:rsid w:val="00716CB4"/>
    <w:rsid w:val="00716CF6"/>
    <w:rsid w:val="007170D7"/>
    <w:rsid w:val="00717194"/>
    <w:rsid w:val="007172F7"/>
    <w:rsid w:val="00717353"/>
    <w:rsid w:val="007174BD"/>
    <w:rsid w:val="007175F1"/>
    <w:rsid w:val="00717744"/>
    <w:rsid w:val="00717AEE"/>
    <w:rsid w:val="00717BB5"/>
    <w:rsid w:val="00717C13"/>
    <w:rsid w:val="00717F58"/>
    <w:rsid w:val="00717F7F"/>
    <w:rsid w:val="007201EE"/>
    <w:rsid w:val="007203D6"/>
    <w:rsid w:val="007204B1"/>
    <w:rsid w:val="0072074C"/>
    <w:rsid w:val="007207BB"/>
    <w:rsid w:val="0072094B"/>
    <w:rsid w:val="00720A1E"/>
    <w:rsid w:val="00720D18"/>
    <w:rsid w:val="00720E60"/>
    <w:rsid w:val="00720F73"/>
    <w:rsid w:val="00721283"/>
    <w:rsid w:val="0072130C"/>
    <w:rsid w:val="00721A9D"/>
    <w:rsid w:val="00721B4D"/>
    <w:rsid w:val="00721C26"/>
    <w:rsid w:val="00721C2D"/>
    <w:rsid w:val="00721CB8"/>
    <w:rsid w:val="00722272"/>
    <w:rsid w:val="007223EB"/>
    <w:rsid w:val="0072250B"/>
    <w:rsid w:val="00722555"/>
    <w:rsid w:val="0072269E"/>
    <w:rsid w:val="00722770"/>
    <w:rsid w:val="00722804"/>
    <w:rsid w:val="007228C3"/>
    <w:rsid w:val="007229EC"/>
    <w:rsid w:val="00722AEF"/>
    <w:rsid w:val="00722B92"/>
    <w:rsid w:val="00722F40"/>
    <w:rsid w:val="00723130"/>
    <w:rsid w:val="00723134"/>
    <w:rsid w:val="007231F8"/>
    <w:rsid w:val="0072329C"/>
    <w:rsid w:val="007232A1"/>
    <w:rsid w:val="007232CC"/>
    <w:rsid w:val="00723343"/>
    <w:rsid w:val="007236BE"/>
    <w:rsid w:val="007238C4"/>
    <w:rsid w:val="00723C3D"/>
    <w:rsid w:val="00723EA3"/>
    <w:rsid w:val="00723EF7"/>
    <w:rsid w:val="00723FB1"/>
    <w:rsid w:val="007240C2"/>
    <w:rsid w:val="00724317"/>
    <w:rsid w:val="0072432C"/>
    <w:rsid w:val="00724383"/>
    <w:rsid w:val="007244DF"/>
    <w:rsid w:val="007245F7"/>
    <w:rsid w:val="00724B31"/>
    <w:rsid w:val="00724BFE"/>
    <w:rsid w:val="00724D16"/>
    <w:rsid w:val="00724D33"/>
    <w:rsid w:val="00724E8E"/>
    <w:rsid w:val="0072508F"/>
    <w:rsid w:val="007252E2"/>
    <w:rsid w:val="0072546B"/>
    <w:rsid w:val="00725501"/>
    <w:rsid w:val="00725648"/>
    <w:rsid w:val="00725A28"/>
    <w:rsid w:val="00725A3D"/>
    <w:rsid w:val="00725AF0"/>
    <w:rsid w:val="00725BC3"/>
    <w:rsid w:val="00725C2A"/>
    <w:rsid w:val="00725CD5"/>
    <w:rsid w:val="00725F08"/>
    <w:rsid w:val="00725F9B"/>
    <w:rsid w:val="0072603A"/>
    <w:rsid w:val="0072619D"/>
    <w:rsid w:val="0072632B"/>
    <w:rsid w:val="00726393"/>
    <w:rsid w:val="00726409"/>
    <w:rsid w:val="007264A7"/>
    <w:rsid w:val="007264C3"/>
    <w:rsid w:val="00726546"/>
    <w:rsid w:val="007269CC"/>
    <w:rsid w:val="00726BD8"/>
    <w:rsid w:val="00726C69"/>
    <w:rsid w:val="00726D35"/>
    <w:rsid w:val="00726D5F"/>
    <w:rsid w:val="00726E16"/>
    <w:rsid w:val="00726E44"/>
    <w:rsid w:val="00726F20"/>
    <w:rsid w:val="007272DF"/>
    <w:rsid w:val="00727548"/>
    <w:rsid w:val="007275F4"/>
    <w:rsid w:val="00727706"/>
    <w:rsid w:val="00727831"/>
    <w:rsid w:val="00727889"/>
    <w:rsid w:val="00727AB5"/>
    <w:rsid w:val="00727B52"/>
    <w:rsid w:val="00727B54"/>
    <w:rsid w:val="00727CD8"/>
    <w:rsid w:val="00727DB7"/>
    <w:rsid w:val="00727E16"/>
    <w:rsid w:val="0073026F"/>
    <w:rsid w:val="007302B3"/>
    <w:rsid w:val="00730340"/>
    <w:rsid w:val="007303A8"/>
    <w:rsid w:val="00730429"/>
    <w:rsid w:val="0073049A"/>
    <w:rsid w:val="007305AB"/>
    <w:rsid w:val="0073061A"/>
    <w:rsid w:val="007306BE"/>
    <w:rsid w:val="007306DD"/>
    <w:rsid w:val="00730890"/>
    <w:rsid w:val="00730BCB"/>
    <w:rsid w:val="00730CC0"/>
    <w:rsid w:val="007310A6"/>
    <w:rsid w:val="00731138"/>
    <w:rsid w:val="0073129C"/>
    <w:rsid w:val="00731603"/>
    <w:rsid w:val="007316BD"/>
    <w:rsid w:val="007319AA"/>
    <w:rsid w:val="00731B03"/>
    <w:rsid w:val="00731CA5"/>
    <w:rsid w:val="00731E6A"/>
    <w:rsid w:val="00731EBA"/>
    <w:rsid w:val="007320D1"/>
    <w:rsid w:val="00732304"/>
    <w:rsid w:val="00732423"/>
    <w:rsid w:val="007324A9"/>
    <w:rsid w:val="00732885"/>
    <w:rsid w:val="00732AE9"/>
    <w:rsid w:val="00732B32"/>
    <w:rsid w:val="00732B60"/>
    <w:rsid w:val="00732C0A"/>
    <w:rsid w:val="00732CFF"/>
    <w:rsid w:val="00732EE1"/>
    <w:rsid w:val="007331A1"/>
    <w:rsid w:val="00733474"/>
    <w:rsid w:val="00733515"/>
    <w:rsid w:val="007335E4"/>
    <w:rsid w:val="00733643"/>
    <w:rsid w:val="007339B2"/>
    <w:rsid w:val="007339C0"/>
    <w:rsid w:val="00733AB7"/>
    <w:rsid w:val="00733E15"/>
    <w:rsid w:val="00734162"/>
    <w:rsid w:val="007341A2"/>
    <w:rsid w:val="0073445E"/>
    <w:rsid w:val="00734506"/>
    <w:rsid w:val="00734753"/>
    <w:rsid w:val="00734C0F"/>
    <w:rsid w:val="00734EC7"/>
    <w:rsid w:val="00734FA6"/>
    <w:rsid w:val="00734FC9"/>
    <w:rsid w:val="007355AE"/>
    <w:rsid w:val="00735A6C"/>
    <w:rsid w:val="00735B00"/>
    <w:rsid w:val="00735C63"/>
    <w:rsid w:val="00735C83"/>
    <w:rsid w:val="007362A6"/>
    <w:rsid w:val="007363A9"/>
    <w:rsid w:val="00736633"/>
    <w:rsid w:val="007367E6"/>
    <w:rsid w:val="00736841"/>
    <w:rsid w:val="00736A3D"/>
    <w:rsid w:val="00736AC9"/>
    <w:rsid w:val="00736B6C"/>
    <w:rsid w:val="00736FF8"/>
    <w:rsid w:val="0073725B"/>
    <w:rsid w:val="007374EF"/>
    <w:rsid w:val="00737743"/>
    <w:rsid w:val="007377E8"/>
    <w:rsid w:val="0073795A"/>
    <w:rsid w:val="00737967"/>
    <w:rsid w:val="00737B02"/>
    <w:rsid w:val="00737B73"/>
    <w:rsid w:val="00737BC2"/>
    <w:rsid w:val="00737BD2"/>
    <w:rsid w:val="00737C4B"/>
    <w:rsid w:val="0074007A"/>
    <w:rsid w:val="007401ED"/>
    <w:rsid w:val="00740294"/>
    <w:rsid w:val="0074029F"/>
    <w:rsid w:val="0074056A"/>
    <w:rsid w:val="00740605"/>
    <w:rsid w:val="007408B3"/>
    <w:rsid w:val="00740940"/>
    <w:rsid w:val="00740B1A"/>
    <w:rsid w:val="00740C14"/>
    <w:rsid w:val="00740D83"/>
    <w:rsid w:val="007411F0"/>
    <w:rsid w:val="0074128B"/>
    <w:rsid w:val="007412ED"/>
    <w:rsid w:val="007413EA"/>
    <w:rsid w:val="007415B8"/>
    <w:rsid w:val="00741638"/>
    <w:rsid w:val="00741853"/>
    <w:rsid w:val="00741CCA"/>
    <w:rsid w:val="00741FF9"/>
    <w:rsid w:val="007422A0"/>
    <w:rsid w:val="00742315"/>
    <w:rsid w:val="007423C1"/>
    <w:rsid w:val="00742551"/>
    <w:rsid w:val="00742579"/>
    <w:rsid w:val="00742902"/>
    <w:rsid w:val="00742BA8"/>
    <w:rsid w:val="00742D7C"/>
    <w:rsid w:val="0074302C"/>
    <w:rsid w:val="00743544"/>
    <w:rsid w:val="0074384F"/>
    <w:rsid w:val="00743B15"/>
    <w:rsid w:val="00743B2B"/>
    <w:rsid w:val="00743B81"/>
    <w:rsid w:val="00743E39"/>
    <w:rsid w:val="00743FDC"/>
    <w:rsid w:val="00744076"/>
    <w:rsid w:val="0074426A"/>
    <w:rsid w:val="00744676"/>
    <w:rsid w:val="007446D8"/>
    <w:rsid w:val="00744C1B"/>
    <w:rsid w:val="00744CC9"/>
    <w:rsid w:val="0074501E"/>
    <w:rsid w:val="007456DF"/>
    <w:rsid w:val="00745732"/>
    <w:rsid w:val="007457E2"/>
    <w:rsid w:val="0074586F"/>
    <w:rsid w:val="007458F2"/>
    <w:rsid w:val="00745A4F"/>
    <w:rsid w:val="00745AAF"/>
    <w:rsid w:val="00745BEE"/>
    <w:rsid w:val="00745CBA"/>
    <w:rsid w:val="00745D7A"/>
    <w:rsid w:val="00745FDB"/>
    <w:rsid w:val="00746059"/>
    <w:rsid w:val="00746130"/>
    <w:rsid w:val="007462DD"/>
    <w:rsid w:val="00746445"/>
    <w:rsid w:val="0074662D"/>
    <w:rsid w:val="00746677"/>
    <w:rsid w:val="00746685"/>
    <w:rsid w:val="00746812"/>
    <w:rsid w:val="00746E0E"/>
    <w:rsid w:val="00746ED9"/>
    <w:rsid w:val="00746F5C"/>
    <w:rsid w:val="0074715B"/>
    <w:rsid w:val="0074725E"/>
    <w:rsid w:val="00747359"/>
    <w:rsid w:val="007473D0"/>
    <w:rsid w:val="007473D2"/>
    <w:rsid w:val="0074740D"/>
    <w:rsid w:val="007476FE"/>
    <w:rsid w:val="007478EA"/>
    <w:rsid w:val="00747957"/>
    <w:rsid w:val="007479F7"/>
    <w:rsid w:val="00747A25"/>
    <w:rsid w:val="00747C90"/>
    <w:rsid w:val="007500B9"/>
    <w:rsid w:val="007500EE"/>
    <w:rsid w:val="007503C1"/>
    <w:rsid w:val="0075093C"/>
    <w:rsid w:val="00750B12"/>
    <w:rsid w:val="00750EA5"/>
    <w:rsid w:val="00750EE8"/>
    <w:rsid w:val="0075117A"/>
    <w:rsid w:val="00751312"/>
    <w:rsid w:val="007513C3"/>
    <w:rsid w:val="00751412"/>
    <w:rsid w:val="00751529"/>
    <w:rsid w:val="00751640"/>
    <w:rsid w:val="0075189F"/>
    <w:rsid w:val="00751D05"/>
    <w:rsid w:val="00751D2E"/>
    <w:rsid w:val="0075212E"/>
    <w:rsid w:val="00752168"/>
    <w:rsid w:val="00752289"/>
    <w:rsid w:val="00752333"/>
    <w:rsid w:val="00752435"/>
    <w:rsid w:val="0075252F"/>
    <w:rsid w:val="0075253F"/>
    <w:rsid w:val="00752643"/>
    <w:rsid w:val="007526C1"/>
    <w:rsid w:val="0075276A"/>
    <w:rsid w:val="00752836"/>
    <w:rsid w:val="0075293A"/>
    <w:rsid w:val="00752965"/>
    <w:rsid w:val="00752B3A"/>
    <w:rsid w:val="00752B78"/>
    <w:rsid w:val="00752BF1"/>
    <w:rsid w:val="00752CDE"/>
    <w:rsid w:val="00752ECF"/>
    <w:rsid w:val="00753032"/>
    <w:rsid w:val="007530B7"/>
    <w:rsid w:val="007530D1"/>
    <w:rsid w:val="0075324F"/>
    <w:rsid w:val="007532A7"/>
    <w:rsid w:val="0075344E"/>
    <w:rsid w:val="00753741"/>
    <w:rsid w:val="007537B0"/>
    <w:rsid w:val="007537DA"/>
    <w:rsid w:val="00753B64"/>
    <w:rsid w:val="00753BD2"/>
    <w:rsid w:val="00753CC2"/>
    <w:rsid w:val="00753D79"/>
    <w:rsid w:val="00753E60"/>
    <w:rsid w:val="007542E6"/>
    <w:rsid w:val="007545DC"/>
    <w:rsid w:val="00754618"/>
    <w:rsid w:val="00754672"/>
    <w:rsid w:val="0075469B"/>
    <w:rsid w:val="007546AF"/>
    <w:rsid w:val="00754775"/>
    <w:rsid w:val="007547B8"/>
    <w:rsid w:val="00754A23"/>
    <w:rsid w:val="00754C3B"/>
    <w:rsid w:val="00754C7F"/>
    <w:rsid w:val="00754CBF"/>
    <w:rsid w:val="00754F41"/>
    <w:rsid w:val="0075501B"/>
    <w:rsid w:val="00755117"/>
    <w:rsid w:val="00755146"/>
    <w:rsid w:val="0075546B"/>
    <w:rsid w:val="007555CF"/>
    <w:rsid w:val="00755D7F"/>
    <w:rsid w:val="00755E32"/>
    <w:rsid w:val="007562BA"/>
    <w:rsid w:val="00756329"/>
    <w:rsid w:val="007565E9"/>
    <w:rsid w:val="0075674B"/>
    <w:rsid w:val="00756815"/>
    <w:rsid w:val="00756874"/>
    <w:rsid w:val="00756926"/>
    <w:rsid w:val="0075698D"/>
    <w:rsid w:val="00756CBF"/>
    <w:rsid w:val="00756CE2"/>
    <w:rsid w:val="00756DEA"/>
    <w:rsid w:val="00756FAD"/>
    <w:rsid w:val="007570A3"/>
    <w:rsid w:val="00757242"/>
    <w:rsid w:val="00757261"/>
    <w:rsid w:val="007579BC"/>
    <w:rsid w:val="00757AA7"/>
    <w:rsid w:val="00757B8A"/>
    <w:rsid w:val="00757BF4"/>
    <w:rsid w:val="00757E74"/>
    <w:rsid w:val="0076025E"/>
    <w:rsid w:val="00760482"/>
    <w:rsid w:val="007604F6"/>
    <w:rsid w:val="00760A41"/>
    <w:rsid w:val="00760A6C"/>
    <w:rsid w:val="00760B79"/>
    <w:rsid w:val="00760DE7"/>
    <w:rsid w:val="00760DF7"/>
    <w:rsid w:val="00760EE2"/>
    <w:rsid w:val="007611B0"/>
    <w:rsid w:val="007612BC"/>
    <w:rsid w:val="00761702"/>
    <w:rsid w:val="00761742"/>
    <w:rsid w:val="007618F2"/>
    <w:rsid w:val="00761A92"/>
    <w:rsid w:val="00761EBF"/>
    <w:rsid w:val="00761F85"/>
    <w:rsid w:val="00762078"/>
    <w:rsid w:val="00762110"/>
    <w:rsid w:val="007622E1"/>
    <w:rsid w:val="0076236D"/>
    <w:rsid w:val="0076253E"/>
    <w:rsid w:val="0076271D"/>
    <w:rsid w:val="00762766"/>
    <w:rsid w:val="0076280B"/>
    <w:rsid w:val="0076283B"/>
    <w:rsid w:val="007629D5"/>
    <w:rsid w:val="007629DE"/>
    <w:rsid w:val="00762D60"/>
    <w:rsid w:val="00763004"/>
    <w:rsid w:val="00763476"/>
    <w:rsid w:val="00763496"/>
    <w:rsid w:val="0076355C"/>
    <w:rsid w:val="007635C1"/>
    <w:rsid w:val="00763677"/>
    <w:rsid w:val="00763745"/>
    <w:rsid w:val="00763BF9"/>
    <w:rsid w:val="00763D92"/>
    <w:rsid w:val="00763E0F"/>
    <w:rsid w:val="00763FF3"/>
    <w:rsid w:val="007641E9"/>
    <w:rsid w:val="00764294"/>
    <w:rsid w:val="007642BB"/>
    <w:rsid w:val="00764303"/>
    <w:rsid w:val="007644B5"/>
    <w:rsid w:val="0076466C"/>
    <w:rsid w:val="007647C8"/>
    <w:rsid w:val="007649E8"/>
    <w:rsid w:val="00764B54"/>
    <w:rsid w:val="00764B5E"/>
    <w:rsid w:val="00764BE8"/>
    <w:rsid w:val="00764F44"/>
    <w:rsid w:val="00764F71"/>
    <w:rsid w:val="0076518C"/>
    <w:rsid w:val="00765700"/>
    <w:rsid w:val="00765799"/>
    <w:rsid w:val="0076579C"/>
    <w:rsid w:val="007657F8"/>
    <w:rsid w:val="00765B78"/>
    <w:rsid w:val="00765C6B"/>
    <w:rsid w:val="00766088"/>
    <w:rsid w:val="007661BE"/>
    <w:rsid w:val="0076644F"/>
    <w:rsid w:val="00766518"/>
    <w:rsid w:val="007665AA"/>
    <w:rsid w:val="0076665B"/>
    <w:rsid w:val="00766C3C"/>
    <w:rsid w:val="00766FAB"/>
    <w:rsid w:val="007672D4"/>
    <w:rsid w:val="00767600"/>
    <w:rsid w:val="00767A94"/>
    <w:rsid w:val="00767BA6"/>
    <w:rsid w:val="00767F4B"/>
    <w:rsid w:val="00767FAA"/>
    <w:rsid w:val="00770170"/>
    <w:rsid w:val="007702BB"/>
    <w:rsid w:val="00770328"/>
    <w:rsid w:val="00770404"/>
    <w:rsid w:val="00770532"/>
    <w:rsid w:val="00770559"/>
    <w:rsid w:val="00770751"/>
    <w:rsid w:val="00770773"/>
    <w:rsid w:val="007708AE"/>
    <w:rsid w:val="00770A3C"/>
    <w:rsid w:val="00770A41"/>
    <w:rsid w:val="00771047"/>
    <w:rsid w:val="00771498"/>
    <w:rsid w:val="0077170E"/>
    <w:rsid w:val="0077181F"/>
    <w:rsid w:val="00772231"/>
    <w:rsid w:val="0077246E"/>
    <w:rsid w:val="0077276C"/>
    <w:rsid w:val="007728E1"/>
    <w:rsid w:val="00772A22"/>
    <w:rsid w:val="00772D6B"/>
    <w:rsid w:val="00772DEA"/>
    <w:rsid w:val="007730F0"/>
    <w:rsid w:val="00773336"/>
    <w:rsid w:val="007734D0"/>
    <w:rsid w:val="00773633"/>
    <w:rsid w:val="00773962"/>
    <w:rsid w:val="00773AD9"/>
    <w:rsid w:val="00773C45"/>
    <w:rsid w:val="00773E0F"/>
    <w:rsid w:val="00773F86"/>
    <w:rsid w:val="00774035"/>
    <w:rsid w:val="0077406C"/>
    <w:rsid w:val="00774117"/>
    <w:rsid w:val="00774361"/>
    <w:rsid w:val="0077436A"/>
    <w:rsid w:val="007747DC"/>
    <w:rsid w:val="00774983"/>
    <w:rsid w:val="007749AE"/>
    <w:rsid w:val="00774B3C"/>
    <w:rsid w:val="00774BE5"/>
    <w:rsid w:val="00774D8F"/>
    <w:rsid w:val="00774DB6"/>
    <w:rsid w:val="00774ECC"/>
    <w:rsid w:val="00774F2D"/>
    <w:rsid w:val="0077523F"/>
    <w:rsid w:val="00775376"/>
    <w:rsid w:val="007753D8"/>
    <w:rsid w:val="00775658"/>
    <w:rsid w:val="0077576D"/>
    <w:rsid w:val="0077594A"/>
    <w:rsid w:val="0077597A"/>
    <w:rsid w:val="00775B05"/>
    <w:rsid w:val="00775C78"/>
    <w:rsid w:val="00775C7C"/>
    <w:rsid w:val="00775C82"/>
    <w:rsid w:val="00775D41"/>
    <w:rsid w:val="00775D9A"/>
    <w:rsid w:val="00775E4B"/>
    <w:rsid w:val="00775F70"/>
    <w:rsid w:val="007761A3"/>
    <w:rsid w:val="00776227"/>
    <w:rsid w:val="00776525"/>
    <w:rsid w:val="00776607"/>
    <w:rsid w:val="007768D2"/>
    <w:rsid w:val="00776964"/>
    <w:rsid w:val="00776FD7"/>
    <w:rsid w:val="007772E3"/>
    <w:rsid w:val="007772E8"/>
    <w:rsid w:val="00777309"/>
    <w:rsid w:val="007776B0"/>
    <w:rsid w:val="00777A7F"/>
    <w:rsid w:val="00777B9A"/>
    <w:rsid w:val="0078061E"/>
    <w:rsid w:val="007806EF"/>
    <w:rsid w:val="00780733"/>
    <w:rsid w:val="00780ADF"/>
    <w:rsid w:val="00780EE0"/>
    <w:rsid w:val="00781347"/>
    <w:rsid w:val="007813AF"/>
    <w:rsid w:val="00781647"/>
    <w:rsid w:val="0078176F"/>
    <w:rsid w:val="00781791"/>
    <w:rsid w:val="00781A47"/>
    <w:rsid w:val="00781C4B"/>
    <w:rsid w:val="00781F71"/>
    <w:rsid w:val="007820F8"/>
    <w:rsid w:val="00782242"/>
    <w:rsid w:val="0078228A"/>
    <w:rsid w:val="007823D8"/>
    <w:rsid w:val="0078262E"/>
    <w:rsid w:val="00782688"/>
    <w:rsid w:val="007827BC"/>
    <w:rsid w:val="00782D52"/>
    <w:rsid w:val="00782D97"/>
    <w:rsid w:val="007830AF"/>
    <w:rsid w:val="007830FC"/>
    <w:rsid w:val="00783137"/>
    <w:rsid w:val="00783167"/>
    <w:rsid w:val="00783286"/>
    <w:rsid w:val="007833D9"/>
    <w:rsid w:val="007834C9"/>
    <w:rsid w:val="00783730"/>
    <w:rsid w:val="007838BA"/>
    <w:rsid w:val="007838FA"/>
    <w:rsid w:val="00783AA5"/>
    <w:rsid w:val="00783B03"/>
    <w:rsid w:val="00783CA7"/>
    <w:rsid w:val="00783CBB"/>
    <w:rsid w:val="00783E0D"/>
    <w:rsid w:val="00783E82"/>
    <w:rsid w:val="00783EC5"/>
    <w:rsid w:val="00783F0E"/>
    <w:rsid w:val="007841CB"/>
    <w:rsid w:val="00784286"/>
    <w:rsid w:val="007842ED"/>
    <w:rsid w:val="007844BD"/>
    <w:rsid w:val="00784742"/>
    <w:rsid w:val="00784B6C"/>
    <w:rsid w:val="00784D3A"/>
    <w:rsid w:val="00784E39"/>
    <w:rsid w:val="0078503F"/>
    <w:rsid w:val="0078527E"/>
    <w:rsid w:val="00785378"/>
    <w:rsid w:val="007853DB"/>
    <w:rsid w:val="007854D2"/>
    <w:rsid w:val="007854FA"/>
    <w:rsid w:val="0078554A"/>
    <w:rsid w:val="007855DF"/>
    <w:rsid w:val="007856A2"/>
    <w:rsid w:val="0078578F"/>
    <w:rsid w:val="00785933"/>
    <w:rsid w:val="0078598D"/>
    <w:rsid w:val="00785BC0"/>
    <w:rsid w:val="00785BC9"/>
    <w:rsid w:val="00785D40"/>
    <w:rsid w:val="00785DD5"/>
    <w:rsid w:val="0078601C"/>
    <w:rsid w:val="00786029"/>
    <w:rsid w:val="0078631F"/>
    <w:rsid w:val="00786429"/>
    <w:rsid w:val="00786454"/>
    <w:rsid w:val="007865B6"/>
    <w:rsid w:val="007865CE"/>
    <w:rsid w:val="00786C41"/>
    <w:rsid w:val="00786D67"/>
    <w:rsid w:val="00787622"/>
    <w:rsid w:val="0078783C"/>
    <w:rsid w:val="0078787B"/>
    <w:rsid w:val="007878D6"/>
    <w:rsid w:val="007878FC"/>
    <w:rsid w:val="00787AB6"/>
    <w:rsid w:val="00787E99"/>
    <w:rsid w:val="00787F40"/>
    <w:rsid w:val="00787FFE"/>
    <w:rsid w:val="00790119"/>
    <w:rsid w:val="007904CC"/>
    <w:rsid w:val="007906F4"/>
    <w:rsid w:val="00790886"/>
    <w:rsid w:val="00790A96"/>
    <w:rsid w:val="00790BE3"/>
    <w:rsid w:val="00790FC4"/>
    <w:rsid w:val="0079106C"/>
    <w:rsid w:val="007910DC"/>
    <w:rsid w:val="007911A3"/>
    <w:rsid w:val="00791487"/>
    <w:rsid w:val="0079149A"/>
    <w:rsid w:val="007914E2"/>
    <w:rsid w:val="007918AB"/>
    <w:rsid w:val="0079196F"/>
    <w:rsid w:val="00791AB0"/>
    <w:rsid w:val="007924DA"/>
    <w:rsid w:val="0079261F"/>
    <w:rsid w:val="00792709"/>
    <w:rsid w:val="007927C6"/>
    <w:rsid w:val="00792800"/>
    <w:rsid w:val="00792843"/>
    <w:rsid w:val="00792969"/>
    <w:rsid w:val="007929EB"/>
    <w:rsid w:val="00792BBE"/>
    <w:rsid w:val="00792D29"/>
    <w:rsid w:val="00793121"/>
    <w:rsid w:val="007932A8"/>
    <w:rsid w:val="007935B5"/>
    <w:rsid w:val="00793A61"/>
    <w:rsid w:val="00793AF5"/>
    <w:rsid w:val="00793B34"/>
    <w:rsid w:val="00793C18"/>
    <w:rsid w:val="00793D38"/>
    <w:rsid w:val="00793D57"/>
    <w:rsid w:val="00793E48"/>
    <w:rsid w:val="00793ECD"/>
    <w:rsid w:val="0079400F"/>
    <w:rsid w:val="0079407D"/>
    <w:rsid w:val="00794090"/>
    <w:rsid w:val="0079413D"/>
    <w:rsid w:val="00794441"/>
    <w:rsid w:val="0079466E"/>
    <w:rsid w:val="0079477D"/>
    <w:rsid w:val="007947ED"/>
    <w:rsid w:val="0079480A"/>
    <w:rsid w:val="00794AE4"/>
    <w:rsid w:val="00794CC8"/>
    <w:rsid w:val="00794CF9"/>
    <w:rsid w:val="00794D74"/>
    <w:rsid w:val="00794E1D"/>
    <w:rsid w:val="00794EAA"/>
    <w:rsid w:val="00794EB1"/>
    <w:rsid w:val="00795015"/>
    <w:rsid w:val="00795156"/>
    <w:rsid w:val="007952F5"/>
    <w:rsid w:val="00795328"/>
    <w:rsid w:val="00795421"/>
    <w:rsid w:val="0079542D"/>
    <w:rsid w:val="007957C3"/>
    <w:rsid w:val="00795864"/>
    <w:rsid w:val="00795B63"/>
    <w:rsid w:val="00795CB4"/>
    <w:rsid w:val="00795CE1"/>
    <w:rsid w:val="00795D7A"/>
    <w:rsid w:val="00795F31"/>
    <w:rsid w:val="00796008"/>
    <w:rsid w:val="00796296"/>
    <w:rsid w:val="00796312"/>
    <w:rsid w:val="00796416"/>
    <w:rsid w:val="00796731"/>
    <w:rsid w:val="0079684E"/>
    <w:rsid w:val="00796941"/>
    <w:rsid w:val="00796BF6"/>
    <w:rsid w:val="00796FEA"/>
    <w:rsid w:val="00797064"/>
    <w:rsid w:val="00797155"/>
    <w:rsid w:val="00797180"/>
    <w:rsid w:val="0079728C"/>
    <w:rsid w:val="0079750E"/>
    <w:rsid w:val="007975F9"/>
    <w:rsid w:val="00797645"/>
    <w:rsid w:val="0079770B"/>
    <w:rsid w:val="00797773"/>
    <w:rsid w:val="0079784A"/>
    <w:rsid w:val="007979A5"/>
    <w:rsid w:val="007979AB"/>
    <w:rsid w:val="007979F6"/>
    <w:rsid w:val="00797AD2"/>
    <w:rsid w:val="00797B04"/>
    <w:rsid w:val="00797B26"/>
    <w:rsid w:val="00797CA0"/>
    <w:rsid w:val="00797E6D"/>
    <w:rsid w:val="00797EC5"/>
    <w:rsid w:val="007A00AF"/>
    <w:rsid w:val="007A0422"/>
    <w:rsid w:val="007A04E1"/>
    <w:rsid w:val="007A08D4"/>
    <w:rsid w:val="007A0B2E"/>
    <w:rsid w:val="007A0EE7"/>
    <w:rsid w:val="007A10E4"/>
    <w:rsid w:val="007A11D0"/>
    <w:rsid w:val="007A1421"/>
    <w:rsid w:val="007A16C0"/>
    <w:rsid w:val="007A190E"/>
    <w:rsid w:val="007A1A50"/>
    <w:rsid w:val="007A1AA5"/>
    <w:rsid w:val="007A1AE0"/>
    <w:rsid w:val="007A1E3C"/>
    <w:rsid w:val="007A20C5"/>
    <w:rsid w:val="007A2246"/>
    <w:rsid w:val="007A2267"/>
    <w:rsid w:val="007A22C5"/>
    <w:rsid w:val="007A24C0"/>
    <w:rsid w:val="007A2617"/>
    <w:rsid w:val="007A26C6"/>
    <w:rsid w:val="007A285F"/>
    <w:rsid w:val="007A2AE6"/>
    <w:rsid w:val="007A2BDF"/>
    <w:rsid w:val="007A2CAA"/>
    <w:rsid w:val="007A2D09"/>
    <w:rsid w:val="007A2F43"/>
    <w:rsid w:val="007A322C"/>
    <w:rsid w:val="007A33FE"/>
    <w:rsid w:val="007A3416"/>
    <w:rsid w:val="007A341B"/>
    <w:rsid w:val="007A344F"/>
    <w:rsid w:val="007A34B5"/>
    <w:rsid w:val="007A3556"/>
    <w:rsid w:val="007A356B"/>
    <w:rsid w:val="007A39FB"/>
    <w:rsid w:val="007A3B7C"/>
    <w:rsid w:val="007A3D04"/>
    <w:rsid w:val="007A3D48"/>
    <w:rsid w:val="007A3FDD"/>
    <w:rsid w:val="007A438C"/>
    <w:rsid w:val="007A442E"/>
    <w:rsid w:val="007A4579"/>
    <w:rsid w:val="007A4581"/>
    <w:rsid w:val="007A45B3"/>
    <w:rsid w:val="007A4A33"/>
    <w:rsid w:val="007A4E19"/>
    <w:rsid w:val="007A5049"/>
    <w:rsid w:val="007A51A3"/>
    <w:rsid w:val="007A566A"/>
    <w:rsid w:val="007A571A"/>
    <w:rsid w:val="007A57A6"/>
    <w:rsid w:val="007A5803"/>
    <w:rsid w:val="007A599C"/>
    <w:rsid w:val="007A5A0E"/>
    <w:rsid w:val="007A5A2B"/>
    <w:rsid w:val="007A5BC9"/>
    <w:rsid w:val="007A5BEC"/>
    <w:rsid w:val="007A5C61"/>
    <w:rsid w:val="007A5CA2"/>
    <w:rsid w:val="007A5E69"/>
    <w:rsid w:val="007A5EBC"/>
    <w:rsid w:val="007A6340"/>
    <w:rsid w:val="007A65B1"/>
    <w:rsid w:val="007A66C0"/>
    <w:rsid w:val="007A675F"/>
    <w:rsid w:val="007A67CA"/>
    <w:rsid w:val="007A6A44"/>
    <w:rsid w:val="007A6B26"/>
    <w:rsid w:val="007A6E30"/>
    <w:rsid w:val="007A7050"/>
    <w:rsid w:val="007A73DF"/>
    <w:rsid w:val="007A780B"/>
    <w:rsid w:val="007A7884"/>
    <w:rsid w:val="007A799B"/>
    <w:rsid w:val="007A7D40"/>
    <w:rsid w:val="007A7DD8"/>
    <w:rsid w:val="007B0007"/>
    <w:rsid w:val="007B00FC"/>
    <w:rsid w:val="007B0194"/>
    <w:rsid w:val="007B049C"/>
    <w:rsid w:val="007B04DD"/>
    <w:rsid w:val="007B050B"/>
    <w:rsid w:val="007B0741"/>
    <w:rsid w:val="007B0D81"/>
    <w:rsid w:val="007B0D8B"/>
    <w:rsid w:val="007B0E33"/>
    <w:rsid w:val="007B0E7C"/>
    <w:rsid w:val="007B0F2D"/>
    <w:rsid w:val="007B0FAB"/>
    <w:rsid w:val="007B10B3"/>
    <w:rsid w:val="007B118D"/>
    <w:rsid w:val="007B11EF"/>
    <w:rsid w:val="007B1252"/>
    <w:rsid w:val="007B1556"/>
    <w:rsid w:val="007B18BC"/>
    <w:rsid w:val="007B1929"/>
    <w:rsid w:val="007B192A"/>
    <w:rsid w:val="007B1955"/>
    <w:rsid w:val="007B1976"/>
    <w:rsid w:val="007B1E0F"/>
    <w:rsid w:val="007B1F9C"/>
    <w:rsid w:val="007B20ED"/>
    <w:rsid w:val="007B227A"/>
    <w:rsid w:val="007B22D2"/>
    <w:rsid w:val="007B2317"/>
    <w:rsid w:val="007B23BA"/>
    <w:rsid w:val="007B2425"/>
    <w:rsid w:val="007B2575"/>
    <w:rsid w:val="007B2733"/>
    <w:rsid w:val="007B2A19"/>
    <w:rsid w:val="007B2C12"/>
    <w:rsid w:val="007B2E61"/>
    <w:rsid w:val="007B2F3F"/>
    <w:rsid w:val="007B3546"/>
    <w:rsid w:val="007B37E4"/>
    <w:rsid w:val="007B3860"/>
    <w:rsid w:val="007B39B4"/>
    <w:rsid w:val="007B3A56"/>
    <w:rsid w:val="007B3D4A"/>
    <w:rsid w:val="007B3E4D"/>
    <w:rsid w:val="007B3F99"/>
    <w:rsid w:val="007B4025"/>
    <w:rsid w:val="007B4166"/>
    <w:rsid w:val="007B433D"/>
    <w:rsid w:val="007B43B5"/>
    <w:rsid w:val="007B449F"/>
    <w:rsid w:val="007B44EF"/>
    <w:rsid w:val="007B46CC"/>
    <w:rsid w:val="007B4757"/>
    <w:rsid w:val="007B4872"/>
    <w:rsid w:val="007B48F0"/>
    <w:rsid w:val="007B4AA5"/>
    <w:rsid w:val="007B4EC9"/>
    <w:rsid w:val="007B5063"/>
    <w:rsid w:val="007B528F"/>
    <w:rsid w:val="007B547B"/>
    <w:rsid w:val="007B5541"/>
    <w:rsid w:val="007B5A5D"/>
    <w:rsid w:val="007B5CDA"/>
    <w:rsid w:val="007B5DBF"/>
    <w:rsid w:val="007B5DCC"/>
    <w:rsid w:val="007B5E62"/>
    <w:rsid w:val="007B5EB1"/>
    <w:rsid w:val="007B6063"/>
    <w:rsid w:val="007B6337"/>
    <w:rsid w:val="007B65FE"/>
    <w:rsid w:val="007B67EA"/>
    <w:rsid w:val="007B680C"/>
    <w:rsid w:val="007B6CD2"/>
    <w:rsid w:val="007B6ED9"/>
    <w:rsid w:val="007B7035"/>
    <w:rsid w:val="007B710E"/>
    <w:rsid w:val="007B718B"/>
    <w:rsid w:val="007B71F4"/>
    <w:rsid w:val="007B73FC"/>
    <w:rsid w:val="007B74BC"/>
    <w:rsid w:val="007B74DD"/>
    <w:rsid w:val="007B7600"/>
    <w:rsid w:val="007B76DA"/>
    <w:rsid w:val="007B770F"/>
    <w:rsid w:val="007B7781"/>
    <w:rsid w:val="007B77E1"/>
    <w:rsid w:val="007B78F0"/>
    <w:rsid w:val="007B7D1D"/>
    <w:rsid w:val="007B7E8E"/>
    <w:rsid w:val="007B7F60"/>
    <w:rsid w:val="007C0024"/>
    <w:rsid w:val="007C01ED"/>
    <w:rsid w:val="007C0217"/>
    <w:rsid w:val="007C0333"/>
    <w:rsid w:val="007C0841"/>
    <w:rsid w:val="007C0A29"/>
    <w:rsid w:val="007C0A8D"/>
    <w:rsid w:val="007C0B41"/>
    <w:rsid w:val="007C0B88"/>
    <w:rsid w:val="007C0FB1"/>
    <w:rsid w:val="007C104B"/>
    <w:rsid w:val="007C109D"/>
    <w:rsid w:val="007C1349"/>
    <w:rsid w:val="007C134D"/>
    <w:rsid w:val="007C1373"/>
    <w:rsid w:val="007C1653"/>
    <w:rsid w:val="007C167A"/>
    <w:rsid w:val="007C1703"/>
    <w:rsid w:val="007C18D2"/>
    <w:rsid w:val="007C1B1E"/>
    <w:rsid w:val="007C1B9F"/>
    <w:rsid w:val="007C1CCF"/>
    <w:rsid w:val="007C20C7"/>
    <w:rsid w:val="007C2524"/>
    <w:rsid w:val="007C2584"/>
    <w:rsid w:val="007C25CB"/>
    <w:rsid w:val="007C25D7"/>
    <w:rsid w:val="007C261F"/>
    <w:rsid w:val="007C2728"/>
    <w:rsid w:val="007C2926"/>
    <w:rsid w:val="007C2982"/>
    <w:rsid w:val="007C2A17"/>
    <w:rsid w:val="007C32A5"/>
    <w:rsid w:val="007C32EB"/>
    <w:rsid w:val="007C333A"/>
    <w:rsid w:val="007C3491"/>
    <w:rsid w:val="007C34C1"/>
    <w:rsid w:val="007C36F8"/>
    <w:rsid w:val="007C3769"/>
    <w:rsid w:val="007C39EB"/>
    <w:rsid w:val="007C3BF3"/>
    <w:rsid w:val="007C3C9F"/>
    <w:rsid w:val="007C3FD6"/>
    <w:rsid w:val="007C4014"/>
    <w:rsid w:val="007C40AB"/>
    <w:rsid w:val="007C41D1"/>
    <w:rsid w:val="007C4555"/>
    <w:rsid w:val="007C47EB"/>
    <w:rsid w:val="007C480E"/>
    <w:rsid w:val="007C49BF"/>
    <w:rsid w:val="007C4A1F"/>
    <w:rsid w:val="007C4A3F"/>
    <w:rsid w:val="007C4DB1"/>
    <w:rsid w:val="007C5207"/>
    <w:rsid w:val="007C53A5"/>
    <w:rsid w:val="007C5560"/>
    <w:rsid w:val="007C557F"/>
    <w:rsid w:val="007C5583"/>
    <w:rsid w:val="007C55B4"/>
    <w:rsid w:val="007C55B7"/>
    <w:rsid w:val="007C56BA"/>
    <w:rsid w:val="007C5795"/>
    <w:rsid w:val="007C5849"/>
    <w:rsid w:val="007C591B"/>
    <w:rsid w:val="007C5C7B"/>
    <w:rsid w:val="007C5CA1"/>
    <w:rsid w:val="007C5CCC"/>
    <w:rsid w:val="007C5DFC"/>
    <w:rsid w:val="007C6323"/>
    <w:rsid w:val="007C6784"/>
    <w:rsid w:val="007C67DB"/>
    <w:rsid w:val="007C6814"/>
    <w:rsid w:val="007C68FF"/>
    <w:rsid w:val="007C6C85"/>
    <w:rsid w:val="007C6FC0"/>
    <w:rsid w:val="007C719D"/>
    <w:rsid w:val="007C733C"/>
    <w:rsid w:val="007C790A"/>
    <w:rsid w:val="007C7914"/>
    <w:rsid w:val="007C7CED"/>
    <w:rsid w:val="007D02CD"/>
    <w:rsid w:val="007D0318"/>
    <w:rsid w:val="007D03FE"/>
    <w:rsid w:val="007D0537"/>
    <w:rsid w:val="007D07C5"/>
    <w:rsid w:val="007D07C8"/>
    <w:rsid w:val="007D07EA"/>
    <w:rsid w:val="007D093A"/>
    <w:rsid w:val="007D094B"/>
    <w:rsid w:val="007D0952"/>
    <w:rsid w:val="007D0AF1"/>
    <w:rsid w:val="007D0C63"/>
    <w:rsid w:val="007D0DC1"/>
    <w:rsid w:val="007D0ED9"/>
    <w:rsid w:val="007D0F91"/>
    <w:rsid w:val="007D12F8"/>
    <w:rsid w:val="007D162A"/>
    <w:rsid w:val="007D16DF"/>
    <w:rsid w:val="007D1945"/>
    <w:rsid w:val="007D1D6A"/>
    <w:rsid w:val="007D1E5D"/>
    <w:rsid w:val="007D1FA7"/>
    <w:rsid w:val="007D1FAB"/>
    <w:rsid w:val="007D1FDA"/>
    <w:rsid w:val="007D2128"/>
    <w:rsid w:val="007D23CE"/>
    <w:rsid w:val="007D2493"/>
    <w:rsid w:val="007D25A0"/>
    <w:rsid w:val="007D276C"/>
    <w:rsid w:val="007D2791"/>
    <w:rsid w:val="007D2877"/>
    <w:rsid w:val="007D2912"/>
    <w:rsid w:val="007D2B6B"/>
    <w:rsid w:val="007D2C11"/>
    <w:rsid w:val="007D2C41"/>
    <w:rsid w:val="007D2D3C"/>
    <w:rsid w:val="007D2E51"/>
    <w:rsid w:val="007D2EA1"/>
    <w:rsid w:val="007D2F3A"/>
    <w:rsid w:val="007D2F6E"/>
    <w:rsid w:val="007D2FAC"/>
    <w:rsid w:val="007D32BE"/>
    <w:rsid w:val="007D3FBC"/>
    <w:rsid w:val="007D4298"/>
    <w:rsid w:val="007D4497"/>
    <w:rsid w:val="007D44E2"/>
    <w:rsid w:val="007D4808"/>
    <w:rsid w:val="007D4A64"/>
    <w:rsid w:val="007D4BE3"/>
    <w:rsid w:val="007D4D2B"/>
    <w:rsid w:val="007D5213"/>
    <w:rsid w:val="007D540A"/>
    <w:rsid w:val="007D55BE"/>
    <w:rsid w:val="007D5A4E"/>
    <w:rsid w:val="007D5D43"/>
    <w:rsid w:val="007D5DED"/>
    <w:rsid w:val="007D5ED5"/>
    <w:rsid w:val="007D615C"/>
    <w:rsid w:val="007D6408"/>
    <w:rsid w:val="007D642F"/>
    <w:rsid w:val="007D69BA"/>
    <w:rsid w:val="007D6BC9"/>
    <w:rsid w:val="007D6C05"/>
    <w:rsid w:val="007D6CE0"/>
    <w:rsid w:val="007D6CE8"/>
    <w:rsid w:val="007D6F88"/>
    <w:rsid w:val="007D6F98"/>
    <w:rsid w:val="007D71C9"/>
    <w:rsid w:val="007D7500"/>
    <w:rsid w:val="007D7567"/>
    <w:rsid w:val="007D75DB"/>
    <w:rsid w:val="007D7B40"/>
    <w:rsid w:val="007D7D49"/>
    <w:rsid w:val="007D7E3C"/>
    <w:rsid w:val="007D7FD9"/>
    <w:rsid w:val="007E005B"/>
    <w:rsid w:val="007E018D"/>
    <w:rsid w:val="007E0614"/>
    <w:rsid w:val="007E0662"/>
    <w:rsid w:val="007E07BB"/>
    <w:rsid w:val="007E09A2"/>
    <w:rsid w:val="007E0B52"/>
    <w:rsid w:val="007E0D84"/>
    <w:rsid w:val="007E0F39"/>
    <w:rsid w:val="007E0F53"/>
    <w:rsid w:val="007E1197"/>
    <w:rsid w:val="007E124B"/>
    <w:rsid w:val="007E1336"/>
    <w:rsid w:val="007E138D"/>
    <w:rsid w:val="007E13C1"/>
    <w:rsid w:val="007E1542"/>
    <w:rsid w:val="007E154E"/>
    <w:rsid w:val="007E1595"/>
    <w:rsid w:val="007E1791"/>
    <w:rsid w:val="007E193B"/>
    <w:rsid w:val="007E199C"/>
    <w:rsid w:val="007E1A47"/>
    <w:rsid w:val="007E1B77"/>
    <w:rsid w:val="007E1C62"/>
    <w:rsid w:val="007E1D77"/>
    <w:rsid w:val="007E1E78"/>
    <w:rsid w:val="007E1F27"/>
    <w:rsid w:val="007E21BC"/>
    <w:rsid w:val="007E2212"/>
    <w:rsid w:val="007E22CE"/>
    <w:rsid w:val="007E25D0"/>
    <w:rsid w:val="007E28FE"/>
    <w:rsid w:val="007E2AA9"/>
    <w:rsid w:val="007E2FBE"/>
    <w:rsid w:val="007E2FE1"/>
    <w:rsid w:val="007E31EE"/>
    <w:rsid w:val="007E32FD"/>
    <w:rsid w:val="007E3606"/>
    <w:rsid w:val="007E3B99"/>
    <w:rsid w:val="007E3EAF"/>
    <w:rsid w:val="007E40DF"/>
    <w:rsid w:val="007E41F3"/>
    <w:rsid w:val="007E4293"/>
    <w:rsid w:val="007E42C6"/>
    <w:rsid w:val="007E42E7"/>
    <w:rsid w:val="007E4429"/>
    <w:rsid w:val="007E4538"/>
    <w:rsid w:val="007E45A0"/>
    <w:rsid w:val="007E47BD"/>
    <w:rsid w:val="007E48B0"/>
    <w:rsid w:val="007E4B32"/>
    <w:rsid w:val="007E4BDF"/>
    <w:rsid w:val="007E4E23"/>
    <w:rsid w:val="007E4EAD"/>
    <w:rsid w:val="007E5041"/>
    <w:rsid w:val="007E50DF"/>
    <w:rsid w:val="007E511A"/>
    <w:rsid w:val="007E5273"/>
    <w:rsid w:val="007E5362"/>
    <w:rsid w:val="007E5449"/>
    <w:rsid w:val="007E552B"/>
    <w:rsid w:val="007E56DE"/>
    <w:rsid w:val="007E57B9"/>
    <w:rsid w:val="007E5818"/>
    <w:rsid w:val="007E5C8C"/>
    <w:rsid w:val="007E5DE3"/>
    <w:rsid w:val="007E60FC"/>
    <w:rsid w:val="007E61CE"/>
    <w:rsid w:val="007E6252"/>
    <w:rsid w:val="007E636E"/>
    <w:rsid w:val="007E6544"/>
    <w:rsid w:val="007E677C"/>
    <w:rsid w:val="007E67AE"/>
    <w:rsid w:val="007E693D"/>
    <w:rsid w:val="007E6BB5"/>
    <w:rsid w:val="007E6CB1"/>
    <w:rsid w:val="007E6E14"/>
    <w:rsid w:val="007E6E2D"/>
    <w:rsid w:val="007E7114"/>
    <w:rsid w:val="007E721C"/>
    <w:rsid w:val="007E737C"/>
    <w:rsid w:val="007E75BD"/>
    <w:rsid w:val="007E7A6E"/>
    <w:rsid w:val="007E7E29"/>
    <w:rsid w:val="007F00DA"/>
    <w:rsid w:val="007F013A"/>
    <w:rsid w:val="007F0190"/>
    <w:rsid w:val="007F0763"/>
    <w:rsid w:val="007F0777"/>
    <w:rsid w:val="007F0833"/>
    <w:rsid w:val="007F08FF"/>
    <w:rsid w:val="007F09C2"/>
    <w:rsid w:val="007F0E06"/>
    <w:rsid w:val="007F0EBC"/>
    <w:rsid w:val="007F0F5C"/>
    <w:rsid w:val="007F1036"/>
    <w:rsid w:val="007F11FB"/>
    <w:rsid w:val="007F12BE"/>
    <w:rsid w:val="007F13F1"/>
    <w:rsid w:val="007F1690"/>
    <w:rsid w:val="007F1B76"/>
    <w:rsid w:val="007F1FC3"/>
    <w:rsid w:val="007F2145"/>
    <w:rsid w:val="007F2327"/>
    <w:rsid w:val="007F2356"/>
    <w:rsid w:val="007F236C"/>
    <w:rsid w:val="007F2519"/>
    <w:rsid w:val="007F27D8"/>
    <w:rsid w:val="007F2CCF"/>
    <w:rsid w:val="007F2DC5"/>
    <w:rsid w:val="007F2F23"/>
    <w:rsid w:val="007F2F5D"/>
    <w:rsid w:val="007F300C"/>
    <w:rsid w:val="007F31EF"/>
    <w:rsid w:val="007F325E"/>
    <w:rsid w:val="007F32F8"/>
    <w:rsid w:val="007F349D"/>
    <w:rsid w:val="007F392F"/>
    <w:rsid w:val="007F3B00"/>
    <w:rsid w:val="007F3BD6"/>
    <w:rsid w:val="007F3E44"/>
    <w:rsid w:val="007F42A2"/>
    <w:rsid w:val="007F4310"/>
    <w:rsid w:val="007F436C"/>
    <w:rsid w:val="007F4390"/>
    <w:rsid w:val="007F43A3"/>
    <w:rsid w:val="007F4470"/>
    <w:rsid w:val="007F453C"/>
    <w:rsid w:val="007F462A"/>
    <w:rsid w:val="007F47B8"/>
    <w:rsid w:val="007F48AA"/>
    <w:rsid w:val="007F4A39"/>
    <w:rsid w:val="007F4A7C"/>
    <w:rsid w:val="007F4C35"/>
    <w:rsid w:val="007F5160"/>
    <w:rsid w:val="007F5461"/>
    <w:rsid w:val="007F552B"/>
    <w:rsid w:val="007F562A"/>
    <w:rsid w:val="007F5783"/>
    <w:rsid w:val="007F584D"/>
    <w:rsid w:val="007F5A15"/>
    <w:rsid w:val="007F5A4C"/>
    <w:rsid w:val="007F5ED3"/>
    <w:rsid w:val="007F6226"/>
    <w:rsid w:val="007F624F"/>
    <w:rsid w:val="007F6283"/>
    <w:rsid w:val="007F63BB"/>
    <w:rsid w:val="007F66E7"/>
    <w:rsid w:val="007F6D27"/>
    <w:rsid w:val="007F6DFD"/>
    <w:rsid w:val="007F6E99"/>
    <w:rsid w:val="007F711E"/>
    <w:rsid w:val="007F7235"/>
    <w:rsid w:val="007F7393"/>
    <w:rsid w:val="007F73D7"/>
    <w:rsid w:val="007F7552"/>
    <w:rsid w:val="007F7615"/>
    <w:rsid w:val="007F79DD"/>
    <w:rsid w:val="007F7C03"/>
    <w:rsid w:val="007F7D96"/>
    <w:rsid w:val="008002DF"/>
    <w:rsid w:val="008007B1"/>
    <w:rsid w:val="008009A2"/>
    <w:rsid w:val="00800A7E"/>
    <w:rsid w:val="00800AAF"/>
    <w:rsid w:val="00800CDA"/>
    <w:rsid w:val="00800E0B"/>
    <w:rsid w:val="00800E5A"/>
    <w:rsid w:val="0080123B"/>
    <w:rsid w:val="008013F6"/>
    <w:rsid w:val="00801448"/>
    <w:rsid w:val="00801C7F"/>
    <w:rsid w:val="00801C98"/>
    <w:rsid w:val="00801DFE"/>
    <w:rsid w:val="00801E39"/>
    <w:rsid w:val="00802145"/>
    <w:rsid w:val="00802188"/>
    <w:rsid w:val="0080227C"/>
    <w:rsid w:val="008024CA"/>
    <w:rsid w:val="008025A5"/>
    <w:rsid w:val="0080274E"/>
    <w:rsid w:val="00802B4D"/>
    <w:rsid w:val="00802E01"/>
    <w:rsid w:val="00803102"/>
    <w:rsid w:val="0080325A"/>
    <w:rsid w:val="008032AF"/>
    <w:rsid w:val="008035E5"/>
    <w:rsid w:val="00803622"/>
    <w:rsid w:val="008036EC"/>
    <w:rsid w:val="00803726"/>
    <w:rsid w:val="008038F0"/>
    <w:rsid w:val="00803A8D"/>
    <w:rsid w:val="00803AB0"/>
    <w:rsid w:val="00803AE5"/>
    <w:rsid w:val="00803B00"/>
    <w:rsid w:val="00803C05"/>
    <w:rsid w:val="00803C19"/>
    <w:rsid w:val="00803ECD"/>
    <w:rsid w:val="00804059"/>
    <w:rsid w:val="0080424A"/>
    <w:rsid w:val="008042CE"/>
    <w:rsid w:val="008043BB"/>
    <w:rsid w:val="0080440D"/>
    <w:rsid w:val="0080446F"/>
    <w:rsid w:val="00804643"/>
    <w:rsid w:val="008046A4"/>
    <w:rsid w:val="008047C4"/>
    <w:rsid w:val="008047D4"/>
    <w:rsid w:val="008047ED"/>
    <w:rsid w:val="00804A38"/>
    <w:rsid w:val="00804D1E"/>
    <w:rsid w:val="00804DFD"/>
    <w:rsid w:val="00805274"/>
    <w:rsid w:val="00805407"/>
    <w:rsid w:val="0080560E"/>
    <w:rsid w:val="00805798"/>
    <w:rsid w:val="008057B8"/>
    <w:rsid w:val="0080599B"/>
    <w:rsid w:val="008059DB"/>
    <w:rsid w:val="00805B72"/>
    <w:rsid w:val="00805BB0"/>
    <w:rsid w:val="00805DC1"/>
    <w:rsid w:val="00805E5E"/>
    <w:rsid w:val="0080658F"/>
    <w:rsid w:val="008066B1"/>
    <w:rsid w:val="00806968"/>
    <w:rsid w:val="008069F2"/>
    <w:rsid w:val="00806A8D"/>
    <w:rsid w:val="00806B32"/>
    <w:rsid w:val="00806D35"/>
    <w:rsid w:val="00806DB6"/>
    <w:rsid w:val="008074A2"/>
    <w:rsid w:val="008076A1"/>
    <w:rsid w:val="00807822"/>
    <w:rsid w:val="00807A0D"/>
    <w:rsid w:val="00807B56"/>
    <w:rsid w:val="00807B94"/>
    <w:rsid w:val="00807E73"/>
    <w:rsid w:val="00810116"/>
    <w:rsid w:val="00810162"/>
    <w:rsid w:val="00810615"/>
    <w:rsid w:val="008106A7"/>
    <w:rsid w:val="008106FF"/>
    <w:rsid w:val="008107EA"/>
    <w:rsid w:val="00810D09"/>
    <w:rsid w:val="00810D4B"/>
    <w:rsid w:val="00810FF7"/>
    <w:rsid w:val="008111CB"/>
    <w:rsid w:val="00811312"/>
    <w:rsid w:val="008115FE"/>
    <w:rsid w:val="00811778"/>
    <w:rsid w:val="00811873"/>
    <w:rsid w:val="00811BDD"/>
    <w:rsid w:val="00811BE2"/>
    <w:rsid w:val="0081207A"/>
    <w:rsid w:val="0081210A"/>
    <w:rsid w:val="0081229E"/>
    <w:rsid w:val="00812499"/>
    <w:rsid w:val="0081278C"/>
    <w:rsid w:val="0081297D"/>
    <w:rsid w:val="00812AD7"/>
    <w:rsid w:val="00812B38"/>
    <w:rsid w:val="00812B43"/>
    <w:rsid w:val="00812D73"/>
    <w:rsid w:val="00812DB5"/>
    <w:rsid w:val="008130B8"/>
    <w:rsid w:val="0081367A"/>
    <w:rsid w:val="008136E7"/>
    <w:rsid w:val="00813AA0"/>
    <w:rsid w:val="00813B46"/>
    <w:rsid w:val="00813C1F"/>
    <w:rsid w:val="00813E8A"/>
    <w:rsid w:val="00813F3B"/>
    <w:rsid w:val="008140B4"/>
    <w:rsid w:val="008142B6"/>
    <w:rsid w:val="008145B1"/>
    <w:rsid w:val="00814668"/>
    <w:rsid w:val="008147E1"/>
    <w:rsid w:val="00814966"/>
    <w:rsid w:val="00814A90"/>
    <w:rsid w:val="00814AC7"/>
    <w:rsid w:val="00814B3F"/>
    <w:rsid w:val="00814B45"/>
    <w:rsid w:val="00814CEA"/>
    <w:rsid w:val="00814FA8"/>
    <w:rsid w:val="00814FBF"/>
    <w:rsid w:val="00814FC6"/>
    <w:rsid w:val="008150D7"/>
    <w:rsid w:val="00815519"/>
    <w:rsid w:val="008156A2"/>
    <w:rsid w:val="008156BE"/>
    <w:rsid w:val="008159FC"/>
    <w:rsid w:val="00815A5C"/>
    <w:rsid w:val="00815B2C"/>
    <w:rsid w:val="00815C49"/>
    <w:rsid w:val="00815CB5"/>
    <w:rsid w:val="00815CC4"/>
    <w:rsid w:val="00815F8C"/>
    <w:rsid w:val="00816029"/>
    <w:rsid w:val="008164DA"/>
    <w:rsid w:val="008165C0"/>
    <w:rsid w:val="00816A89"/>
    <w:rsid w:val="00816F4A"/>
    <w:rsid w:val="00816FE3"/>
    <w:rsid w:val="008170A9"/>
    <w:rsid w:val="0081743C"/>
    <w:rsid w:val="00817507"/>
    <w:rsid w:val="008175B8"/>
    <w:rsid w:val="008175D9"/>
    <w:rsid w:val="00817779"/>
    <w:rsid w:val="00817861"/>
    <w:rsid w:val="008178D8"/>
    <w:rsid w:val="00817B75"/>
    <w:rsid w:val="00817BEE"/>
    <w:rsid w:val="00817CCC"/>
    <w:rsid w:val="00817D2C"/>
    <w:rsid w:val="00817D83"/>
    <w:rsid w:val="00817DD0"/>
    <w:rsid w:val="00817E78"/>
    <w:rsid w:val="00817F53"/>
    <w:rsid w:val="00820086"/>
    <w:rsid w:val="00820197"/>
    <w:rsid w:val="00820513"/>
    <w:rsid w:val="00820628"/>
    <w:rsid w:val="00820677"/>
    <w:rsid w:val="008206BB"/>
    <w:rsid w:val="00820707"/>
    <w:rsid w:val="008208C3"/>
    <w:rsid w:val="00820AAD"/>
    <w:rsid w:val="00820B3F"/>
    <w:rsid w:val="00820DBC"/>
    <w:rsid w:val="00820EA2"/>
    <w:rsid w:val="008210CC"/>
    <w:rsid w:val="00821172"/>
    <w:rsid w:val="008211FC"/>
    <w:rsid w:val="0082135B"/>
    <w:rsid w:val="008215FC"/>
    <w:rsid w:val="0082167F"/>
    <w:rsid w:val="008216D4"/>
    <w:rsid w:val="008219E1"/>
    <w:rsid w:val="00821C24"/>
    <w:rsid w:val="00821D0F"/>
    <w:rsid w:val="00821EEF"/>
    <w:rsid w:val="00822054"/>
    <w:rsid w:val="008221AF"/>
    <w:rsid w:val="008225E3"/>
    <w:rsid w:val="00822697"/>
    <w:rsid w:val="00822748"/>
    <w:rsid w:val="00822883"/>
    <w:rsid w:val="00822A04"/>
    <w:rsid w:val="00822E4E"/>
    <w:rsid w:val="00822EC3"/>
    <w:rsid w:val="00822F02"/>
    <w:rsid w:val="00822FED"/>
    <w:rsid w:val="0082312E"/>
    <w:rsid w:val="0082315A"/>
    <w:rsid w:val="0082335A"/>
    <w:rsid w:val="00823661"/>
    <w:rsid w:val="00823EA2"/>
    <w:rsid w:val="00823FC4"/>
    <w:rsid w:val="008240D0"/>
    <w:rsid w:val="00824297"/>
    <w:rsid w:val="0082458E"/>
    <w:rsid w:val="00825860"/>
    <w:rsid w:val="00825865"/>
    <w:rsid w:val="00825956"/>
    <w:rsid w:val="00825B4F"/>
    <w:rsid w:val="00825D08"/>
    <w:rsid w:val="00825D0C"/>
    <w:rsid w:val="00825DBE"/>
    <w:rsid w:val="00825E5C"/>
    <w:rsid w:val="00825EE7"/>
    <w:rsid w:val="00826013"/>
    <w:rsid w:val="00826064"/>
    <w:rsid w:val="008260FB"/>
    <w:rsid w:val="0082637F"/>
    <w:rsid w:val="00826700"/>
    <w:rsid w:val="00826C23"/>
    <w:rsid w:val="00826C82"/>
    <w:rsid w:val="00826D2F"/>
    <w:rsid w:val="008270AB"/>
    <w:rsid w:val="00827260"/>
    <w:rsid w:val="00827458"/>
    <w:rsid w:val="008275FC"/>
    <w:rsid w:val="00827829"/>
    <w:rsid w:val="00827901"/>
    <w:rsid w:val="00827945"/>
    <w:rsid w:val="00827963"/>
    <w:rsid w:val="00827A31"/>
    <w:rsid w:val="00827CD4"/>
    <w:rsid w:val="00827D5A"/>
    <w:rsid w:val="00827F41"/>
    <w:rsid w:val="00827FCA"/>
    <w:rsid w:val="00830003"/>
    <w:rsid w:val="008302E4"/>
    <w:rsid w:val="00830335"/>
    <w:rsid w:val="00830353"/>
    <w:rsid w:val="008304FA"/>
    <w:rsid w:val="008305AD"/>
    <w:rsid w:val="008307C9"/>
    <w:rsid w:val="00830839"/>
    <w:rsid w:val="008309A1"/>
    <w:rsid w:val="00830CFB"/>
    <w:rsid w:val="00830E3D"/>
    <w:rsid w:val="008311B7"/>
    <w:rsid w:val="00831482"/>
    <w:rsid w:val="008314C1"/>
    <w:rsid w:val="00831544"/>
    <w:rsid w:val="00831552"/>
    <w:rsid w:val="00831838"/>
    <w:rsid w:val="008319FE"/>
    <w:rsid w:val="00831BC7"/>
    <w:rsid w:val="00831C04"/>
    <w:rsid w:val="00831CDA"/>
    <w:rsid w:val="00832162"/>
    <w:rsid w:val="00832587"/>
    <w:rsid w:val="008325C4"/>
    <w:rsid w:val="00832923"/>
    <w:rsid w:val="00832926"/>
    <w:rsid w:val="00832A3A"/>
    <w:rsid w:val="00832A9B"/>
    <w:rsid w:val="00832B0C"/>
    <w:rsid w:val="00832CD7"/>
    <w:rsid w:val="00832D25"/>
    <w:rsid w:val="00832E4A"/>
    <w:rsid w:val="00832F0F"/>
    <w:rsid w:val="008333FF"/>
    <w:rsid w:val="008335C3"/>
    <w:rsid w:val="0083383F"/>
    <w:rsid w:val="00833ADF"/>
    <w:rsid w:val="00833CE3"/>
    <w:rsid w:val="00833E3D"/>
    <w:rsid w:val="00833E8A"/>
    <w:rsid w:val="0083404B"/>
    <w:rsid w:val="0083411C"/>
    <w:rsid w:val="008341EA"/>
    <w:rsid w:val="008342E6"/>
    <w:rsid w:val="0083433C"/>
    <w:rsid w:val="00834553"/>
    <w:rsid w:val="00834845"/>
    <w:rsid w:val="00834989"/>
    <w:rsid w:val="00834A02"/>
    <w:rsid w:val="00834E5F"/>
    <w:rsid w:val="00834EE7"/>
    <w:rsid w:val="0083549B"/>
    <w:rsid w:val="00835562"/>
    <w:rsid w:val="0083574C"/>
    <w:rsid w:val="008359F5"/>
    <w:rsid w:val="00835E8B"/>
    <w:rsid w:val="00836038"/>
    <w:rsid w:val="00836067"/>
    <w:rsid w:val="00836167"/>
    <w:rsid w:val="008364BB"/>
    <w:rsid w:val="008364C5"/>
    <w:rsid w:val="0083652D"/>
    <w:rsid w:val="00836591"/>
    <w:rsid w:val="0083690C"/>
    <w:rsid w:val="00836959"/>
    <w:rsid w:val="008369C2"/>
    <w:rsid w:val="00836A7A"/>
    <w:rsid w:val="00836B5B"/>
    <w:rsid w:val="00836C99"/>
    <w:rsid w:val="00836CA4"/>
    <w:rsid w:val="00836E13"/>
    <w:rsid w:val="00836F7F"/>
    <w:rsid w:val="00837512"/>
    <w:rsid w:val="00837A27"/>
    <w:rsid w:val="00837D37"/>
    <w:rsid w:val="0083B753"/>
    <w:rsid w:val="0084015C"/>
    <w:rsid w:val="00840214"/>
    <w:rsid w:val="0084022D"/>
    <w:rsid w:val="00840232"/>
    <w:rsid w:val="00840667"/>
    <w:rsid w:val="00840ABB"/>
    <w:rsid w:val="00840C7A"/>
    <w:rsid w:val="00840EA7"/>
    <w:rsid w:val="00840F72"/>
    <w:rsid w:val="008410B2"/>
    <w:rsid w:val="008415C9"/>
    <w:rsid w:val="008415E4"/>
    <w:rsid w:val="00841787"/>
    <w:rsid w:val="0084188C"/>
    <w:rsid w:val="00841951"/>
    <w:rsid w:val="00841970"/>
    <w:rsid w:val="00841AE0"/>
    <w:rsid w:val="00841AE4"/>
    <w:rsid w:val="00841B6F"/>
    <w:rsid w:val="00842007"/>
    <w:rsid w:val="008420A0"/>
    <w:rsid w:val="0084220D"/>
    <w:rsid w:val="0084260B"/>
    <w:rsid w:val="00842660"/>
    <w:rsid w:val="008426A2"/>
    <w:rsid w:val="0084271D"/>
    <w:rsid w:val="008427E0"/>
    <w:rsid w:val="0084288D"/>
    <w:rsid w:val="008428BE"/>
    <w:rsid w:val="00842AB5"/>
    <w:rsid w:val="00842B32"/>
    <w:rsid w:val="00842C64"/>
    <w:rsid w:val="00842CF4"/>
    <w:rsid w:val="00842F57"/>
    <w:rsid w:val="00843023"/>
    <w:rsid w:val="008432C1"/>
    <w:rsid w:val="00843476"/>
    <w:rsid w:val="0084353C"/>
    <w:rsid w:val="0084361E"/>
    <w:rsid w:val="00843675"/>
    <w:rsid w:val="0084372B"/>
    <w:rsid w:val="008437E9"/>
    <w:rsid w:val="008438A9"/>
    <w:rsid w:val="00843AC3"/>
    <w:rsid w:val="00844419"/>
    <w:rsid w:val="00844886"/>
    <w:rsid w:val="008448AF"/>
    <w:rsid w:val="00845045"/>
    <w:rsid w:val="0084520B"/>
    <w:rsid w:val="0084537D"/>
    <w:rsid w:val="008457BF"/>
    <w:rsid w:val="00845A4B"/>
    <w:rsid w:val="00845A9E"/>
    <w:rsid w:val="00845B18"/>
    <w:rsid w:val="00845C72"/>
    <w:rsid w:val="00845E21"/>
    <w:rsid w:val="00845F2C"/>
    <w:rsid w:val="008460A9"/>
    <w:rsid w:val="00846270"/>
    <w:rsid w:val="0084644A"/>
    <w:rsid w:val="008464D9"/>
    <w:rsid w:val="0084686B"/>
    <w:rsid w:val="0084687B"/>
    <w:rsid w:val="00846B53"/>
    <w:rsid w:val="00846D35"/>
    <w:rsid w:val="00846E3D"/>
    <w:rsid w:val="00846EB3"/>
    <w:rsid w:val="00846F24"/>
    <w:rsid w:val="00847002"/>
    <w:rsid w:val="008470C2"/>
    <w:rsid w:val="0084727A"/>
    <w:rsid w:val="00847622"/>
    <w:rsid w:val="0084798F"/>
    <w:rsid w:val="008479DF"/>
    <w:rsid w:val="00847A6F"/>
    <w:rsid w:val="00847B40"/>
    <w:rsid w:val="00847D3D"/>
    <w:rsid w:val="00847EC9"/>
    <w:rsid w:val="00847F82"/>
    <w:rsid w:val="008500D5"/>
    <w:rsid w:val="0085017A"/>
    <w:rsid w:val="008501DD"/>
    <w:rsid w:val="00850412"/>
    <w:rsid w:val="008504C0"/>
    <w:rsid w:val="0085058D"/>
    <w:rsid w:val="0085077A"/>
    <w:rsid w:val="0085086A"/>
    <w:rsid w:val="0085094E"/>
    <w:rsid w:val="00850D2C"/>
    <w:rsid w:val="00850D2F"/>
    <w:rsid w:val="00850DA8"/>
    <w:rsid w:val="00851031"/>
    <w:rsid w:val="008511A7"/>
    <w:rsid w:val="008512F4"/>
    <w:rsid w:val="0085182C"/>
    <w:rsid w:val="00851920"/>
    <w:rsid w:val="00851A01"/>
    <w:rsid w:val="00851C0B"/>
    <w:rsid w:val="00851D56"/>
    <w:rsid w:val="00851E4E"/>
    <w:rsid w:val="008521F6"/>
    <w:rsid w:val="0085220D"/>
    <w:rsid w:val="00852232"/>
    <w:rsid w:val="00852316"/>
    <w:rsid w:val="0085260C"/>
    <w:rsid w:val="00852725"/>
    <w:rsid w:val="00852945"/>
    <w:rsid w:val="00852BDE"/>
    <w:rsid w:val="00853192"/>
    <w:rsid w:val="0085329E"/>
    <w:rsid w:val="008532D8"/>
    <w:rsid w:val="008534CE"/>
    <w:rsid w:val="00853FBD"/>
    <w:rsid w:val="00853FDF"/>
    <w:rsid w:val="008541D1"/>
    <w:rsid w:val="0085427A"/>
    <w:rsid w:val="008542E1"/>
    <w:rsid w:val="0085494F"/>
    <w:rsid w:val="00854BCC"/>
    <w:rsid w:val="00854C22"/>
    <w:rsid w:val="00854CD5"/>
    <w:rsid w:val="00854D42"/>
    <w:rsid w:val="00854ECC"/>
    <w:rsid w:val="00854FDE"/>
    <w:rsid w:val="00855262"/>
    <w:rsid w:val="00855380"/>
    <w:rsid w:val="0085556E"/>
    <w:rsid w:val="0085573E"/>
    <w:rsid w:val="00855A6B"/>
    <w:rsid w:val="00855D16"/>
    <w:rsid w:val="00855E44"/>
    <w:rsid w:val="00855F71"/>
    <w:rsid w:val="008562DC"/>
    <w:rsid w:val="0085640E"/>
    <w:rsid w:val="00856428"/>
    <w:rsid w:val="0085643B"/>
    <w:rsid w:val="0085645D"/>
    <w:rsid w:val="00856727"/>
    <w:rsid w:val="00856B3C"/>
    <w:rsid w:val="00856EDE"/>
    <w:rsid w:val="00856FD0"/>
    <w:rsid w:val="008575E5"/>
    <w:rsid w:val="0085764A"/>
    <w:rsid w:val="0085798F"/>
    <w:rsid w:val="008579C1"/>
    <w:rsid w:val="00860071"/>
    <w:rsid w:val="008603D3"/>
    <w:rsid w:val="00860663"/>
    <w:rsid w:val="0086079C"/>
    <w:rsid w:val="0086083C"/>
    <w:rsid w:val="00860C99"/>
    <w:rsid w:val="0086111D"/>
    <w:rsid w:val="00861205"/>
    <w:rsid w:val="0086176E"/>
    <w:rsid w:val="0086182B"/>
    <w:rsid w:val="00861916"/>
    <w:rsid w:val="00861A49"/>
    <w:rsid w:val="00861AEE"/>
    <w:rsid w:val="00861BFC"/>
    <w:rsid w:val="00861E25"/>
    <w:rsid w:val="00862006"/>
    <w:rsid w:val="00862098"/>
    <w:rsid w:val="008622D5"/>
    <w:rsid w:val="008627A0"/>
    <w:rsid w:val="00862932"/>
    <w:rsid w:val="00862D32"/>
    <w:rsid w:val="00862D77"/>
    <w:rsid w:val="00862DB9"/>
    <w:rsid w:val="00862DC0"/>
    <w:rsid w:val="00862E08"/>
    <w:rsid w:val="00862F8B"/>
    <w:rsid w:val="008634D0"/>
    <w:rsid w:val="008634F4"/>
    <w:rsid w:val="00863634"/>
    <w:rsid w:val="0086369A"/>
    <w:rsid w:val="008637FC"/>
    <w:rsid w:val="00863D4E"/>
    <w:rsid w:val="00863EA6"/>
    <w:rsid w:val="00863F7F"/>
    <w:rsid w:val="008640D7"/>
    <w:rsid w:val="00864101"/>
    <w:rsid w:val="00864454"/>
    <w:rsid w:val="008644AD"/>
    <w:rsid w:val="008646FB"/>
    <w:rsid w:val="00864D1D"/>
    <w:rsid w:val="00864ECE"/>
    <w:rsid w:val="00865035"/>
    <w:rsid w:val="00865300"/>
    <w:rsid w:val="00865304"/>
    <w:rsid w:val="00865447"/>
    <w:rsid w:val="00865518"/>
    <w:rsid w:val="008658E4"/>
    <w:rsid w:val="00865A27"/>
    <w:rsid w:val="00865B77"/>
    <w:rsid w:val="00865BFB"/>
    <w:rsid w:val="00865C61"/>
    <w:rsid w:val="00866041"/>
    <w:rsid w:val="0086617F"/>
    <w:rsid w:val="00866182"/>
    <w:rsid w:val="008661DA"/>
    <w:rsid w:val="00866388"/>
    <w:rsid w:val="00866401"/>
    <w:rsid w:val="00866493"/>
    <w:rsid w:val="008665B8"/>
    <w:rsid w:val="00866657"/>
    <w:rsid w:val="00866690"/>
    <w:rsid w:val="008668A6"/>
    <w:rsid w:val="00866BE7"/>
    <w:rsid w:val="00867228"/>
    <w:rsid w:val="008672D4"/>
    <w:rsid w:val="00867305"/>
    <w:rsid w:val="00867313"/>
    <w:rsid w:val="0086744F"/>
    <w:rsid w:val="0086764A"/>
    <w:rsid w:val="0086784D"/>
    <w:rsid w:val="0086797B"/>
    <w:rsid w:val="00867A3C"/>
    <w:rsid w:val="00867AFA"/>
    <w:rsid w:val="00867B6F"/>
    <w:rsid w:val="00867B80"/>
    <w:rsid w:val="00867BD1"/>
    <w:rsid w:val="00870219"/>
    <w:rsid w:val="00870505"/>
    <w:rsid w:val="00870630"/>
    <w:rsid w:val="00870770"/>
    <w:rsid w:val="00870839"/>
    <w:rsid w:val="00870901"/>
    <w:rsid w:val="00870B24"/>
    <w:rsid w:val="00870D31"/>
    <w:rsid w:val="00870E06"/>
    <w:rsid w:val="00870F24"/>
    <w:rsid w:val="00871083"/>
    <w:rsid w:val="0087140E"/>
    <w:rsid w:val="008715B4"/>
    <w:rsid w:val="00871AF9"/>
    <w:rsid w:val="00871CFA"/>
    <w:rsid w:val="00871E57"/>
    <w:rsid w:val="008720CC"/>
    <w:rsid w:val="008720E1"/>
    <w:rsid w:val="008722B8"/>
    <w:rsid w:val="0087246B"/>
    <w:rsid w:val="00872963"/>
    <w:rsid w:val="00872AF1"/>
    <w:rsid w:val="00872F7E"/>
    <w:rsid w:val="00872FCF"/>
    <w:rsid w:val="008730EF"/>
    <w:rsid w:val="00873274"/>
    <w:rsid w:val="008732F8"/>
    <w:rsid w:val="00873758"/>
    <w:rsid w:val="00873873"/>
    <w:rsid w:val="008738EF"/>
    <w:rsid w:val="00873BF5"/>
    <w:rsid w:val="00873C8F"/>
    <w:rsid w:val="00873CAF"/>
    <w:rsid w:val="00873D2F"/>
    <w:rsid w:val="00873F8B"/>
    <w:rsid w:val="00874165"/>
    <w:rsid w:val="008742E8"/>
    <w:rsid w:val="008742F8"/>
    <w:rsid w:val="008742FA"/>
    <w:rsid w:val="008748B5"/>
    <w:rsid w:val="008748C8"/>
    <w:rsid w:val="00874939"/>
    <w:rsid w:val="00874AEE"/>
    <w:rsid w:val="00874BD0"/>
    <w:rsid w:val="00874FB7"/>
    <w:rsid w:val="00875082"/>
    <w:rsid w:val="008750B4"/>
    <w:rsid w:val="0087511E"/>
    <w:rsid w:val="0087538B"/>
    <w:rsid w:val="008754E1"/>
    <w:rsid w:val="0087551A"/>
    <w:rsid w:val="0087555C"/>
    <w:rsid w:val="008758EB"/>
    <w:rsid w:val="00875BBA"/>
    <w:rsid w:val="00875C28"/>
    <w:rsid w:val="00875C2A"/>
    <w:rsid w:val="00875EC4"/>
    <w:rsid w:val="00875F73"/>
    <w:rsid w:val="00875F76"/>
    <w:rsid w:val="008764FF"/>
    <w:rsid w:val="008766EF"/>
    <w:rsid w:val="0087684F"/>
    <w:rsid w:val="00876A87"/>
    <w:rsid w:val="00876AAD"/>
    <w:rsid w:val="00876C43"/>
    <w:rsid w:val="00876F9F"/>
    <w:rsid w:val="008771C3"/>
    <w:rsid w:val="008771D0"/>
    <w:rsid w:val="008775CB"/>
    <w:rsid w:val="00877626"/>
    <w:rsid w:val="0087769F"/>
    <w:rsid w:val="008777EE"/>
    <w:rsid w:val="00877B45"/>
    <w:rsid w:val="00877C50"/>
    <w:rsid w:val="00877C8A"/>
    <w:rsid w:val="00877CC4"/>
    <w:rsid w:val="00877EA4"/>
    <w:rsid w:val="00877F3D"/>
    <w:rsid w:val="00880055"/>
    <w:rsid w:val="00880196"/>
    <w:rsid w:val="00880278"/>
    <w:rsid w:val="00880280"/>
    <w:rsid w:val="00880371"/>
    <w:rsid w:val="008806CA"/>
    <w:rsid w:val="008806F2"/>
    <w:rsid w:val="0088072D"/>
    <w:rsid w:val="00880E62"/>
    <w:rsid w:val="00880ECF"/>
    <w:rsid w:val="00880ED8"/>
    <w:rsid w:val="00880F46"/>
    <w:rsid w:val="00881127"/>
    <w:rsid w:val="0088155A"/>
    <w:rsid w:val="00881658"/>
    <w:rsid w:val="008818F9"/>
    <w:rsid w:val="00881B98"/>
    <w:rsid w:val="00881BAB"/>
    <w:rsid w:val="0088206B"/>
    <w:rsid w:val="0088280E"/>
    <w:rsid w:val="00882A32"/>
    <w:rsid w:val="00882BBB"/>
    <w:rsid w:val="00882BCA"/>
    <w:rsid w:val="00882D0C"/>
    <w:rsid w:val="00882E56"/>
    <w:rsid w:val="00882EF7"/>
    <w:rsid w:val="00883003"/>
    <w:rsid w:val="00883093"/>
    <w:rsid w:val="008837BA"/>
    <w:rsid w:val="00883936"/>
    <w:rsid w:val="00883DE1"/>
    <w:rsid w:val="00883F62"/>
    <w:rsid w:val="00884232"/>
    <w:rsid w:val="0088427A"/>
    <w:rsid w:val="008847A3"/>
    <w:rsid w:val="00884944"/>
    <w:rsid w:val="008849DA"/>
    <w:rsid w:val="00884ABD"/>
    <w:rsid w:val="00884BD2"/>
    <w:rsid w:val="00884DD8"/>
    <w:rsid w:val="00884E81"/>
    <w:rsid w:val="00884EA9"/>
    <w:rsid w:val="00884EDA"/>
    <w:rsid w:val="0088520F"/>
    <w:rsid w:val="008853CC"/>
    <w:rsid w:val="008854F4"/>
    <w:rsid w:val="008858FF"/>
    <w:rsid w:val="008859C8"/>
    <w:rsid w:val="00885A6E"/>
    <w:rsid w:val="00885AA7"/>
    <w:rsid w:val="00885B5B"/>
    <w:rsid w:val="00885D68"/>
    <w:rsid w:val="00885E92"/>
    <w:rsid w:val="00885FE2"/>
    <w:rsid w:val="00885FF9"/>
    <w:rsid w:val="00886135"/>
    <w:rsid w:val="00886145"/>
    <w:rsid w:val="00886276"/>
    <w:rsid w:val="008864F0"/>
    <w:rsid w:val="008865FD"/>
    <w:rsid w:val="0088661A"/>
    <w:rsid w:val="00886644"/>
    <w:rsid w:val="00886762"/>
    <w:rsid w:val="0088677C"/>
    <w:rsid w:val="008867BE"/>
    <w:rsid w:val="00886DCA"/>
    <w:rsid w:val="00886FF8"/>
    <w:rsid w:val="00887019"/>
    <w:rsid w:val="00887101"/>
    <w:rsid w:val="00887263"/>
    <w:rsid w:val="00887299"/>
    <w:rsid w:val="008873CB"/>
    <w:rsid w:val="0088779C"/>
    <w:rsid w:val="008877F4"/>
    <w:rsid w:val="00887817"/>
    <w:rsid w:val="0088786A"/>
    <w:rsid w:val="00887883"/>
    <w:rsid w:val="00887A87"/>
    <w:rsid w:val="00887BA2"/>
    <w:rsid w:val="00887D5F"/>
    <w:rsid w:val="00887D70"/>
    <w:rsid w:val="00887E59"/>
    <w:rsid w:val="00887E7D"/>
    <w:rsid w:val="00890197"/>
    <w:rsid w:val="00890551"/>
    <w:rsid w:val="00890672"/>
    <w:rsid w:val="00890823"/>
    <w:rsid w:val="008908E7"/>
    <w:rsid w:val="00890A7B"/>
    <w:rsid w:val="00890B24"/>
    <w:rsid w:val="00890C08"/>
    <w:rsid w:val="00890C49"/>
    <w:rsid w:val="00890F7D"/>
    <w:rsid w:val="00890F87"/>
    <w:rsid w:val="0089113A"/>
    <w:rsid w:val="0089122A"/>
    <w:rsid w:val="008917B1"/>
    <w:rsid w:val="00891C8C"/>
    <w:rsid w:val="00891ED1"/>
    <w:rsid w:val="00891F35"/>
    <w:rsid w:val="0089202E"/>
    <w:rsid w:val="0089239B"/>
    <w:rsid w:val="0089247E"/>
    <w:rsid w:val="0089266A"/>
    <w:rsid w:val="0089270A"/>
    <w:rsid w:val="008928CB"/>
    <w:rsid w:val="00892C70"/>
    <w:rsid w:val="00892C7C"/>
    <w:rsid w:val="00892D31"/>
    <w:rsid w:val="00892FF9"/>
    <w:rsid w:val="00892FFF"/>
    <w:rsid w:val="0089347B"/>
    <w:rsid w:val="00893762"/>
    <w:rsid w:val="00893955"/>
    <w:rsid w:val="008939A9"/>
    <w:rsid w:val="00893A60"/>
    <w:rsid w:val="00893AD6"/>
    <w:rsid w:val="00893C33"/>
    <w:rsid w:val="00893C78"/>
    <w:rsid w:val="00893F0B"/>
    <w:rsid w:val="0089414B"/>
    <w:rsid w:val="00894579"/>
    <w:rsid w:val="008946CE"/>
    <w:rsid w:val="00894801"/>
    <w:rsid w:val="008948D4"/>
    <w:rsid w:val="00894B67"/>
    <w:rsid w:val="00894B7C"/>
    <w:rsid w:val="00894E99"/>
    <w:rsid w:val="00895032"/>
    <w:rsid w:val="008952E0"/>
    <w:rsid w:val="008955A5"/>
    <w:rsid w:val="00895676"/>
    <w:rsid w:val="008956F3"/>
    <w:rsid w:val="0089570C"/>
    <w:rsid w:val="00895932"/>
    <w:rsid w:val="00895BA4"/>
    <w:rsid w:val="00895E93"/>
    <w:rsid w:val="00895F54"/>
    <w:rsid w:val="008961D9"/>
    <w:rsid w:val="008964B1"/>
    <w:rsid w:val="008964E9"/>
    <w:rsid w:val="008966CA"/>
    <w:rsid w:val="0089672D"/>
    <w:rsid w:val="00896ABA"/>
    <w:rsid w:val="00896B25"/>
    <w:rsid w:val="00896B6E"/>
    <w:rsid w:val="00896E09"/>
    <w:rsid w:val="00897071"/>
    <w:rsid w:val="0089747B"/>
    <w:rsid w:val="00897538"/>
    <w:rsid w:val="008978C0"/>
    <w:rsid w:val="00897ABF"/>
    <w:rsid w:val="00897B51"/>
    <w:rsid w:val="00897C6D"/>
    <w:rsid w:val="00897EC1"/>
    <w:rsid w:val="008A0170"/>
    <w:rsid w:val="008A05F9"/>
    <w:rsid w:val="008A0668"/>
    <w:rsid w:val="008A068C"/>
    <w:rsid w:val="008A06E2"/>
    <w:rsid w:val="008A0833"/>
    <w:rsid w:val="008A091D"/>
    <w:rsid w:val="008A0AB3"/>
    <w:rsid w:val="008A0DD1"/>
    <w:rsid w:val="008A0FB6"/>
    <w:rsid w:val="008A0FFD"/>
    <w:rsid w:val="008A1196"/>
    <w:rsid w:val="008A13AC"/>
    <w:rsid w:val="008A1518"/>
    <w:rsid w:val="008A153C"/>
    <w:rsid w:val="008A1659"/>
    <w:rsid w:val="008A1985"/>
    <w:rsid w:val="008A19D4"/>
    <w:rsid w:val="008A1C7E"/>
    <w:rsid w:val="008A1C8F"/>
    <w:rsid w:val="008A2375"/>
    <w:rsid w:val="008A23B4"/>
    <w:rsid w:val="008A25D3"/>
    <w:rsid w:val="008A27F1"/>
    <w:rsid w:val="008A29C3"/>
    <w:rsid w:val="008A2AD5"/>
    <w:rsid w:val="008A2E4D"/>
    <w:rsid w:val="008A2E61"/>
    <w:rsid w:val="008A2EA3"/>
    <w:rsid w:val="008A2EED"/>
    <w:rsid w:val="008A310B"/>
    <w:rsid w:val="008A3286"/>
    <w:rsid w:val="008A371F"/>
    <w:rsid w:val="008A378F"/>
    <w:rsid w:val="008A37FE"/>
    <w:rsid w:val="008A3851"/>
    <w:rsid w:val="008A3A30"/>
    <w:rsid w:val="008A3B02"/>
    <w:rsid w:val="008A3DB9"/>
    <w:rsid w:val="008A3DC6"/>
    <w:rsid w:val="008A436B"/>
    <w:rsid w:val="008A4500"/>
    <w:rsid w:val="008A4589"/>
    <w:rsid w:val="008A4611"/>
    <w:rsid w:val="008A4619"/>
    <w:rsid w:val="008A488E"/>
    <w:rsid w:val="008A48CE"/>
    <w:rsid w:val="008A49E4"/>
    <w:rsid w:val="008A4B22"/>
    <w:rsid w:val="008A4B6F"/>
    <w:rsid w:val="008A4B9E"/>
    <w:rsid w:val="008A5095"/>
    <w:rsid w:val="008A514B"/>
    <w:rsid w:val="008A525A"/>
    <w:rsid w:val="008A5429"/>
    <w:rsid w:val="008A553D"/>
    <w:rsid w:val="008A5635"/>
    <w:rsid w:val="008A5727"/>
    <w:rsid w:val="008A59B0"/>
    <w:rsid w:val="008A5B1A"/>
    <w:rsid w:val="008A5C75"/>
    <w:rsid w:val="008A5CA4"/>
    <w:rsid w:val="008A5CF6"/>
    <w:rsid w:val="008A5D84"/>
    <w:rsid w:val="008A5E5C"/>
    <w:rsid w:val="008A5F56"/>
    <w:rsid w:val="008A6190"/>
    <w:rsid w:val="008A61C0"/>
    <w:rsid w:val="008A61FF"/>
    <w:rsid w:val="008A6231"/>
    <w:rsid w:val="008A623D"/>
    <w:rsid w:val="008A62AD"/>
    <w:rsid w:val="008A6486"/>
    <w:rsid w:val="008A6685"/>
    <w:rsid w:val="008A6884"/>
    <w:rsid w:val="008A6885"/>
    <w:rsid w:val="008A695B"/>
    <w:rsid w:val="008A6962"/>
    <w:rsid w:val="008A6983"/>
    <w:rsid w:val="008A6D10"/>
    <w:rsid w:val="008A6DFD"/>
    <w:rsid w:val="008A6E66"/>
    <w:rsid w:val="008A7A0E"/>
    <w:rsid w:val="008A7ACC"/>
    <w:rsid w:val="008A7C28"/>
    <w:rsid w:val="008A7D39"/>
    <w:rsid w:val="008A7D40"/>
    <w:rsid w:val="008A7EB4"/>
    <w:rsid w:val="008B00F4"/>
    <w:rsid w:val="008B03D9"/>
    <w:rsid w:val="008B07E4"/>
    <w:rsid w:val="008B07FC"/>
    <w:rsid w:val="008B084D"/>
    <w:rsid w:val="008B08C5"/>
    <w:rsid w:val="008B0C67"/>
    <w:rsid w:val="008B0C84"/>
    <w:rsid w:val="008B0D69"/>
    <w:rsid w:val="008B0EB6"/>
    <w:rsid w:val="008B0F9F"/>
    <w:rsid w:val="008B11CB"/>
    <w:rsid w:val="008B1426"/>
    <w:rsid w:val="008B1686"/>
    <w:rsid w:val="008B177A"/>
    <w:rsid w:val="008B1A90"/>
    <w:rsid w:val="008B1FBA"/>
    <w:rsid w:val="008B21F5"/>
    <w:rsid w:val="008B2415"/>
    <w:rsid w:val="008B28A8"/>
    <w:rsid w:val="008B2953"/>
    <w:rsid w:val="008B30F2"/>
    <w:rsid w:val="008B32F3"/>
    <w:rsid w:val="008B32FB"/>
    <w:rsid w:val="008B35C8"/>
    <w:rsid w:val="008B3B1F"/>
    <w:rsid w:val="008B3B2C"/>
    <w:rsid w:val="008B3BD3"/>
    <w:rsid w:val="008B3DEF"/>
    <w:rsid w:val="008B4105"/>
    <w:rsid w:val="008B4203"/>
    <w:rsid w:val="008B437A"/>
    <w:rsid w:val="008B43A6"/>
    <w:rsid w:val="008B4591"/>
    <w:rsid w:val="008B470B"/>
    <w:rsid w:val="008B498B"/>
    <w:rsid w:val="008B4B18"/>
    <w:rsid w:val="008B4E5D"/>
    <w:rsid w:val="008B4ECB"/>
    <w:rsid w:val="008B4F14"/>
    <w:rsid w:val="008B515D"/>
    <w:rsid w:val="008B5254"/>
    <w:rsid w:val="008B5266"/>
    <w:rsid w:val="008B56CC"/>
    <w:rsid w:val="008B587A"/>
    <w:rsid w:val="008B5A59"/>
    <w:rsid w:val="008B5A75"/>
    <w:rsid w:val="008B5AD6"/>
    <w:rsid w:val="008B5E9F"/>
    <w:rsid w:val="008B6104"/>
    <w:rsid w:val="008B622F"/>
    <w:rsid w:val="008B62D0"/>
    <w:rsid w:val="008B6516"/>
    <w:rsid w:val="008B6574"/>
    <w:rsid w:val="008B6639"/>
    <w:rsid w:val="008B66B2"/>
    <w:rsid w:val="008B67AA"/>
    <w:rsid w:val="008B67BB"/>
    <w:rsid w:val="008B6800"/>
    <w:rsid w:val="008B6821"/>
    <w:rsid w:val="008B6A60"/>
    <w:rsid w:val="008B6AC0"/>
    <w:rsid w:val="008B6AED"/>
    <w:rsid w:val="008B6FDE"/>
    <w:rsid w:val="008B71E6"/>
    <w:rsid w:val="008B71F8"/>
    <w:rsid w:val="008B7245"/>
    <w:rsid w:val="008B72E3"/>
    <w:rsid w:val="008B7315"/>
    <w:rsid w:val="008B73AD"/>
    <w:rsid w:val="008B7725"/>
    <w:rsid w:val="008B7826"/>
    <w:rsid w:val="008B7898"/>
    <w:rsid w:val="008B7DE2"/>
    <w:rsid w:val="008B7EDE"/>
    <w:rsid w:val="008B7F12"/>
    <w:rsid w:val="008C00DC"/>
    <w:rsid w:val="008C0872"/>
    <w:rsid w:val="008C0A7B"/>
    <w:rsid w:val="008C0D1F"/>
    <w:rsid w:val="008C0E64"/>
    <w:rsid w:val="008C11DE"/>
    <w:rsid w:val="008C13EF"/>
    <w:rsid w:val="008C14D1"/>
    <w:rsid w:val="008C156C"/>
    <w:rsid w:val="008C1590"/>
    <w:rsid w:val="008C1599"/>
    <w:rsid w:val="008C159B"/>
    <w:rsid w:val="008C1767"/>
    <w:rsid w:val="008C17A8"/>
    <w:rsid w:val="008C18CA"/>
    <w:rsid w:val="008C197C"/>
    <w:rsid w:val="008C1A4D"/>
    <w:rsid w:val="008C1B17"/>
    <w:rsid w:val="008C1BEF"/>
    <w:rsid w:val="008C1CA3"/>
    <w:rsid w:val="008C1DE9"/>
    <w:rsid w:val="008C1F1B"/>
    <w:rsid w:val="008C21D8"/>
    <w:rsid w:val="008C2356"/>
    <w:rsid w:val="008C2822"/>
    <w:rsid w:val="008C2B63"/>
    <w:rsid w:val="008C2DAA"/>
    <w:rsid w:val="008C2DEC"/>
    <w:rsid w:val="008C2E23"/>
    <w:rsid w:val="008C2ED1"/>
    <w:rsid w:val="008C2F48"/>
    <w:rsid w:val="008C319D"/>
    <w:rsid w:val="008C334B"/>
    <w:rsid w:val="008C36C6"/>
    <w:rsid w:val="008C39F1"/>
    <w:rsid w:val="008C3B26"/>
    <w:rsid w:val="008C4088"/>
    <w:rsid w:val="008C409D"/>
    <w:rsid w:val="008C4128"/>
    <w:rsid w:val="008C45A3"/>
    <w:rsid w:val="008C4707"/>
    <w:rsid w:val="008C48CE"/>
    <w:rsid w:val="008C493A"/>
    <w:rsid w:val="008C498B"/>
    <w:rsid w:val="008C4B30"/>
    <w:rsid w:val="008C4DD8"/>
    <w:rsid w:val="008C5261"/>
    <w:rsid w:val="008C55D3"/>
    <w:rsid w:val="008C5633"/>
    <w:rsid w:val="008C56B1"/>
    <w:rsid w:val="008C570A"/>
    <w:rsid w:val="008C5890"/>
    <w:rsid w:val="008C5A8F"/>
    <w:rsid w:val="008C5AC5"/>
    <w:rsid w:val="008C5C24"/>
    <w:rsid w:val="008C5CB2"/>
    <w:rsid w:val="008C5D6C"/>
    <w:rsid w:val="008C60D7"/>
    <w:rsid w:val="008C6476"/>
    <w:rsid w:val="008C64B9"/>
    <w:rsid w:val="008C64FE"/>
    <w:rsid w:val="008C6560"/>
    <w:rsid w:val="008C656E"/>
    <w:rsid w:val="008C6614"/>
    <w:rsid w:val="008C6713"/>
    <w:rsid w:val="008C6794"/>
    <w:rsid w:val="008C6ACB"/>
    <w:rsid w:val="008C6AD4"/>
    <w:rsid w:val="008C6C55"/>
    <w:rsid w:val="008C6C84"/>
    <w:rsid w:val="008C6E07"/>
    <w:rsid w:val="008C7110"/>
    <w:rsid w:val="008C7271"/>
    <w:rsid w:val="008C737F"/>
    <w:rsid w:val="008C76D8"/>
    <w:rsid w:val="008C7781"/>
    <w:rsid w:val="008C78D2"/>
    <w:rsid w:val="008C78DD"/>
    <w:rsid w:val="008C7D38"/>
    <w:rsid w:val="008C7DEE"/>
    <w:rsid w:val="008C7F7E"/>
    <w:rsid w:val="008D040B"/>
    <w:rsid w:val="008D05EF"/>
    <w:rsid w:val="008D0632"/>
    <w:rsid w:val="008D0773"/>
    <w:rsid w:val="008D07B0"/>
    <w:rsid w:val="008D0A54"/>
    <w:rsid w:val="008D0B10"/>
    <w:rsid w:val="008D0B9B"/>
    <w:rsid w:val="008D0D35"/>
    <w:rsid w:val="008D0DA5"/>
    <w:rsid w:val="008D0DD7"/>
    <w:rsid w:val="008D1151"/>
    <w:rsid w:val="008D1756"/>
    <w:rsid w:val="008D175A"/>
    <w:rsid w:val="008D1A86"/>
    <w:rsid w:val="008D1E31"/>
    <w:rsid w:val="008D22DB"/>
    <w:rsid w:val="008D240F"/>
    <w:rsid w:val="008D267F"/>
    <w:rsid w:val="008D268F"/>
    <w:rsid w:val="008D26E2"/>
    <w:rsid w:val="008D2806"/>
    <w:rsid w:val="008D2836"/>
    <w:rsid w:val="008D2A1F"/>
    <w:rsid w:val="008D2A4C"/>
    <w:rsid w:val="008D2BA4"/>
    <w:rsid w:val="008D2BFC"/>
    <w:rsid w:val="008D2EBA"/>
    <w:rsid w:val="008D2F8D"/>
    <w:rsid w:val="008D3242"/>
    <w:rsid w:val="008D3267"/>
    <w:rsid w:val="008D334A"/>
    <w:rsid w:val="008D334C"/>
    <w:rsid w:val="008D33EE"/>
    <w:rsid w:val="008D361D"/>
    <w:rsid w:val="008D3633"/>
    <w:rsid w:val="008D36C5"/>
    <w:rsid w:val="008D3A48"/>
    <w:rsid w:val="008D3A8C"/>
    <w:rsid w:val="008D3AB3"/>
    <w:rsid w:val="008D3F0E"/>
    <w:rsid w:val="008D411B"/>
    <w:rsid w:val="008D45FF"/>
    <w:rsid w:val="008D47BB"/>
    <w:rsid w:val="008D47E3"/>
    <w:rsid w:val="008D488B"/>
    <w:rsid w:val="008D49FE"/>
    <w:rsid w:val="008D4CC5"/>
    <w:rsid w:val="008D4DEC"/>
    <w:rsid w:val="008D519A"/>
    <w:rsid w:val="008D52FE"/>
    <w:rsid w:val="008D5391"/>
    <w:rsid w:val="008D5510"/>
    <w:rsid w:val="008D5688"/>
    <w:rsid w:val="008D576B"/>
    <w:rsid w:val="008D5A33"/>
    <w:rsid w:val="008D5B64"/>
    <w:rsid w:val="008D5BB4"/>
    <w:rsid w:val="008D5CD7"/>
    <w:rsid w:val="008D5D2E"/>
    <w:rsid w:val="008D5FBF"/>
    <w:rsid w:val="008D6098"/>
    <w:rsid w:val="008D6102"/>
    <w:rsid w:val="008D615A"/>
    <w:rsid w:val="008D6180"/>
    <w:rsid w:val="008D62A9"/>
    <w:rsid w:val="008D65EE"/>
    <w:rsid w:val="008D6853"/>
    <w:rsid w:val="008D69FD"/>
    <w:rsid w:val="008D6A20"/>
    <w:rsid w:val="008D6C05"/>
    <w:rsid w:val="008D6C7A"/>
    <w:rsid w:val="008D6DA3"/>
    <w:rsid w:val="008D705A"/>
    <w:rsid w:val="008D709F"/>
    <w:rsid w:val="008D70A4"/>
    <w:rsid w:val="008D70F6"/>
    <w:rsid w:val="008D7178"/>
    <w:rsid w:val="008D717D"/>
    <w:rsid w:val="008D7195"/>
    <w:rsid w:val="008D7309"/>
    <w:rsid w:val="008D73EE"/>
    <w:rsid w:val="008D75F9"/>
    <w:rsid w:val="008D7679"/>
    <w:rsid w:val="008D76DF"/>
    <w:rsid w:val="008D786E"/>
    <w:rsid w:val="008D791D"/>
    <w:rsid w:val="008D7973"/>
    <w:rsid w:val="008D79C2"/>
    <w:rsid w:val="008D79C3"/>
    <w:rsid w:val="008D7C37"/>
    <w:rsid w:val="008D7CA1"/>
    <w:rsid w:val="008D7E08"/>
    <w:rsid w:val="008E00D4"/>
    <w:rsid w:val="008E01BB"/>
    <w:rsid w:val="008E02AD"/>
    <w:rsid w:val="008E05C9"/>
    <w:rsid w:val="008E07C6"/>
    <w:rsid w:val="008E07F5"/>
    <w:rsid w:val="008E0A20"/>
    <w:rsid w:val="008E0A9E"/>
    <w:rsid w:val="008E0C81"/>
    <w:rsid w:val="008E0EE8"/>
    <w:rsid w:val="008E12DF"/>
    <w:rsid w:val="008E13CB"/>
    <w:rsid w:val="008E13E3"/>
    <w:rsid w:val="008E160D"/>
    <w:rsid w:val="008E183D"/>
    <w:rsid w:val="008E1912"/>
    <w:rsid w:val="008E1C02"/>
    <w:rsid w:val="008E1C74"/>
    <w:rsid w:val="008E26DB"/>
    <w:rsid w:val="008E26EA"/>
    <w:rsid w:val="008E2799"/>
    <w:rsid w:val="008E27E4"/>
    <w:rsid w:val="008E2B93"/>
    <w:rsid w:val="008E2E5F"/>
    <w:rsid w:val="008E3028"/>
    <w:rsid w:val="008E30C0"/>
    <w:rsid w:val="008E314D"/>
    <w:rsid w:val="008E3151"/>
    <w:rsid w:val="008E36F1"/>
    <w:rsid w:val="008E37A6"/>
    <w:rsid w:val="008E3AC4"/>
    <w:rsid w:val="008E3BDC"/>
    <w:rsid w:val="008E3CA0"/>
    <w:rsid w:val="008E3CD7"/>
    <w:rsid w:val="008E3D17"/>
    <w:rsid w:val="008E3E0F"/>
    <w:rsid w:val="008E4120"/>
    <w:rsid w:val="008E41C8"/>
    <w:rsid w:val="008E43B8"/>
    <w:rsid w:val="008E4689"/>
    <w:rsid w:val="008E46A9"/>
    <w:rsid w:val="008E482E"/>
    <w:rsid w:val="008E490E"/>
    <w:rsid w:val="008E4AD3"/>
    <w:rsid w:val="008E4BB5"/>
    <w:rsid w:val="008E4CFE"/>
    <w:rsid w:val="008E4F24"/>
    <w:rsid w:val="008E54E2"/>
    <w:rsid w:val="008E5B4F"/>
    <w:rsid w:val="008E5C85"/>
    <w:rsid w:val="008E6051"/>
    <w:rsid w:val="008E6082"/>
    <w:rsid w:val="008E6478"/>
    <w:rsid w:val="008E66F9"/>
    <w:rsid w:val="008E6A18"/>
    <w:rsid w:val="008E6E79"/>
    <w:rsid w:val="008E71F6"/>
    <w:rsid w:val="008E72FB"/>
    <w:rsid w:val="008E73AF"/>
    <w:rsid w:val="008E7473"/>
    <w:rsid w:val="008E7478"/>
    <w:rsid w:val="008E7846"/>
    <w:rsid w:val="008E7864"/>
    <w:rsid w:val="008E78FB"/>
    <w:rsid w:val="008E7A3B"/>
    <w:rsid w:val="008E7CCB"/>
    <w:rsid w:val="008F00FE"/>
    <w:rsid w:val="008F02B4"/>
    <w:rsid w:val="008F03BA"/>
    <w:rsid w:val="008F057C"/>
    <w:rsid w:val="008F0AA0"/>
    <w:rsid w:val="008F0C76"/>
    <w:rsid w:val="008F0E02"/>
    <w:rsid w:val="008F0EF5"/>
    <w:rsid w:val="008F11F5"/>
    <w:rsid w:val="008F127B"/>
    <w:rsid w:val="008F171A"/>
    <w:rsid w:val="008F1856"/>
    <w:rsid w:val="008F1A3C"/>
    <w:rsid w:val="008F1BD9"/>
    <w:rsid w:val="008F1D7A"/>
    <w:rsid w:val="008F2268"/>
    <w:rsid w:val="008F2B08"/>
    <w:rsid w:val="008F2D5E"/>
    <w:rsid w:val="008F2ED8"/>
    <w:rsid w:val="008F3179"/>
    <w:rsid w:val="008F3263"/>
    <w:rsid w:val="008F32DF"/>
    <w:rsid w:val="008F3616"/>
    <w:rsid w:val="008F3629"/>
    <w:rsid w:val="008F36D2"/>
    <w:rsid w:val="008F3799"/>
    <w:rsid w:val="008F3B4F"/>
    <w:rsid w:val="008F3B8A"/>
    <w:rsid w:val="008F3BE5"/>
    <w:rsid w:val="008F3C46"/>
    <w:rsid w:val="008F3D44"/>
    <w:rsid w:val="008F3D89"/>
    <w:rsid w:val="008F4041"/>
    <w:rsid w:val="008F429E"/>
    <w:rsid w:val="008F439F"/>
    <w:rsid w:val="008F43A1"/>
    <w:rsid w:val="008F4543"/>
    <w:rsid w:val="008F45C4"/>
    <w:rsid w:val="008F466E"/>
    <w:rsid w:val="008F4683"/>
    <w:rsid w:val="008F46AF"/>
    <w:rsid w:val="008F46E3"/>
    <w:rsid w:val="008F46F2"/>
    <w:rsid w:val="008F47D6"/>
    <w:rsid w:val="008F4807"/>
    <w:rsid w:val="008F4933"/>
    <w:rsid w:val="008F4AC4"/>
    <w:rsid w:val="008F4E07"/>
    <w:rsid w:val="008F50BD"/>
    <w:rsid w:val="008F51CB"/>
    <w:rsid w:val="008F5339"/>
    <w:rsid w:val="008F543E"/>
    <w:rsid w:val="008F54AC"/>
    <w:rsid w:val="008F5837"/>
    <w:rsid w:val="008F5DD7"/>
    <w:rsid w:val="008F5FB5"/>
    <w:rsid w:val="008F60B2"/>
    <w:rsid w:val="008F63CC"/>
    <w:rsid w:val="008F6423"/>
    <w:rsid w:val="008F690C"/>
    <w:rsid w:val="008F6B5D"/>
    <w:rsid w:val="008F6FD5"/>
    <w:rsid w:val="008F72B8"/>
    <w:rsid w:val="008F762F"/>
    <w:rsid w:val="008F7794"/>
    <w:rsid w:val="008F798A"/>
    <w:rsid w:val="008F7EB3"/>
    <w:rsid w:val="008F7F66"/>
    <w:rsid w:val="008F7F8B"/>
    <w:rsid w:val="009001FC"/>
    <w:rsid w:val="00900331"/>
    <w:rsid w:val="00900391"/>
    <w:rsid w:val="009003B2"/>
    <w:rsid w:val="0090064E"/>
    <w:rsid w:val="009006BD"/>
    <w:rsid w:val="009006BF"/>
    <w:rsid w:val="00900770"/>
    <w:rsid w:val="00900814"/>
    <w:rsid w:val="00900A0E"/>
    <w:rsid w:val="00900BAE"/>
    <w:rsid w:val="00901109"/>
    <w:rsid w:val="009011F0"/>
    <w:rsid w:val="00901237"/>
    <w:rsid w:val="0090145A"/>
    <w:rsid w:val="00901683"/>
    <w:rsid w:val="00901B18"/>
    <w:rsid w:val="0090232C"/>
    <w:rsid w:val="009025A4"/>
    <w:rsid w:val="009026B1"/>
    <w:rsid w:val="0090278A"/>
    <w:rsid w:val="009027FB"/>
    <w:rsid w:val="0090283B"/>
    <w:rsid w:val="009028DD"/>
    <w:rsid w:val="00902C1D"/>
    <w:rsid w:val="00902C53"/>
    <w:rsid w:val="00902CFA"/>
    <w:rsid w:val="00902D09"/>
    <w:rsid w:val="00902D0E"/>
    <w:rsid w:val="0090363C"/>
    <w:rsid w:val="00903951"/>
    <w:rsid w:val="0090397B"/>
    <w:rsid w:val="00903AC3"/>
    <w:rsid w:val="00903B11"/>
    <w:rsid w:val="00903C46"/>
    <w:rsid w:val="009040A4"/>
    <w:rsid w:val="00904458"/>
    <w:rsid w:val="009045B8"/>
    <w:rsid w:val="009046EC"/>
    <w:rsid w:val="00904835"/>
    <w:rsid w:val="00904A5B"/>
    <w:rsid w:val="00904DC8"/>
    <w:rsid w:val="0090516D"/>
    <w:rsid w:val="0090517F"/>
    <w:rsid w:val="00905299"/>
    <w:rsid w:val="009052A9"/>
    <w:rsid w:val="0090540A"/>
    <w:rsid w:val="00905494"/>
    <w:rsid w:val="009056D4"/>
    <w:rsid w:val="00905799"/>
    <w:rsid w:val="009059AB"/>
    <w:rsid w:val="00905B0E"/>
    <w:rsid w:val="00905BB5"/>
    <w:rsid w:val="00905E6B"/>
    <w:rsid w:val="00905F08"/>
    <w:rsid w:val="00905FC4"/>
    <w:rsid w:val="0090604D"/>
    <w:rsid w:val="00906202"/>
    <w:rsid w:val="009062ED"/>
    <w:rsid w:val="00906388"/>
    <w:rsid w:val="0090673B"/>
    <w:rsid w:val="00906AF0"/>
    <w:rsid w:val="00906B1A"/>
    <w:rsid w:val="00906BF6"/>
    <w:rsid w:val="00906CC2"/>
    <w:rsid w:val="00906EEB"/>
    <w:rsid w:val="009070A1"/>
    <w:rsid w:val="00907272"/>
    <w:rsid w:val="009074F1"/>
    <w:rsid w:val="00907591"/>
    <w:rsid w:val="00907817"/>
    <w:rsid w:val="00907829"/>
    <w:rsid w:val="00907A61"/>
    <w:rsid w:val="00907A76"/>
    <w:rsid w:val="00907AEE"/>
    <w:rsid w:val="00907B61"/>
    <w:rsid w:val="00907D1E"/>
    <w:rsid w:val="00907F9D"/>
    <w:rsid w:val="00907FDD"/>
    <w:rsid w:val="009100F9"/>
    <w:rsid w:val="00910603"/>
    <w:rsid w:val="00910655"/>
    <w:rsid w:val="009106F5"/>
    <w:rsid w:val="00910A41"/>
    <w:rsid w:val="00910C01"/>
    <w:rsid w:val="00910C18"/>
    <w:rsid w:val="00910C31"/>
    <w:rsid w:val="00910D3C"/>
    <w:rsid w:val="00910F57"/>
    <w:rsid w:val="00910F99"/>
    <w:rsid w:val="00911011"/>
    <w:rsid w:val="00911175"/>
    <w:rsid w:val="009113D1"/>
    <w:rsid w:val="009113E0"/>
    <w:rsid w:val="00911453"/>
    <w:rsid w:val="00911571"/>
    <w:rsid w:val="0091179B"/>
    <w:rsid w:val="0091187C"/>
    <w:rsid w:val="009118E8"/>
    <w:rsid w:val="0091190D"/>
    <w:rsid w:val="00911A0C"/>
    <w:rsid w:val="00911D37"/>
    <w:rsid w:val="00911DE6"/>
    <w:rsid w:val="009120B2"/>
    <w:rsid w:val="00912215"/>
    <w:rsid w:val="009125D0"/>
    <w:rsid w:val="0091279D"/>
    <w:rsid w:val="0091281C"/>
    <w:rsid w:val="00912A0D"/>
    <w:rsid w:val="00912A4C"/>
    <w:rsid w:val="00912AC7"/>
    <w:rsid w:val="00912C27"/>
    <w:rsid w:val="00913037"/>
    <w:rsid w:val="00913145"/>
    <w:rsid w:val="009135A1"/>
    <w:rsid w:val="00913777"/>
    <w:rsid w:val="009139E8"/>
    <w:rsid w:val="00913AD6"/>
    <w:rsid w:val="00913B7E"/>
    <w:rsid w:val="00913E36"/>
    <w:rsid w:val="00913ECA"/>
    <w:rsid w:val="0091410B"/>
    <w:rsid w:val="009141C8"/>
    <w:rsid w:val="00914351"/>
    <w:rsid w:val="00914608"/>
    <w:rsid w:val="0091481B"/>
    <w:rsid w:val="00914A69"/>
    <w:rsid w:val="00914BDB"/>
    <w:rsid w:val="00914C58"/>
    <w:rsid w:val="00914DD3"/>
    <w:rsid w:val="00914F27"/>
    <w:rsid w:val="00915844"/>
    <w:rsid w:val="0091589A"/>
    <w:rsid w:val="009158B6"/>
    <w:rsid w:val="00915AE3"/>
    <w:rsid w:val="00915C7B"/>
    <w:rsid w:val="00915CCB"/>
    <w:rsid w:val="00915FD1"/>
    <w:rsid w:val="009161A4"/>
    <w:rsid w:val="009163E0"/>
    <w:rsid w:val="0091659A"/>
    <w:rsid w:val="009166EA"/>
    <w:rsid w:val="009167CB"/>
    <w:rsid w:val="009167E7"/>
    <w:rsid w:val="00916852"/>
    <w:rsid w:val="00916881"/>
    <w:rsid w:val="00916956"/>
    <w:rsid w:val="009169BB"/>
    <w:rsid w:val="009169E3"/>
    <w:rsid w:val="00916A15"/>
    <w:rsid w:val="00916B67"/>
    <w:rsid w:val="00916DD3"/>
    <w:rsid w:val="00916ED5"/>
    <w:rsid w:val="00916F02"/>
    <w:rsid w:val="00916FB3"/>
    <w:rsid w:val="009171A8"/>
    <w:rsid w:val="00917255"/>
    <w:rsid w:val="00917597"/>
    <w:rsid w:val="00917CF5"/>
    <w:rsid w:val="00917F26"/>
    <w:rsid w:val="00917FAE"/>
    <w:rsid w:val="0092040E"/>
    <w:rsid w:val="00920519"/>
    <w:rsid w:val="00920770"/>
    <w:rsid w:val="00920AAA"/>
    <w:rsid w:val="00920BA4"/>
    <w:rsid w:val="00920D1D"/>
    <w:rsid w:val="009210D1"/>
    <w:rsid w:val="0092122E"/>
    <w:rsid w:val="0092197E"/>
    <w:rsid w:val="00921A55"/>
    <w:rsid w:val="00921ACA"/>
    <w:rsid w:val="00921AFD"/>
    <w:rsid w:val="00921D04"/>
    <w:rsid w:val="00922010"/>
    <w:rsid w:val="009225D4"/>
    <w:rsid w:val="00922636"/>
    <w:rsid w:val="00922A62"/>
    <w:rsid w:val="00922B21"/>
    <w:rsid w:val="00922C75"/>
    <w:rsid w:val="00922E2C"/>
    <w:rsid w:val="0092306E"/>
    <w:rsid w:val="009230B6"/>
    <w:rsid w:val="00923129"/>
    <w:rsid w:val="0092314A"/>
    <w:rsid w:val="00923384"/>
    <w:rsid w:val="009234BF"/>
    <w:rsid w:val="0092372C"/>
    <w:rsid w:val="0092381D"/>
    <w:rsid w:val="00923C12"/>
    <w:rsid w:val="00923C4F"/>
    <w:rsid w:val="00923CA7"/>
    <w:rsid w:val="00923D02"/>
    <w:rsid w:val="00923E96"/>
    <w:rsid w:val="00924147"/>
    <w:rsid w:val="00924566"/>
    <w:rsid w:val="0092469A"/>
    <w:rsid w:val="00924902"/>
    <w:rsid w:val="009249EE"/>
    <w:rsid w:val="00924B4D"/>
    <w:rsid w:val="00925463"/>
    <w:rsid w:val="00925624"/>
    <w:rsid w:val="00925696"/>
    <w:rsid w:val="009257C5"/>
    <w:rsid w:val="00925C08"/>
    <w:rsid w:val="00925EEA"/>
    <w:rsid w:val="00926433"/>
    <w:rsid w:val="009267BA"/>
    <w:rsid w:val="009268A0"/>
    <w:rsid w:val="00926972"/>
    <w:rsid w:val="00926995"/>
    <w:rsid w:val="009269B2"/>
    <w:rsid w:val="00926A47"/>
    <w:rsid w:val="0092707A"/>
    <w:rsid w:val="009271F9"/>
    <w:rsid w:val="00927546"/>
    <w:rsid w:val="009278E6"/>
    <w:rsid w:val="00927916"/>
    <w:rsid w:val="009279BB"/>
    <w:rsid w:val="009301E7"/>
    <w:rsid w:val="009306D0"/>
    <w:rsid w:val="00930726"/>
    <w:rsid w:val="0093082D"/>
    <w:rsid w:val="00930C6F"/>
    <w:rsid w:val="00930CEC"/>
    <w:rsid w:val="00931301"/>
    <w:rsid w:val="00931429"/>
    <w:rsid w:val="00931469"/>
    <w:rsid w:val="009317B6"/>
    <w:rsid w:val="009317BF"/>
    <w:rsid w:val="009317F9"/>
    <w:rsid w:val="00931830"/>
    <w:rsid w:val="009318AF"/>
    <w:rsid w:val="00931979"/>
    <w:rsid w:val="00931AF4"/>
    <w:rsid w:val="00931B79"/>
    <w:rsid w:val="00931D84"/>
    <w:rsid w:val="00931F95"/>
    <w:rsid w:val="009321CA"/>
    <w:rsid w:val="0093225F"/>
    <w:rsid w:val="009323EC"/>
    <w:rsid w:val="009329EB"/>
    <w:rsid w:val="00932AA0"/>
    <w:rsid w:val="00932ED8"/>
    <w:rsid w:val="0093302E"/>
    <w:rsid w:val="00933033"/>
    <w:rsid w:val="0093307B"/>
    <w:rsid w:val="009332D8"/>
    <w:rsid w:val="00933580"/>
    <w:rsid w:val="009337B8"/>
    <w:rsid w:val="00933874"/>
    <w:rsid w:val="00933988"/>
    <w:rsid w:val="00933A60"/>
    <w:rsid w:val="00933B75"/>
    <w:rsid w:val="00933BC2"/>
    <w:rsid w:val="00933BE4"/>
    <w:rsid w:val="00933D9A"/>
    <w:rsid w:val="00934012"/>
    <w:rsid w:val="00934079"/>
    <w:rsid w:val="0093409F"/>
    <w:rsid w:val="00934197"/>
    <w:rsid w:val="00934403"/>
    <w:rsid w:val="00934701"/>
    <w:rsid w:val="00934772"/>
    <w:rsid w:val="009347C2"/>
    <w:rsid w:val="0093497E"/>
    <w:rsid w:val="00934BAC"/>
    <w:rsid w:val="00934C1D"/>
    <w:rsid w:val="00934D59"/>
    <w:rsid w:val="00935196"/>
    <w:rsid w:val="00935223"/>
    <w:rsid w:val="00935442"/>
    <w:rsid w:val="00935AEB"/>
    <w:rsid w:val="00935B10"/>
    <w:rsid w:val="00935B65"/>
    <w:rsid w:val="00935BC9"/>
    <w:rsid w:val="00935D48"/>
    <w:rsid w:val="0093634E"/>
    <w:rsid w:val="00936750"/>
    <w:rsid w:val="00936944"/>
    <w:rsid w:val="00936BAC"/>
    <w:rsid w:val="00936CC9"/>
    <w:rsid w:val="00936E75"/>
    <w:rsid w:val="00937416"/>
    <w:rsid w:val="00937423"/>
    <w:rsid w:val="0093758C"/>
    <w:rsid w:val="00937799"/>
    <w:rsid w:val="00937866"/>
    <w:rsid w:val="00937A10"/>
    <w:rsid w:val="00937AE9"/>
    <w:rsid w:val="00937C99"/>
    <w:rsid w:val="00937DBA"/>
    <w:rsid w:val="00937DCA"/>
    <w:rsid w:val="00937EC9"/>
    <w:rsid w:val="00940321"/>
    <w:rsid w:val="00940709"/>
    <w:rsid w:val="00940759"/>
    <w:rsid w:val="00940994"/>
    <w:rsid w:val="00940B6F"/>
    <w:rsid w:val="00940CFB"/>
    <w:rsid w:val="00940D81"/>
    <w:rsid w:val="00940ECB"/>
    <w:rsid w:val="00941221"/>
    <w:rsid w:val="00941274"/>
    <w:rsid w:val="00941289"/>
    <w:rsid w:val="0094177F"/>
    <w:rsid w:val="00941B66"/>
    <w:rsid w:val="00941C7E"/>
    <w:rsid w:val="00941CF4"/>
    <w:rsid w:val="00941D63"/>
    <w:rsid w:val="00941D6F"/>
    <w:rsid w:val="00941E86"/>
    <w:rsid w:val="00941F37"/>
    <w:rsid w:val="00941FC2"/>
    <w:rsid w:val="00942053"/>
    <w:rsid w:val="0094213E"/>
    <w:rsid w:val="0094224D"/>
    <w:rsid w:val="00942419"/>
    <w:rsid w:val="009427C5"/>
    <w:rsid w:val="009428DE"/>
    <w:rsid w:val="0094297A"/>
    <w:rsid w:val="00942B64"/>
    <w:rsid w:val="00942FB9"/>
    <w:rsid w:val="0094325C"/>
    <w:rsid w:val="009432FB"/>
    <w:rsid w:val="00943394"/>
    <w:rsid w:val="009433C0"/>
    <w:rsid w:val="00943431"/>
    <w:rsid w:val="009434D6"/>
    <w:rsid w:val="00943524"/>
    <w:rsid w:val="0094360C"/>
    <w:rsid w:val="0094380C"/>
    <w:rsid w:val="009438D4"/>
    <w:rsid w:val="00943B0C"/>
    <w:rsid w:val="00943D89"/>
    <w:rsid w:val="00944194"/>
    <w:rsid w:val="0094425D"/>
    <w:rsid w:val="009442C6"/>
    <w:rsid w:val="00944672"/>
    <w:rsid w:val="009446F5"/>
    <w:rsid w:val="009447E6"/>
    <w:rsid w:val="009448D2"/>
    <w:rsid w:val="00944B13"/>
    <w:rsid w:val="00944BD9"/>
    <w:rsid w:val="00944BF0"/>
    <w:rsid w:val="00944D9E"/>
    <w:rsid w:val="0094518A"/>
    <w:rsid w:val="009451DB"/>
    <w:rsid w:val="00945207"/>
    <w:rsid w:val="00945235"/>
    <w:rsid w:val="00945300"/>
    <w:rsid w:val="00945641"/>
    <w:rsid w:val="009456D8"/>
    <w:rsid w:val="00945868"/>
    <w:rsid w:val="00945A00"/>
    <w:rsid w:val="00945B29"/>
    <w:rsid w:val="00945BC0"/>
    <w:rsid w:val="00946393"/>
    <w:rsid w:val="009465F9"/>
    <w:rsid w:val="00946862"/>
    <w:rsid w:val="009468C0"/>
    <w:rsid w:val="009468C2"/>
    <w:rsid w:val="00946ADC"/>
    <w:rsid w:val="00946DD3"/>
    <w:rsid w:val="0094700E"/>
    <w:rsid w:val="0094716B"/>
    <w:rsid w:val="009476D4"/>
    <w:rsid w:val="0094778A"/>
    <w:rsid w:val="009478E9"/>
    <w:rsid w:val="00947E0A"/>
    <w:rsid w:val="00947E32"/>
    <w:rsid w:val="00950068"/>
    <w:rsid w:val="00950148"/>
    <w:rsid w:val="0095016A"/>
    <w:rsid w:val="0095021B"/>
    <w:rsid w:val="009508E2"/>
    <w:rsid w:val="00950B33"/>
    <w:rsid w:val="00950B7A"/>
    <w:rsid w:val="00950EB6"/>
    <w:rsid w:val="0095180F"/>
    <w:rsid w:val="0095181A"/>
    <w:rsid w:val="009519E0"/>
    <w:rsid w:val="009519FB"/>
    <w:rsid w:val="00951A65"/>
    <w:rsid w:val="00951BA0"/>
    <w:rsid w:val="00951C91"/>
    <w:rsid w:val="00951D57"/>
    <w:rsid w:val="00951F4B"/>
    <w:rsid w:val="00951F72"/>
    <w:rsid w:val="0095227E"/>
    <w:rsid w:val="00952405"/>
    <w:rsid w:val="009524B0"/>
    <w:rsid w:val="009524C9"/>
    <w:rsid w:val="00952559"/>
    <w:rsid w:val="00952628"/>
    <w:rsid w:val="00952982"/>
    <w:rsid w:val="009529A9"/>
    <w:rsid w:val="00952CE0"/>
    <w:rsid w:val="00952E9C"/>
    <w:rsid w:val="00953014"/>
    <w:rsid w:val="009530B0"/>
    <w:rsid w:val="00953338"/>
    <w:rsid w:val="00953363"/>
    <w:rsid w:val="009533A2"/>
    <w:rsid w:val="00953446"/>
    <w:rsid w:val="00953678"/>
    <w:rsid w:val="0095367C"/>
    <w:rsid w:val="009539E9"/>
    <w:rsid w:val="00953C3F"/>
    <w:rsid w:val="009540DD"/>
    <w:rsid w:val="009540FF"/>
    <w:rsid w:val="00954247"/>
    <w:rsid w:val="00954294"/>
    <w:rsid w:val="00954554"/>
    <w:rsid w:val="009545D0"/>
    <w:rsid w:val="009545E2"/>
    <w:rsid w:val="009546E7"/>
    <w:rsid w:val="00954C13"/>
    <w:rsid w:val="00954C65"/>
    <w:rsid w:val="00954E50"/>
    <w:rsid w:val="00954F39"/>
    <w:rsid w:val="00955141"/>
    <w:rsid w:val="009551AA"/>
    <w:rsid w:val="009551BB"/>
    <w:rsid w:val="009552E4"/>
    <w:rsid w:val="00955324"/>
    <w:rsid w:val="0095564A"/>
    <w:rsid w:val="009557D7"/>
    <w:rsid w:val="009557F9"/>
    <w:rsid w:val="00955924"/>
    <w:rsid w:val="00955E56"/>
    <w:rsid w:val="00955E87"/>
    <w:rsid w:val="00956013"/>
    <w:rsid w:val="009563C9"/>
    <w:rsid w:val="0095660F"/>
    <w:rsid w:val="0095672E"/>
    <w:rsid w:val="0095676E"/>
    <w:rsid w:val="009567B4"/>
    <w:rsid w:val="009567D7"/>
    <w:rsid w:val="00956897"/>
    <w:rsid w:val="00956946"/>
    <w:rsid w:val="00956979"/>
    <w:rsid w:val="009569FF"/>
    <w:rsid w:val="00956E09"/>
    <w:rsid w:val="00956EBA"/>
    <w:rsid w:val="00956F40"/>
    <w:rsid w:val="0095706E"/>
    <w:rsid w:val="009570DB"/>
    <w:rsid w:val="0095741B"/>
    <w:rsid w:val="0095749A"/>
    <w:rsid w:val="00957600"/>
    <w:rsid w:val="0095762F"/>
    <w:rsid w:val="00957775"/>
    <w:rsid w:val="009577F9"/>
    <w:rsid w:val="0095782C"/>
    <w:rsid w:val="00957A6A"/>
    <w:rsid w:val="00957E2C"/>
    <w:rsid w:val="00957F1D"/>
    <w:rsid w:val="00957F72"/>
    <w:rsid w:val="009602A4"/>
    <w:rsid w:val="009602DE"/>
    <w:rsid w:val="009605CD"/>
    <w:rsid w:val="0096061F"/>
    <w:rsid w:val="00960E1F"/>
    <w:rsid w:val="009610CA"/>
    <w:rsid w:val="009610EA"/>
    <w:rsid w:val="0096114C"/>
    <w:rsid w:val="0096135B"/>
    <w:rsid w:val="0096137B"/>
    <w:rsid w:val="00961387"/>
    <w:rsid w:val="009617EF"/>
    <w:rsid w:val="00961961"/>
    <w:rsid w:val="00961D73"/>
    <w:rsid w:val="009621BB"/>
    <w:rsid w:val="009621E4"/>
    <w:rsid w:val="009622CF"/>
    <w:rsid w:val="0096236A"/>
    <w:rsid w:val="00962894"/>
    <w:rsid w:val="00962DA8"/>
    <w:rsid w:val="00962F67"/>
    <w:rsid w:val="00963004"/>
    <w:rsid w:val="00963237"/>
    <w:rsid w:val="00963331"/>
    <w:rsid w:val="0096374B"/>
    <w:rsid w:val="00963865"/>
    <w:rsid w:val="00963AB9"/>
    <w:rsid w:val="00963ABE"/>
    <w:rsid w:val="00963B63"/>
    <w:rsid w:val="00963CD4"/>
    <w:rsid w:val="00963D55"/>
    <w:rsid w:val="00964024"/>
    <w:rsid w:val="009642FA"/>
    <w:rsid w:val="009645A5"/>
    <w:rsid w:val="00964699"/>
    <w:rsid w:val="009647EE"/>
    <w:rsid w:val="0096494B"/>
    <w:rsid w:val="00964DC4"/>
    <w:rsid w:val="00964DE6"/>
    <w:rsid w:val="009650E0"/>
    <w:rsid w:val="0096522C"/>
    <w:rsid w:val="009654EB"/>
    <w:rsid w:val="009656F1"/>
    <w:rsid w:val="00965828"/>
    <w:rsid w:val="00965A7C"/>
    <w:rsid w:val="00966086"/>
    <w:rsid w:val="0096609C"/>
    <w:rsid w:val="00966A00"/>
    <w:rsid w:val="00966B6B"/>
    <w:rsid w:val="00966C9B"/>
    <w:rsid w:val="00966E04"/>
    <w:rsid w:val="00966EFF"/>
    <w:rsid w:val="009670BA"/>
    <w:rsid w:val="00967195"/>
    <w:rsid w:val="00967319"/>
    <w:rsid w:val="009675D7"/>
    <w:rsid w:val="0096768E"/>
    <w:rsid w:val="009678F8"/>
    <w:rsid w:val="00967974"/>
    <w:rsid w:val="00967A15"/>
    <w:rsid w:val="00967C4F"/>
    <w:rsid w:val="00967C58"/>
    <w:rsid w:val="00967D9D"/>
    <w:rsid w:val="00967FAE"/>
    <w:rsid w:val="00967FE1"/>
    <w:rsid w:val="009700F6"/>
    <w:rsid w:val="009705A6"/>
    <w:rsid w:val="00970A76"/>
    <w:rsid w:val="00970B7B"/>
    <w:rsid w:val="00970B91"/>
    <w:rsid w:val="00970C46"/>
    <w:rsid w:val="00970ED2"/>
    <w:rsid w:val="00971036"/>
    <w:rsid w:val="00971083"/>
    <w:rsid w:val="009710AC"/>
    <w:rsid w:val="00971184"/>
    <w:rsid w:val="009712D0"/>
    <w:rsid w:val="0097180C"/>
    <w:rsid w:val="00971A55"/>
    <w:rsid w:val="00971B17"/>
    <w:rsid w:val="00971BEA"/>
    <w:rsid w:val="00971C81"/>
    <w:rsid w:val="00971D8F"/>
    <w:rsid w:val="00971E66"/>
    <w:rsid w:val="00971ED7"/>
    <w:rsid w:val="00972446"/>
    <w:rsid w:val="0097245A"/>
    <w:rsid w:val="009725F1"/>
    <w:rsid w:val="00972929"/>
    <w:rsid w:val="00972937"/>
    <w:rsid w:val="00972A73"/>
    <w:rsid w:val="00972C05"/>
    <w:rsid w:val="00972E05"/>
    <w:rsid w:val="00972EB0"/>
    <w:rsid w:val="00972F7D"/>
    <w:rsid w:val="0097307B"/>
    <w:rsid w:val="009735E4"/>
    <w:rsid w:val="009736F6"/>
    <w:rsid w:val="00973905"/>
    <w:rsid w:val="0097398B"/>
    <w:rsid w:val="00973C93"/>
    <w:rsid w:val="00973FD5"/>
    <w:rsid w:val="009741C8"/>
    <w:rsid w:val="00974338"/>
    <w:rsid w:val="00974BE9"/>
    <w:rsid w:val="00974C41"/>
    <w:rsid w:val="00974C43"/>
    <w:rsid w:val="00974E50"/>
    <w:rsid w:val="00974F17"/>
    <w:rsid w:val="00974F8D"/>
    <w:rsid w:val="00975200"/>
    <w:rsid w:val="0097529D"/>
    <w:rsid w:val="00975344"/>
    <w:rsid w:val="00975694"/>
    <w:rsid w:val="0097579A"/>
    <w:rsid w:val="009757E3"/>
    <w:rsid w:val="00975D52"/>
    <w:rsid w:val="009764AC"/>
    <w:rsid w:val="00976759"/>
    <w:rsid w:val="00976914"/>
    <w:rsid w:val="0097698C"/>
    <w:rsid w:val="00976BAB"/>
    <w:rsid w:val="00976C21"/>
    <w:rsid w:val="009770B2"/>
    <w:rsid w:val="009770DA"/>
    <w:rsid w:val="0097723D"/>
    <w:rsid w:val="009776D0"/>
    <w:rsid w:val="009778BF"/>
    <w:rsid w:val="00977A55"/>
    <w:rsid w:val="00977B6D"/>
    <w:rsid w:val="00977CD7"/>
    <w:rsid w:val="00977E2F"/>
    <w:rsid w:val="00977EC0"/>
    <w:rsid w:val="009802E9"/>
    <w:rsid w:val="0098054A"/>
    <w:rsid w:val="009805E4"/>
    <w:rsid w:val="009806BD"/>
    <w:rsid w:val="00980754"/>
    <w:rsid w:val="00980CB0"/>
    <w:rsid w:val="00980DD1"/>
    <w:rsid w:val="00981193"/>
    <w:rsid w:val="009811BA"/>
    <w:rsid w:val="009813ED"/>
    <w:rsid w:val="0098140B"/>
    <w:rsid w:val="0098148A"/>
    <w:rsid w:val="00981655"/>
    <w:rsid w:val="009817DA"/>
    <w:rsid w:val="00981AE0"/>
    <w:rsid w:val="00981B79"/>
    <w:rsid w:val="00981C26"/>
    <w:rsid w:val="0098204F"/>
    <w:rsid w:val="009821D8"/>
    <w:rsid w:val="009828A0"/>
    <w:rsid w:val="00982B39"/>
    <w:rsid w:val="00982F8E"/>
    <w:rsid w:val="00983000"/>
    <w:rsid w:val="00983075"/>
    <w:rsid w:val="00983688"/>
    <w:rsid w:val="009837A3"/>
    <w:rsid w:val="009837E1"/>
    <w:rsid w:val="009837FD"/>
    <w:rsid w:val="009838CA"/>
    <w:rsid w:val="00983BAD"/>
    <w:rsid w:val="00983CAE"/>
    <w:rsid w:val="00983D61"/>
    <w:rsid w:val="00984168"/>
    <w:rsid w:val="00984249"/>
    <w:rsid w:val="009842E6"/>
    <w:rsid w:val="0098472F"/>
    <w:rsid w:val="00984752"/>
    <w:rsid w:val="00984878"/>
    <w:rsid w:val="0098490F"/>
    <w:rsid w:val="00984A26"/>
    <w:rsid w:val="00984DD9"/>
    <w:rsid w:val="00985408"/>
    <w:rsid w:val="0098542E"/>
    <w:rsid w:val="00985454"/>
    <w:rsid w:val="009854EA"/>
    <w:rsid w:val="0098561C"/>
    <w:rsid w:val="00985757"/>
    <w:rsid w:val="00985920"/>
    <w:rsid w:val="00985A34"/>
    <w:rsid w:val="00985AE1"/>
    <w:rsid w:val="00985B99"/>
    <w:rsid w:val="00985BA3"/>
    <w:rsid w:val="00985BB3"/>
    <w:rsid w:val="0098621A"/>
    <w:rsid w:val="009862DA"/>
    <w:rsid w:val="009863B1"/>
    <w:rsid w:val="009866B8"/>
    <w:rsid w:val="009866D2"/>
    <w:rsid w:val="00986713"/>
    <w:rsid w:val="009868BD"/>
    <w:rsid w:val="009869BA"/>
    <w:rsid w:val="00986BEB"/>
    <w:rsid w:val="00986F2A"/>
    <w:rsid w:val="00986F61"/>
    <w:rsid w:val="0098730E"/>
    <w:rsid w:val="009873E6"/>
    <w:rsid w:val="009879B0"/>
    <w:rsid w:val="00987ADF"/>
    <w:rsid w:val="00987AFA"/>
    <w:rsid w:val="00987BD7"/>
    <w:rsid w:val="00987D11"/>
    <w:rsid w:val="00987D92"/>
    <w:rsid w:val="00987DB0"/>
    <w:rsid w:val="00987E2D"/>
    <w:rsid w:val="00987E5F"/>
    <w:rsid w:val="00987F48"/>
    <w:rsid w:val="0099048E"/>
    <w:rsid w:val="009906A6"/>
    <w:rsid w:val="00990769"/>
    <w:rsid w:val="00990877"/>
    <w:rsid w:val="00990981"/>
    <w:rsid w:val="00990AE4"/>
    <w:rsid w:val="00990C3E"/>
    <w:rsid w:val="00990D43"/>
    <w:rsid w:val="009912D3"/>
    <w:rsid w:val="009913B2"/>
    <w:rsid w:val="0099152A"/>
    <w:rsid w:val="009915E0"/>
    <w:rsid w:val="00991803"/>
    <w:rsid w:val="00991844"/>
    <w:rsid w:val="00991963"/>
    <w:rsid w:val="00991BF6"/>
    <w:rsid w:val="00991D63"/>
    <w:rsid w:val="00991EC8"/>
    <w:rsid w:val="00991F47"/>
    <w:rsid w:val="00991FF9"/>
    <w:rsid w:val="009922FE"/>
    <w:rsid w:val="0099236B"/>
    <w:rsid w:val="00992486"/>
    <w:rsid w:val="00992528"/>
    <w:rsid w:val="009925D2"/>
    <w:rsid w:val="0099279F"/>
    <w:rsid w:val="00992A18"/>
    <w:rsid w:val="00992AEF"/>
    <w:rsid w:val="00992CFA"/>
    <w:rsid w:val="00992D4B"/>
    <w:rsid w:val="00992E71"/>
    <w:rsid w:val="00992F50"/>
    <w:rsid w:val="00992F90"/>
    <w:rsid w:val="00993102"/>
    <w:rsid w:val="009932BA"/>
    <w:rsid w:val="0099338B"/>
    <w:rsid w:val="00993390"/>
    <w:rsid w:val="00993697"/>
    <w:rsid w:val="0099381F"/>
    <w:rsid w:val="00993955"/>
    <w:rsid w:val="00993B0E"/>
    <w:rsid w:val="00993B90"/>
    <w:rsid w:val="00993C7E"/>
    <w:rsid w:val="00993C9D"/>
    <w:rsid w:val="00993D3A"/>
    <w:rsid w:val="00993F36"/>
    <w:rsid w:val="00993F96"/>
    <w:rsid w:val="00994053"/>
    <w:rsid w:val="009943D4"/>
    <w:rsid w:val="0099469A"/>
    <w:rsid w:val="009948AC"/>
    <w:rsid w:val="00994D3A"/>
    <w:rsid w:val="00994F47"/>
    <w:rsid w:val="00994F78"/>
    <w:rsid w:val="00994F8D"/>
    <w:rsid w:val="00994FEA"/>
    <w:rsid w:val="0099504E"/>
    <w:rsid w:val="00995238"/>
    <w:rsid w:val="0099524D"/>
    <w:rsid w:val="0099528E"/>
    <w:rsid w:val="0099571F"/>
    <w:rsid w:val="009957C9"/>
    <w:rsid w:val="009958E8"/>
    <w:rsid w:val="009959D5"/>
    <w:rsid w:val="00995CC2"/>
    <w:rsid w:val="00995E59"/>
    <w:rsid w:val="00996364"/>
    <w:rsid w:val="009966AB"/>
    <w:rsid w:val="009969AF"/>
    <w:rsid w:val="00996AE8"/>
    <w:rsid w:val="00996D15"/>
    <w:rsid w:val="00996DF8"/>
    <w:rsid w:val="009971A6"/>
    <w:rsid w:val="009972FC"/>
    <w:rsid w:val="009973DB"/>
    <w:rsid w:val="00997485"/>
    <w:rsid w:val="009974B9"/>
    <w:rsid w:val="00997899"/>
    <w:rsid w:val="009978F9"/>
    <w:rsid w:val="00997A84"/>
    <w:rsid w:val="00997B71"/>
    <w:rsid w:val="00997ED7"/>
    <w:rsid w:val="009A000D"/>
    <w:rsid w:val="009A0147"/>
    <w:rsid w:val="009A0326"/>
    <w:rsid w:val="009A03F0"/>
    <w:rsid w:val="009A0589"/>
    <w:rsid w:val="009A05F7"/>
    <w:rsid w:val="009A0603"/>
    <w:rsid w:val="009A06A1"/>
    <w:rsid w:val="009A077C"/>
    <w:rsid w:val="009A0987"/>
    <w:rsid w:val="009A0AC6"/>
    <w:rsid w:val="009A0E78"/>
    <w:rsid w:val="009A0F8B"/>
    <w:rsid w:val="009A1064"/>
    <w:rsid w:val="009A1122"/>
    <w:rsid w:val="009A137E"/>
    <w:rsid w:val="009A16FF"/>
    <w:rsid w:val="009A1AC2"/>
    <w:rsid w:val="009A1B5B"/>
    <w:rsid w:val="009A1DA0"/>
    <w:rsid w:val="009A1EB2"/>
    <w:rsid w:val="009A2233"/>
    <w:rsid w:val="009A24EA"/>
    <w:rsid w:val="009A27F6"/>
    <w:rsid w:val="009A284D"/>
    <w:rsid w:val="009A2BC2"/>
    <w:rsid w:val="009A2DBB"/>
    <w:rsid w:val="009A2E2F"/>
    <w:rsid w:val="009A2E56"/>
    <w:rsid w:val="009A2EE8"/>
    <w:rsid w:val="009A2FDC"/>
    <w:rsid w:val="009A3221"/>
    <w:rsid w:val="009A361F"/>
    <w:rsid w:val="009A39D7"/>
    <w:rsid w:val="009A3AB3"/>
    <w:rsid w:val="009A3C13"/>
    <w:rsid w:val="009A3CEB"/>
    <w:rsid w:val="009A3F95"/>
    <w:rsid w:val="009A4234"/>
    <w:rsid w:val="009A42F3"/>
    <w:rsid w:val="009A43E4"/>
    <w:rsid w:val="009A4521"/>
    <w:rsid w:val="009A456C"/>
    <w:rsid w:val="009A469D"/>
    <w:rsid w:val="009A46BB"/>
    <w:rsid w:val="009A46CA"/>
    <w:rsid w:val="009A496C"/>
    <w:rsid w:val="009A4A36"/>
    <w:rsid w:val="009A4B44"/>
    <w:rsid w:val="009A4F4B"/>
    <w:rsid w:val="009A4F5E"/>
    <w:rsid w:val="009A4F7C"/>
    <w:rsid w:val="009A4FDD"/>
    <w:rsid w:val="009A518C"/>
    <w:rsid w:val="009A5595"/>
    <w:rsid w:val="009A55C0"/>
    <w:rsid w:val="009A59A6"/>
    <w:rsid w:val="009A5A80"/>
    <w:rsid w:val="009A5A97"/>
    <w:rsid w:val="009A5AA1"/>
    <w:rsid w:val="009A5B28"/>
    <w:rsid w:val="009A5BB2"/>
    <w:rsid w:val="009A5BEF"/>
    <w:rsid w:val="009A5C15"/>
    <w:rsid w:val="009A5CE8"/>
    <w:rsid w:val="009A6105"/>
    <w:rsid w:val="009A623B"/>
    <w:rsid w:val="009A63F6"/>
    <w:rsid w:val="009A64AD"/>
    <w:rsid w:val="009A68BF"/>
    <w:rsid w:val="009A68C4"/>
    <w:rsid w:val="009A6982"/>
    <w:rsid w:val="009A6992"/>
    <w:rsid w:val="009A708F"/>
    <w:rsid w:val="009A72A4"/>
    <w:rsid w:val="009A7309"/>
    <w:rsid w:val="009A7339"/>
    <w:rsid w:val="009A736E"/>
    <w:rsid w:val="009A7622"/>
    <w:rsid w:val="009A77C2"/>
    <w:rsid w:val="009A7A53"/>
    <w:rsid w:val="009A7B17"/>
    <w:rsid w:val="009B0002"/>
    <w:rsid w:val="009B0354"/>
    <w:rsid w:val="009B03DB"/>
    <w:rsid w:val="009B051F"/>
    <w:rsid w:val="009B071D"/>
    <w:rsid w:val="009B0BB1"/>
    <w:rsid w:val="009B1A76"/>
    <w:rsid w:val="009B1B8C"/>
    <w:rsid w:val="009B1BEB"/>
    <w:rsid w:val="009B1E1D"/>
    <w:rsid w:val="009B1F75"/>
    <w:rsid w:val="009B1FAA"/>
    <w:rsid w:val="009B23F7"/>
    <w:rsid w:val="009B249E"/>
    <w:rsid w:val="009B2679"/>
    <w:rsid w:val="009B282D"/>
    <w:rsid w:val="009B28B8"/>
    <w:rsid w:val="009B28FD"/>
    <w:rsid w:val="009B2BE3"/>
    <w:rsid w:val="009B2C25"/>
    <w:rsid w:val="009B2CCA"/>
    <w:rsid w:val="009B2FD8"/>
    <w:rsid w:val="009B303E"/>
    <w:rsid w:val="009B3346"/>
    <w:rsid w:val="009B35F5"/>
    <w:rsid w:val="009B36E2"/>
    <w:rsid w:val="009B374A"/>
    <w:rsid w:val="009B37DF"/>
    <w:rsid w:val="009B3942"/>
    <w:rsid w:val="009B395F"/>
    <w:rsid w:val="009B3A2A"/>
    <w:rsid w:val="009B3A86"/>
    <w:rsid w:val="009B3BF7"/>
    <w:rsid w:val="009B3CC1"/>
    <w:rsid w:val="009B3D10"/>
    <w:rsid w:val="009B3DD4"/>
    <w:rsid w:val="009B3E23"/>
    <w:rsid w:val="009B3E77"/>
    <w:rsid w:val="009B3F3A"/>
    <w:rsid w:val="009B3FFE"/>
    <w:rsid w:val="009B4028"/>
    <w:rsid w:val="009B40A6"/>
    <w:rsid w:val="009B410E"/>
    <w:rsid w:val="009B4198"/>
    <w:rsid w:val="009B42A1"/>
    <w:rsid w:val="009B462A"/>
    <w:rsid w:val="009B4643"/>
    <w:rsid w:val="009B4756"/>
    <w:rsid w:val="009B4902"/>
    <w:rsid w:val="009B4944"/>
    <w:rsid w:val="009B4B42"/>
    <w:rsid w:val="009B4E05"/>
    <w:rsid w:val="009B4EDC"/>
    <w:rsid w:val="009B4EDF"/>
    <w:rsid w:val="009B515E"/>
    <w:rsid w:val="009B53A3"/>
    <w:rsid w:val="009B546D"/>
    <w:rsid w:val="009B55F1"/>
    <w:rsid w:val="009B5615"/>
    <w:rsid w:val="009B56AF"/>
    <w:rsid w:val="009B59D2"/>
    <w:rsid w:val="009B5A16"/>
    <w:rsid w:val="009B5D18"/>
    <w:rsid w:val="009B5DC6"/>
    <w:rsid w:val="009B5DF3"/>
    <w:rsid w:val="009B5F4A"/>
    <w:rsid w:val="009B609C"/>
    <w:rsid w:val="009B60A1"/>
    <w:rsid w:val="009B61E1"/>
    <w:rsid w:val="009B6283"/>
    <w:rsid w:val="009B62BC"/>
    <w:rsid w:val="009B631F"/>
    <w:rsid w:val="009B6398"/>
    <w:rsid w:val="009B6919"/>
    <w:rsid w:val="009B6995"/>
    <w:rsid w:val="009B69C7"/>
    <w:rsid w:val="009B69F2"/>
    <w:rsid w:val="009B6CAE"/>
    <w:rsid w:val="009B6EC6"/>
    <w:rsid w:val="009B71BA"/>
    <w:rsid w:val="009B7471"/>
    <w:rsid w:val="009B7614"/>
    <w:rsid w:val="009B77E5"/>
    <w:rsid w:val="009B7AD1"/>
    <w:rsid w:val="009C02E7"/>
    <w:rsid w:val="009C0992"/>
    <w:rsid w:val="009C0A41"/>
    <w:rsid w:val="009C0A66"/>
    <w:rsid w:val="009C0C82"/>
    <w:rsid w:val="009C0D42"/>
    <w:rsid w:val="009C0F46"/>
    <w:rsid w:val="009C1088"/>
    <w:rsid w:val="009C1373"/>
    <w:rsid w:val="009C1394"/>
    <w:rsid w:val="009C13C0"/>
    <w:rsid w:val="009C18A7"/>
    <w:rsid w:val="009C19BB"/>
    <w:rsid w:val="009C19C2"/>
    <w:rsid w:val="009C1A58"/>
    <w:rsid w:val="009C1A91"/>
    <w:rsid w:val="009C1B34"/>
    <w:rsid w:val="009C1EB9"/>
    <w:rsid w:val="009C2008"/>
    <w:rsid w:val="009C2050"/>
    <w:rsid w:val="009C22E1"/>
    <w:rsid w:val="009C234C"/>
    <w:rsid w:val="009C2545"/>
    <w:rsid w:val="009C2573"/>
    <w:rsid w:val="009C2870"/>
    <w:rsid w:val="009C2A68"/>
    <w:rsid w:val="009C2E3F"/>
    <w:rsid w:val="009C2E73"/>
    <w:rsid w:val="009C3110"/>
    <w:rsid w:val="009C315C"/>
    <w:rsid w:val="009C3170"/>
    <w:rsid w:val="009C33FC"/>
    <w:rsid w:val="009C357F"/>
    <w:rsid w:val="009C3929"/>
    <w:rsid w:val="009C3B4A"/>
    <w:rsid w:val="009C3C16"/>
    <w:rsid w:val="009C3C93"/>
    <w:rsid w:val="009C3DF6"/>
    <w:rsid w:val="009C4088"/>
    <w:rsid w:val="009C40F8"/>
    <w:rsid w:val="009C41A2"/>
    <w:rsid w:val="009C4550"/>
    <w:rsid w:val="009C48D4"/>
    <w:rsid w:val="009C4D9D"/>
    <w:rsid w:val="009C4F5C"/>
    <w:rsid w:val="009C4FD7"/>
    <w:rsid w:val="009C52A6"/>
    <w:rsid w:val="009C545D"/>
    <w:rsid w:val="009C54A8"/>
    <w:rsid w:val="009C55F8"/>
    <w:rsid w:val="009C56A4"/>
    <w:rsid w:val="009C5794"/>
    <w:rsid w:val="009C585E"/>
    <w:rsid w:val="009C5893"/>
    <w:rsid w:val="009C5995"/>
    <w:rsid w:val="009C5B85"/>
    <w:rsid w:val="009C5DD6"/>
    <w:rsid w:val="009C5DDE"/>
    <w:rsid w:val="009C5EFE"/>
    <w:rsid w:val="009C60D3"/>
    <w:rsid w:val="009C64C4"/>
    <w:rsid w:val="009C6852"/>
    <w:rsid w:val="009C696F"/>
    <w:rsid w:val="009C6B26"/>
    <w:rsid w:val="009C6BB0"/>
    <w:rsid w:val="009C6E10"/>
    <w:rsid w:val="009C6F8A"/>
    <w:rsid w:val="009C71ED"/>
    <w:rsid w:val="009C7369"/>
    <w:rsid w:val="009C74C9"/>
    <w:rsid w:val="009C75AA"/>
    <w:rsid w:val="009C7B18"/>
    <w:rsid w:val="009C7B9A"/>
    <w:rsid w:val="009C7C72"/>
    <w:rsid w:val="009C7E40"/>
    <w:rsid w:val="009C7FC9"/>
    <w:rsid w:val="009D02A7"/>
    <w:rsid w:val="009D0554"/>
    <w:rsid w:val="009D0B0B"/>
    <w:rsid w:val="009D0B4F"/>
    <w:rsid w:val="009D0C0E"/>
    <w:rsid w:val="009D1029"/>
    <w:rsid w:val="009D134C"/>
    <w:rsid w:val="009D141F"/>
    <w:rsid w:val="009D151E"/>
    <w:rsid w:val="009D15AF"/>
    <w:rsid w:val="009D16C4"/>
    <w:rsid w:val="009D1798"/>
    <w:rsid w:val="009D1906"/>
    <w:rsid w:val="009D1B31"/>
    <w:rsid w:val="009D1D37"/>
    <w:rsid w:val="009D1DD6"/>
    <w:rsid w:val="009D1FDB"/>
    <w:rsid w:val="009D2091"/>
    <w:rsid w:val="009D214C"/>
    <w:rsid w:val="009D2277"/>
    <w:rsid w:val="009D2332"/>
    <w:rsid w:val="009D26BA"/>
    <w:rsid w:val="009D26F7"/>
    <w:rsid w:val="009D27B9"/>
    <w:rsid w:val="009D2844"/>
    <w:rsid w:val="009D2A70"/>
    <w:rsid w:val="009D2B03"/>
    <w:rsid w:val="009D2DBC"/>
    <w:rsid w:val="009D2DEF"/>
    <w:rsid w:val="009D2E8C"/>
    <w:rsid w:val="009D3052"/>
    <w:rsid w:val="009D320C"/>
    <w:rsid w:val="009D34FD"/>
    <w:rsid w:val="009D3569"/>
    <w:rsid w:val="009D38F8"/>
    <w:rsid w:val="009D398B"/>
    <w:rsid w:val="009D3A5A"/>
    <w:rsid w:val="009D3D9F"/>
    <w:rsid w:val="009D3E70"/>
    <w:rsid w:val="009D3EFF"/>
    <w:rsid w:val="009D406A"/>
    <w:rsid w:val="009D45AA"/>
    <w:rsid w:val="009D45B1"/>
    <w:rsid w:val="009D4711"/>
    <w:rsid w:val="009D4789"/>
    <w:rsid w:val="009D4A61"/>
    <w:rsid w:val="009D4BD6"/>
    <w:rsid w:val="009D506A"/>
    <w:rsid w:val="009D53E2"/>
    <w:rsid w:val="009D5856"/>
    <w:rsid w:val="009D5A4F"/>
    <w:rsid w:val="009D5D7B"/>
    <w:rsid w:val="009D5DF5"/>
    <w:rsid w:val="009D5FB3"/>
    <w:rsid w:val="009D6099"/>
    <w:rsid w:val="009D60A7"/>
    <w:rsid w:val="009D61C1"/>
    <w:rsid w:val="009D644F"/>
    <w:rsid w:val="009D64B2"/>
    <w:rsid w:val="009D64BD"/>
    <w:rsid w:val="009D68A3"/>
    <w:rsid w:val="009D68E0"/>
    <w:rsid w:val="009D6C51"/>
    <w:rsid w:val="009D71FE"/>
    <w:rsid w:val="009D72E0"/>
    <w:rsid w:val="009D731B"/>
    <w:rsid w:val="009D74D3"/>
    <w:rsid w:val="009D7521"/>
    <w:rsid w:val="009D7902"/>
    <w:rsid w:val="009D7D8C"/>
    <w:rsid w:val="009D7D8D"/>
    <w:rsid w:val="009D7E4A"/>
    <w:rsid w:val="009D7E8E"/>
    <w:rsid w:val="009D7F38"/>
    <w:rsid w:val="009E02DB"/>
    <w:rsid w:val="009E0529"/>
    <w:rsid w:val="009E0602"/>
    <w:rsid w:val="009E065D"/>
    <w:rsid w:val="009E0A3E"/>
    <w:rsid w:val="009E0B6F"/>
    <w:rsid w:val="009E0B96"/>
    <w:rsid w:val="009E0C7F"/>
    <w:rsid w:val="009E0D61"/>
    <w:rsid w:val="009E0E02"/>
    <w:rsid w:val="009E0F3C"/>
    <w:rsid w:val="009E0FB3"/>
    <w:rsid w:val="009E10BC"/>
    <w:rsid w:val="009E116F"/>
    <w:rsid w:val="009E11A0"/>
    <w:rsid w:val="009E11E7"/>
    <w:rsid w:val="009E1200"/>
    <w:rsid w:val="009E1270"/>
    <w:rsid w:val="009E1512"/>
    <w:rsid w:val="009E1569"/>
    <w:rsid w:val="009E159D"/>
    <w:rsid w:val="009E19BA"/>
    <w:rsid w:val="009E1D06"/>
    <w:rsid w:val="009E1DE6"/>
    <w:rsid w:val="009E1E20"/>
    <w:rsid w:val="009E21AB"/>
    <w:rsid w:val="009E2203"/>
    <w:rsid w:val="009E2354"/>
    <w:rsid w:val="009E23E8"/>
    <w:rsid w:val="009E24E7"/>
    <w:rsid w:val="009E2534"/>
    <w:rsid w:val="009E27B3"/>
    <w:rsid w:val="009E28DF"/>
    <w:rsid w:val="009E2909"/>
    <w:rsid w:val="009E2C95"/>
    <w:rsid w:val="009E2DF9"/>
    <w:rsid w:val="009E2E27"/>
    <w:rsid w:val="009E30AD"/>
    <w:rsid w:val="009E30E6"/>
    <w:rsid w:val="009E31ED"/>
    <w:rsid w:val="009E34B4"/>
    <w:rsid w:val="009E37AF"/>
    <w:rsid w:val="009E398C"/>
    <w:rsid w:val="009E39D5"/>
    <w:rsid w:val="009E3B35"/>
    <w:rsid w:val="009E3BEC"/>
    <w:rsid w:val="009E3CC5"/>
    <w:rsid w:val="009E3D4C"/>
    <w:rsid w:val="009E3E54"/>
    <w:rsid w:val="009E4191"/>
    <w:rsid w:val="009E4B55"/>
    <w:rsid w:val="009E4CF7"/>
    <w:rsid w:val="009E4FD2"/>
    <w:rsid w:val="009E5040"/>
    <w:rsid w:val="009E50EB"/>
    <w:rsid w:val="009E5373"/>
    <w:rsid w:val="009E55CF"/>
    <w:rsid w:val="009E56CB"/>
    <w:rsid w:val="009E56F1"/>
    <w:rsid w:val="009E578A"/>
    <w:rsid w:val="009E5977"/>
    <w:rsid w:val="009E5CB2"/>
    <w:rsid w:val="009E5E96"/>
    <w:rsid w:val="009E5EA5"/>
    <w:rsid w:val="009E5F51"/>
    <w:rsid w:val="009E606E"/>
    <w:rsid w:val="009E609A"/>
    <w:rsid w:val="009E618C"/>
    <w:rsid w:val="009E6280"/>
    <w:rsid w:val="009E65A1"/>
    <w:rsid w:val="009E66CC"/>
    <w:rsid w:val="009E676C"/>
    <w:rsid w:val="009E6859"/>
    <w:rsid w:val="009E6C87"/>
    <w:rsid w:val="009E6D2A"/>
    <w:rsid w:val="009E6D88"/>
    <w:rsid w:val="009E6DCF"/>
    <w:rsid w:val="009E6EC6"/>
    <w:rsid w:val="009E6EF0"/>
    <w:rsid w:val="009E7048"/>
    <w:rsid w:val="009E7143"/>
    <w:rsid w:val="009E724C"/>
    <w:rsid w:val="009E7731"/>
    <w:rsid w:val="009E7D74"/>
    <w:rsid w:val="009E7E49"/>
    <w:rsid w:val="009E7E4E"/>
    <w:rsid w:val="009E7F6F"/>
    <w:rsid w:val="009ECC2C"/>
    <w:rsid w:val="009F018A"/>
    <w:rsid w:val="009F03CD"/>
    <w:rsid w:val="009F0502"/>
    <w:rsid w:val="009F05D3"/>
    <w:rsid w:val="009F05EC"/>
    <w:rsid w:val="009F08FE"/>
    <w:rsid w:val="009F0978"/>
    <w:rsid w:val="009F0A54"/>
    <w:rsid w:val="009F0D72"/>
    <w:rsid w:val="009F0E05"/>
    <w:rsid w:val="009F0E16"/>
    <w:rsid w:val="009F0EF7"/>
    <w:rsid w:val="009F10B8"/>
    <w:rsid w:val="009F1495"/>
    <w:rsid w:val="009F1500"/>
    <w:rsid w:val="009F1A6D"/>
    <w:rsid w:val="009F1E74"/>
    <w:rsid w:val="009F235D"/>
    <w:rsid w:val="009F24B9"/>
    <w:rsid w:val="009F2561"/>
    <w:rsid w:val="009F2608"/>
    <w:rsid w:val="009F2618"/>
    <w:rsid w:val="009F2654"/>
    <w:rsid w:val="009F29BF"/>
    <w:rsid w:val="009F29E8"/>
    <w:rsid w:val="009F2AF0"/>
    <w:rsid w:val="009F2BD6"/>
    <w:rsid w:val="009F2CF5"/>
    <w:rsid w:val="009F3397"/>
    <w:rsid w:val="009F3427"/>
    <w:rsid w:val="009F35C8"/>
    <w:rsid w:val="009F3733"/>
    <w:rsid w:val="009F378D"/>
    <w:rsid w:val="009F3945"/>
    <w:rsid w:val="009F3A6C"/>
    <w:rsid w:val="009F3B27"/>
    <w:rsid w:val="009F3BEF"/>
    <w:rsid w:val="009F3C07"/>
    <w:rsid w:val="009F3C70"/>
    <w:rsid w:val="009F3C9E"/>
    <w:rsid w:val="009F3F1D"/>
    <w:rsid w:val="009F4021"/>
    <w:rsid w:val="009F40E1"/>
    <w:rsid w:val="009F44A6"/>
    <w:rsid w:val="009F456C"/>
    <w:rsid w:val="009F4625"/>
    <w:rsid w:val="009F4814"/>
    <w:rsid w:val="009F4C03"/>
    <w:rsid w:val="009F4C87"/>
    <w:rsid w:val="009F4D43"/>
    <w:rsid w:val="009F50AA"/>
    <w:rsid w:val="009F5222"/>
    <w:rsid w:val="009F5873"/>
    <w:rsid w:val="009F5892"/>
    <w:rsid w:val="009F5D97"/>
    <w:rsid w:val="009F66D6"/>
    <w:rsid w:val="009F66F5"/>
    <w:rsid w:val="009F6744"/>
    <w:rsid w:val="009F68C1"/>
    <w:rsid w:val="009F68E4"/>
    <w:rsid w:val="009F6924"/>
    <w:rsid w:val="009F6A73"/>
    <w:rsid w:val="009F6BD8"/>
    <w:rsid w:val="009F6C13"/>
    <w:rsid w:val="009F6C27"/>
    <w:rsid w:val="009F724F"/>
    <w:rsid w:val="009F738F"/>
    <w:rsid w:val="009F776D"/>
    <w:rsid w:val="009F781D"/>
    <w:rsid w:val="009F782D"/>
    <w:rsid w:val="009F794E"/>
    <w:rsid w:val="009F7965"/>
    <w:rsid w:val="009F7CA9"/>
    <w:rsid w:val="009F7E4E"/>
    <w:rsid w:val="009F7FCF"/>
    <w:rsid w:val="00A00014"/>
    <w:rsid w:val="00A0005B"/>
    <w:rsid w:val="00A000CA"/>
    <w:rsid w:val="00A00142"/>
    <w:rsid w:val="00A001C2"/>
    <w:rsid w:val="00A0032F"/>
    <w:rsid w:val="00A00358"/>
    <w:rsid w:val="00A0041C"/>
    <w:rsid w:val="00A005F8"/>
    <w:rsid w:val="00A0073B"/>
    <w:rsid w:val="00A00AC4"/>
    <w:rsid w:val="00A00B10"/>
    <w:rsid w:val="00A00B26"/>
    <w:rsid w:val="00A00E47"/>
    <w:rsid w:val="00A00ED0"/>
    <w:rsid w:val="00A0110F"/>
    <w:rsid w:val="00A01243"/>
    <w:rsid w:val="00A0149E"/>
    <w:rsid w:val="00A01665"/>
    <w:rsid w:val="00A016E0"/>
    <w:rsid w:val="00A016F7"/>
    <w:rsid w:val="00A01801"/>
    <w:rsid w:val="00A019DA"/>
    <w:rsid w:val="00A01D92"/>
    <w:rsid w:val="00A020BB"/>
    <w:rsid w:val="00A0214D"/>
    <w:rsid w:val="00A0222C"/>
    <w:rsid w:val="00A023DC"/>
    <w:rsid w:val="00A023E5"/>
    <w:rsid w:val="00A028B4"/>
    <w:rsid w:val="00A028E4"/>
    <w:rsid w:val="00A0291F"/>
    <w:rsid w:val="00A02C73"/>
    <w:rsid w:val="00A02D58"/>
    <w:rsid w:val="00A02DAB"/>
    <w:rsid w:val="00A02E1B"/>
    <w:rsid w:val="00A02FF4"/>
    <w:rsid w:val="00A03017"/>
    <w:rsid w:val="00A03158"/>
    <w:rsid w:val="00A0375C"/>
    <w:rsid w:val="00A03772"/>
    <w:rsid w:val="00A038DB"/>
    <w:rsid w:val="00A038FE"/>
    <w:rsid w:val="00A03D23"/>
    <w:rsid w:val="00A03E3A"/>
    <w:rsid w:val="00A03F30"/>
    <w:rsid w:val="00A04100"/>
    <w:rsid w:val="00A041F7"/>
    <w:rsid w:val="00A04234"/>
    <w:rsid w:val="00A0426A"/>
    <w:rsid w:val="00A0426C"/>
    <w:rsid w:val="00A043C6"/>
    <w:rsid w:val="00A04434"/>
    <w:rsid w:val="00A04552"/>
    <w:rsid w:val="00A048A1"/>
    <w:rsid w:val="00A04B0B"/>
    <w:rsid w:val="00A04B34"/>
    <w:rsid w:val="00A052CF"/>
    <w:rsid w:val="00A0538F"/>
    <w:rsid w:val="00A0574D"/>
    <w:rsid w:val="00A05B5A"/>
    <w:rsid w:val="00A05B5E"/>
    <w:rsid w:val="00A05CF3"/>
    <w:rsid w:val="00A05DE8"/>
    <w:rsid w:val="00A060D8"/>
    <w:rsid w:val="00A0613C"/>
    <w:rsid w:val="00A06256"/>
    <w:rsid w:val="00A0632E"/>
    <w:rsid w:val="00A063F5"/>
    <w:rsid w:val="00A064B8"/>
    <w:rsid w:val="00A06645"/>
    <w:rsid w:val="00A0669A"/>
    <w:rsid w:val="00A06983"/>
    <w:rsid w:val="00A06EBF"/>
    <w:rsid w:val="00A0707A"/>
    <w:rsid w:val="00A07089"/>
    <w:rsid w:val="00A07172"/>
    <w:rsid w:val="00A0729F"/>
    <w:rsid w:val="00A075C0"/>
    <w:rsid w:val="00A07794"/>
    <w:rsid w:val="00A07843"/>
    <w:rsid w:val="00A07BF4"/>
    <w:rsid w:val="00A07FEE"/>
    <w:rsid w:val="00A10346"/>
    <w:rsid w:val="00A103F0"/>
    <w:rsid w:val="00A10615"/>
    <w:rsid w:val="00A1072D"/>
    <w:rsid w:val="00A107B9"/>
    <w:rsid w:val="00A107BB"/>
    <w:rsid w:val="00A10BFD"/>
    <w:rsid w:val="00A10D69"/>
    <w:rsid w:val="00A10DB8"/>
    <w:rsid w:val="00A110E9"/>
    <w:rsid w:val="00A1126A"/>
    <w:rsid w:val="00A11632"/>
    <w:rsid w:val="00A11701"/>
    <w:rsid w:val="00A1183E"/>
    <w:rsid w:val="00A11881"/>
    <w:rsid w:val="00A118E2"/>
    <w:rsid w:val="00A1190B"/>
    <w:rsid w:val="00A11910"/>
    <w:rsid w:val="00A11DA9"/>
    <w:rsid w:val="00A11F45"/>
    <w:rsid w:val="00A11F9A"/>
    <w:rsid w:val="00A11FE9"/>
    <w:rsid w:val="00A12002"/>
    <w:rsid w:val="00A12036"/>
    <w:rsid w:val="00A1213D"/>
    <w:rsid w:val="00A123FF"/>
    <w:rsid w:val="00A125B0"/>
    <w:rsid w:val="00A125E8"/>
    <w:rsid w:val="00A126B5"/>
    <w:rsid w:val="00A127CC"/>
    <w:rsid w:val="00A12960"/>
    <w:rsid w:val="00A12B06"/>
    <w:rsid w:val="00A12DB9"/>
    <w:rsid w:val="00A12F83"/>
    <w:rsid w:val="00A130FF"/>
    <w:rsid w:val="00A13133"/>
    <w:rsid w:val="00A13204"/>
    <w:rsid w:val="00A13292"/>
    <w:rsid w:val="00A134DB"/>
    <w:rsid w:val="00A13505"/>
    <w:rsid w:val="00A1362F"/>
    <w:rsid w:val="00A137C5"/>
    <w:rsid w:val="00A13CC8"/>
    <w:rsid w:val="00A13F8B"/>
    <w:rsid w:val="00A142C3"/>
    <w:rsid w:val="00A14429"/>
    <w:rsid w:val="00A14529"/>
    <w:rsid w:val="00A14592"/>
    <w:rsid w:val="00A14C2C"/>
    <w:rsid w:val="00A14CB9"/>
    <w:rsid w:val="00A1521C"/>
    <w:rsid w:val="00A154D6"/>
    <w:rsid w:val="00A155A9"/>
    <w:rsid w:val="00A15892"/>
    <w:rsid w:val="00A15931"/>
    <w:rsid w:val="00A15B44"/>
    <w:rsid w:val="00A16121"/>
    <w:rsid w:val="00A16154"/>
    <w:rsid w:val="00A16341"/>
    <w:rsid w:val="00A1634E"/>
    <w:rsid w:val="00A16500"/>
    <w:rsid w:val="00A16541"/>
    <w:rsid w:val="00A1662C"/>
    <w:rsid w:val="00A168F8"/>
    <w:rsid w:val="00A169F8"/>
    <w:rsid w:val="00A16B02"/>
    <w:rsid w:val="00A16CB4"/>
    <w:rsid w:val="00A16D50"/>
    <w:rsid w:val="00A1701B"/>
    <w:rsid w:val="00A17304"/>
    <w:rsid w:val="00A17357"/>
    <w:rsid w:val="00A17625"/>
    <w:rsid w:val="00A176C6"/>
    <w:rsid w:val="00A177F3"/>
    <w:rsid w:val="00A17C02"/>
    <w:rsid w:val="00A17CEC"/>
    <w:rsid w:val="00A17D53"/>
    <w:rsid w:val="00A17DD2"/>
    <w:rsid w:val="00A17DF8"/>
    <w:rsid w:val="00A17DFD"/>
    <w:rsid w:val="00A202B9"/>
    <w:rsid w:val="00A2031C"/>
    <w:rsid w:val="00A20325"/>
    <w:rsid w:val="00A2041B"/>
    <w:rsid w:val="00A204D1"/>
    <w:rsid w:val="00A2058A"/>
    <w:rsid w:val="00A20776"/>
    <w:rsid w:val="00A2081F"/>
    <w:rsid w:val="00A2092C"/>
    <w:rsid w:val="00A20AAF"/>
    <w:rsid w:val="00A20F27"/>
    <w:rsid w:val="00A210AA"/>
    <w:rsid w:val="00A211EE"/>
    <w:rsid w:val="00A2123F"/>
    <w:rsid w:val="00A218AE"/>
    <w:rsid w:val="00A2194C"/>
    <w:rsid w:val="00A21AE4"/>
    <w:rsid w:val="00A21B8E"/>
    <w:rsid w:val="00A21D31"/>
    <w:rsid w:val="00A21DEC"/>
    <w:rsid w:val="00A21F0A"/>
    <w:rsid w:val="00A22074"/>
    <w:rsid w:val="00A22276"/>
    <w:rsid w:val="00A222B4"/>
    <w:rsid w:val="00A2230D"/>
    <w:rsid w:val="00A2254D"/>
    <w:rsid w:val="00A2267B"/>
    <w:rsid w:val="00A226A1"/>
    <w:rsid w:val="00A22894"/>
    <w:rsid w:val="00A2298C"/>
    <w:rsid w:val="00A22A2B"/>
    <w:rsid w:val="00A22B1A"/>
    <w:rsid w:val="00A22B70"/>
    <w:rsid w:val="00A22BFE"/>
    <w:rsid w:val="00A23305"/>
    <w:rsid w:val="00A23808"/>
    <w:rsid w:val="00A23957"/>
    <w:rsid w:val="00A2395E"/>
    <w:rsid w:val="00A23964"/>
    <w:rsid w:val="00A23B0C"/>
    <w:rsid w:val="00A23B63"/>
    <w:rsid w:val="00A23B6D"/>
    <w:rsid w:val="00A23D56"/>
    <w:rsid w:val="00A23D94"/>
    <w:rsid w:val="00A23DD1"/>
    <w:rsid w:val="00A24177"/>
    <w:rsid w:val="00A241AE"/>
    <w:rsid w:val="00A24455"/>
    <w:rsid w:val="00A24AB2"/>
    <w:rsid w:val="00A24B74"/>
    <w:rsid w:val="00A24BFB"/>
    <w:rsid w:val="00A25130"/>
    <w:rsid w:val="00A25188"/>
    <w:rsid w:val="00A2532D"/>
    <w:rsid w:val="00A254C7"/>
    <w:rsid w:val="00A259A6"/>
    <w:rsid w:val="00A25A11"/>
    <w:rsid w:val="00A25A5A"/>
    <w:rsid w:val="00A25B3A"/>
    <w:rsid w:val="00A25D37"/>
    <w:rsid w:val="00A25F35"/>
    <w:rsid w:val="00A2660E"/>
    <w:rsid w:val="00A2662D"/>
    <w:rsid w:val="00A26918"/>
    <w:rsid w:val="00A26AE6"/>
    <w:rsid w:val="00A26BA9"/>
    <w:rsid w:val="00A26BF5"/>
    <w:rsid w:val="00A27150"/>
    <w:rsid w:val="00A27203"/>
    <w:rsid w:val="00A2729D"/>
    <w:rsid w:val="00A27489"/>
    <w:rsid w:val="00A276E1"/>
    <w:rsid w:val="00A2773A"/>
    <w:rsid w:val="00A278FD"/>
    <w:rsid w:val="00A27D6D"/>
    <w:rsid w:val="00A27DB2"/>
    <w:rsid w:val="00A27DDE"/>
    <w:rsid w:val="00A27FA6"/>
    <w:rsid w:val="00A30733"/>
    <w:rsid w:val="00A307B6"/>
    <w:rsid w:val="00A30816"/>
    <w:rsid w:val="00A30823"/>
    <w:rsid w:val="00A30E01"/>
    <w:rsid w:val="00A3111C"/>
    <w:rsid w:val="00A3115B"/>
    <w:rsid w:val="00A31193"/>
    <w:rsid w:val="00A31296"/>
    <w:rsid w:val="00A314C6"/>
    <w:rsid w:val="00A3162C"/>
    <w:rsid w:val="00A3193A"/>
    <w:rsid w:val="00A319A4"/>
    <w:rsid w:val="00A31A39"/>
    <w:rsid w:val="00A31ABD"/>
    <w:rsid w:val="00A31B36"/>
    <w:rsid w:val="00A31BCD"/>
    <w:rsid w:val="00A31C93"/>
    <w:rsid w:val="00A31F57"/>
    <w:rsid w:val="00A3226A"/>
    <w:rsid w:val="00A3229C"/>
    <w:rsid w:val="00A32372"/>
    <w:rsid w:val="00A325BD"/>
    <w:rsid w:val="00A3274F"/>
    <w:rsid w:val="00A327E0"/>
    <w:rsid w:val="00A3286D"/>
    <w:rsid w:val="00A328FC"/>
    <w:rsid w:val="00A32CAC"/>
    <w:rsid w:val="00A32D68"/>
    <w:rsid w:val="00A3306F"/>
    <w:rsid w:val="00A3313C"/>
    <w:rsid w:val="00A33B78"/>
    <w:rsid w:val="00A3402E"/>
    <w:rsid w:val="00A34098"/>
    <w:rsid w:val="00A3415D"/>
    <w:rsid w:val="00A341F9"/>
    <w:rsid w:val="00A343EB"/>
    <w:rsid w:val="00A348BC"/>
    <w:rsid w:val="00A34A19"/>
    <w:rsid w:val="00A34DF4"/>
    <w:rsid w:val="00A350D8"/>
    <w:rsid w:val="00A3539F"/>
    <w:rsid w:val="00A3561F"/>
    <w:rsid w:val="00A3591A"/>
    <w:rsid w:val="00A35AEB"/>
    <w:rsid w:val="00A35B5D"/>
    <w:rsid w:val="00A35FB0"/>
    <w:rsid w:val="00A364D2"/>
    <w:rsid w:val="00A36554"/>
    <w:rsid w:val="00A36574"/>
    <w:rsid w:val="00A36687"/>
    <w:rsid w:val="00A366CB"/>
    <w:rsid w:val="00A36734"/>
    <w:rsid w:val="00A36BF1"/>
    <w:rsid w:val="00A36CF8"/>
    <w:rsid w:val="00A36DE8"/>
    <w:rsid w:val="00A36E2F"/>
    <w:rsid w:val="00A36F77"/>
    <w:rsid w:val="00A376B9"/>
    <w:rsid w:val="00A37716"/>
    <w:rsid w:val="00A37893"/>
    <w:rsid w:val="00A379EF"/>
    <w:rsid w:val="00A37C7E"/>
    <w:rsid w:val="00A3D766"/>
    <w:rsid w:val="00A400DB"/>
    <w:rsid w:val="00A40392"/>
    <w:rsid w:val="00A403F7"/>
    <w:rsid w:val="00A4057E"/>
    <w:rsid w:val="00A405D6"/>
    <w:rsid w:val="00A407D8"/>
    <w:rsid w:val="00A409EC"/>
    <w:rsid w:val="00A40D08"/>
    <w:rsid w:val="00A40EA4"/>
    <w:rsid w:val="00A40F57"/>
    <w:rsid w:val="00A410DF"/>
    <w:rsid w:val="00A412C0"/>
    <w:rsid w:val="00A415D5"/>
    <w:rsid w:val="00A41706"/>
    <w:rsid w:val="00A41DCA"/>
    <w:rsid w:val="00A42103"/>
    <w:rsid w:val="00A421A5"/>
    <w:rsid w:val="00A42341"/>
    <w:rsid w:val="00A42597"/>
    <w:rsid w:val="00A429C5"/>
    <w:rsid w:val="00A42B1B"/>
    <w:rsid w:val="00A42CC9"/>
    <w:rsid w:val="00A42DAD"/>
    <w:rsid w:val="00A42EF2"/>
    <w:rsid w:val="00A430D0"/>
    <w:rsid w:val="00A432DA"/>
    <w:rsid w:val="00A432E4"/>
    <w:rsid w:val="00A437DD"/>
    <w:rsid w:val="00A43C72"/>
    <w:rsid w:val="00A43E1D"/>
    <w:rsid w:val="00A44010"/>
    <w:rsid w:val="00A441CA"/>
    <w:rsid w:val="00A44219"/>
    <w:rsid w:val="00A44357"/>
    <w:rsid w:val="00A443AD"/>
    <w:rsid w:val="00A443CE"/>
    <w:rsid w:val="00A44499"/>
    <w:rsid w:val="00A444A9"/>
    <w:rsid w:val="00A44690"/>
    <w:rsid w:val="00A4470B"/>
    <w:rsid w:val="00A4491E"/>
    <w:rsid w:val="00A44968"/>
    <w:rsid w:val="00A44C37"/>
    <w:rsid w:val="00A44C84"/>
    <w:rsid w:val="00A44CD3"/>
    <w:rsid w:val="00A45020"/>
    <w:rsid w:val="00A45021"/>
    <w:rsid w:val="00A45115"/>
    <w:rsid w:val="00A45585"/>
    <w:rsid w:val="00A456F0"/>
    <w:rsid w:val="00A45AC1"/>
    <w:rsid w:val="00A45E11"/>
    <w:rsid w:val="00A45F1E"/>
    <w:rsid w:val="00A45FCE"/>
    <w:rsid w:val="00A4600A"/>
    <w:rsid w:val="00A46377"/>
    <w:rsid w:val="00A465EA"/>
    <w:rsid w:val="00A46771"/>
    <w:rsid w:val="00A46D4A"/>
    <w:rsid w:val="00A4722D"/>
    <w:rsid w:val="00A47296"/>
    <w:rsid w:val="00A47C2A"/>
    <w:rsid w:val="00A47CAD"/>
    <w:rsid w:val="00A47D0F"/>
    <w:rsid w:val="00A47E5A"/>
    <w:rsid w:val="00A47E9C"/>
    <w:rsid w:val="00A47ED0"/>
    <w:rsid w:val="00A50269"/>
    <w:rsid w:val="00A507BC"/>
    <w:rsid w:val="00A50B9B"/>
    <w:rsid w:val="00A50B9E"/>
    <w:rsid w:val="00A50BB6"/>
    <w:rsid w:val="00A510A0"/>
    <w:rsid w:val="00A510D5"/>
    <w:rsid w:val="00A5123A"/>
    <w:rsid w:val="00A512C2"/>
    <w:rsid w:val="00A5138D"/>
    <w:rsid w:val="00A513D2"/>
    <w:rsid w:val="00A51568"/>
    <w:rsid w:val="00A515D5"/>
    <w:rsid w:val="00A515DB"/>
    <w:rsid w:val="00A51803"/>
    <w:rsid w:val="00A518E6"/>
    <w:rsid w:val="00A519F2"/>
    <w:rsid w:val="00A51C37"/>
    <w:rsid w:val="00A51CC8"/>
    <w:rsid w:val="00A51D07"/>
    <w:rsid w:val="00A51D9F"/>
    <w:rsid w:val="00A51DAA"/>
    <w:rsid w:val="00A51EA1"/>
    <w:rsid w:val="00A521D2"/>
    <w:rsid w:val="00A525BA"/>
    <w:rsid w:val="00A52A2D"/>
    <w:rsid w:val="00A52AFE"/>
    <w:rsid w:val="00A52BFD"/>
    <w:rsid w:val="00A52CD1"/>
    <w:rsid w:val="00A52CD9"/>
    <w:rsid w:val="00A52D33"/>
    <w:rsid w:val="00A53095"/>
    <w:rsid w:val="00A5324F"/>
    <w:rsid w:val="00A5354F"/>
    <w:rsid w:val="00A535CD"/>
    <w:rsid w:val="00A53707"/>
    <w:rsid w:val="00A53BB9"/>
    <w:rsid w:val="00A53BF2"/>
    <w:rsid w:val="00A53D4B"/>
    <w:rsid w:val="00A53DFE"/>
    <w:rsid w:val="00A53E6D"/>
    <w:rsid w:val="00A540A6"/>
    <w:rsid w:val="00A5421E"/>
    <w:rsid w:val="00A54310"/>
    <w:rsid w:val="00A54410"/>
    <w:rsid w:val="00A54636"/>
    <w:rsid w:val="00A54669"/>
    <w:rsid w:val="00A5491D"/>
    <w:rsid w:val="00A54B56"/>
    <w:rsid w:val="00A54D7D"/>
    <w:rsid w:val="00A54FA3"/>
    <w:rsid w:val="00A5516E"/>
    <w:rsid w:val="00A5520B"/>
    <w:rsid w:val="00A553E9"/>
    <w:rsid w:val="00A5547E"/>
    <w:rsid w:val="00A5554B"/>
    <w:rsid w:val="00A5570D"/>
    <w:rsid w:val="00A557B6"/>
    <w:rsid w:val="00A55B12"/>
    <w:rsid w:val="00A55C1D"/>
    <w:rsid w:val="00A55DCF"/>
    <w:rsid w:val="00A55E0A"/>
    <w:rsid w:val="00A55E50"/>
    <w:rsid w:val="00A55E72"/>
    <w:rsid w:val="00A56069"/>
    <w:rsid w:val="00A5633A"/>
    <w:rsid w:val="00A565EC"/>
    <w:rsid w:val="00A56888"/>
    <w:rsid w:val="00A56C7E"/>
    <w:rsid w:val="00A56D33"/>
    <w:rsid w:val="00A56DAD"/>
    <w:rsid w:val="00A56E02"/>
    <w:rsid w:val="00A56FF0"/>
    <w:rsid w:val="00A57259"/>
    <w:rsid w:val="00A57494"/>
    <w:rsid w:val="00A57587"/>
    <w:rsid w:val="00A57A0F"/>
    <w:rsid w:val="00A57D41"/>
    <w:rsid w:val="00A57E3F"/>
    <w:rsid w:val="00A60466"/>
    <w:rsid w:val="00A60575"/>
    <w:rsid w:val="00A60697"/>
    <w:rsid w:val="00A606B1"/>
    <w:rsid w:val="00A60AA7"/>
    <w:rsid w:val="00A60AC7"/>
    <w:rsid w:val="00A60B46"/>
    <w:rsid w:val="00A60E5A"/>
    <w:rsid w:val="00A60E67"/>
    <w:rsid w:val="00A60EE7"/>
    <w:rsid w:val="00A6109D"/>
    <w:rsid w:val="00A610FE"/>
    <w:rsid w:val="00A612C8"/>
    <w:rsid w:val="00A614A4"/>
    <w:rsid w:val="00A6167F"/>
    <w:rsid w:val="00A6191B"/>
    <w:rsid w:val="00A61930"/>
    <w:rsid w:val="00A61968"/>
    <w:rsid w:val="00A61B36"/>
    <w:rsid w:val="00A61DA7"/>
    <w:rsid w:val="00A622E1"/>
    <w:rsid w:val="00A623E1"/>
    <w:rsid w:val="00A62479"/>
    <w:rsid w:val="00A625C7"/>
    <w:rsid w:val="00A62ACF"/>
    <w:rsid w:val="00A62C37"/>
    <w:rsid w:val="00A62D5A"/>
    <w:rsid w:val="00A62DFD"/>
    <w:rsid w:val="00A62DFE"/>
    <w:rsid w:val="00A63098"/>
    <w:rsid w:val="00A63B9A"/>
    <w:rsid w:val="00A63C97"/>
    <w:rsid w:val="00A63D3A"/>
    <w:rsid w:val="00A64031"/>
    <w:rsid w:val="00A640C2"/>
    <w:rsid w:val="00A642B3"/>
    <w:rsid w:val="00A644FA"/>
    <w:rsid w:val="00A6500D"/>
    <w:rsid w:val="00A65331"/>
    <w:rsid w:val="00A656C8"/>
    <w:rsid w:val="00A65B49"/>
    <w:rsid w:val="00A65CA2"/>
    <w:rsid w:val="00A65F73"/>
    <w:rsid w:val="00A66322"/>
    <w:rsid w:val="00A66374"/>
    <w:rsid w:val="00A6668F"/>
    <w:rsid w:val="00A66770"/>
    <w:rsid w:val="00A667F8"/>
    <w:rsid w:val="00A6681D"/>
    <w:rsid w:val="00A66A28"/>
    <w:rsid w:val="00A66A40"/>
    <w:rsid w:val="00A66AEE"/>
    <w:rsid w:val="00A66C80"/>
    <w:rsid w:val="00A67209"/>
    <w:rsid w:val="00A678A1"/>
    <w:rsid w:val="00A679D0"/>
    <w:rsid w:val="00A67C17"/>
    <w:rsid w:val="00A67C7F"/>
    <w:rsid w:val="00A67CC8"/>
    <w:rsid w:val="00A67D60"/>
    <w:rsid w:val="00A67E18"/>
    <w:rsid w:val="00A67F8D"/>
    <w:rsid w:val="00A70002"/>
    <w:rsid w:val="00A70132"/>
    <w:rsid w:val="00A701CA"/>
    <w:rsid w:val="00A7047D"/>
    <w:rsid w:val="00A706CE"/>
    <w:rsid w:val="00A707BF"/>
    <w:rsid w:val="00A70874"/>
    <w:rsid w:val="00A70946"/>
    <w:rsid w:val="00A70C9B"/>
    <w:rsid w:val="00A70E49"/>
    <w:rsid w:val="00A70FD4"/>
    <w:rsid w:val="00A71235"/>
    <w:rsid w:val="00A714EC"/>
    <w:rsid w:val="00A71979"/>
    <w:rsid w:val="00A71AA1"/>
    <w:rsid w:val="00A71B15"/>
    <w:rsid w:val="00A71B33"/>
    <w:rsid w:val="00A71C1A"/>
    <w:rsid w:val="00A723B0"/>
    <w:rsid w:val="00A724F8"/>
    <w:rsid w:val="00A725DE"/>
    <w:rsid w:val="00A72BBB"/>
    <w:rsid w:val="00A72C7D"/>
    <w:rsid w:val="00A72DFE"/>
    <w:rsid w:val="00A73070"/>
    <w:rsid w:val="00A73536"/>
    <w:rsid w:val="00A738F3"/>
    <w:rsid w:val="00A738FC"/>
    <w:rsid w:val="00A73C59"/>
    <w:rsid w:val="00A73E64"/>
    <w:rsid w:val="00A73F77"/>
    <w:rsid w:val="00A7445A"/>
    <w:rsid w:val="00A744DF"/>
    <w:rsid w:val="00A7454F"/>
    <w:rsid w:val="00A745B7"/>
    <w:rsid w:val="00A746E9"/>
    <w:rsid w:val="00A747ED"/>
    <w:rsid w:val="00A7487D"/>
    <w:rsid w:val="00A74948"/>
    <w:rsid w:val="00A74BB5"/>
    <w:rsid w:val="00A751E6"/>
    <w:rsid w:val="00A752E1"/>
    <w:rsid w:val="00A7531D"/>
    <w:rsid w:val="00A754A4"/>
    <w:rsid w:val="00A756F5"/>
    <w:rsid w:val="00A75957"/>
    <w:rsid w:val="00A7596A"/>
    <w:rsid w:val="00A75BAE"/>
    <w:rsid w:val="00A75C59"/>
    <w:rsid w:val="00A75D38"/>
    <w:rsid w:val="00A75E1E"/>
    <w:rsid w:val="00A75E78"/>
    <w:rsid w:val="00A76402"/>
    <w:rsid w:val="00A76459"/>
    <w:rsid w:val="00A7649C"/>
    <w:rsid w:val="00A764BF"/>
    <w:rsid w:val="00A765DB"/>
    <w:rsid w:val="00A7685A"/>
    <w:rsid w:val="00A769F0"/>
    <w:rsid w:val="00A76C93"/>
    <w:rsid w:val="00A76F0F"/>
    <w:rsid w:val="00A76FBB"/>
    <w:rsid w:val="00A7718B"/>
    <w:rsid w:val="00A77347"/>
    <w:rsid w:val="00A774F4"/>
    <w:rsid w:val="00A774F9"/>
    <w:rsid w:val="00A7775B"/>
    <w:rsid w:val="00A77761"/>
    <w:rsid w:val="00A7777E"/>
    <w:rsid w:val="00A777AE"/>
    <w:rsid w:val="00A77E0B"/>
    <w:rsid w:val="00A77F51"/>
    <w:rsid w:val="00A803ED"/>
    <w:rsid w:val="00A804EA"/>
    <w:rsid w:val="00A8060F"/>
    <w:rsid w:val="00A80636"/>
    <w:rsid w:val="00A80742"/>
    <w:rsid w:val="00A8081B"/>
    <w:rsid w:val="00A80A09"/>
    <w:rsid w:val="00A80A76"/>
    <w:rsid w:val="00A80AE1"/>
    <w:rsid w:val="00A80C5A"/>
    <w:rsid w:val="00A80CD5"/>
    <w:rsid w:val="00A80ECB"/>
    <w:rsid w:val="00A80F98"/>
    <w:rsid w:val="00A80FE5"/>
    <w:rsid w:val="00A8122D"/>
    <w:rsid w:val="00A812DD"/>
    <w:rsid w:val="00A8155C"/>
    <w:rsid w:val="00A815C8"/>
    <w:rsid w:val="00A8170B"/>
    <w:rsid w:val="00A81726"/>
    <w:rsid w:val="00A81824"/>
    <w:rsid w:val="00A8189C"/>
    <w:rsid w:val="00A819F1"/>
    <w:rsid w:val="00A81A72"/>
    <w:rsid w:val="00A81D80"/>
    <w:rsid w:val="00A81DA3"/>
    <w:rsid w:val="00A8202B"/>
    <w:rsid w:val="00A821E0"/>
    <w:rsid w:val="00A8239D"/>
    <w:rsid w:val="00A823A2"/>
    <w:rsid w:val="00A825BC"/>
    <w:rsid w:val="00A82821"/>
    <w:rsid w:val="00A8291D"/>
    <w:rsid w:val="00A82D45"/>
    <w:rsid w:val="00A82DC1"/>
    <w:rsid w:val="00A8311E"/>
    <w:rsid w:val="00A8321A"/>
    <w:rsid w:val="00A833A1"/>
    <w:rsid w:val="00A83559"/>
    <w:rsid w:val="00A838E2"/>
    <w:rsid w:val="00A83ACD"/>
    <w:rsid w:val="00A83CA3"/>
    <w:rsid w:val="00A83E63"/>
    <w:rsid w:val="00A8415F"/>
    <w:rsid w:val="00A843F7"/>
    <w:rsid w:val="00A844BD"/>
    <w:rsid w:val="00A846A2"/>
    <w:rsid w:val="00A8478A"/>
    <w:rsid w:val="00A848AC"/>
    <w:rsid w:val="00A84A45"/>
    <w:rsid w:val="00A84A98"/>
    <w:rsid w:val="00A84B0F"/>
    <w:rsid w:val="00A85202"/>
    <w:rsid w:val="00A852E3"/>
    <w:rsid w:val="00A85392"/>
    <w:rsid w:val="00A8594B"/>
    <w:rsid w:val="00A85E51"/>
    <w:rsid w:val="00A860C8"/>
    <w:rsid w:val="00A861F5"/>
    <w:rsid w:val="00A862CE"/>
    <w:rsid w:val="00A86314"/>
    <w:rsid w:val="00A863A5"/>
    <w:rsid w:val="00A86542"/>
    <w:rsid w:val="00A866A7"/>
    <w:rsid w:val="00A86A0E"/>
    <w:rsid w:val="00A86BBA"/>
    <w:rsid w:val="00A86BFF"/>
    <w:rsid w:val="00A86F31"/>
    <w:rsid w:val="00A8725F"/>
    <w:rsid w:val="00A87309"/>
    <w:rsid w:val="00A87436"/>
    <w:rsid w:val="00A874B8"/>
    <w:rsid w:val="00A8750F"/>
    <w:rsid w:val="00A87BAE"/>
    <w:rsid w:val="00A87D21"/>
    <w:rsid w:val="00A87E94"/>
    <w:rsid w:val="00A903D1"/>
    <w:rsid w:val="00A90749"/>
    <w:rsid w:val="00A9085D"/>
    <w:rsid w:val="00A90B45"/>
    <w:rsid w:val="00A90C41"/>
    <w:rsid w:val="00A90F50"/>
    <w:rsid w:val="00A910A0"/>
    <w:rsid w:val="00A91125"/>
    <w:rsid w:val="00A9116F"/>
    <w:rsid w:val="00A91317"/>
    <w:rsid w:val="00A91430"/>
    <w:rsid w:val="00A91570"/>
    <w:rsid w:val="00A91984"/>
    <w:rsid w:val="00A91BF4"/>
    <w:rsid w:val="00A91C4A"/>
    <w:rsid w:val="00A91CCF"/>
    <w:rsid w:val="00A91FDA"/>
    <w:rsid w:val="00A9219C"/>
    <w:rsid w:val="00A9299A"/>
    <w:rsid w:val="00A929F4"/>
    <w:rsid w:val="00A92D01"/>
    <w:rsid w:val="00A92FC8"/>
    <w:rsid w:val="00A93130"/>
    <w:rsid w:val="00A93172"/>
    <w:rsid w:val="00A9318E"/>
    <w:rsid w:val="00A93345"/>
    <w:rsid w:val="00A933B1"/>
    <w:rsid w:val="00A9380C"/>
    <w:rsid w:val="00A93A32"/>
    <w:rsid w:val="00A93A50"/>
    <w:rsid w:val="00A93C59"/>
    <w:rsid w:val="00A93C9F"/>
    <w:rsid w:val="00A93CA6"/>
    <w:rsid w:val="00A93EB7"/>
    <w:rsid w:val="00A942D3"/>
    <w:rsid w:val="00A94341"/>
    <w:rsid w:val="00A94386"/>
    <w:rsid w:val="00A9452B"/>
    <w:rsid w:val="00A949D5"/>
    <w:rsid w:val="00A94B03"/>
    <w:rsid w:val="00A94B75"/>
    <w:rsid w:val="00A94CE7"/>
    <w:rsid w:val="00A9509A"/>
    <w:rsid w:val="00A9510D"/>
    <w:rsid w:val="00A95185"/>
    <w:rsid w:val="00A951DA"/>
    <w:rsid w:val="00A9537B"/>
    <w:rsid w:val="00A95401"/>
    <w:rsid w:val="00A95563"/>
    <w:rsid w:val="00A95642"/>
    <w:rsid w:val="00A95A52"/>
    <w:rsid w:val="00A95A55"/>
    <w:rsid w:val="00A95BAB"/>
    <w:rsid w:val="00A95D4E"/>
    <w:rsid w:val="00A95DFB"/>
    <w:rsid w:val="00A95F74"/>
    <w:rsid w:val="00A95FC9"/>
    <w:rsid w:val="00A960A7"/>
    <w:rsid w:val="00A96532"/>
    <w:rsid w:val="00A96695"/>
    <w:rsid w:val="00A9685C"/>
    <w:rsid w:val="00A968FF"/>
    <w:rsid w:val="00A9692D"/>
    <w:rsid w:val="00A96997"/>
    <w:rsid w:val="00A96C8E"/>
    <w:rsid w:val="00A96E69"/>
    <w:rsid w:val="00A96EF8"/>
    <w:rsid w:val="00A96F4C"/>
    <w:rsid w:val="00A970D4"/>
    <w:rsid w:val="00A97166"/>
    <w:rsid w:val="00A977DD"/>
    <w:rsid w:val="00A97860"/>
    <w:rsid w:val="00A97B3A"/>
    <w:rsid w:val="00A97D88"/>
    <w:rsid w:val="00AA0486"/>
    <w:rsid w:val="00AA050E"/>
    <w:rsid w:val="00AA051C"/>
    <w:rsid w:val="00AA0528"/>
    <w:rsid w:val="00AA058F"/>
    <w:rsid w:val="00AA072B"/>
    <w:rsid w:val="00AA0C37"/>
    <w:rsid w:val="00AA0EE9"/>
    <w:rsid w:val="00AA0F44"/>
    <w:rsid w:val="00AA102A"/>
    <w:rsid w:val="00AA12F7"/>
    <w:rsid w:val="00AA1464"/>
    <w:rsid w:val="00AA169B"/>
    <w:rsid w:val="00AA1910"/>
    <w:rsid w:val="00AA1934"/>
    <w:rsid w:val="00AA1ACA"/>
    <w:rsid w:val="00AA1CFF"/>
    <w:rsid w:val="00AA1F61"/>
    <w:rsid w:val="00AA20C7"/>
    <w:rsid w:val="00AA20FB"/>
    <w:rsid w:val="00AA22A4"/>
    <w:rsid w:val="00AA2372"/>
    <w:rsid w:val="00AA277C"/>
    <w:rsid w:val="00AA2B2D"/>
    <w:rsid w:val="00AA2E9C"/>
    <w:rsid w:val="00AA2FAB"/>
    <w:rsid w:val="00AA3277"/>
    <w:rsid w:val="00AA3309"/>
    <w:rsid w:val="00AA35D3"/>
    <w:rsid w:val="00AA35F1"/>
    <w:rsid w:val="00AA3832"/>
    <w:rsid w:val="00AA39A5"/>
    <w:rsid w:val="00AA3CEE"/>
    <w:rsid w:val="00AA3D71"/>
    <w:rsid w:val="00AA3EB3"/>
    <w:rsid w:val="00AA456D"/>
    <w:rsid w:val="00AA45AB"/>
    <w:rsid w:val="00AA45B9"/>
    <w:rsid w:val="00AA4998"/>
    <w:rsid w:val="00AA4CA8"/>
    <w:rsid w:val="00AA4D56"/>
    <w:rsid w:val="00AA4DA8"/>
    <w:rsid w:val="00AA4EAB"/>
    <w:rsid w:val="00AA5028"/>
    <w:rsid w:val="00AA5243"/>
    <w:rsid w:val="00AA52E3"/>
    <w:rsid w:val="00AA554A"/>
    <w:rsid w:val="00AA580C"/>
    <w:rsid w:val="00AA5977"/>
    <w:rsid w:val="00AA5B65"/>
    <w:rsid w:val="00AA5C74"/>
    <w:rsid w:val="00AA606E"/>
    <w:rsid w:val="00AA63C7"/>
    <w:rsid w:val="00AA68B0"/>
    <w:rsid w:val="00AA71ED"/>
    <w:rsid w:val="00AA7281"/>
    <w:rsid w:val="00AA735D"/>
    <w:rsid w:val="00AA73D3"/>
    <w:rsid w:val="00AA7495"/>
    <w:rsid w:val="00AA74E0"/>
    <w:rsid w:val="00AA7946"/>
    <w:rsid w:val="00AA7A42"/>
    <w:rsid w:val="00AA7ACA"/>
    <w:rsid w:val="00AA7B62"/>
    <w:rsid w:val="00AA7DBB"/>
    <w:rsid w:val="00AA7F3C"/>
    <w:rsid w:val="00AB0510"/>
    <w:rsid w:val="00AB08C3"/>
    <w:rsid w:val="00AB0946"/>
    <w:rsid w:val="00AB0A0A"/>
    <w:rsid w:val="00AB0A76"/>
    <w:rsid w:val="00AB0AD9"/>
    <w:rsid w:val="00AB0AFE"/>
    <w:rsid w:val="00AB0B43"/>
    <w:rsid w:val="00AB0F77"/>
    <w:rsid w:val="00AB114C"/>
    <w:rsid w:val="00AB13E4"/>
    <w:rsid w:val="00AB14FB"/>
    <w:rsid w:val="00AB1874"/>
    <w:rsid w:val="00AB1B3B"/>
    <w:rsid w:val="00AB1C80"/>
    <w:rsid w:val="00AB1DB8"/>
    <w:rsid w:val="00AB207A"/>
    <w:rsid w:val="00AB20AF"/>
    <w:rsid w:val="00AB2412"/>
    <w:rsid w:val="00AB264B"/>
    <w:rsid w:val="00AB2656"/>
    <w:rsid w:val="00AB297C"/>
    <w:rsid w:val="00AB29DE"/>
    <w:rsid w:val="00AB2B39"/>
    <w:rsid w:val="00AB2B72"/>
    <w:rsid w:val="00AB2C95"/>
    <w:rsid w:val="00AB2CBB"/>
    <w:rsid w:val="00AB326D"/>
    <w:rsid w:val="00AB33A4"/>
    <w:rsid w:val="00AB345A"/>
    <w:rsid w:val="00AB34E3"/>
    <w:rsid w:val="00AB361D"/>
    <w:rsid w:val="00AB3623"/>
    <w:rsid w:val="00AB37A3"/>
    <w:rsid w:val="00AB3BDB"/>
    <w:rsid w:val="00AB3D7B"/>
    <w:rsid w:val="00AB3E28"/>
    <w:rsid w:val="00AB3EC9"/>
    <w:rsid w:val="00AB4295"/>
    <w:rsid w:val="00AB487D"/>
    <w:rsid w:val="00AB49A2"/>
    <w:rsid w:val="00AB4A0F"/>
    <w:rsid w:val="00AB4A30"/>
    <w:rsid w:val="00AB4AC2"/>
    <w:rsid w:val="00AB4B01"/>
    <w:rsid w:val="00AB4B31"/>
    <w:rsid w:val="00AB4BAF"/>
    <w:rsid w:val="00AB4D2E"/>
    <w:rsid w:val="00AB4F6A"/>
    <w:rsid w:val="00AB5219"/>
    <w:rsid w:val="00AB557B"/>
    <w:rsid w:val="00AB566E"/>
    <w:rsid w:val="00AB594C"/>
    <w:rsid w:val="00AB597C"/>
    <w:rsid w:val="00AB5FC6"/>
    <w:rsid w:val="00AB614F"/>
    <w:rsid w:val="00AB64AA"/>
    <w:rsid w:val="00AB654B"/>
    <w:rsid w:val="00AB6714"/>
    <w:rsid w:val="00AB672F"/>
    <w:rsid w:val="00AB6752"/>
    <w:rsid w:val="00AB69C1"/>
    <w:rsid w:val="00AB6C91"/>
    <w:rsid w:val="00AB6CED"/>
    <w:rsid w:val="00AB6DB8"/>
    <w:rsid w:val="00AB6DFD"/>
    <w:rsid w:val="00AB700D"/>
    <w:rsid w:val="00AB7012"/>
    <w:rsid w:val="00AB709B"/>
    <w:rsid w:val="00AB7104"/>
    <w:rsid w:val="00AB729E"/>
    <w:rsid w:val="00AB79DD"/>
    <w:rsid w:val="00AB7B8B"/>
    <w:rsid w:val="00AC013E"/>
    <w:rsid w:val="00AC0305"/>
    <w:rsid w:val="00AC05A8"/>
    <w:rsid w:val="00AC0951"/>
    <w:rsid w:val="00AC0A06"/>
    <w:rsid w:val="00AC0A3E"/>
    <w:rsid w:val="00AC0ABE"/>
    <w:rsid w:val="00AC0EB6"/>
    <w:rsid w:val="00AC0FD7"/>
    <w:rsid w:val="00AC107E"/>
    <w:rsid w:val="00AC12E9"/>
    <w:rsid w:val="00AC13FA"/>
    <w:rsid w:val="00AC1494"/>
    <w:rsid w:val="00AC1630"/>
    <w:rsid w:val="00AC1956"/>
    <w:rsid w:val="00AC19B4"/>
    <w:rsid w:val="00AC1A5F"/>
    <w:rsid w:val="00AC1F9D"/>
    <w:rsid w:val="00AC20BA"/>
    <w:rsid w:val="00AC23FF"/>
    <w:rsid w:val="00AC241A"/>
    <w:rsid w:val="00AC255D"/>
    <w:rsid w:val="00AC2631"/>
    <w:rsid w:val="00AC2697"/>
    <w:rsid w:val="00AC2944"/>
    <w:rsid w:val="00AC2ECF"/>
    <w:rsid w:val="00AC31F6"/>
    <w:rsid w:val="00AC32B0"/>
    <w:rsid w:val="00AC340B"/>
    <w:rsid w:val="00AC353D"/>
    <w:rsid w:val="00AC36AF"/>
    <w:rsid w:val="00AC386A"/>
    <w:rsid w:val="00AC3A54"/>
    <w:rsid w:val="00AC3BD4"/>
    <w:rsid w:val="00AC3C71"/>
    <w:rsid w:val="00AC3DD9"/>
    <w:rsid w:val="00AC3EC9"/>
    <w:rsid w:val="00AC4134"/>
    <w:rsid w:val="00AC4420"/>
    <w:rsid w:val="00AC45A5"/>
    <w:rsid w:val="00AC474E"/>
    <w:rsid w:val="00AC4864"/>
    <w:rsid w:val="00AC48A2"/>
    <w:rsid w:val="00AC4A7A"/>
    <w:rsid w:val="00AC4BA5"/>
    <w:rsid w:val="00AC4CE2"/>
    <w:rsid w:val="00AC4F33"/>
    <w:rsid w:val="00AC4FDC"/>
    <w:rsid w:val="00AC506C"/>
    <w:rsid w:val="00AC56B6"/>
    <w:rsid w:val="00AC5740"/>
    <w:rsid w:val="00AC581D"/>
    <w:rsid w:val="00AC58DA"/>
    <w:rsid w:val="00AC5920"/>
    <w:rsid w:val="00AC5AB7"/>
    <w:rsid w:val="00AC5B09"/>
    <w:rsid w:val="00AC5B17"/>
    <w:rsid w:val="00AC5BA7"/>
    <w:rsid w:val="00AC5E19"/>
    <w:rsid w:val="00AC65AE"/>
    <w:rsid w:val="00AC69CB"/>
    <w:rsid w:val="00AC6B56"/>
    <w:rsid w:val="00AC6E55"/>
    <w:rsid w:val="00AC6F08"/>
    <w:rsid w:val="00AC6FB4"/>
    <w:rsid w:val="00AC7205"/>
    <w:rsid w:val="00AC7339"/>
    <w:rsid w:val="00AC7395"/>
    <w:rsid w:val="00AC7511"/>
    <w:rsid w:val="00AC75E2"/>
    <w:rsid w:val="00AC780F"/>
    <w:rsid w:val="00AC7DA2"/>
    <w:rsid w:val="00AC7DAD"/>
    <w:rsid w:val="00AD02D4"/>
    <w:rsid w:val="00AD035B"/>
    <w:rsid w:val="00AD0424"/>
    <w:rsid w:val="00AD05F4"/>
    <w:rsid w:val="00AD06C9"/>
    <w:rsid w:val="00AD06E6"/>
    <w:rsid w:val="00AD0B48"/>
    <w:rsid w:val="00AD0C33"/>
    <w:rsid w:val="00AD113A"/>
    <w:rsid w:val="00AD12C9"/>
    <w:rsid w:val="00AD1CF2"/>
    <w:rsid w:val="00AD20CD"/>
    <w:rsid w:val="00AD20D0"/>
    <w:rsid w:val="00AD2143"/>
    <w:rsid w:val="00AD228D"/>
    <w:rsid w:val="00AD22A8"/>
    <w:rsid w:val="00AD23DF"/>
    <w:rsid w:val="00AD24C7"/>
    <w:rsid w:val="00AD2795"/>
    <w:rsid w:val="00AD279B"/>
    <w:rsid w:val="00AD29CD"/>
    <w:rsid w:val="00AD2A3F"/>
    <w:rsid w:val="00AD2D4E"/>
    <w:rsid w:val="00AD2E41"/>
    <w:rsid w:val="00AD3291"/>
    <w:rsid w:val="00AD34ED"/>
    <w:rsid w:val="00AD3579"/>
    <w:rsid w:val="00AD358F"/>
    <w:rsid w:val="00AD3783"/>
    <w:rsid w:val="00AD39C0"/>
    <w:rsid w:val="00AD3BAD"/>
    <w:rsid w:val="00AD3C7C"/>
    <w:rsid w:val="00AD3E77"/>
    <w:rsid w:val="00AD3F87"/>
    <w:rsid w:val="00AD3F94"/>
    <w:rsid w:val="00AD40C4"/>
    <w:rsid w:val="00AD41DD"/>
    <w:rsid w:val="00AD41FF"/>
    <w:rsid w:val="00AD439A"/>
    <w:rsid w:val="00AD4439"/>
    <w:rsid w:val="00AD45D0"/>
    <w:rsid w:val="00AD46A7"/>
    <w:rsid w:val="00AD4744"/>
    <w:rsid w:val="00AD4771"/>
    <w:rsid w:val="00AD48E2"/>
    <w:rsid w:val="00AD4AFD"/>
    <w:rsid w:val="00AD4C0C"/>
    <w:rsid w:val="00AD4C10"/>
    <w:rsid w:val="00AD4C7E"/>
    <w:rsid w:val="00AD4CAF"/>
    <w:rsid w:val="00AD4CDB"/>
    <w:rsid w:val="00AD50E1"/>
    <w:rsid w:val="00AD5983"/>
    <w:rsid w:val="00AD5C8B"/>
    <w:rsid w:val="00AD5CC1"/>
    <w:rsid w:val="00AD5CD6"/>
    <w:rsid w:val="00AD5E01"/>
    <w:rsid w:val="00AD5EB1"/>
    <w:rsid w:val="00AD60D5"/>
    <w:rsid w:val="00AD6147"/>
    <w:rsid w:val="00AD6171"/>
    <w:rsid w:val="00AD61B8"/>
    <w:rsid w:val="00AD61C4"/>
    <w:rsid w:val="00AD6329"/>
    <w:rsid w:val="00AD6454"/>
    <w:rsid w:val="00AD652A"/>
    <w:rsid w:val="00AD6636"/>
    <w:rsid w:val="00AD68FE"/>
    <w:rsid w:val="00AD6913"/>
    <w:rsid w:val="00AD6B39"/>
    <w:rsid w:val="00AD6BB1"/>
    <w:rsid w:val="00AD6F81"/>
    <w:rsid w:val="00AD713F"/>
    <w:rsid w:val="00AD72A4"/>
    <w:rsid w:val="00AD74DE"/>
    <w:rsid w:val="00AD778D"/>
    <w:rsid w:val="00AD77FB"/>
    <w:rsid w:val="00AD7951"/>
    <w:rsid w:val="00AD7AAD"/>
    <w:rsid w:val="00AE0081"/>
    <w:rsid w:val="00AE01B9"/>
    <w:rsid w:val="00AE0283"/>
    <w:rsid w:val="00AE035C"/>
    <w:rsid w:val="00AE03F8"/>
    <w:rsid w:val="00AE0817"/>
    <w:rsid w:val="00AE08D0"/>
    <w:rsid w:val="00AE0958"/>
    <w:rsid w:val="00AE0A38"/>
    <w:rsid w:val="00AE0A54"/>
    <w:rsid w:val="00AE0B61"/>
    <w:rsid w:val="00AE0B94"/>
    <w:rsid w:val="00AE0CE2"/>
    <w:rsid w:val="00AE0DAF"/>
    <w:rsid w:val="00AE0E2A"/>
    <w:rsid w:val="00AE11AD"/>
    <w:rsid w:val="00AE11D0"/>
    <w:rsid w:val="00AE149B"/>
    <w:rsid w:val="00AE155F"/>
    <w:rsid w:val="00AE15A5"/>
    <w:rsid w:val="00AE15E6"/>
    <w:rsid w:val="00AE17CC"/>
    <w:rsid w:val="00AE1829"/>
    <w:rsid w:val="00AE199B"/>
    <w:rsid w:val="00AE1D17"/>
    <w:rsid w:val="00AE1DCD"/>
    <w:rsid w:val="00AE1E06"/>
    <w:rsid w:val="00AE1E55"/>
    <w:rsid w:val="00AE1F48"/>
    <w:rsid w:val="00AE1F9D"/>
    <w:rsid w:val="00AE22BC"/>
    <w:rsid w:val="00AE22FE"/>
    <w:rsid w:val="00AE23AD"/>
    <w:rsid w:val="00AE24F9"/>
    <w:rsid w:val="00AE27E1"/>
    <w:rsid w:val="00AE2B57"/>
    <w:rsid w:val="00AE2F1D"/>
    <w:rsid w:val="00AE3307"/>
    <w:rsid w:val="00AE3313"/>
    <w:rsid w:val="00AE3559"/>
    <w:rsid w:val="00AE35CC"/>
    <w:rsid w:val="00AE3657"/>
    <w:rsid w:val="00AE3BAE"/>
    <w:rsid w:val="00AE3FDE"/>
    <w:rsid w:val="00AE40BA"/>
    <w:rsid w:val="00AE4122"/>
    <w:rsid w:val="00AE45FE"/>
    <w:rsid w:val="00AE467F"/>
    <w:rsid w:val="00AE480E"/>
    <w:rsid w:val="00AE4CD9"/>
    <w:rsid w:val="00AE4CFB"/>
    <w:rsid w:val="00AE4E18"/>
    <w:rsid w:val="00AE4F1B"/>
    <w:rsid w:val="00AE5245"/>
    <w:rsid w:val="00AE52F6"/>
    <w:rsid w:val="00AE5331"/>
    <w:rsid w:val="00AE5348"/>
    <w:rsid w:val="00AE5401"/>
    <w:rsid w:val="00AE54B5"/>
    <w:rsid w:val="00AE54F0"/>
    <w:rsid w:val="00AE54FB"/>
    <w:rsid w:val="00AE56BF"/>
    <w:rsid w:val="00AE56C1"/>
    <w:rsid w:val="00AE5A32"/>
    <w:rsid w:val="00AE5A43"/>
    <w:rsid w:val="00AE5EC7"/>
    <w:rsid w:val="00AE6100"/>
    <w:rsid w:val="00AE6263"/>
    <w:rsid w:val="00AE6286"/>
    <w:rsid w:val="00AE62A7"/>
    <w:rsid w:val="00AE632C"/>
    <w:rsid w:val="00AE65F9"/>
    <w:rsid w:val="00AE6614"/>
    <w:rsid w:val="00AE6918"/>
    <w:rsid w:val="00AE6B19"/>
    <w:rsid w:val="00AE6DC2"/>
    <w:rsid w:val="00AE6E2C"/>
    <w:rsid w:val="00AE6F24"/>
    <w:rsid w:val="00AE7124"/>
    <w:rsid w:val="00AE713A"/>
    <w:rsid w:val="00AE719C"/>
    <w:rsid w:val="00AE727F"/>
    <w:rsid w:val="00AE731B"/>
    <w:rsid w:val="00AE7536"/>
    <w:rsid w:val="00AE766D"/>
    <w:rsid w:val="00AE770A"/>
    <w:rsid w:val="00AE7FA4"/>
    <w:rsid w:val="00AE7FB7"/>
    <w:rsid w:val="00AF0052"/>
    <w:rsid w:val="00AF007B"/>
    <w:rsid w:val="00AF018F"/>
    <w:rsid w:val="00AF0308"/>
    <w:rsid w:val="00AF039E"/>
    <w:rsid w:val="00AF05EA"/>
    <w:rsid w:val="00AF0684"/>
    <w:rsid w:val="00AF0779"/>
    <w:rsid w:val="00AF08DA"/>
    <w:rsid w:val="00AF1178"/>
    <w:rsid w:val="00AF11A3"/>
    <w:rsid w:val="00AF11BC"/>
    <w:rsid w:val="00AF143D"/>
    <w:rsid w:val="00AF1714"/>
    <w:rsid w:val="00AF1A1F"/>
    <w:rsid w:val="00AF1A47"/>
    <w:rsid w:val="00AF1B84"/>
    <w:rsid w:val="00AF1BAE"/>
    <w:rsid w:val="00AF1BEE"/>
    <w:rsid w:val="00AF1C7F"/>
    <w:rsid w:val="00AF1F53"/>
    <w:rsid w:val="00AF21DF"/>
    <w:rsid w:val="00AF2284"/>
    <w:rsid w:val="00AF22BC"/>
    <w:rsid w:val="00AF2A32"/>
    <w:rsid w:val="00AF2B6E"/>
    <w:rsid w:val="00AF2ECB"/>
    <w:rsid w:val="00AF3348"/>
    <w:rsid w:val="00AF366E"/>
    <w:rsid w:val="00AF36C6"/>
    <w:rsid w:val="00AF3876"/>
    <w:rsid w:val="00AF3968"/>
    <w:rsid w:val="00AF3D75"/>
    <w:rsid w:val="00AF3FE6"/>
    <w:rsid w:val="00AF400A"/>
    <w:rsid w:val="00AF416F"/>
    <w:rsid w:val="00AF422B"/>
    <w:rsid w:val="00AF4264"/>
    <w:rsid w:val="00AF427F"/>
    <w:rsid w:val="00AF42DA"/>
    <w:rsid w:val="00AF43E1"/>
    <w:rsid w:val="00AF45C7"/>
    <w:rsid w:val="00AF4AC1"/>
    <w:rsid w:val="00AF4ACE"/>
    <w:rsid w:val="00AF4C2E"/>
    <w:rsid w:val="00AF4E46"/>
    <w:rsid w:val="00AF5097"/>
    <w:rsid w:val="00AF52EE"/>
    <w:rsid w:val="00AF53BA"/>
    <w:rsid w:val="00AF5748"/>
    <w:rsid w:val="00AF5803"/>
    <w:rsid w:val="00AF58D2"/>
    <w:rsid w:val="00AF58EF"/>
    <w:rsid w:val="00AF5E87"/>
    <w:rsid w:val="00AF5F51"/>
    <w:rsid w:val="00AF5FBD"/>
    <w:rsid w:val="00AF6229"/>
    <w:rsid w:val="00AF65DA"/>
    <w:rsid w:val="00AF685D"/>
    <w:rsid w:val="00AF68BC"/>
    <w:rsid w:val="00AF6988"/>
    <w:rsid w:val="00AF69E3"/>
    <w:rsid w:val="00AF6AE1"/>
    <w:rsid w:val="00AF6B78"/>
    <w:rsid w:val="00AF6E24"/>
    <w:rsid w:val="00AF6FA2"/>
    <w:rsid w:val="00AF7085"/>
    <w:rsid w:val="00AF70A7"/>
    <w:rsid w:val="00AF717E"/>
    <w:rsid w:val="00AF71F2"/>
    <w:rsid w:val="00AF7212"/>
    <w:rsid w:val="00AF7263"/>
    <w:rsid w:val="00AF73ED"/>
    <w:rsid w:val="00AF755F"/>
    <w:rsid w:val="00AF763E"/>
    <w:rsid w:val="00AF7B77"/>
    <w:rsid w:val="00AF7CD1"/>
    <w:rsid w:val="00AF7E28"/>
    <w:rsid w:val="00AF7F32"/>
    <w:rsid w:val="00B00246"/>
    <w:rsid w:val="00B00645"/>
    <w:rsid w:val="00B009F0"/>
    <w:rsid w:val="00B00A96"/>
    <w:rsid w:val="00B00CE9"/>
    <w:rsid w:val="00B00EB2"/>
    <w:rsid w:val="00B00FD4"/>
    <w:rsid w:val="00B00FD9"/>
    <w:rsid w:val="00B01048"/>
    <w:rsid w:val="00B01069"/>
    <w:rsid w:val="00B010C8"/>
    <w:rsid w:val="00B0126E"/>
    <w:rsid w:val="00B01295"/>
    <w:rsid w:val="00B01541"/>
    <w:rsid w:val="00B016D5"/>
    <w:rsid w:val="00B02204"/>
    <w:rsid w:val="00B024EE"/>
    <w:rsid w:val="00B025B0"/>
    <w:rsid w:val="00B02B00"/>
    <w:rsid w:val="00B02CFB"/>
    <w:rsid w:val="00B02D02"/>
    <w:rsid w:val="00B02D88"/>
    <w:rsid w:val="00B02E78"/>
    <w:rsid w:val="00B033EB"/>
    <w:rsid w:val="00B03435"/>
    <w:rsid w:val="00B0343D"/>
    <w:rsid w:val="00B035C5"/>
    <w:rsid w:val="00B037AB"/>
    <w:rsid w:val="00B03A1B"/>
    <w:rsid w:val="00B03A6A"/>
    <w:rsid w:val="00B03D80"/>
    <w:rsid w:val="00B04133"/>
    <w:rsid w:val="00B045FE"/>
    <w:rsid w:val="00B046CD"/>
    <w:rsid w:val="00B047C0"/>
    <w:rsid w:val="00B047D3"/>
    <w:rsid w:val="00B048BD"/>
    <w:rsid w:val="00B04AB4"/>
    <w:rsid w:val="00B04E61"/>
    <w:rsid w:val="00B04F63"/>
    <w:rsid w:val="00B04F6F"/>
    <w:rsid w:val="00B05281"/>
    <w:rsid w:val="00B05322"/>
    <w:rsid w:val="00B05336"/>
    <w:rsid w:val="00B0555B"/>
    <w:rsid w:val="00B0572C"/>
    <w:rsid w:val="00B058A8"/>
    <w:rsid w:val="00B060B4"/>
    <w:rsid w:val="00B06100"/>
    <w:rsid w:val="00B061EC"/>
    <w:rsid w:val="00B0629B"/>
    <w:rsid w:val="00B06453"/>
    <w:rsid w:val="00B06457"/>
    <w:rsid w:val="00B06546"/>
    <w:rsid w:val="00B06642"/>
    <w:rsid w:val="00B067AD"/>
    <w:rsid w:val="00B0684F"/>
    <w:rsid w:val="00B06982"/>
    <w:rsid w:val="00B06B19"/>
    <w:rsid w:val="00B06BCC"/>
    <w:rsid w:val="00B06BF3"/>
    <w:rsid w:val="00B06F02"/>
    <w:rsid w:val="00B06FA1"/>
    <w:rsid w:val="00B06FAA"/>
    <w:rsid w:val="00B07432"/>
    <w:rsid w:val="00B07691"/>
    <w:rsid w:val="00B0769D"/>
    <w:rsid w:val="00B076E8"/>
    <w:rsid w:val="00B07794"/>
    <w:rsid w:val="00B07A38"/>
    <w:rsid w:val="00B07AB4"/>
    <w:rsid w:val="00B07CF7"/>
    <w:rsid w:val="00B07DC8"/>
    <w:rsid w:val="00B07DDB"/>
    <w:rsid w:val="00B07E99"/>
    <w:rsid w:val="00B0FF64"/>
    <w:rsid w:val="00B102F2"/>
    <w:rsid w:val="00B10438"/>
    <w:rsid w:val="00B106CD"/>
    <w:rsid w:val="00B10827"/>
    <w:rsid w:val="00B10B1A"/>
    <w:rsid w:val="00B10E5A"/>
    <w:rsid w:val="00B10F3E"/>
    <w:rsid w:val="00B10F44"/>
    <w:rsid w:val="00B10FB2"/>
    <w:rsid w:val="00B11250"/>
    <w:rsid w:val="00B112BF"/>
    <w:rsid w:val="00B11378"/>
    <w:rsid w:val="00B114DF"/>
    <w:rsid w:val="00B119F1"/>
    <w:rsid w:val="00B11BE0"/>
    <w:rsid w:val="00B11CB2"/>
    <w:rsid w:val="00B11CC3"/>
    <w:rsid w:val="00B11FEC"/>
    <w:rsid w:val="00B12009"/>
    <w:rsid w:val="00B12692"/>
    <w:rsid w:val="00B12752"/>
    <w:rsid w:val="00B12DE5"/>
    <w:rsid w:val="00B13096"/>
    <w:rsid w:val="00B1327F"/>
    <w:rsid w:val="00B132D5"/>
    <w:rsid w:val="00B1332E"/>
    <w:rsid w:val="00B13390"/>
    <w:rsid w:val="00B13698"/>
    <w:rsid w:val="00B137BE"/>
    <w:rsid w:val="00B13966"/>
    <w:rsid w:val="00B139D1"/>
    <w:rsid w:val="00B13ABC"/>
    <w:rsid w:val="00B13DC7"/>
    <w:rsid w:val="00B13FD1"/>
    <w:rsid w:val="00B13FDE"/>
    <w:rsid w:val="00B141ED"/>
    <w:rsid w:val="00B14480"/>
    <w:rsid w:val="00B147E7"/>
    <w:rsid w:val="00B14B4F"/>
    <w:rsid w:val="00B14C43"/>
    <w:rsid w:val="00B14C4E"/>
    <w:rsid w:val="00B14E9D"/>
    <w:rsid w:val="00B1500A"/>
    <w:rsid w:val="00B151C0"/>
    <w:rsid w:val="00B152B8"/>
    <w:rsid w:val="00B157F9"/>
    <w:rsid w:val="00B15BEA"/>
    <w:rsid w:val="00B15ECC"/>
    <w:rsid w:val="00B1622A"/>
    <w:rsid w:val="00B16621"/>
    <w:rsid w:val="00B1664A"/>
    <w:rsid w:val="00B167FE"/>
    <w:rsid w:val="00B16C3A"/>
    <w:rsid w:val="00B16CFC"/>
    <w:rsid w:val="00B16D11"/>
    <w:rsid w:val="00B16D7E"/>
    <w:rsid w:val="00B16FFC"/>
    <w:rsid w:val="00B171EE"/>
    <w:rsid w:val="00B172D1"/>
    <w:rsid w:val="00B173FC"/>
    <w:rsid w:val="00B1745D"/>
    <w:rsid w:val="00B17573"/>
    <w:rsid w:val="00B177CD"/>
    <w:rsid w:val="00B17B33"/>
    <w:rsid w:val="00B17B4C"/>
    <w:rsid w:val="00B17B7B"/>
    <w:rsid w:val="00B17ED1"/>
    <w:rsid w:val="00B17F99"/>
    <w:rsid w:val="00B20397"/>
    <w:rsid w:val="00B20850"/>
    <w:rsid w:val="00B208EE"/>
    <w:rsid w:val="00B2093C"/>
    <w:rsid w:val="00B20ED1"/>
    <w:rsid w:val="00B20F74"/>
    <w:rsid w:val="00B21196"/>
    <w:rsid w:val="00B21392"/>
    <w:rsid w:val="00B21610"/>
    <w:rsid w:val="00B21975"/>
    <w:rsid w:val="00B21BE9"/>
    <w:rsid w:val="00B21C67"/>
    <w:rsid w:val="00B21D0F"/>
    <w:rsid w:val="00B226B1"/>
    <w:rsid w:val="00B2284C"/>
    <w:rsid w:val="00B229DB"/>
    <w:rsid w:val="00B22A35"/>
    <w:rsid w:val="00B22A4A"/>
    <w:rsid w:val="00B22D23"/>
    <w:rsid w:val="00B22F45"/>
    <w:rsid w:val="00B22FC3"/>
    <w:rsid w:val="00B230BC"/>
    <w:rsid w:val="00B230FE"/>
    <w:rsid w:val="00B23319"/>
    <w:rsid w:val="00B233FD"/>
    <w:rsid w:val="00B23624"/>
    <w:rsid w:val="00B237AB"/>
    <w:rsid w:val="00B23A7F"/>
    <w:rsid w:val="00B23C6E"/>
    <w:rsid w:val="00B23EA4"/>
    <w:rsid w:val="00B23FD4"/>
    <w:rsid w:val="00B24223"/>
    <w:rsid w:val="00B246CE"/>
    <w:rsid w:val="00B24842"/>
    <w:rsid w:val="00B24935"/>
    <w:rsid w:val="00B24B4A"/>
    <w:rsid w:val="00B24C43"/>
    <w:rsid w:val="00B2520A"/>
    <w:rsid w:val="00B25211"/>
    <w:rsid w:val="00B25240"/>
    <w:rsid w:val="00B2532E"/>
    <w:rsid w:val="00B2534D"/>
    <w:rsid w:val="00B2556C"/>
    <w:rsid w:val="00B25805"/>
    <w:rsid w:val="00B259E1"/>
    <w:rsid w:val="00B25E97"/>
    <w:rsid w:val="00B26369"/>
    <w:rsid w:val="00B26388"/>
    <w:rsid w:val="00B26390"/>
    <w:rsid w:val="00B263FD"/>
    <w:rsid w:val="00B26699"/>
    <w:rsid w:val="00B2681E"/>
    <w:rsid w:val="00B26840"/>
    <w:rsid w:val="00B269BE"/>
    <w:rsid w:val="00B26B57"/>
    <w:rsid w:val="00B26BE1"/>
    <w:rsid w:val="00B26F0A"/>
    <w:rsid w:val="00B27058"/>
    <w:rsid w:val="00B27179"/>
    <w:rsid w:val="00B271BE"/>
    <w:rsid w:val="00B2727F"/>
    <w:rsid w:val="00B27338"/>
    <w:rsid w:val="00B273E7"/>
    <w:rsid w:val="00B274D9"/>
    <w:rsid w:val="00B275F2"/>
    <w:rsid w:val="00B27812"/>
    <w:rsid w:val="00B278C4"/>
    <w:rsid w:val="00B27BE9"/>
    <w:rsid w:val="00B27F2E"/>
    <w:rsid w:val="00B27F6E"/>
    <w:rsid w:val="00B27FD0"/>
    <w:rsid w:val="00B3022A"/>
    <w:rsid w:val="00B30614"/>
    <w:rsid w:val="00B30651"/>
    <w:rsid w:val="00B30676"/>
    <w:rsid w:val="00B3070F"/>
    <w:rsid w:val="00B3080D"/>
    <w:rsid w:val="00B30838"/>
    <w:rsid w:val="00B30842"/>
    <w:rsid w:val="00B308B9"/>
    <w:rsid w:val="00B30A55"/>
    <w:rsid w:val="00B30AAB"/>
    <w:rsid w:val="00B30C52"/>
    <w:rsid w:val="00B30D5B"/>
    <w:rsid w:val="00B312EE"/>
    <w:rsid w:val="00B31355"/>
    <w:rsid w:val="00B31533"/>
    <w:rsid w:val="00B31597"/>
    <w:rsid w:val="00B31691"/>
    <w:rsid w:val="00B316C8"/>
    <w:rsid w:val="00B31AA7"/>
    <w:rsid w:val="00B31ACB"/>
    <w:rsid w:val="00B31C0A"/>
    <w:rsid w:val="00B31EE5"/>
    <w:rsid w:val="00B321F3"/>
    <w:rsid w:val="00B3228B"/>
    <w:rsid w:val="00B32514"/>
    <w:rsid w:val="00B3253A"/>
    <w:rsid w:val="00B32850"/>
    <w:rsid w:val="00B32A2D"/>
    <w:rsid w:val="00B32A4B"/>
    <w:rsid w:val="00B32BF0"/>
    <w:rsid w:val="00B32C36"/>
    <w:rsid w:val="00B32D56"/>
    <w:rsid w:val="00B33152"/>
    <w:rsid w:val="00B333F7"/>
    <w:rsid w:val="00B3382B"/>
    <w:rsid w:val="00B33ADE"/>
    <w:rsid w:val="00B33B56"/>
    <w:rsid w:val="00B33BF1"/>
    <w:rsid w:val="00B33D27"/>
    <w:rsid w:val="00B33FC6"/>
    <w:rsid w:val="00B34387"/>
    <w:rsid w:val="00B3453F"/>
    <w:rsid w:val="00B34667"/>
    <w:rsid w:val="00B34844"/>
    <w:rsid w:val="00B348DC"/>
    <w:rsid w:val="00B349E9"/>
    <w:rsid w:val="00B349F2"/>
    <w:rsid w:val="00B34C6B"/>
    <w:rsid w:val="00B34C77"/>
    <w:rsid w:val="00B34D91"/>
    <w:rsid w:val="00B34E03"/>
    <w:rsid w:val="00B352D4"/>
    <w:rsid w:val="00B35349"/>
    <w:rsid w:val="00B353B8"/>
    <w:rsid w:val="00B3540A"/>
    <w:rsid w:val="00B356E8"/>
    <w:rsid w:val="00B3574F"/>
    <w:rsid w:val="00B35758"/>
    <w:rsid w:val="00B35A79"/>
    <w:rsid w:val="00B35B17"/>
    <w:rsid w:val="00B35E88"/>
    <w:rsid w:val="00B36108"/>
    <w:rsid w:val="00B36226"/>
    <w:rsid w:val="00B3679E"/>
    <w:rsid w:val="00B3688D"/>
    <w:rsid w:val="00B369C0"/>
    <w:rsid w:val="00B36B10"/>
    <w:rsid w:val="00B36E7A"/>
    <w:rsid w:val="00B37084"/>
    <w:rsid w:val="00B370D8"/>
    <w:rsid w:val="00B370E6"/>
    <w:rsid w:val="00B371B5"/>
    <w:rsid w:val="00B373A3"/>
    <w:rsid w:val="00B37438"/>
    <w:rsid w:val="00B374B6"/>
    <w:rsid w:val="00B3765B"/>
    <w:rsid w:val="00B377A7"/>
    <w:rsid w:val="00B3792C"/>
    <w:rsid w:val="00B37964"/>
    <w:rsid w:val="00B379A8"/>
    <w:rsid w:val="00B379BF"/>
    <w:rsid w:val="00B379CF"/>
    <w:rsid w:val="00B37A08"/>
    <w:rsid w:val="00B37A25"/>
    <w:rsid w:val="00B37B90"/>
    <w:rsid w:val="00B37D53"/>
    <w:rsid w:val="00B37F41"/>
    <w:rsid w:val="00B400D8"/>
    <w:rsid w:val="00B40261"/>
    <w:rsid w:val="00B40275"/>
    <w:rsid w:val="00B404CE"/>
    <w:rsid w:val="00B40544"/>
    <w:rsid w:val="00B406E0"/>
    <w:rsid w:val="00B406F7"/>
    <w:rsid w:val="00B40838"/>
    <w:rsid w:val="00B4092D"/>
    <w:rsid w:val="00B40CF0"/>
    <w:rsid w:val="00B40D3B"/>
    <w:rsid w:val="00B40EFE"/>
    <w:rsid w:val="00B4169F"/>
    <w:rsid w:val="00B41825"/>
    <w:rsid w:val="00B419A4"/>
    <w:rsid w:val="00B41A0F"/>
    <w:rsid w:val="00B41CE3"/>
    <w:rsid w:val="00B41D5C"/>
    <w:rsid w:val="00B41DB4"/>
    <w:rsid w:val="00B41E5D"/>
    <w:rsid w:val="00B41E9B"/>
    <w:rsid w:val="00B42402"/>
    <w:rsid w:val="00B4251B"/>
    <w:rsid w:val="00B428B5"/>
    <w:rsid w:val="00B42A25"/>
    <w:rsid w:val="00B42BE3"/>
    <w:rsid w:val="00B42C15"/>
    <w:rsid w:val="00B42FDB"/>
    <w:rsid w:val="00B42FFC"/>
    <w:rsid w:val="00B43103"/>
    <w:rsid w:val="00B433F0"/>
    <w:rsid w:val="00B43612"/>
    <w:rsid w:val="00B439E0"/>
    <w:rsid w:val="00B444D7"/>
    <w:rsid w:val="00B44524"/>
    <w:rsid w:val="00B4458C"/>
    <w:rsid w:val="00B44769"/>
    <w:rsid w:val="00B44C6B"/>
    <w:rsid w:val="00B44DA3"/>
    <w:rsid w:val="00B44E21"/>
    <w:rsid w:val="00B44F22"/>
    <w:rsid w:val="00B45248"/>
    <w:rsid w:val="00B454E6"/>
    <w:rsid w:val="00B455BC"/>
    <w:rsid w:val="00B45822"/>
    <w:rsid w:val="00B45896"/>
    <w:rsid w:val="00B45AC6"/>
    <w:rsid w:val="00B45B22"/>
    <w:rsid w:val="00B460AA"/>
    <w:rsid w:val="00B46631"/>
    <w:rsid w:val="00B4675D"/>
    <w:rsid w:val="00B46820"/>
    <w:rsid w:val="00B46848"/>
    <w:rsid w:val="00B46914"/>
    <w:rsid w:val="00B46996"/>
    <w:rsid w:val="00B469CF"/>
    <w:rsid w:val="00B469EB"/>
    <w:rsid w:val="00B46B4A"/>
    <w:rsid w:val="00B470A9"/>
    <w:rsid w:val="00B47195"/>
    <w:rsid w:val="00B471D8"/>
    <w:rsid w:val="00B4725E"/>
    <w:rsid w:val="00B472F0"/>
    <w:rsid w:val="00B474F3"/>
    <w:rsid w:val="00B475B7"/>
    <w:rsid w:val="00B47683"/>
    <w:rsid w:val="00B477E4"/>
    <w:rsid w:val="00B47B03"/>
    <w:rsid w:val="00B47B69"/>
    <w:rsid w:val="00B47BA2"/>
    <w:rsid w:val="00B47C3A"/>
    <w:rsid w:val="00B47C79"/>
    <w:rsid w:val="00B47CAA"/>
    <w:rsid w:val="00B47CF8"/>
    <w:rsid w:val="00B47DB2"/>
    <w:rsid w:val="00B47DBC"/>
    <w:rsid w:val="00B47DD9"/>
    <w:rsid w:val="00B50102"/>
    <w:rsid w:val="00B501C2"/>
    <w:rsid w:val="00B5028B"/>
    <w:rsid w:val="00B5028D"/>
    <w:rsid w:val="00B5042D"/>
    <w:rsid w:val="00B507B6"/>
    <w:rsid w:val="00B50A9C"/>
    <w:rsid w:val="00B50B84"/>
    <w:rsid w:val="00B50F98"/>
    <w:rsid w:val="00B50FFD"/>
    <w:rsid w:val="00B51021"/>
    <w:rsid w:val="00B511B1"/>
    <w:rsid w:val="00B5127D"/>
    <w:rsid w:val="00B512C0"/>
    <w:rsid w:val="00B513C1"/>
    <w:rsid w:val="00B51514"/>
    <w:rsid w:val="00B517CD"/>
    <w:rsid w:val="00B5194A"/>
    <w:rsid w:val="00B51A00"/>
    <w:rsid w:val="00B51AF9"/>
    <w:rsid w:val="00B51D93"/>
    <w:rsid w:val="00B51DCF"/>
    <w:rsid w:val="00B52504"/>
    <w:rsid w:val="00B5255E"/>
    <w:rsid w:val="00B52627"/>
    <w:rsid w:val="00B5279D"/>
    <w:rsid w:val="00B5279F"/>
    <w:rsid w:val="00B527CE"/>
    <w:rsid w:val="00B528C7"/>
    <w:rsid w:val="00B529EF"/>
    <w:rsid w:val="00B52D5D"/>
    <w:rsid w:val="00B52D82"/>
    <w:rsid w:val="00B52E2B"/>
    <w:rsid w:val="00B52EC6"/>
    <w:rsid w:val="00B5328D"/>
    <w:rsid w:val="00B53334"/>
    <w:rsid w:val="00B538BD"/>
    <w:rsid w:val="00B53D54"/>
    <w:rsid w:val="00B53F1B"/>
    <w:rsid w:val="00B53F86"/>
    <w:rsid w:val="00B542DC"/>
    <w:rsid w:val="00B545D6"/>
    <w:rsid w:val="00B54784"/>
    <w:rsid w:val="00B5478E"/>
    <w:rsid w:val="00B54880"/>
    <w:rsid w:val="00B54967"/>
    <w:rsid w:val="00B54EC8"/>
    <w:rsid w:val="00B54ED7"/>
    <w:rsid w:val="00B55085"/>
    <w:rsid w:val="00B5528C"/>
    <w:rsid w:val="00B55478"/>
    <w:rsid w:val="00B555F8"/>
    <w:rsid w:val="00B5562A"/>
    <w:rsid w:val="00B5562C"/>
    <w:rsid w:val="00B55709"/>
    <w:rsid w:val="00B558E3"/>
    <w:rsid w:val="00B559E7"/>
    <w:rsid w:val="00B55A00"/>
    <w:rsid w:val="00B55AE1"/>
    <w:rsid w:val="00B55C13"/>
    <w:rsid w:val="00B55F6C"/>
    <w:rsid w:val="00B56015"/>
    <w:rsid w:val="00B561CA"/>
    <w:rsid w:val="00B562A3"/>
    <w:rsid w:val="00B565C1"/>
    <w:rsid w:val="00B56726"/>
    <w:rsid w:val="00B56B16"/>
    <w:rsid w:val="00B56BD3"/>
    <w:rsid w:val="00B56DEB"/>
    <w:rsid w:val="00B56E26"/>
    <w:rsid w:val="00B5709E"/>
    <w:rsid w:val="00B5735E"/>
    <w:rsid w:val="00B5766F"/>
    <w:rsid w:val="00B57702"/>
    <w:rsid w:val="00B578DC"/>
    <w:rsid w:val="00B57DBB"/>
    <w:rsid w:val="00B601F5"/>
    <w:rsid w:val="00B60204"/>
    <w:rsid w:val="00B609BD"/>
    <w:rsid w:val="00B609E7"/>
    <w:rsid w:val="00B60B72"/>
    <w:rsid w:val="00B60DB6"/>
    <w:rsid w:val="00B60E86"/>
    <w:rsid w:val="00B61197"/>
    <w:rsid w:val="00B6123B"/>
    <w:rsid w:val="00B6128B"/>
    <w:rsid w:val="00B61305"/>
    <w:rsid w:val="00B615D2"/>
    <w:rsid w:val="00B6163F"/>
    <w:rsid w:val="00B61779"/>
    <w:rsid w:val="00B6179E"/>
    <w:rsid w:val="00B617AB"/>
    <w:rsid w:val="00B6181E"/>
    <w:rsid w:val="00B61D86"/>
    <w:rsid w:val="00B6213E"/>
    <w:rsid w:val="00B6223E"/>
    <w:rsid w:val="00B624FB"/>
    <w:rsid w:val="00B62504"/>
    <w:rsid w:val="00B62823"/>
    <w:rsid w:val="00B62836"/>
    <w:rsid w:val="00B628AC"/>
    <w:rsid w:val="00B62A85"/>
    <w:rsid w:val="00B62D8D"/>
    <w:rsid w:val="00B62E52"/>
    <w:rsid w:val="00B62F41"/>
    <w:rsid w:val="00B6305D"/>
    <w:rsid w:val="00B632E4"/>
    <w:rsid w:val="00B6351C"/>
    <w:rsid w:val="00B636D2"/>
    <w:rsid w:val="00B63734"/>
    <w:rsid w:val="00B6382C"/>
    <w:rsid w:val="00B639B5"/>
    <w:rsid w:val="00B63FC3"/>
    <w:rsid w:val="00B641AD"/>
    <w:rsid w:val="00B642D6"/>
    <w:rsid w:val="00B6438B"/>
    <w:rsid w:val="00B64470"/>
    <w:rsid w:val="00B64471"/>
    <w:rsid w:val="00B646F1"/>
    <w:rsid w:val="00B64EA9"/>
    <w:rsid w:val="00B64EEA"/>
    <w:rsid w:val="00B64FB4"/>
    <w:rsid w:val="00B64FE7"/>
    <w:rsid w:val="00B650EC"/>
    <w:rsid w:val="00B6519F"/>
    <w:rsid w:val="00B65456"/>
    <w:rsid w:val="00B65629"/>
    <w:rsid w:val="00B65A21"/>
    <w:rsid w:val="00B65C78"/>
    <w:rsid w:val="00B65CF3"/>
    <w:rsid w:val="00B65D5D"/>
    <w:rsid w:val="00B65DBB"/>
    <w:rsid w:val="00B65ED7"/>
    <w:rsid w:val="00B66012"/>
    <w:rsid w:val="00B660A8"/>
    <w:rsid w:val="00B66249"/>
    <w:rsid w:val="00B66602"/>
    <w:rsid w:val="00B666AE"/>
    <w:rsid w:val="00B6671F"/>
    <w:rsid w:val="00B66827"/>
    <w:rsid w:val="00B66917"/>
    <w:rsid w:val="00B66A16"/>
    <w:rsid w:val="00B66B87"/>
    <w:rsid w:val="00B66D2B"/>
    <w:rsid w:val="00B66F35"/>
    <w:rsid w:val="00B66F8A"/>
    <w:rsid w:val="00B673EC"/>
    <w:rsid w:val="00B678B5"/>
    <w:rsid w:val="00B67EC8"/>
    <w:rsid w:val="00B70115"/>
    <w:rsid w:val="00B70197"/>
    <w:rsid w:val="00B70253"/>
    <w:rsid w:val="00B70419"/>
    <w:rsid w:val="00B7046D"/>
    <w:rsid w:val="00B704BA"/>
    <w:rsid w:val="00B7068A"/>
    <w:rsid w:val="00B70926"/>
    <w:rsid w:val="00B70B16"/>
    <w:rsid w:val="00B712C5"/>
    <w:rsid w:val="00B714A1"/>
    <w:rsid w:val="00B71517"/>
    <w:rsid w:val="00B71634"/>
    <w:rsid w:val="00B71B14"/>
    <w:rsid w:val="00B71D53"/>
    <w:rsid w:val="00B71DBB"/>
    <w:rsid w:val="00B72166"/>
    <w:rsid w:val="00B72229"/>
    <w:rsid w:val="00B722F8"/>
    <w:rsid w:val="00B72349"/>
    <w:rsid w:val="00B7290C"/>
    <w:rsid w:val="00B729F2"/>
    <w:rsid w:val="00B72A56"/>
    <w:rsid w:val="00B72C59"/>
    <w:rsid w:val="00B72D05"/>
    <w:rsid w:val="00B72EEE"/>
    <w:rsid w:val="00B7316E"/>
    <w:rsid w:val="00B73205"/>
    <w:rsid w:val="00B739C6"/>
    <w:rsid w:val="00B739D0"/>
    <w:rsid w:val="00B742A4"/>
    <w:rsid w:val="00B744E8"/>
    <w:rsid w:val="00B7469D"/>
    <w:rsid w:val="00B747C8"/>
    <w:rsid w:val="00B747E0"/>
    <w:rsid w:val="00B7496C"/>
    <w:rsid w:val="00B74A23"/>
    <w:rsid w:val="00B74B20"/>
    <w:rsid w:val="00B74C1F"/>
    <w:rsid w:val="00B74F93"/>
    <w:rsid w:val="00B7500F"/>
    <w:rsid w:val="00B75038"/>
    <w:rsid w:val="00B75044"/>
    <w:rsid w:val="00B75271"/>
    <w:rsid w:val="00B75361"/>
    <w:rsid w:val="00B75588"/>
    <w:rsid w:val="00B755B3"/>
    <w:rsid w:val="00B756CA"/>
    <w:rsid w:val="00B758AC"/>
    <w:rsid w:val="00B75C71"/>
    <w:rsid w:val="00B75DB6"/>
    <w:rsid w:val="00B75E9D"/>
    <w:rsid w:val="00B75EBC"/>
    <w:rsid w:val="00B75EF1"/>
    <w:rsid w:val="00B76051"/>
    <w:rsid w:val="00B760D8"/>
    <w:rsid w:val="00B76143"/>
    <w:rsid w:val="00B76427"/>
    <w:rsid w:val="00B7664B"/>
    <w:rsid w:val="00B76746"/>
    <w:rsid w:val="00B76756"/>
    <w:rsid w:val="00B7675E"/>
    <w:rsid w:val="00B7676C"/>
    <w:rsid w:val="00B76F7C"/>
    <w:rsid w:val="00B770A3"/>
    <w:rsid w:val="00B77653"/>
    <w:rsid w:val="00B77702"/>
    <w:rsid w:val="00B777A2"/>
    <w:rsid w:val="00B77A99"/>
    <w:rsid w:val="00B77C23"/>
    <w:rsid w:val="00B77F2F"/>
    <w:rsid w:val="00B800CE"/>
    <w:rsid w:val="00B80307"/>
    <w:rsid w:val="00B80354"/>
    <w:rsid w:val="00B803D4"/>
    <w:rsid w:val="00B805E3"/>
    <w:rsid w:val="00B80769"/>
    <w:rsid w:val="00B809F9"/>
    <w:rsid w:val="00B809FF"/>
    <w:rsid w:val="00B80A64"/>
    <w:rsid w:val="00B80DB5"/>
    <w:rsid w:val="00B80EE7"/>
    <w:rsid w:val="00B811E3"/>
    <w:rsid w:val="00B81339"/>
    <w:rsid w:val="00B815A4"/>
    <w:rsid w:val="00B81666"/>
    <w:rsid w:val="00B81917"/>
    <w:rsid w:val="00B819EA"/>
    <w:rsid w:val="00B81A38"/>
    <w:rsid w:val="00B81AAE"/>
    <w:rsid w:val="00B81CDC"/>
    <w:rsid w:val="00B81D99"/>
    <w:rsid w:val="00B822E9"/>
    <w:rsid w:val="00B82414"/>
    <w:rsid w:val="00B8259E"/>
    <w:rsid w:val="00B82644"/>
    <w:rsid w:val="00B827DE"/>
    <w:rsid w:val="00B829C6"/>
    <w:rsid w:val="00B829FA"/>
    <w:rsid w:val="00B82A67"/>
    <w:rsid w:val="00B82D09"/>
    <w:rsid w:val="00B82D0C"/>
    <w:rsid w:val="00B82EAC"/>
    <w:rsid w:val="00B82FEE"/>
    <w:rsid w:val="00B8346F"/>
    <w:rsid w:val="00B837DF"/>
    <w:rsid w:val="00B8389D"/>
    <w:rsid w:val="00B83986"/>
    <w:rsid w:val="00B83A79"/>
    <w:rsid w:val="00B83C18"/>
    <w:rsid w:val="00B83D39"/>
    <w:rsid w:val="00B83E9D"/>
    <w:rsid w:val="00B84042"/>
    <w:rsid w:val="00B841E3"/>
    <w:rsid w:val="00B84202"/>
    <w:rsid w:val="00B84220"/>
    <w:rsid w:val="00B8452B"/>
    <w:rsid w:val="00B845B6"/>
    <w:rsid w:val="00B84785"/>
    <w:rsid w:val="00B847A2"/>
    <w:rsid w:val="00B847F4"/>
    <w:rsid w:val="00B84A99"/>
    <w:rsid w:val="00B84BE1"/>
    <w:rsid w:val="00B84F06"/>
    <w:rsid w:val="00B84F44"/>
    <w:rsid w:val="00B85168"/>
    <w:rsid w:val="00B8541E"/>
    <w:rsid w:val="00B854E3"/>
    <w:rsid w:val="00B855BF"/>
    <w:rsid w:val="00B855FE"/>
    <w:rsid w:val="00B856EF"/>
    <w:rsid w:val="00B857D2"/>
    <w:rsid w:val="00B858D5"/>
    <w:rsid w:val="00B85AB2"/>
    <w:rsid w:val="00B85DBD"/>
    <w:rsid w:val="00B85E2D"/>
    <w:rsid w:val="00B85E4D"/>
    <w:rsid w:val="00B85F6D"/>
    <w:rsid w:val="00B860D0"/>
    <w:rsid w:val="00B8625F"/>
    <w:rsid w:val="00B862CB"/>
    <w:rsid w:val="00B86A28"/>
    <w:rsid w:val="00B86A9F"/>
    <w:rsid w:val="00B86B2E"/>
    <w:rsid w:val="00B86C60"/>
    <w:rsid w:val="00B86DA3"/>
    <w:rsid w:val="00B86E08"/>
    <w:rsid w:val="00B86E4B"/>
    <w:rsid w:val="00B870FC"/>
    <w:rsid w:val="00B8710A"/>
    <w:rsid w:val="00B8725B"/>
    <w:rsid w:val="00B8744E"/>
    <w:rsid w:val="00B8749B"/>
    <w:rsid w:val="00B87509"/>
    <w:rsid w:val="00B87605"/>
    <w:rsid w:val="00B87866"/>
    <w:rsid w:val="00B87C93"/>
    <w:rsid w:val="00B87E64"/>
    <w:rsid w:val="00B87FFC"/>
    <w:rsid w:val="00B90120"/>
    <w:rsid w:val="00B901BF"/>
    <w:rsid w:val="00B90279"/>
    <w:rsid w:val="00B90719"/>
    <w:rsid w:val="00B9085F"/>
    <w:rsid w:val="00B90941"/>
    <w:rsid w:val="00B90B21"/>
    <w:rsid w:val="00B90D08"/>
    <w:rsid w:val="00B90D57"/>
    <w:rsid w:val="00B90D88"/>
    <w:rsid w:val="00B90EFE"/>
    <w:rsid w:val="00B90F21"/>
    <w:rsid w:val="00B90F63"/>
    <w:rsid w:val="00B91103"/>
    <w:rsid w:val="00B911FF"/>
    <w:rsid w:val="00B91483"/>
    <w:rsid w:val="00B91493"/>
    <w:rsid w:val="00B915E6"/>
    <w:rsid w:val="00B917EB"/>
    <w:rsid w:val="00B918CD"/>
    <w:rsid w:val="00B91CFA"/>
    <w:rsid w:val="00B91F6A"/>
    <w:rsid w:val="00B9216A"/>
    <w:rsid w:val="00B92413"/>
    <w:rsid w:val="00B924F0"/>
    <w:rsid w:val="00B92530"/>
    <w:rsid w:val="00B927D1"/>
    <w:rsid w:val="00B92BDF"/>
    <w:rsid w:val="00B92E98"/>
    <w:rsid w:val="00B9319A"/>
    <w:rsid w:val="00B9325D"/>
    <w:rsid w:val="00B93273"/>
    <w:rsid w:val="00B938D2"/>
    <w:rsid w:val="00B93C70"/>
    <w:rsid w:val="00B942D0"/>
    <w:rsid w:val="00B9461E"/>
    <w:rsid w:val="00B94756"/>
    <w:rsid w:val="00B94870"/>
    <w:rsid w:val="00B94B00"/>
    <w:rsid w:val="00B94CAE"/>
    <w:rsid w:val="00B94CDD"/>
    <w:rsid w:val="00B94F21"/>
    <w:rsid w:val="00B9502B"/>
    <w:rsid w:val="00B950A3"/>
    <w:rsid w:val="00B9514E"/>
    <w:rsid w:val="00B951C5"/>
    <w:rsid w:val="00B954F0"/>
    <w:rsid w:val="00B9579C"/>
    <w:rsid w:val="00B95BD1"/>
    <w:rsid w:val="00B95C73"/>
    <w:rsid w:val="00B95E18"/>
    <w:rsid w:val="00B95EBF"/>
    <w:rsid w:val="00B95FAA"/>
    <w:rsid w:val="00B96176"/>
    <w:rsid w:val="00B96183"/>
    <w:rsid w:val="00B96657"/>
    <w:rsid w:val="00B9668D"/>
    <w:rsid w:val="00B9669F"/>
    <w:rsid w:val="00B966EF"/>
    <w:rsid w:val="00B96AA2"/>
    <w:rsid w:val="00B96B18"/>
    <w:rsid w:val="00B96BC8"/>
    <w:rsid w:val="00B96E5A"/>
    <w:rsid w:val="00B97207"/>
    <w:rsid w:val="00B97246"/>
    <w:rsid w:val="00B9767E"/>
    <w:rsid w:val="00B976DC"/>
    <w:rsid w:val="00B97742"/>
    <w:rsid w:val="00B97753"/>
    <w:rsid w:val="00B97870"/>
    <w:rsid w:val="00B979A4"/>
    <w:rsid w:val="00B97B52"/>
    <w:rsid w:val="00B97D80"/>
    <w:rsid w:val="00B97FB4"/>
    <w:rsid w:val="00BA0156"/>
    <w:rsid w:val="00BA01FF"/>
    <w:rsid w:val="00BA046E"/>
    <w:rsid w:val="00BA0676"/>
    <w:rsid w:val="00BA0777"/>
    <w:rsid w:val="00BA0864"/>
    <w:rsid w:val="00BA094E"/>
    <w:rsid w:val="00BA0A3A"/>
    <w:rsid w:val="00BA0AF6"/>
    <w:rsid w:val="00BA0B43"/>
    <w:rsid w:val="00BA10EA"/>
    <w:rsid w:val="00BA1136"/>
    <w:rsid w:val="00BA127C"/>
    <w:rsid w:val="00BA1424"/>
    <w:rsid w:val="00BA182F"/>
    <w:rsid w:val="00BA1CA4"/>
    <w:rsid w:val="00BA1E60"/>
    <w:rsid w:val="00BA1E99"/>
    <w:rsid w:val="00BA1F1F"/>
    <w:rsid w:val="00BA1F2D"/>
    <w:rsid w:val="00BA1FA6"/>
    <w:rsid w:val="00BA20D9"/>
    <w:rsid w:val="00BA213A"/>
    <w:rsid w:val="00BA2341"/>
    <w:rsid w:val="00BA26FF"/>
    <w:rsid w:val="00BA2710"/>
    <w:rsid w:val="00BA27BA"/>
    <w:rsid w:val="00BA27CD"/>
    <w:rsid w:val="00BA2924"/>
    <w:rsid w:val="00BA2A66"/>
    <w:rsid w:val="00BA2A96"/>
    <w:rsid w:val="00BA2C74"/>
    <w:rsid w:val="00BA2D05"/>
    <w:rsid w:val="00BA2E7A"/>
    <w:rsid w:val="00BA2FB8"/>
    <w:rsid w:val="00BA3458"/>
    <w:rsid w:val="00BA359A"/>
    <w:rsid w:val="00BA370D"/>
    <w:rsid w:val="00BA38DA"/>
    <w:rsid w:val="00BA3C09"/>
    <w:rsid w:val="00BA3E5B"/>
    <w:rsid w:val="00BA3F6C"/>
    <w:rsid w:val="00BA44E5"/>
    <w:rsid w:val="00BA49AE"/>
    <w:rsid w:val="00BA49F7"/>
    <w:rsid w:val="00BA4A10"/>
    <w:rsid w:val="00BA4B78"/>
    <w:rsid w:val="00BA4D62"/>
    <w:rsid w:val="00BA4EAB"/>
    <w:rsid w:val="00BA5077"/>
    <w:rsid w:val="00BA50AB"/>
    <w:rsid w:val="00BA50ED"/>
    <w:rsid w:val="00BA52AF"/>
    <w:rsid w:val="00BA53D6"/>
    <w:rsid w:val="00BA548C"/>
    <w:rsid w:val="00BA5877"/>
    <w:rsid w:val="00BA5BAE"/>
    <w:rsid w:val="00BA5BC2"/>
    <w:rsid w:val="00BA5BD3"/>
    <w:rsid w:val="00BA5D50"/>
    <w:rsid w:val="00BA5DEB"/>
    <w:rsid w:val="00BA5FD3"/>
    <w:rsid w:val="00BA60ED"/>
    <w:rsid w:val="00BA664D"/>
    <w:rsid w:val="00BA691D"/>
    <w:rsid w:val="00BA6A34"/>
    <w:rsid w:val="00BA708B"/>
    <w:rsid w:val="00BA7118"/>
    <w:rsid w:val="00BA7167"/>
    <w:rsid w:val="00BA7259"/>
    <w:rsid w:val="00BA7269"/>
    <w:rsid w:val="00BA745B"/>
    <w:rsid w:val="00BA75D4"/>
    <w:rsid w:val="00BA7787"/>
    <w:rsid w:val="00BA7907"/>
    <w:rsid w:val="00BA7C7A"/>
    <w:rsid w:val="00BA7E93"/>
    <w:rsid w:val="00BA7E9B"/>
    <w:rsid w:val="00BA7F6E"/>
    <w:rsid w:val="00BA7FBE"/>
    <w:rsid w:val="00BA7FEE"/>
    <w:rsid w:val="00BA8E51"/>
    <w:rsid w:val="00BAB652"/>
    <w:rsid w:val="00BAF463"/>
    <w:rsid w:val="00BB0282"/>
    <w:rsid w:val="00BB0339"/>
    <w:rsid w:val="00BB03CA"/>
    <w:rsid w:val="00BB0404"/>
    <w:rsid w:val="00BB04EE"/>
    <w:rsid w:val="00BB0591"/>
    <w:rsid w:val="00BB05FB"/>
    <w:rsid w:val="00BB087D"/>
    <w:rsid w:val="00BB08FE"/>
    <w:rsid w:val="00BB0979"/>
    <w:rsid w:val="00BB0AEE"/>
    <w:rsid w:val="00BB0B82"/>
    <w:rsid w:val="00BB0C48"/>
    <w:rsid w:val="00BB0C55"/>
    <w:rsid w:val="00BB0CC3"/>
    <w:rsid w:val="00BB120F"/>
    <w:rsid w:val="00BB13DC"/>
    <w:rsid w:val="00BB1421"/>
    <w:rsid w:val="00BB17EC"/>
    <w:rsid w:val="00BB183D"/>
    <w:rsid w:val="00BB1A80"/>
    <w:rsid w:val="00BB1B5E"/>
    <w:rsid w:val="00BB1E56"/>
    <w:rsid w:val="00BB1F39"/>
    <w:rsid w:val="00BB20D4"/>
    <w:rsid w:val="00BB21D6"/>
    <w:rsid w:val="00BB2317"/>
    <w:rsid w:val="00BB2365"/>
    <w:rsid w:val="00BB2454"/>
    <w:rsid w:val="00BB2539"/>
    <w:rsid w:val="00BB261B"/>
    <w:rsid w:val="00BB2902"/>
    <w:rsid w:val="00BB2A13"/>
    <w:rsid w:val="00BB2A6D"/>
    <w:rsid w:val="00BB2D44"/>
    <w:rsid w:val="00BB303A"/>
    <w:rsid w:val="00BB3410"/>
    <w:rsid w:val="00BB343B"/>
    <w:rsid w:val="00BB3790"/>
    <w:rsid w:val="00BB38FE"/>
    <w:rsid w:val="00BB3A16"/>
    <w:rsid w:val="00BB3B27"/>
    <w:rsid w:val="00BB3BA9"/>
    <w:rsid w:val="00BB3C4E"/>
    <w:rsid w:val="00BB3C66"/>
    <w:rsid w:val="00BB3E1A"/>
    <w:rsid w:val="00BB41FD"/>
    <w:rsid w:val="00BB476D"/>
    <w:rsid w:val="00BB4DE1"/>
    <w:rsid w:val="00BB5260"/>
    <w:rsid w:val="00BB5911"/>
    <w:rsid w:val="00BB5BE9"/>
    <w:rsid w:val="00BB5D4B"/>
    <w:rsid w:val="00BB5E8D"/>
    <w:rsid w:val="00BB5EE7"/>
    <w:rsid w:val="00BB5F00"/>
    <w:rsid w:val="00BB5F04"/>
    <w:rsid w:val="00BB6315"/>
    <w:rsid w:val="00BB647D"/>
    <w:rsid w:val="00BB68FE"/>
    <w:rsid w:val="00BB697A"/>
    <w:rsid w:val="00BB69FC"/>
    <w:rsid w:val="00BB6B79"/>
    <w:rsid w:val="00BB6D32"/>
    <w:rsid w:val="00BB6D50"/>
    <w:rsid w:val="00BB6F6F"/>
    <w:rsid w:val="00BB6F99"/>
    <w:rsid w:val="00BB709A"/>
    <w:rsid w:val="00BB72FD"/>
    <w:rsid w:val="00BB75CA"/>
    <w:rsid w:val="00BB7624"/>
    <w:rsid w:val="00BB776A"/>
    <w:rsid w:val="00BB77FF"/>
    <w:rsid w:val="00BB7CDB"/>
    <w:rsid w:val="00BB7ED7"/>
    <w:rsid w:val="00BC0443"/>
    <w:rsid w:val="00BC0593"/>
    <w:rsid w:val="00BC05EB"/>
    <w:rsid w:val="00BC06FC"/>
    <w:rsid w:val="00BC074D"/>
    <w:rsid w:val="00BC0773"/>
    <w:rsid w:val="00BC0A9F"/>
    <w:rsid w:val="00BC0D51"/>
    <w:rsid w:val="00BC0DA2"/>
    <w:rsid w:val="00BC0F36"/>
    <w:rsid w:val="00BC1079"/>
    <w:rsid w:val="00BC1306"/>
    <w:rsid w:val="00BC13AB"/>
    <w:rsid w:val="00BC1759"/>
    <w:rsid w:val="00BC19F9"/>
    <w:rsid w:val="00BC1DB1"/>
    <w:rsid w:val="00BC1F74"/>
    <w:rsid w:val="00BC21C1"/>
    <w:rsid w:val="00BC22A5"/>
    <w:rsid w:val="00BC22E0"/>
    <w:rsid w:val="00BC2474"/>
    <w:rsid w:val="00BC2533"/>
    <w:rsid w:val="00BC2932"/>
    <w:rsid w:val="00BC2DDC"/>
    <w:rsid w:val="00BC2E4A"/>
    <w:rsid w:val="00BC34B5"/>
    <w:rsid w:val="00BC34C1"/>
    <w:rsid w:val="00BC350B"/>
    <w:rsid w:val="00BC35C9"/>
    <w:rsid w:val="00BC3DE4"/>
    <w:rsid w:val="00BC3DFA"/>
    <w:rsid w:val="00BC3F77"/>
    <w:rsid w:val="00BC40F0"/>
    <w:rsid w:val="00BC4303"/>
    <w:rsid w:val="00BC45F5"/>
    <w:rsid w:val="00BC4766"/>
    <w:rsid w:val="00BC4BC9"/>
    <w:rsid w:val="00BC4E0E"/>
    <w:rsid w:val="00BC4ECA"/>
    <w:rsid w:val="00BC4EED"/>
    <w:rsid w:val="00BC5235"/>
    <w:rsid w:val="00BC5331"/>
    <w:rsid w:val="00BC5738"/>
    <w:rsid w:val="00BC5AE0"/>
    <w:rsid w:val="00BC5EBD"/>
    <w:rsid w:val="00BC6009"/>
    <w:rsid w:val="00BC628F"/>
    <w:rsid w:val="00BC648F"/>
    <w:rsid w:val="00BC6AA5"/>
    <w:rsid w:val="00BC6FDB"/>
    <w:rsid w:val="00BC74AB"/>
    <w:rsid w:val="00BC7554"/>
    <w:rsid w:val="00BC7BA9"/>
    <w:rsid w:val="00BC7E64"/>
    <w:rsid w:val="00BC7E81"/>
    <w:rsid w:val="00BCA269"/>
    <w:rsid w:val="00BD0050"/>
    <w:rsid w:val="00BD0438"/>
    <w:rsid w:val="00BD049B"/>
    <w:rsid w:val="00BD04A7"/>
    <w:rsid w:val="00BD05CE"/>
    <w:rsid w:val="00BD05F6"/>
    <w:rsid w:val="00BD070C"/>
    <w:rsid w:val="00BD0A11"/>
    <w:rsid w:val="00BD0B1A"/>
    <w:rsid w:val="00BD0BD2"/>
    <w:rsid w:val="00BD0C34"/>
    <w:rsid w:val="00BD0C90"/>
    <w:rsid w:val="00BD0F41"/>
    <w:rsid w:val="00BD0FF2"/>
    <w:rsid w:val="00BD14D4"/>
    <w:rsid w:val="00BD156A"/>
    <w:rsid w:val="00BD16BF"/>
    <w:rsid w:val="00BD17F1"/>
    <w:rsid w:val="00BD1961"/>
    <w:rsid w:val="00BD1976"/>
    <w:rsid w:val="00BD197E"/>
    <w:rsid w:val="00BD1E5E"/>
    <w:rsid w:val="00BD1E8D"/>
    <w:rsid w:val="00BD20D8"/>
    <w:rsid w:val="00BD2183"/>
    <w:rsid w:val="00BD235B"/>
    <w:rsid w:val="00BD2490"/>
    <w:rsid w:val="00BD2749"/>
    <w:rsid w:val="00BD2796"/>
    <w:rsid w:val="00BD27D6"/>
    <w:rsid w:val="00BD27F3"/>
    <w:rsid w:val="00BD2881"/>
    <w:rsid w:val="00BD2EF3"/>
    <w:rsid w:val="00BD2FD8"/>
    <w:rsid w:val="00BD304D"/>
    <w:rsid w:val="00BD3130"/>
    <w:rsid w:val="00BD34DC"/>
    <w:rsid w:val="00BD3620"/>
    <w:rsid w:val="00BD370C"/>
    <w:rsid w:val="00BD3A8C"/>
    <w:rsid w:val="00BD3ADA"/>
    <w:rsid w:val="00BD3DCD"/>
    <w:rsid w:val="00BD3DE9"/>
    <w:rsid w:val="00BD3EEB"/>
    <w:rsid w:val="00BD4118"/>
    <w:rsid w:val="00BD41FB"/>
    <w:rsid w:val="00BD45FB"/>
    <w:rsid w:val="00BD51BE"/>
    <w:rsid w:val="00BD524C"/>
    <w:rsid w:val="00BD5394"/>
    <w:rsid w:val="00BD5435"/>
    <w:rsid w:val="00BD55B8"/>
    <w:rsid w:val="00BD5A19"/>
    <w:rsid w:val="00BD5A29"/>
    <w:rsid w:val="00BD5FD6"/>
    <w:rsid w:val="00BD60FB"/>
    <w:rsid w:val="00BD6508"/>
    <w:rsid w:val="00BD6884"/>
    <w:rsid w:val="00BD6E82"/>
    <w:rsid w:val="00BD7041"/>
    <w:rsid w:val="00BD704E"/>
    <w:rsid w:val="00BD709E"/>
    <w:rsid w:val="00BD70CA"/>
    <w:rsid w:val="00BD7292"/>
    <w:rsid w:val="00BD7393"/>
    <w:rsid w:val="00BD743E"/>
    <w:rsid w:val="00BD75EB"/>
    <w:rsid w:val="00BD7774"/>
    <w:rsid w:val="00BD79FA"/>
    <w:rsid w:val="00BD7DA4"/>
    <w:rsid w:val="00BD7F06"/>
    <w:rsid w:val="00BDE5C3"/>
    <w:rsid w:val="00BE01F3"/>
    <w:rsid w:val="00BE024E"/>
    <w:rsid w:val="00BE0259"/>
    <w:rsid w:val="00BE0373"/>
    <w:rsid w:val="00BE03EB"/>
    <w:rsid w:val="00BE0489"/>
    <w:rsid w:val="00BE0607"/>
    <w:rsid w:val="00BE0652"/>
    <w:rsid w:val="00BE0A40"/>
    <w:rsid w:val="00BE0FEC"/>
    <w:rsid w:val="00BE12E9"/>
    <w:rsid w:val="00BE1851"/>
    <w:rsid w:val="00BE18C3"/>
    <w:rsid w:val="00BE198E"/>
    <w:rsid w:val="00BE1ABE"/>
    <w:rsid w:val="00BE1ACA"/>
    <w:rsid w:val="00BE1EB0"/>
    <w:rsid w:val="00BE1F3A"/>
    <w:rsid w:val="00BE1F55"/>
    <w:rsid w:val="00BE2344"/>
    <w:rsid w:val="00BE24B5"/>
    <w:rsid w:val="00BE2544"/>
    <w:rsid w:val="00BE2553"/>
    <w:rsid w:val="00BE2B69"/>
    <w:rsid w:val="00BE2FF1"/>
    <w:rsid w:val="00BE30D6"/>
    <w:rsid w:val="00BE3493"/>
    <w:rsid w:val="00BE3AD3"/>
    <w:rsid w:val="00BE3B94"/>
    <w:rsid w:val="00BE3D83"/>
    <w:rsid w:val="00BE3E59"/>
    <w:rsid w:val="00BE44C5"/>
    <w:rsid w:val="00BE4664"/>
    <w:rsid w:val="00BE4681"/>
    <w:rsid w:val="00BE4D59"/>
    <w:rsid w:val="00BE4DDA"/>
    <w:rsid w:val="00BE4E3C"/>
    <w:rsid w:val="00BE4E78"/>
    <w:rsid w:val="00BE4F96"/>
    <w:rsid w:val="00BE5132"/>
    <w:rsid w:val="00BE5189"/>
    <w:rsid w:val="00BE525E"/>
    <w:rsid w:val="00BE530E"/>
    <w:rsid w:val="00BE53B7"/>
    <w:rsid w:val="00BE53C4"/>
    <w:rsid w:val="00BE5407"/>
    <w:rsid w:val="00BE5563"/>
    <w:rsid w:val="00BE56FD"/>
    <w:rsid w:val="00BE5705"/>
    <w:rsid w:val="00BE5B56"/>
    <w:rsid w:val="00BE5E7B"/>
    <w:rsid w:val="00BE5FB9"/>
    <w:rsid w:val="00BE60D5"/>
    <w:rsid w:val="00BE63AB"/>
    <w:rsid w:val="00BE6419"/>
    <w:rsid w:val="00BE6519"/>
    <w:rsid w:val="00BE67A1"/>
    <w:rsid w:val="00BE67FC"/>
    <w:rsid w:val="00BE6963"/>
    <w:rsid w:val="00BE6A4E"/>
    <w:rsid w:val="00BE6B00"/>
    <w:rsid w:val="00BE6B5F"/>
    <w:rsid w:val="00BE6FE7"/>
    <w:rsid w:val="00BE7164"/>
    <w:rsid w:val="00BE71A5"/>
    <w:rsid w:val="00BE7273"/>
    <w:rsid w:val="00BE7380"/>
    <w:rsid w:val="00BE742A"/>
    <w:rsid w:val="00BE76FD"/>
    <w:rsid w:val="00BE78BB"/>
    <w:rsid w:val="00BE798E"/>
    <w:rsid w:val="00BE7A77"/>
    <w:rsid w:val="00BE7B63"/>
    <w:rsid w:val="00BE7C5C"/>
    <w:rsid w:val="00BE7ED8"/>
    <w:rsid w:val="00BE7F15"/>
    <w:rsid w:val="00BF055B"/>
    <w:rsid w:val="00BF05C9"/>
    <w:rsid w:val="00BF0829"/>
    <w:rsid w:val="00BF0AB0"/>
    <w:rsid w:val="00BF0ABE"/>
    <w:rsid w:val="00BF0AF1"/>
    <w:rsid w:val="00BF0B0E"/>
    <w:rsid w:val="00BF0CAE"/>
    <w:rsid w:val="00BF0D78"/>
    <w:rsid w:val="00BF1011"/>
    <w:rsid w:val="00BF106B"/>
    <w:rsid w:val="00BF1127"/>
    <w:rsid w:val="00BF125C"/>
    <w:rsid w:val="00BF1378"/>
    <w:rsid w:val="00BF1391"/>
    <w:rsid w:val="00BF14BE"/>
    <w:rsid w:val="00BF172D"/>
    <w:rsid w:val="00BF17DF"/>
    <w:rsid w:val="00BF199E"/>
    <w:rsid w:val="00BF19E9"/>
    <w:rsid w:val="00BF1CA7"/>
    <w:rsid w:val="00BF1FFD"/>
    <w:rsid w:val="00BF2291"/>
    <w:rsid w:val="00BF231F"/>
    <w:rsid w:val="00BF2708"/>
    <w:rsid w:val="00BF286D"/>
    <w:rsid w:val="00BF2C24"/>
    <w:rsid w:val="00BF2D61"/>
    <w:rsid w:val="00BF2E4C"/>
    <w:rsid w:val="00BF3269"/>
    <w:rsid w:val="00BF330F"/>
    <w:rsid w:val="00BF33A4"/>
    <w:rsid w:val="00BF33AA"/>
    <w:rsid w:val="00BF340E"/>
    <w:rsid w:val="00BF3504"/>
    <w:rsid w:val="00BF352F"/>
    <w:rsid w:val="00BF37E0"/>
    <w:rsid w:val="00BF3A83"/>
    <w:rsid w:val="00BF3AFC"/>
    <w:rsid w:val="00BF3BE7"/>
    <w:rsid w:val="00BF3E71"/>
    <w:rsid w:val="00BF45F3"/>
    <w:rsid w:val="00BF4681"/>
    <w:rsid w:val="00BF492F"/>
    <w:rsid w:val="00BF4C55"/>
    <w:rsid w:val="00BF4CA9"/>
    <w:rsid w:val="00BF4DCF"/>
    <w:rsid w:val="00BF4E52"/>
    <w:rsid w:val="00BF4F0D"/>
    <w:rsid w:val="00BF52CD"/>
    <w:rsid w:val="00BF541B"/>
    <w:rsid w:val="00BF5629"/>
    <w:rsid w:val="00BF56F6"/>
    <w:rsid w:val="00BF575E"/>
    <w:rsid w:val="00BF5946"/>
    <w:rsid w:val="00BF5A65"/>
    <w:rsid w:val="00BF5D3B"/>
    <w:rsid w:val="00BF5D9D"/>
    <w:rsid w:val="00BF5DD8"/>
    <w:rsid w:val="00BF603B"/>
    <w:rsid w:val="00BF6070"/>
    <w:rsid w:val="00BF6236"/>
    <w:rsid w:val="00BF6D18"/>
    <w:rsid w:val="00BF6F7D"/>
    <w:rsid w:val="00BF7189"/>
    <w:rsid w:val="00BF78DE"/>
    <w:rsid w:val="00BF79F5"/>
    <w:rsid w:val="00BF7A04"/>
    <w:rsid w:val="00BF7A59"/>
    <w:rsid w:val="00BF7CC0"/>
    <w:rsid w:val="00C0009C"/>
    <w:rsid w:val="00C000C7"/>
    <w:rsid w:val="00C00171"/>
    <w:rsid w:val="00C00560"/>
    <w:rsid w:val="00C0063C"/>
    <w:rsid w:val="00C007BD"/>
    <w:rsid w:val="00C00853"/>
    <w:rsid w:val="00C00B08"/>
    <w:rsid w:val="00C00B83"/>
    <w:rsid w:val="00C00CEC"/>
    <w:rsid w:val="00C00E65"/>
    <w:rsid w:val="00C01363"/>
    <w:rsid w:val="00C0174F"/>
    <w:rsid w:val="00C017FF"/>
    <w:rsid w:val="00C018E8"/>
    <w:rsid w:val="00C01BC9"/>
    <w:rsid w:val="00C0209C"/>
    <w:rsid w:val="00C0215C"/>
    <w:rsid w:val="00C021EF"/>
    <w:rsid w:val="00C0229F"/>
    <w:rsid w:val="00C025DC"/>
    <w:rsid w:val="00C027C7"/>
    <w:rsid w:val="00C02BBC"/>
    <w:rsid w:val="00C02CB9"/>
    <w:rsid w:val="00C02F0C"/>
    <w:rsid w:val="00C0316E"/>
    <w:rsid w:val="00C0338B"/>
    <w:rsid w:val="00C0338E"/>
    <w:rsid w:val="00C033C7"/>
    <w:rsid w:val="00C037CB"/>
    <w:rsid w:val="00C03867"/>
    <w:rsid w:val="00C03ACA"/>
    <w:rsid w:val="00C03AD5"/>
    <w:rsid w:val="00C03B8F"/>
    <w:rsid w:val="00C03D89"/>
    <w:rsid w:val="00C03ED6"/>
    <w:rsid w:val="00C03F46"/>
    <w:rsid w:val="00C03F98"/>
    <w:rsid w:val="00C040A6"/>
    <w:rsid w:val="00C04159"/>
    <w:rsid w:val="00C042D8"/>
    <w:rsid w:val="00C0435B"/>
    <w:rsid w:val="00C0435E"/>
    <w:rsid w:val="00C043E5"/>
    <w:rsid w:val="00C04505"/>
    <w:rsid w:val="00C04531"/>
    <w:rsid w:val="00C04901"/>
    <w:rsid w:val="00C04A75"/>
    <w:rsid w:val="00C04A80"/>
    <w:rsid w:val="00C04CA6"/>
    <w:rsid w:val="00C05059"/>
    <w:rsid w:val="00C050F1"/>
    <w:rsid w:val="00C052C3"/>
    <w:rsid w:val="00C0555D"/>
    <w:rsid w:val="00C0559D"/>
    <w:rsid w:val="00C05673"/>
    <w:rsid w:val="00C0575E"/>
    <w:rsid w:val="00C05AFE"/>
    <w:rsid w:val="00C05CAD"/>
    <w:rsid w:val="00C061F2"/>
    <w:rsid w:val="00C06501"/>
    <w:rsid w:val="00C06506"/>
    <w:rsid w:val="00C06786"/>
    <w:rsid w:val="00C0713E"/>
    <w:rsid w:val="00C07182"/>
    <w:rsid w:val="00C073DA"/>
    <w:rsid w:val="00C0755D"/>
    <w:rsid w:val="00C075C0"/>
    <w:rsid w:val="00C0766E"/>
    <w:rsid w:val="00C077E8"/>
    <w:rsid w:val="00C077FB"/>
    <w:rsid w:val="00C07A6E"/>
    <w:rsid w:val="00C07AFE"/>
    <w:rsid w:val="00C07B5B"/>
    <w:rsid w:val="00C07B76"/>
    <w:rsid w:val="00C07DEF"/>
    <w:rsid w:val="00C100CB"/>
    <w:rsid w:val="00C10152"/>
    <w:rsid w:val="00C102CC"/>
    <w:rsid w:val="00C10600"/>
    <w:rsid w:val="00C1066A"/>
    <w:rsid w:val="00C10708"/>
    <w:rsid w:val="00C10742"/>
    <w:rsid w:val="00C1084C"/>
    <w:rsid w:val="00C10B4D"/>
    <w:rsid w:val="00C10BEB"/>
    <w:rsid w:val="00C10D1E"/>
    <w:rsid w:val="00C10F18"/>
    <w:rsid w:val="00C11011"/>
    <w:rsid w:val="00C11162"/>
    <w:rsid w:val="00C11381"/>
    <w:rsid w:val="00C11383"/>
    <w:rsid w:val="00C113C8"/>
    <w:rsid w:val="00C1165C"/>
    <w:rsid w:val="00C11A35"/>
    <w:rsid w:val="00C11A91"/>
    <w:rsid w:val="00C11B3E"/>
    <w:rsid w:val="00C11B41"/>
    <w:rsid w:val="00C11BDE"/>
    <w:rsid w:val="00C11DE0"/>
    <w:rsid w:val="00C12188"/>
    <w:rsid w:val="00C121E5"/>
    <w:rsid w:val="00C12256"/>
    <w:rsid w:val="00C1238A"/>
    <w:rsid w:val="00C1252D"/>
    <w:rsid w:val="00C125C1"/>
    <w:rsid w:val="00C1261D"/>
    <w:rsid w:val="00C12712"/>
    <w:rsid w:val="00C12874"/>
    <w:rsid w:val="00C12ACF"/>
    <w:rsid w:val="00C12C5C"/>
    <w:rsid w:val="00C12DF3"/>
    <w:rsid w:val="00C12FC9"/>
    <w:rsid w:val="00C133BD"/>
    <w:rsid w:val="00C1340F"/>
    <w:rsid w:val="00C13832"/>
    <w:rsid w:val="00C13940"/>
    <w:rsid w:val="00C139BE"/>
    <w:rsid w:val="00C13AB8"/>
    <w:rsid w:val="00C142A1"/>
    <w:rsid w:val="00C143A4"/>
    <w:rsid w:val="00C145FE"/>
    <w:rsid w:val="00C1490D"/>
    <w:rsid w:val="00C1492D"/>
    <w:rsid w:val="00C14B4D"/>
    <w:rsid w:val="00C14C87"/>
    <w:rsid w:val="00C14EDE"/>
    <w:rsid w:val="00C14EE9"/>
    <w:rsid w:val="00C152C4"/>
    <w:rsid w:val="00C15669"/>
    <w:rsid w:val="00C1577A"/>
    <w:rsid w:val="00C15A71"/>
    <w:rsid w:val="00C15BCB"/>
    <w:rsid w:val="00C15BD8"/>
    <w:rsid w:val="00C15BEA"/>
    <w:rsid w:val="00C15D2F"/>
    <w:rsid w:val="00C1617E"/>
    <w:rsid w:val="00C165B3"/>
    <w:rsid w:val="00C165CD"/>
    <w:rsid w:val="00C1671D"/>
    <w:rsid w:val="00C16729"/>
    <w:rsid w:val="00C1673A"/>
    <w:rsid w:val="00C167A4"/>
    <w:rsid w:val="00C169F0"/>
    <w:rsid w:val="00C16A61"/>
    <w:rsid w:val="00C16E14"/>
    <w:rsid w:val="00C16F34"/>
    <w:rsid w:val="00C17811"/>
    <w:rsid w:val="00C1787A"/>
    <w:rsid w:val="00C17979"/>
    <w:rsid w:val="00C17B4C"/>
    <w:rsid w:val="00C17B50"/>
    <w:rsid w:val="00C17D00"/>
    <w:rsid w:val="00C17EBF"/>
    <w:rsid w:val="00C17F7A"/>
    <w:rsid w:val="00C17FAC"/>
    <w:rsid w:val="00C200A3"/>
    <w:rsid w:val="00C200BF"/>
    <w:rsid w:val="00C201C0"/>
    <w:rsid w:val="00C208D4"/>
    <w:rsid w:val="00C20B8B"/>
    <w:rsid w:val="00C20BC7"/>
    <w:rsid w:val="00C20CB0"/>
    <w:rsid w:val="00C20FB9"/>
    <w:rsid w:val="00C213C5"/>
    <w:rsid w:val="00C215BC"/>
    <w:rsid w:val="00C21965"/>
    <w:rsid w:val="00C2196D"/>
    <w:rsid w:val="00C21AD5"/>
    <w:rsid w:val="00C21CAE"/>
    <w:rsid w:val="00C21CEA"/>
    <w:rsid w:val="00C21E9C"/>
    <w:rsid w:val="00C22123"/>
    <w:rsid w:val="00C22191"/>
    <w:rsid w:val="00C2222B"/>
    <w:rsid w:val="00C22257"/>
    <w:rsid w:val="00C2247C"/>
    <w:rsid w:val="00C229AF"/>
    <w:rsid w:val="00C22A36"/>
    <w:rsid w:val="00C22CAC"/>
    <w:rsid w:val="00C22D46"/>
    <w:rsid w:val="00C22DC2"/>
    <w:rsid w:val="00C22F0C"/>
    <w:rsid w:val="00C230BE"/>
    <w:rsid w:val="00C232B9"/>
    <w:rsid w:val="00C2334A"/>
    <w:rsid w:val="00C233C7"/>
    <w:rsid w:val="00C2345E"/>
    <w:rsid w:val="00C23491"/>
    <w:rsid w:val="00C23642"/>
    <w:rsid w:val="00C23697"/>
    <w:rsid w:val="00C23995"/>
    <w:rsid w:val="00C23BEA"/>
    <w:rsid w:val="00C23CD2"/>
    <w:rsid w:val="00C23E2E"/>
    <w:rsid w:val="00C23F2A"/>
    <w:rsid w:val="00C2420B"/>
    <w:rsid w:val="00C242F8"/>
    <w:rsid w:val="00C2466E"/>
    <w:rsid w:val="00C24702"/>
    <w:rsid w:val="00C24920"/>
    <w:rsid w:val="00C24947"/>
    <w:rsid w:val="00C249DA"/>
    <w:rsid w:val="00C24E25"/>
    <w:rsid w:val="00C24EC1"/>
    <w:rsid w:val="00C25081"/>
    <w:rsid w:val="00C250C5"/>
    <w:rsid w:val="00C25AA7"/>
    <w:rsid w:val="00C25B8F"/>
    <w:rsid w:val="00C25D54"/>
    <w:rsid w:val="00C25E8F"/>
    <w:rsid w:val="00C25EAA"/>
    <w:rsid w:val="00C26238"/>
    <w:rsid w:val="00C262EC"/>
    <w:rsid w:val="00C264FE"/>
    <w:rsid w:val="00C267AD"/>
    <w:rsid w:val="00C268FD"/>
    <w:rsid w:val="00C26960"/>
    <w:rsid w:val="00C26AC7"/>
    <w:rsid w:val="00C26C75"/>
    <w:rsid w:val="00C26C95"/>
    <w:rsid w:val="00C26D0B"/>
    <w:rsid w:val="00C26D82"/>
    <w:rsid w:val="00C270B7"/>
    <w:rsid w:val="00C27459"/>
    <w:rsid w:val="00C276D8"/>
    <w:rsid w:val="00C27725"/>
    <w:rsid w:val="00C2787F"/>
    <w:rsid w:val="00C278BC"/>
    <w:rsid w:val="00C279CB"/>
    <w:rsid w:val="00C279E0"/>
    <w:rsid w:val="00C27BAB"/>
    <w:rsid w:val="00C27DDA"/>
    <w:rsid w:val="00C27E02"/>
    <w:rsid w:val="00C27E27"/>
    <w:rsid w:val="00C27F1C"/>
    <w:rsid w:val="00C30077"/>
    <w:rsid w:val="00C30164"/>
    <w:rsid w:val="00C3093A"/>
    <w:rsid w:val="00C30B5B"/>
    <w:rsid w:val="00C30C43"/>
    <w:rsid w:val="00C30FBC"/>
    <w:rsid w:val="00C31010"/>
    <w:rsid w:val="00C31125"/>
    <w:rsid w:val="00C3121F"/>
    <w:rsid w:val="00C31267"/>
    <w:rsid w:val="00C31272"/>
    <w:rsid w:val="00C3146F"/>
    <w:rsid w:val="00C31510"/>
    <w:rsid w:val="00C31798"/>
    <w:rsid w:val="00C3188D"/>
    <w:rsid w:val="00C319C7"/>
    <w:rsid w:val="00C31E81"/>
    <w:rsid w:val="00C321F5"/>
    <w:rsid w:val="00C3268B"/>
    <w:rsid w:val="00C329EA"/>
    <w:rsid w:val="00C32C1A"/>
    <w:rsid w:val="00C32CC1"/>
    <w:rsid w:val="00C32FEB"/>
    <w:rsid w:val="00C330AF"/>
    <w:rsid w:val="00C3316A"/>
    <w:rsid w:val="00C33245"/>
    <w:rsid w:val="00C335F0"/>
    <w:rsid w:val="00C3397B"/>
    <w:rsid w:val="00C33A19"/>
    <w:rsid w:val="00C33BD7"/>
    <w:rsid w:val="00C33FE5"/>
    <w:rsid w:val="00C34106"/>
    <w:rsid w:val="00C34223"/>
    <w:rsid w:val="00C3426F"/>
    <w:rsid w:val="00C3457F"/>
    <w:rsid w:val="00C34670"/>
    <w:rsid w:val="00C34A02"/>
    <w:rsid w:val="00C34A06"/>
    <w:rsid w:val="00C34B19"/>
    <w:rsid w:val="00C35021"/>
    <w:rsid w:val="00C350B9"/>
    <w:rsid w:val="00C351C9"/>
    <w:rsid w:val="00C3530A"/>
    <w:rsid w:val="00C354BD"/>
    <w:rsid w:val="00C35559"/>
    <w:rsid w:val="00C355E1"/>
    <w:rsid w:val="00C355E6"/>
    <w:rsid w:val="00C355EB"/>
    <w:rsid w:val="00C355EF"/>
    <w:rsid w:val="00C356B5"/>
    <w:rsid w:val="00C358E2"/>
    <w:rsid w:val="00C35CCC"/>
    <w:rsid w:val="00C36172"/>
    <w:rsid w:val="00C3634D"/>
    <w:rsid w:val="00C364DF"/>
    <w:rsid w:val="00C367A9"/>
    <w:rsid w:val="00C367CE"/>
    <w:rsid w:val="00C36810"/>
    <w:rsid w:val="00C36C07"/>
    <w:rsid w:val="00C36C73"/>
    <w:rsid w:val="00C36D76"/>
    <w:rsid w:val="00C36D83"/>
    <w:rsid w:val="00C36E72"/>
    <w:rsid w:val="00C36ED9"/>
    <w:rsid w:val="00C37033"/>
    <w:rsid w:val="00C373AC"/>
    <w:rsid w:val="00C3781A"/>
    <w:rsid w:val="00C3785A"/>
    <w:rsid w:val="00C37868"/>
    <w:rsid w:val="00C37997"/>
    <w:rsid w:val="00C3799B"/>
    <w:rsid w:val="00C37A93"/>
    <w:rsid w:val="00C37B4C"/>
    <w:rsid w:val="00C37B6F"/>
    <w:rsid w:val="00C37D83"/>
    <w:rsid w:val="00C37E31"/>
    <w:rsid w:val="00C37F46"/>
    <w:rsid w:val="00C4025B"/>
    <w:rsid w:val="00C40336"/>
    <w:rsid w:val="00C40373"/>
    <w:rsid w:val="00C4045B"/>
    <w:rsid w:val="00C4090A"/>
    <w:rsid w:val="00C40A81"/>
    <w:rsid w:val="00C40BB9"/>
    <w:rsid w:val="00C40D63"/>
    <w:rsid w:val="00C40EF3"/>
    <w:rsid w:val="00C40FAD"/>
    <w:rsid w:val="00C412C4"/>
    <w:rsid w:val="00C41513"/>
    <w:rsid w:val="00C41566"/>
    <w:rsid w:val="00C41870"/>
    <w:rsid w:val="00C418F9"/>
    <w:rsid w:val="00C41951"/>
    <w:rsid w:val="00C419F8"/>
    <w:rsid w:val="00C41B9B"/>
    <w:rsid w:val="00C41D9B"/>
    <w:rsid w:val="00C41E63"/>
    <w:rsid w:val="00C4218C"/>
    <w:rsid w:val="00C427B7"/>
    <w:rsid w:val="00C42B04"/>
    <w:rsid w:val="00C42B6A"/>
    <w:rsid w:val="00C42CA3"/>
    <w:rsid w:val="00C4337E"/>
    <w:rsid w:val="00C43519"/>
    <w:rsid w:val="00C4359A"/>
    <w:rsid w:val="00C4368C"/>
    <w:rsid w:val="00C43791"/>
    <w:rsid w:val="00C43858"/>
    <w:rsid w:val="00C4385F"/>
    <w:rsid w:val="00C439CA"/>
    <w:rsid w:val="00C43AA8"/>
    <w:rsid w:val="00C43BA4"/>
    <w:rsid w:val="00C43C3F"/>
    <w:rsid w:val="00C43D17"/>
    <w:rsid w:val="00C43D21"/>
    <w:rsid w:val="00C4433F"/>
    <w:rsid w:val="00C445B0"/>
    <w:rsid w:val="00C445CF"/>
    <w:rsid w:val="00C44777"/>
    <w:rsid w:val="00C44954"/>
    <w:rsid w:val="00C44A0D"/>
    <w:rsid w:val="00C44C44"/>
    <w:rsid w:val="00C44D45"/>
    <w:rsid w:val="00C44D7F"/>
    <w:rsid w:val="00C44FDF"/>
    <w:rsid w:val="00C45440"/>
    <w:rsid w:val="00C454FB"/>
    <w:rsid w:val="00C457C8"/>
    <w:rsid w:val="00C45805"/>
    <w:rsid w:val="00C45A64"/>
    <w:rsid w:val="00C45A90"/>
    <w:rsid w:val="00C45B6E"/>
    <w:rsid w:val="00C45E16"/>
    <w:rsid w:val="00C4606A"/>
    <w:rsid w:val="00C46137"/>
    <w:rsid w:val="00C461F1"/>
    <w:rsid w:val="00C462F5"/>
    <w:rsid w:val="00C463D2"/>
    <w:rsid w:val="00C4647C"/>
    <w:rsid w:val="00C464C7"/>
    <w:rsid w:val="00C464E0"/>
    <w:rsid w:val="00C465E7"/>
    <w:rsid w:val="00C46974"/>
    <w:rsid w:val="00C4698E"/>
    <w:rsid w:val="00C46CD2"/>
    <w:rsid w:val="00C47375"/>
    <w:rsid w:val="00C47469"/>
    <w:rsid w:val="00C47680"/>
    <w:rsid w:val="00C47847"/>
    <w:rsid w:val="00C47A98"/>
    <w:rsid w:val="00C47BA2"/>
    <w:rsid w:val="00C47BC3"/>
    <w:rsid w:val="00C47D57"/>
    <w:rsid w:val="00C47E21"/>
    <w:rsid w:val="00C47E8F"/>
    <w:rsid w:val="00C47EE4"/>
    <w:rsid w:val="00C47F03"/>
    <w:rsid w:val="00C47FC7"/>
    <w:rsid w:val="00C501A2"/>
    <w:rsid w:val="00C50884"/>
    <w:rsid w:val="00C508A4"/>
    <w:rsid w:val="00C5098B"/>
    <w:rsid w:val="00C50C7C"/>
    <w:rsid w:val="00C50EB3"/>
    <w:rsid w:val="00C50EB5"/>
    <w:rsid w:val="00C50F5F"/>
    <w:rsid w:val="00C51005"/>
    <w:rsid w:val="00C5108D"/>
    <w:rsid w:val="00C51273"/>
    <w:rsid w:val="00C51278"/>
    <w:rsid w:val="00C512F7"/>
    <w:rsid w:val="00C514BD"/>
    <w:rsid w:val="00C514D3"/>
    <w:rsid w:val="00C517F2"/>
    <w:rsid w:val="00C519C9"/>
    <w:rsid w:val="00C51C4F"/>
    <w:rsid w:val="00C51CC5"/>
    <w:rsid w:val="00C51D0B"/>
    <w:rsid w:val="00C51EB8"/>
    <w:rsid w:val="00C51ED6"/>
    <w:rsid w:val="00C52011"/>
    <w:rsid w:val="00C522BF"/>
    <w:rsid w:val="00C52411"/>
    <w:rsid w:val="00C52479"/>
    <w:rsid w:val="00C52628"/>
    <w:rsid w:val="00C526A0"/>
    <w:rsid w:val="00C5273E"/>
    <w:rsid w:val="00C52894"/>
    <w:rsid w:val="00C528B2"/>
    <w:rsid w:val="00C52958"/>
    <w:rsid w:val="00C5299E"/>
    <w:rsid w:val="00C529DD"/>
    <w:rsid w:val="00C52AC2"/>
    <w:rsid w:val="00C52B9A"/>
    <w:rsid w:val="00C52C65"/>
    <w:rsid w:val="00C52D5B"/>
    <w:rsid w:val="00C533D4"/>
    <w:rsid w:val="00C5349C"/>
    <w:rsid w:val="00C53625"/>
    <w:rsid w:val="00C53844"/>
    <w:rsid w:val="00C539D0"/>
    <w:rsid w:val="00C53A2C"/>
    <w:rsid w:val="00C53C04"/>
    <w:rsid w:val="00C53E75"/>
    <w:rsid w:val="00C53ED0"/>
    <w:rsid w:val="00C53F68"/>
    <w:rsid w:val="00C5442E"/>
    <w:rsid w:val="00C54440"/>
    <w:rsid w:val="00C54471"/>
    <w:rsid w:val="00C54514"/>
    <w:rsid w:val="00C546B6"/>
    <w:rsid w:val="00C5485C"/>
    <w:rsid w:val="00C54DAA"/>
    <w:rsid w:val="00C54E53"/>
    <w:rsid w:val="00C54E74"/>
    <w:rsid w:val="00C54E8F"/>
    <w:rsid w:val="00C54FAD"/>
    <w:rsid w:val="00C55032"/>
    <w:rsid w:val="00C5510B"/>
    <w:rsid w:val="00C5524C"/>
    <w:rsid w:val="00C5564B"/>
    <w:rsid w:val="00C5570C"/>
    <w:rsid w:val="00C557B0"/>
    <w:rsid w:val="00C55847"/>
    <w:rsid w:val="00C55888"/>
    <w:rsid w:val="00C55903"/>
    <w:rsid w:val="00C55ADC"/>
    <w:rsid w:val="00C55BA8"/>
    <w:rsid w:val="00C55C38"/>
    <w:rsid w:val="00C55E0E"/>
    <w:rsid w:val="00C562BC"/>
    <w:rsid w:val="00C565AA"/>
    <w:rsid w:val="00C56791"/>
    <w:rsid w:val="00C569AB"/>
    <w:rsid w:val="00C56F14"/>
    <w:rsid w:val="00C56FC8"/>
    <w:rsid w:val="00C574A6"/>
    <w:rsid w:val="00C5752C"/>
    <w:rsid w:val="00C575CF"/>
    <w:rsid w:val="00C575FE"/>
    <w:rsid w:val="00C577AD"/>
    <w:rsid w:val="00C57A10"/>
    <w:rsid w:val="00C57EAB"/>
    <w:rsid w:val="00C60065"/>
    <w:rsid w:val="00C600B4"/>
    <w:rsid w:val="00C6010C"/>
    <w:rsid w:val="00C601E9"/>
    <w:rsid w:val="00C601ED"/>
    <w:rsid w:val="00C604A3"/>
    <w:rsid w:val="00C6061D"/>
    <w:rsid w:val="00C60696"/>
    <w:rsid w:val="00C60999"/>
    <w:rsid w:val="00C60A5D"/>
    <w:rsid w:val="00C60BE6"/>
    <w:rsid w:val="00C60C14"/>
    <w:rsid w:val="00C60D5D"/>
    <w:rsid w:val="00C6101B"/>
    <w:rsid w:val="00C61134"/>
    <w:rsid w:val="00C612B4"/>
    <w:rsid w:val="00C61577"/>
    <w:rsid w:val="00C61621"/>
    <w:rsid w:val="00C6163A"/>
    <w:rsid w:val="00C61651"/>
    <w:rsid w:val="00C616B7"/>
    <w:rsid w:val="00C616B8"/>
    <w:rsid w:val="00C617B6"/>
    <w:rsid w:val="00C61B07"/>
    <w:rsid w:val="00C61C58"/>
    <w:rsid w:val="00C61DC6"/>
    <w:rsid w:val="00C61EB1"/>
    <w:rsid w:val="00C6212F"/>
    <w:rsid w:val="00C62271"/>
    <w:rsid w:val="00C62551"/>
    <w:rsid w:val="00C6276D"/>
    <w:rsid w:val="00C628BF"/>
    <w:rsid w:val="00C6291A"/>
    <w:rsid w:val="00C629B0"/>
    <w:rsid w:val="00C629EC"/>
    <w:rsid w:val="00C62A04"/>
    <w:rsid w:val="00C62B00"/>
    <w:rsid w:val="00C62F16"/>
    <w:rsid w:val="00C6321D"/>
    <w:rsid w:val="00C632C0"/>
    <w:rsid w:val="00C634BD"/>
    <w:rsid w:val="00C6354F"/>
    <w:rsid w:val="00C6366F"/>
    <w:rsid w:val="00C636C8"/>
    <w:rsid w:val="00C6373D"/>
    <w:rsid w:val="00C6375F"/>
    <w:rsid w:val="00C63A85"/>
    <w:rsid w:val="00C63B05"/>
    <w:rsid w:val="00C63B7C"/>
    <w:rsid w:val="00C63D7E"/>
    <w:rsid w:val="00C63EA4"/>
    <w:rsid w:val="00C63EBE"/>
    <w:rsid w:val="00C63F63"/>
    <w:rsid w:val="00C6413D"/>
    <w:rsid w:val="00C64172"/>
    <w:rsid w:val="00C64310"/>
    <w:rsid w:val="00C64320"/>
    <w:rsid w:val="00C643B0"/>
    <w:rsid w:val="00C64536"/>
    <w:rsid w:val="00C64663"/>
    <w:rsid w:val="00C646CA"/>
    <w:rsid w:val="00C649E2"/>
    <w:rsid w:val="00C64BA7"/>
    <w:rsid w:val="00C64BF2"/>
    <w:rsid w:val="00C64E14"/>
    <w:rsid w:val="00C64E78"/>
    <w:rsid w:val="00C6503C"/>
    <w:rsid w:val="00C650A7"/>
    <w:rsid w:val="00C65192"/>
    <w:rsid w:val="00C656E4"/>
    <w:rsid w:val="00C65821"/>
    <w:rsid w:val="00C65BB9"/>
    <w:rsid w:val="00C65CCD"/>
    <w:rsid w:val="00C65D1D"/>
    <w:rsid w:val="00C6604A"/>
    <w:rsid w:val="00C661F3"/>
    <w:rsid w:val="00C66816"/>
    <w:rsid w:val="00C66B41"/>
    <w:rsid w:val="00C66B8C"/>
    <w:rsid w:val="00C66B9B"/>
    <w:rsid w:val="00C67130"/>
    <w:rsid w:val="00C6722B"/>
    <w:rsid w:val="00C6731A"/>
    <w:rsid w:val="00C673D0"/>
    <w:rsid w:val="00C675B9"/>
    <w:rsid w:val="00C67852"/>
    <w:rsid w:val="00C67A67"/>
    <w:rsid w:val="00C67B03"/>
    <w:rsid w:val="00C67C2F"/>
    <w:rsid w:val="00C700F3"/>
    <w:rsid w:val="00C70141"/>
    <w:rsid w:val="00C701DC"/>
    <w:rsid w:val="00C7026D"/>
    <w:rsid w:val="00C703A5"/>
    <w:rsid w:val="00C709B2"/>
    <w:rsid w:val="00C70AA9"/>
    <w:rsid w:val="00C70AEC"/>
    <w:rsid w:val="00C70E36"/>
    <w:rsid w:val="00C70EA8"/>
    <w:rsid w:val="00C7117A"/>
    <w:rsid w:val="00C7129C"/>
    <w:rsid w:val="00C71543"/>
    <w:rsid w:val="00C71586"/>
    <w:rsid w:val="00C71625"/>
    <w:rsid w:val="00C7163D"/>
    <w:rsid w:val="00C71698"/>
    <w:rsid w:val="00C71BFC"/>
    <w:rsid w:val="00C71DE1"/>
    <w:rsid w:val="00C71E3F"/>
    <w:rsid w:val="00C71E9E"/>
    <w:rsid w:val="00C72176"/>
    <w:rsid w:val="00C72199"/>
    <w:rsid w:val="00C7227B"/>
    <w:rsid w:val="00C723EA"/>
    <w:rsid w:val="00C72593"/>
    <w:rsid w:val="00C72845"/>
    <w:rsid w:val="00C728B4"/>
    <w:rsid w:val="00C72A64"/>
    <w:rsid w:val="00C72C22"/>
    <w:rsid w:val="00C72DFA"/>
    <w:rsid w:val="00C73025"/>
    <w:rsid w:val="00C7304E"/>
    <w:rsid w:val="00C73746"/>
    <w:rsid w:val="00C73777"/>
    <w:rsid w:val="00C737AB"/>
    <w:rsid w:val="00C73D83"/>
    <w:rsid w:val="00C73E23"/>
    <w:rsid w:val="00C73ED9"/>
    <w:rsid w:val="00C73F60"/>
    <w:rsid w:val="00C73F78"/>
    <w:rsid w:val="00C74296"/>
    <w:rsid w:val="00C7432E"/>
    <w:rsid w:val="00C74591"/>
    <w:rsid w:val="00C74768"/>
    <w:rsid w:val="00C74788"/>
    <w:rsid w:val="00C747C1"/>
    <w:rsid w:val="00C748F0"/>
    <w:rsid w:val="00C74A8A"/>
    <w:rsid w:val="00C74A98"/>
    <w:rsid w:val="00C74B6B"/>
    <w:rsid w:val="00C74D26"/>
    <w:rsid w:val="00C75287"/>
    <w:rsid w:val="00C75300"/>
    <w:rsid w:val="00C75B0A"/>
    <w:rsid w:val="00C75D7C"/>
    <w:rsid w:val="00C75DB3"/>
    <w:rsid w:val="00C75F5E"/>
    <w:rsid w:val="00C75FD4"/>
    <w:rsid w:val="00C7602B"/>
    <w:rsid w:val="00C76117"/>
    <w:rsid w:val="00C763B5"/>
    <w:rsid w:val="00C764E7"/>
    <w:rsid w:val="00C766EE"/>
    <w:rsid w:val="00C766F4"/>
    <w:rsid w:val="00C76765"/>
    <w:rsid w:val="00C76A5C"/>
    <w:rsid w:val="00C76CB5"/>
    <w:rsid w:val="00C76F56"/>
    <w:rsid w:val="00C770A7"/>
    <w:rsid w:val="00C771A7"/>
    <w:rsid w:val="00C77754"/>
    <w:rsid w:val="00C77906"/>
    <w:rsid w:val="00C77939"/>
    <w:rsid w:val="00C77FC6"/>
    <w:rsid w:val="00C800F1"/>
    <w:rsid w:val="00C80540"/>
    <w:rsid w:val="00C80606"/>
    <w:rsid w:val="00C8077C"/>
    <w:rsid w:val="00C80910"/>
    <w:rsid w:val="00C80A78"/>
    <w:rsid w:val="00C81508"/>
    <w:rsid w:val="00C81593"/>
    <w:rsid w:val="00C81726"/>
    <w:rsid w:val="00C81A4F"/>
    <w:rsid w:val="00C81A8C"/>
    <w:rsid w:val="00C81C12"/>
    <w:rsid w:val="00C81E2A"/>
    <w:rsid w:val="00C81F8D"/>
    <w:rsid w:val="00C8209F"/>
    <w:rsid w:val="00C82363"/>
    <w:rsid w:val="00C824D9"/>
    <w:rsid w:val="00C8252A"/>
    <w:rsid w:val="00C8259B"/>
    <w:rsid w:val="00C826D7"/>
    <w:rsid w:val="00C82886"/>
    <w:rsid w:val="00C82B94"/>
    <w:rsid w:val="00C82BE1"/>
    <w:rsid w:val="00C82BE4"/>
    <w:rsid w:val="00C82F17"/>
    <w:rsid w:val="00C832A6"/>
    <w:rsid w:val="00C834FB"/>
    <w:rsid w:val="00C8352C"/>
    <w:rsid w:val="00C83544"/>
    <w:rsid w:val="00C835CE"/>
    <w:rsid w:val="00C8390D"/>
    <w:rsid w:val="00C83928"/>
    <w:rsid w:val="00C8398D"/>
    <w:rsid w:val="00C83B92"/>
    <w:rsid w:val="00C83D18"/>
    <w:rsid w:val="00C840C6"/>
    <w:rsid w:val="00C84379"/>
    <w:rsid w:val="00C8444D"/>
    <w:rsid w:val="00C84993"/>
    <w:rsid w:val="00C84B78"/>
    <w:rsid w:val="00C84D71"/>
    <w:rsid w:val="00C84E6E"/>
    <w:rsid w:val="00C85208"/>
    <w:rsid w:val="00C85566"/>
    <w:rsid w:val="00C85793"/>
    <w:rsid w:val="00C857FA"/>
    <w:rsid w:val="00C85CD0"/>
    <w:rsid w:val="00C85E8F"/>
    <w:rsid w:val="00C86047"/>
    <w:rsid w:val="00C863EF"/>
    <w:rsid w:val="00C86637"/>
    <w:rsid w:val="00C867B5"/>
    <w:rsid w:val="00C8697E"/>
    <w:rsid w:val="00C86AF8"/>
    <w:rsid w:val="00C86BC6"/>
    <w:rsid w:val="00C86C07"/>
    <w:rsid w:val="00C86DAF"/>
    <w:rsid w:val="00C86E5C"/>
    <w:rsid w:val="00C86E9C"/>
    <w:rsid w:val="00C86F8B"/>
    <w:rsid w:val="00C870C4"/>
    <w:rsid w:val="00C87259"/>
    <w:rsid w:val="00C8733C"/>
    <w:rsid w:val="00C8736F"/>
    <w:rsid w:val="00C873DF"/>
    <w:rsid w:val="00C8760E"/>
    <w:rsid w:val="00C87694"/>
    <w:rsid w:val="00C87947"/>
    <w:rsid w:val="00C87A1C"/>
    <w:rsid w:val="00C87A5A"/>
    <w:rsid w:val="00C900DC"/>
    <w:rsid w:val="00C90685"/>
    <w:rsid w:val="00C906D3"/>
    <w:rsid w:val="00C9086D"/>
    <w:rsid w:val="00C909CE"/>
    <w:rsid w:val="00C909DE"/>
    <w:rsid w:val="00C90A5B"/>
    <w:rsid w:val="00C90C74"/>
    <w:rsid w:val="00C90D63"/>
    <w:rsid w:val="00C90EED"/>
    <w:rsid w:val="00C9124F"/>
    <w:rsid w:val="00C91260"/>
    <w:rsid w:val="00C91389"/>
    <w:rsid w:val="00C9162D"/>
    <w:rsid w:val="00C91C63"/>
    <w:rsid w:val="00C91E7B"/>
    <w:rsid w:val="00C9217C"/>
    <w:rsid w:val="00C923A1"/>
    <w:rsid w:val="00C923A7"/>
    <w:rsid w:val="00C92502"/>
    <w:rsid w:val="00C926F7"/>
    <w:rsid w:val="00C927AE"/>
    <w:rsid w:val="00C928E7"/>
    <w:rsid w:val="00C92CFC"/>
    <w:rsid w:val="00C92F80"/>
    <w:rsid w:val="00C92FE5"/>
    <w:rsid w:val="00C9303C"/>
    <w:rsid w:val="00C93239"/>
    <w:rsid w:val="00C93635"/>
    <w:rsid w:val="00C93641"/>
    <w:rsid w:val="00C93954"/>
    <w:rsid w:val="00C93970"/>
    <w:rsid w:val="00C93A83"/>
    <w:rsid w:val="00C93ED8"/>
    <w:rsid w:val="00C9409A"/>
    <w:rsid w:val="00C942F1"/>
    <w:rsid w:val="00C9471D"/>
    <w:rsid w:val="00C94BE6"/>
    <w:rsid w:val="00C94BEA"/>
    <w:rsid w:val="00C94C76"/>
    <w:rsid w:val="00C94DC1"/>
    <w:rsid w:val="00C94E12"/>
    <w:rsid w:val="00C94E36"/>
    <w:rsid w:val="00C94F92"/>
    <w:rsid w:val="00C951E3"/>
    <w:rsid w:val="00C954BD"/>
    <w:rsid w:val="00C95616"/>
    <w:rsid w:val="00C9561C"/>
    <w:rsid w:val="00C9571F"/>
    <w:rsid w:val="00C95B3B"/>
    <w:rsid w:val="00C95CB9"/>
    <w:rsid w:val="00C95D16"/>
    <w:rsid w:val="00C95DB4"/>
    <w:rsid w:val="00C95DD4"/>
    <w:rsid w:val="00C95E1E"/>
    <w:rsid w:val="00C95F57"/>
    <w:rsid w:val="00C96086"/>
    <w:rsid w:val="00C963A3"/>
    <w:rsid w:val="00C9659C"/>
    <w:rsid w:val="00C9689F"/>
    <w:rsid w:val="00C9694E"/>
    <w:rsid w:val="00C96A38"/>
    <w:rsid w:val="00C96A86"/>
    <w:rsid w:val="00C96AD3"/>
    <w:rsid w:val="00C96C0F"/>
    <w:rsid w:val="00C96D19"/>
    <w:rsid w:val="00C96E5A"/>
    <w:rsid w:val="00C9702D"/>
    <w:rsid w:val="00C97252"/>
    <w:rsid w:val="00C972C2"/>
    <w:rsid w:val="00C972D4"/>
    <w:rsid w:val="00C97353"/>
    <w:rsid w:val="00C97422"/>
    <w:rsid w:val="00C9748D"/>
    <w:rsid w:val="00C976B5"/>
    <w:rsid w:val="00C97C5E"/>
    <w:rsid w:val="00C97D4E"/>
    <w:rsid w:val="00C97ED6"/>
    <w:rsid w:val="00CA0220"/>
    <w:rsid w:val="00CA02B9"/>
    <w:rsid w:val="00CA0302"/>
    <w:rsid w:val="00CA0514"/>
    <w:rsid w:val="00CA0705"/>
    <w:rsid w:val="00CA0856"/>
    <w:rsid w:val="00CA09E4"/>
    <w:rsid w:val="00CA0AAC"/>
    <w:rsid w:val="00CA0AFB"/>
    <w:rsid w:val="00CA0BA6"/>
    <w:rsid w:val="00CA0BD6"/>
    <w:rsid w:val="00CA0BE2"/>
    <w:rsid w:val="00CA0E4B"/>
    <w:rsid w:val="00CA11BE"/>
    <w:rsid w:val="00CA1203"/>
    <w:rsid w:val="00CA15EE"/>
    <w:rsid w:val="00CA1650"/>
    <w:rsid w:val="00CA1738"/>
    <w:rsid w:val="00CA1BA1"/>
    <w:rsid w:val="00CA1D3B"/>
    <w:rsid w:val="00CA1DFD"/>
    <w:rsid w:val="00CA2164"/>
    <w:rsid w:val="00CA25A3"/>
    <w:rsid w:val="00CA266A"/>
    <w:rsid w:val="00CA267F"/>
    <w:rsid w:val="00CA27CD"/>
    <w:rsid w:val="00CA2AD4"/>
    <w:rsid w:val="00CA2D37"/>
    <w:rsid w:val="00CA2E09"/>
    <w:rsid w:val="00CA2E18"/>
    <w:rsid w:val="00CA30E0"/>
    <w:rsid w:val="00CA30EE"/>
    <w:rsid w:val="00CA3248"/>
    <w:rsid w:val="00CA34D2"/>
    <w:rsid w:val="00CA3559"/>
    <w:rsid w:val="00CA38E4"/>
    <w:rsid w:val="00CA39AD"/>
    <w:rsid w:val="00CA39DE"/>
    <w:rsid w:val="00CA3A7A"/>
    <w:rsid w:val="00CA3BF0"/>
    <w:rsid w:val="00CA3C03"/>
    <w:rsid w:val="00CA3D77"/>
    <w:rsid w:val="00CA3FB4"/>
    <w:rsid w:val="00CA3FBD"/>
    <w:rsid w:val="00CA3FFD"/>
    <w:rsid w:val="00CA40A5"/>
    <w:rsid w:val="00CA4144"/>
    <w:rsid w:val="00CA4370"/>
    <w:rsid w:val="00CA4719"/>
    <w:rsid w:val="00CA4933"/>
    <w:rsid w:val="00CA4A4D"/>
    <w:rsid w:val="00CA4A69"/>
    <w:rsid w:val="00CA4AA9"/>
    <w:rsid w:val="00CA4E3B"/>
    <w:rsid w:val="00CA4EF5"/>
    <w:rsid w:val="00CA4FB8"/>
    <w:rsid w:val="00CA5113"/>
    <w:rsid w:val="00CA57D2"/>
    <w:rsid w:val="00CA5871"/>
    <w:rsid w:val="00CA5A56"/>
    <w:rsid w:val="00CA5A72"/>
    <w:rsid w:val="00CA5DF2"/>
    <w:rsid w:val="00CA5E83"/>
    <w:rsid w:val="00CA5EF0"/>
    <w:rsid w:val="00CA608B"/>
    <w:rsid w:val="00CA60AD"/>
    <w:rsid w:val="00CA61CE"/>
    <w:rsid w:val="00CA6CE1"/>
    <w:rsid w:val="00CA7057"/>
    <w:rsid w:val="00CA70DC"/>
    <w:rsid w:val="00CA7178"/>
    <w:rsid w:val="00CA794F"/>
    <w:rsid w:val="00CA79D7"/>
    <w:rsid w:val="00CA7AA6"/>
    <w:rsid w:val="00CA7B02"/>
    <w:rsid w:val="00CA7DDA"/>
    <w:rsid w:val="00CB01D7"/>
    <w:rsid w:val="00CB035B"/>
    <w:rsid w:val="00CB0607"/>
    <w:rsid w:val="00CB0703"/>
    <w:rsid w:val="00CB0823"/>
    <w:rsid w:val="00CB0A09"/>
    <w:rsid w:val="00CB0A2A"/>
    <w:rsid w:val="00CB0A53"/>
    <w:rsid w:val="00CB1142"/>
    <w:rsid w:val="00CB13BF"/>
    <w:rsid w:val="00CB1404"/>
    <w:rsid w:val="00CB14C3"/>
    <w:rsid w:val="00CB16C3"/>
    <w:rsid w:val="00CB1A91"/>
    <w:rsid w:val="00CB1BB3"/>
    <w:rsid w:val="00CB1C25"/>
    <w:rsid w:val="00CB1C5D"/>
    <w:rsid w:val="00CB1D8B"/>
    <w:rsid w:val="00CB1D95"/>
    <w:rsid w:val="00CB225F"/>
    <w:rsid w:val="00CB2521"/>
    <w:rsid w:val="00CB25A7"/>
    <w:rsid w:val="00CB268A"/>
    <w:rsid w:val="00CB26E0"/>
    <w:rsid w:val="00CB286F"/>
    <w:rsid w:val="00CB2981"/>
    <w:rsid w:val="00CB2A7C"/>
    <w:rsid w:val="00CB2B31"/>
    <w:rsid w:val="00CB2C3B"/>
    <w:rsid w:val="00CB2D04"/>
    <w:rsid w:val="00CB2E2F"/>
    <w:rsid w:val="00CB2EBF"/>
    <w:rsid w:val="00CB2FE9"/>
    <w:rsid w:val="00CB3151"/>
    <w:rsid w:val="00CB326D"/>
    <w:rsid w:val="00CB3709"/>
    <w:rsid w:val="00CB38C3"/>
    <w:rsid w:val="00CB38C5"/>
    <w:rsid w:val="00CB3C34"/>
    <w:rsid w:val="00CB3D04"/>
    <w:rsid w:val="00CB3D84"/>
    <w:rsid w:val="00CB43BC"/>
    <w:rsid w:val="00CB466D"/>
    <w:rsid w:val="00CB4D7D"/>
    <w:rsid w:val="00CB4E9D"/>
    <w:rsid w:val="00CB5222"/>
    <w:rsid w:val="00CB53AF"/>
    <w:rsid w:val="00CB53CF"/>
    <w:rsid w:val="00CB564A"/>
    <w:rsid w:val="00CB572F"/>
    <w:rsid w:val="00CB57B3"/>
    <w:rsid w:val="00CB5A4E"/>
    <w:rsid w:val="00CB5B14"/>
    <w:rsid w:val="00CB5B4D"/>
    <w:rsid w:val="00CB5B72"/>
    <w:rsid w:val="00CB5C83"/>
    <w:rsid w:val="00CB5D88"/>
    <w:rsid w:val="00CB5DD8"/>
    <w:rsid w:val="00CB605E"/>
    <w:rsid w:val="00CB60D2"/>
    <w:rsid w:val="00CB6252"/>
    <w:rsid w:val="00CB62FF"/>
    <w:rsid w:val="00CB63DB"/>
    <w:rsid w:val="00CB63FA"/>
    <w:rsid w:val="00CB64C7"/>
    <w:rsid w:val="00CB64E6"/>
    <w:rsid w:val="00CB65DD"/>
    <w:rsid w:val="00CB660C"/>
    <w:rsid w:val="00CB66B0"/>
    <w:rsid w:val="00CB66C5"/>
    <w:rsid w:val="00CB6707"/>
    <w:rsid w:val="00CB6A0B"/>
    <w:rsid w:val="00CB6C0D"/>
    <w:rsid w:val="00CB6CA0"/>
    <w:rsid w:val="00CB6CA5"/>
    <w:rsid w:val="00CB6E16"/>
    <w:rsid w:val="00CB711A"/>
    <w:rsid w:val="00CB73F2"/>
    <w:rsid w:val="00CB73F5"/>
    <w:rsid w:val="00CB7980"/>
    <w:rsid w:val="00CB7989"/>
    <w:rsid w:val="00CB79C0"/>
    <w:rsid w:val="00CB7B7C"/>
    <w:rsid w:val="00CB7C48"/>
    <w:rsid w:val="00CB7C56"/>
    <w:rsid w:val="00CC0241"/>
    <w:rsid w:val="00CC0296"/>
    <w:rsid w:val="00CC05EE"/>
    <w:rsid w:val="00CC0620"/>
    <w:rsid w:val="00CC06E7"/>
    <w:rsid w:val="00CC0ADC"/>
    <w:rsid w:val="00CC0AE4"/>
    <w:rsid w:val="00CC0B0C"/>
    <w:rsid w:val="00CC0C84"/>
    <w:rsid w:val="00CC0D1F"/>
    <w:rsid w:val="00CC0EA5"/>
    <w:rsid w:val="00CC0F1F"/>
    <w:rsid w:val="00CC0FA2"/>
    <w:rsid w:val="00CC1618"/>
    <w:rsid w:val="00CC17B8"/>
    <w:rsid w:val="00CC182C"/>
    <w:rsid w:val="00CC1A44"/>
    <w:rsid w:val="00CC1AC7"/>
    <w:rsid w:val="00CC1D06"/>
    <w:rsid w:val="00CC1F1A"/>
    <w:rsid w:val="00CC1F61"/>
    <w:rsid w:val="00CC1F65"/>
    <w:rsid w:val="00CC1FC2"/>
    <w:rsid w:val="00CC2112"/>
    <w:rsid w:val="00CC22ED"/>
    <w:rsid w:val="00CC240E"/>
    <w:rsid w:val="00CC2444"/>
    <w:rsid w:val="00CC24D0"/>
    <w:rsid w:val="00CC2528"/>
    <w:rsid w:val="00CC299B"/>
    <w:rsid w:val="00CC2B89"/>
    <w:rsid w:val="00CC2C54"/>
    <w:rsid w:val="00CC2D11"/>
    <w:rsid w:val="00CC2E38"/>
    <w:rsid w:val="00CC3013"/>
    <w:rsid w:val="00CC30C4"/>
    <w:rsid w:val="00CC325E"/>
    <w:rsid w:val="00CC32BE"/>
    <w:rsid w:val="00CC365E"/>
    <w:rsid w:val="00CC371B"/>
    <w:rsid w:val="00CC3A98"/>
    <w:rsid w:val="00CC3BF0"/>
    <w:rsid w:val="00CC3C35"/>
    <w:rsid w:val="00CC3E81"/>
    <w:rsid w:val="00CC3F44"/>
    <w:rsid w:val="00CC409B"/>
    <w:rsid w:val="00CC411D"/>
    <w:rsid w:val="00CC41A9"/>
    <w:rsid w:val="00CC4203"/>
    <w:rsid w:val="00CC453C"/>
    <w:rsid w:val="00CC48E9"/>
    <w:rsid w:val="00CC4B09"/>
    <w:rsid w:val="00CC4C27"/>
    <w:rsid w:val="00CC4C53"/>
    <w:rsid w:val="00CC4F4C"/>
    <w:rsid w:val="00CC5131"/>
    <w:rsid w:val="00CC5233"/>
    <w:rsid w:val="00CC5297"/>
    <w:rsid w:val="00CC52F1"/>
    <w:rsid w:val="00CC534A"/>
    <w:rsid w:val="00CC5413"/>
    <w:rsid w:val="00CC5551"/>
    <w:rsid w:val="00CC57F0"/>
    <w:rsid w:val="00CC587C"/>
    <w:rsid w:val="00CC59C0"/>
    <w:rsid w:val="00CC59CF"/>
    <w:rsid w:val="00CC5C41"/>
    <w:rsid w:val="00CC5E6F"/>
    <w:rsid w:val="00CC5F5A"/>
    <w:rsid w:val="00CC61D7"/>
    <w:rsid w:val="00CC6439"/>
    <w:rsid w:val="00CC6723"/>
    <w:rsid w:val="00CC680B"/>
    <w:rsid w:val="00CC69AD"/>
    <w:rsid w:val="00CC69FE"/>
    <w:rsid w:val="00CC6A98"/>
    <w:rsid w:val="00CC6CCC"/>
    <w:rsid w:val="00CC7325"/>
    <w:rsid w:val="00CC741F"/>
    <w:rsid w:val="00CC764B"/>
    <w:rsid w:val="00CC7786"/>
    <w:rsid w:val="00CC7985"/>
    <w:rsid w:val="00CC7B1E"/>
    <w:rsid w:val="00CC7B2F"/>
    <w:rsid w:val="00CC7C02"/>
    <w:rsid w:val="00CC7EBB"/>
    <w:rsid w:val="00CD01EF"/>
    <w:rsid w:val="00CD02E0"/>
    <w:rsid w:val="00CD0574"/>
    <w:rsid w:val="00CD0701"/>
    <w:rsid w:val="00CD078D"/>
    <w:rsid w:val="00CD09C7"/>
    <w:rsid w:val="00CD0DC3"/>
    <w:rsid w:val="00CD0FDB"/>
    <w:rsid w:val="00CD124A"/>
    <w:rsid w:val="00CD17CF"/>
    <w:rsid w:val="00CD183B"/>
    <w:rsid w:val="00CD1939"/>
    <w:rsid w:val="00CD1A26"/>
    <w:rsid w:val="00CD1C19"/>
    <w:rsid w:val="00CD1F03"/>
    <w:rsid w:val="00CD1F38"/>
    <w:rsid w:val="00CD2005"/>
    <w:rsid w:val="00CD2054"/>
    <w:rsid w:val="00CD243E"/>
    <w:rsid w:val="00CD24A7"/>
    <w:rsid w:val="00CD24C6"/>
    <w:rsid w:val="00CD259B"/>
    <w:rsid w:val="00CD2B20"/>
    <w:rsid w:val="00CD2E43"/>
    <w:rsid w:val="00CD306B"/>
    <w:rsid w:val="00CD30FC"/>
    <w:rsid w:val="00CD31E2"/>
    <w:rsid w:val="00CD33B5"/>
    <w:rsid w:val="00CD33FC"/>
    <w:rsid w:val="00CD347E"/>
    <w:rsid w:val="00CD36DB"/>
    <w:rsid w:val="00CD3845"/>
    <w:rsid w:val="00CD38A9"/>
    <w:rsid w:val="00CD3968"/>
    <w:rsid w:val="00CD3AE0"/>
    <w:rsid w:val="00CD402B"/>
    <w:rsid w:val="00CD4133"/>
    <w:rsid w:val="00CD417C"/>
    <w:rsid w:val="00CD41BD"/>
    <w:rsid w:val="00CD4236"/>
    <w:rsid w:val="00CD45F5"/>
    <w:rsid w:val="00CD4638"/>
    <w:rsid w:val="00CD490D"/>
    <w:rsid w:val="00CD4ABF"/>
    <w:rsid w:val="00CD4C35"/>
    <w:rsid w:val="00CD4E14"/>
    <w:rsid w:val="00CD4E55"/>
    <w:rsid w:val="00CD4EAA"/>
    <w:rsid w:val="00CD5074"/>
    <w:rsid w:val="00CD516F"/>
    <w:rsid w:val="00CD5233"/>
    <w:rsid w:val="00CD5251"/>
    <w:rsid w:val="00CD52A8"/>
    <w:rsid w:val="00CD5606"/>
    <w:rsid w:val="00CD56E4"/>
    <w:rsid w:val="00CD5CF4"/>
    <w:rsid w:val="00CD5ED9"/>
    <w:rsid w:val="00CD6043"/>
    <w:rsid w:val="00CD60E7"/>
    <w:rsid w:val="00CD61CE"/>
    <w:rsid w:val="00CD6222"/>
    <w:rsid w:val="00CD6270"/>
    <w:rsid w:val="00CD6568"/>
    <w:rsid w:val="00CD6652"/>
    <w:rsid w:val="00CD690A"/>
    <w:rsid w:val="00CD6B90"/>
    <w:rsid w:val="00CD6CB2"/>
    <w:rsid w:val="00CD6E71"/>
    <w:rsid w:val="00CD6ED3"/>
    <w:rsid w:val="00CD6FAF"/>
    <w:rsid w:val="00CD6FEE"/>
    <w:rsid w:val="00CD716B"/>
    <w:rsid w:val="00CD7273"/>
    <w:rsid w:val="00CD7355"/>
    <w:rsid w:val="00CD768D"/>
    <w:rsid w:val="00CD7725"/>
    <w:rsid w:val="00CD77CD"/>
    <w:rsid w:val="00CD77E9"/>
    <w:rsid w:val="00CD77F5"/>
    <w:rsid w:val="00CD7D47"/>
    <w:rsid w:val="00CD7F68"/>
    <w:rsid w:val="00CE001D"/>
    <w:rsid w:val="00CE0581"/>
    <w:rsid w:val="00CE06A6"/>
    <w:rsid w:val="00CE0B36"/>
    <w:rsid w:val="00CE0D95"/>
    <w:rsid w:val="00CE0FF0"/>
    <w:rsid w:val="00CE12D5"/>
    <w:rsid w:val="00CE132B"/>
    <w:rsid w:val="00CE1393"/>
    <w:rsid w:val="00CE15B1"/>
    <w:rsid w:val="00CE1792"/>
    <w:rsid w:val="00CE1840"/>
    <w:rsid w:val="00CE1B13"/>
    <w:rsid w:val="00CE1D4B"/>
    <w:rsid w:val="00CE1EC0"/>
    <w:rsid w:val="00CE1F89"/>
    <w:rsid w:val="00CE2077"/>
    <w:rsid w:val="00CE20F9"/>
    <w:rsid w:val="00CE229F"/>
    <w:rsid w:val="00CE26D8"/>
    <w:rsid w:val="00CE2724"/>
    <w:rsid w:val="00CE284D"/>
    <w:rsid w:val="00CE2A45"/>
    <w:rsid w:val="00CE2AD0"/>
    <w:rsid w:val="00CE301E"/>
    <w:rsid w:val="00CE3341"/>
    <w:rsid w:val="00CE33EF"/>
    <w:rsid w:val="00CE3402"/>
    <w:rsid w:val="00CE3419"/>
    <w:rsid w:val="00CE3702"/>
    <w:rsid w:val="00CE376F"/>
    <w:rsid w:val="00CE3A0C"/>
    <w:rsid w:val="00CE3AA8"/>
    <w:rsid w:val="00CE3D35"/>
    <w:rsid w:val="00CE3F29"/>
    <w:rsid w:val="00CE3F7D"/>
    <w:rsid w:val="00CE4223"/>
    <w:rsid w:val="00CE42FD"/>
    <w:rsid w:val="00CE4340"/>
    <w:rsid w:val="00CE447C"/>
    <w:rsid w:val="00CE44A6"/>
    <w:rsid w:val="00CE45A2"/>
    <w:rsid w:val="00CE478A"/>
    <w:rsid w:val="00CE48AB"/>
    <w:rsid w:val="00CE4D1C"/>
    <w:rsid w:val="00CE4D6A"/>
    <w:rsid w:val="00CE4E61"/>
    <w:rsid w:val="00CE4F47"/>
    <w:rsid w:val="00CE4FD2"/>
    <w:rsid w:val="00CE5326"/>
    <w:rsid w:val="00CE58BD"/>
    <w:rsid w:val="00CE58CA"/>
    <w:rsid w:val="00CE59E0"/>
    <w:rsid w:val="00CE5B94"/>
    <w:rsid w:val="00CE5CD3"/>
    <w:rsid w:val="00CE5D8C"/>
    <w:rsid w:val="00CE6020"/>
    <w:rsid w:val="00CE6178"/>
    <w:rsid w:val="00CE62DF"/>
    <w:rsid w:val="00CE6616"/>
    <w:rsid w:val="00CE677A"/>
    <w:rsid w:val="00CE68B2"/>
    <w:rsid w:val="00CE6B13"/>
    <w:rsid w:val="00CE6B35"/>
    <w:rsid w:val="00CE6B5E"/>
    <w:rsid w:val="00CE708D"/>
    <w:rsid w:val="00CE7395"/>
    <w:rsid w:val="00CE7466"/>
    <w:rsid w:val="00CE7925"/>
    <w:rsid w:val="00CE7B14"/>
    <w:rsid w:val="00CE7BD1"/>
    <w:rsid w:val="00CE7C06"/>
    <w:rsid w:val="00CED590"/>
    <w:rsid w:val="00CF018B"/>
    <w:rsid w:val="00CF0814"/>
    <w:rsid w:val="00CF084B"/>
    <w:rsid w:val="00CF0859"/>
    <w:rsid w:val="00CF0B8A"/>
    <w:rsid w:val="00CF0E31"/>
    <w:rsid w:val="00CF0EE8"/>
    <w:rsid w:val="00CF0F34"/>
    <w:rsid w:val="00CF0F5A"/>
    <w:rsid w:val="00CF1058"/>
    <w:rsid w:val="00CF13EF"/>
    <w:rsid w:val="00CF14B5"/>
    <w:rsid w:val="00CF158E"/>
    <w:rsid w:val="00CF170E"/>
    <w:rsid w:val="00CF1B5B"/>
    <w:rsid w:val="00CF1D7A"/>
    <w:rsid w:val="00CF1E38"/>
    <w:rsid w:val="00CF1F98"/>
    <w:rsid w:val="00CF1FBC"/>
    <w:rsid w:val="00CF203D"/>
    <w:rsid w:val="00CF220A"/>
    <w:rsid w:val="00CF227A"/>
    <w:rsid w:val="00CF2417"/>
    <w:rsid w:val="00CF2581"/>
    <w:rsid w:val="00CF2629"/>
    <w:rsid w:val="00CF28FF"/>
    <w:rsid w:val="00CF2992"/>
    <w:rsid w:val="00CF2AC3"/>
    <w:rsid w:val="00CF2AE8"/>
    <w:rsid w:val="00CF2D1A"/>
    <w:rsid w:val="00CF3015"/>
    <w:rsid w:val="00CF3171"/>
    <w:rsid w:val="00CF33C9"/>
    <w:rsid w:val="00CF35A1"/>
    <w:rsid w:val="00CF3804"/>
    <w:rsid w:val="00CF399A"/>
    <w:rsid w:val="00CF3F6D"/>
    <w:rsid w:val="00CF406F"/>
    <w:rsid w:val="00CF4724"/>
    <w:rsid w:val="00CF4C2C"/>
    <w:rsid w:val="00CF4E2F"/>
    <w:rsid w:val="00CF540B"/>
    <w:rsid w:val="00CF5430"/>
    <w:rsid w:val="00CF5D37"/>
    <w:rsid w:val="00CF5E3C"/>
    <w:rsid w:val="00CF5F93"/>
    <w:rsid w:val="00CF6057"/>
    <w:rsid w:val="00CF6154"/>
    <w:rsid w:val="00CF6626"/>
    <w:rsid w:val="00CF6767"/>
    <w:rsid w:val="00CF6B46"/>
    <w:rsid w:val="00CF6DBB"/>
    <w:rsid w:val="00CF6E2C"/>
    <w:rsid w:val="00CF6F5F"/>
    <w:rsid w:val="00CF6FE5"/>
    <w:rsid w:val="00CF7013"/>
    <w:rsid w:val="00CF70DF"/>
    <w:rsid w:val="00CF71C5"/>
    <w:rsid w:val="00CF771C"/>
    <w:rsid w:val="00CF7736"/>
    <w:rsid w:val="00CF7914"/>
    <w:rsid w:val="00CF7CB5"/>
    <w:rsid w:val="00CF7E4B"/>
    <w:rsid w:val="00CF7EEA"/>
    <w:rsid w:val="00CF7F49"/>
    <w:rsid w:val="00CF7F73"/>
    <w:rsid w:val="00D0009E"/>
    <w:rsid w:val="00D00151"/>
    <w:rsid w:val="00D001C9"/>
    <w:rsid w:val="00D007EE"/>
    <w:rsid w:val="00D00DDF"/>
    <w:rsid w:val="00D00FE0"/>
    <w:rsid w:val="00D010A7"/>
    <w:rsid w:val="00D01181"/>
    <w:rsid w:val="00D011F3"/>
    <w:rsid w:val="00D01278"/>
    <w:rsid w:val="00D0143F"/>
    <w:rsid w:val="00D01462"/>
    <w:rsid w:val="00D014D1"/>
    <w:rsid w:val="00D015AA"/>
    <w:rsid w:val="00D01626"/>
    <w:rsid w:val="00D01743"/>
    <w:rsid w:val="00D01797"/>
    <w:rsid w:val="00D01CCE"/>
    <w:rsid w:val="00D01CFE"/>
    <w:rsid w:val="00D02170"/>
    <w:rsid w:val="00D027BB"/>
    <w:rsid w:val="00D02816"/>
    <w:rsid w:val="00D02851"/>
    <w:rsid w:val="00D029B5"/>
    <w:rsid w:val="00D029C8"/>
    <w:rsid w:val="00D02A24"/>
    <w:rsid w:val="00D02A31"/>
    <w:rsid w:val="00D02A4D"/>
    <w:rsid w:val="00D02BCA"/>
    <w:rsid w:val="00D02CA0"/>
    <w:rsid w:val="00D02CA3"/>
    <w:rsid w:val="00D02EF6"/>
    <w:rsid w:val="00D03001"/>
    <w:rsid w:val="00D03208"/>
    <w:rsid w:val="00D0325A"/>
    <w:rsid w:val="00D03347"/>
    <w:rsid w:val="00D033D0"/>
    <w:rsid w:val="00D034DC"/>
    <w:rsid w:val="00D03548"/>
    <w:rsid w:val="00D03581"/>
    <w:rsid w:val="00D03725"/>
    <w:rsid w:val="00D03928"/>
    <w:rsid w:val="00D0395F"/>
    <w:rsid w:val="00D03A8E"/>
    <w:rsid w:val="00D03CA1"/>
    <w:rsid w:val="00D03CA3"/>
    <w:rsid w:val="00D03E85"/>
    <w:rsid w:val="00D0405B"/>
    <w:rsid w:val="00D04148"/>
    <w:rsid w:val="00D0421E"/>
    <w:rsid w:val="00D0471A"/>
    <w:rsid w:val="00D04740"/>
    <w:rsid w:val="00D04B41"/>
    <w:rsid w:val="00D04C2F"/>
    <w:rsid w:val="00D04D8C"/>
    <w:rsid w:val="00D04E5D"/>
    <w:rsid w:val="00D04FEB"/>
    <w:rsid w:val="00D052F3"/>
    <w:rsid w:val="00D053A5"/>
    <w:rsid w:val="00D0547E"/>
    <w:rsid w:val="00D056A6"/>
    <w:rsid w:val="00D0570A"/>
    <w:rsid w:val="00D057C5"/>
    <w:rsid w:val="00D05858"/>
    <w:rsid w:val="00D05978"/>
    <w:rsid w:val="00D05A95"/>
    <w:rsid w:val="00D05E02"/>
    <w:rsid w:val="00D05E07"/>
    <w:rsid w:val="00D05ECC"/>
    <w:rsid w:val="00D05ED8"/>
    <w:rsid w:val="00D05FE1"/>
    <w:rsid w:val="00D05FF6"/>
    <w:rsid w:val="00D0608A"/>
    <w:rsid w:val="00D06229"/>
    <w:rsid w:val="00D0642D"/>
    <w:rsid w:val="00D06446"/>
    <w:rsid w:val="00D06494"/>
    <w:rsid w:val="00D06581"/>
    <w:rsid w:val="00D06747"/>
    <w:rsid w:val="00D06771"/>
    <w:rsid w:val="00D06C9F"/>
    <w:rsid w:val="00D06DBB"/>
    <w:rsid w:val="00D06E5E"/>
    <w:rsid w:val="00D06F31"/>
    <w:rsid w:val="00D06F88"/>
    <w:rsid w:val="00D06FD3"/>
    <w:rsid w:val="00D0722E"/>
    <w:rsid w:val="00D0725D"/>
    <w:rsid w:val="00D072EE"/>
    <w:rsid w:val="00D07317"/>
    <w:rsid w:val="00D074B5"/>
    <w:rsid w:val="00D0783C"/>
    <w:rsid w:val="00D07A26"/>
    <w:rsid w:val="00D07A51"/>
    <w:rsid w:val="00D07BF5"/>
    <w:rsid w:val="00D07CA3"/>
    <w:rsid w:val="00D07D61"/>
    <w:rsid w:val="00D07D63"/>
    <w:rsid w:val="00D07ED5"/>
    <w:rsid w:val="00D1004C"/>
    <w:rsid w:val="00D10098"/>
    <w:rsid w:val="00D1016F"/>
    <w:rsid w:val="00D1025C"/>
    <w:rsid w:val="00D102C0"/>
    <w:rsid w:val="00D10571"/>
    <w:rsid w:val="00D105EF"/>
    <w:rsid w:val="00D10C27"/>
    <w:rsid w:val="00D10F0C"/>
    <w:rsid w:val="00D10F31"/>
    <w:rsid w:val="00D11264"/>
    <w:rsid w:val="00D11316"/>
    <w:rsid w:val="00D1182C"/>
    <w:rsid w:val="00D11BAC"/>
    <w:rsid w:val="00D11C2F"/>
    <w:rsid w:val="00D120FE"/>
    <w:rsid w:val="00D121A3"/>
    <w:rsid w:val="00D1232F"/>
    <w:rsid w:val="00D123B9"/>
    <w:rsid w:val="00D1244B"/>
    <w:rsid w:val="00D126A0"/>
    <w:rsid w:val="00D127FB"/>
    <w:rsid w:val="00D128BA"/>
    <w:rsid w:val="00D12E54"/>
    <w:rsid w:val="00D12F37"/>
    <w:rsid w:val="00D12FCA"/>
    <w:rsid w:val="00D1306D"/>
    <w:rsid w:val="00D135BE"/>
    <w:rsid w:val="00D136FE"/>
    <w:rsid w:val="00D13895"/>
    <w:rsid w:val="00D138F6"/>
    <w:rsid w:val="00D13A45"/>
    <w:rsid w:val="00D13A81"/>
    <w:rsid w:val="00D13B1A"/>
    <w:rsid w:val="00D13B4C"/>
    <w:rsid w:val="00D13D25"/>
    <w:rsid w:val="00D13DC3"/>
    <w:rsid w:val="00D13E3B"/>
    <w:rsid w:val="00D14011"/>
    <w:rsid w:val="00D14074"/>
    <w:rsid w:val="00D14173"/>
    <w:rsid w:val="00D14271"/>
    <w:rsid w:val="00D1431B"/>
    <w:rsid w:val="00D1441D"/>
    <w:rsid w:val="00D14741"/>
    <w:rsid w:val="00D14A76"/>
    <w:rsid w:val="00D14B25"/>
    <w:rsid w:val="00D14BE1"/>
    <w:rsid w:val="00D14C63"/>
    <w:rsid w:val="00D14CF0"/>
    <w:rsid w:val="00D14E17"/>
    <w:rsid w:val="00D151FC"/>
    <w:rsid w:val="00D15209"/>
    <w:rsid w:val="00D15931"/>
    <w:rsid w:val="00D159CF"/>
    <w:rsid w:val="00D15F54"/>
    <w:rsid w:val="00D16178"/>
    <w:rsid w:val="00D16237"/>
    <w:rsid w:val="00D16240"/>
    <w:rsid w:val="00D16281"/>
    <w:rsid w:val="00D1636D"/>
    <w:rsid w:val="00D163AE"/>
    <w:rsid w:val="00D164DB"/>
    <w:rsid w:val="00D16565"/>
    <w:rsid w:val="00D16588"/>
    <w:rsid w:val="00D16A59"/>
    <w:rsid w:val="00D16CBB"/>
    <w:rsid w:val="00D16DEE"/>
    <w:rsid w:val="00D16E31"/>
    <w:rsid w:val="00D17376"/>
    <w:rsid w:val="00D17398"/>
    <w:rsid w:val="00D17688"/>
    <w:rsid w:val="00D17897"/>
    <w:rsid w:val="00D178E0"/>
    <w:rsid w:val="00D17C66"/>
    <w:rsid w:val="00D17D72"/>
    <w:rsid w:val="00D17E58"/>
    <w:rsid w:val="00D20147"/>
    <w:rsid w:val="00D202BE"/>
    <w:rsid w:val="00D20530"/>
    <w:rsid w:val="00D2059A"/>
    <w:rsid w:val="00D20B61"/>
    <w:rsid w:val="00D20B6A"/>
    <w:rsid w:val="00D20B79"/>
    <w:rsid w:val="00D20BFC"/>
    <w:rsid w:val="00D20D0A"/>
    <w:rsid w:val="00D20EB1"/>
    <w:rsid w:val="00D20EC6"/>
    <w:rsid w:val="00D2106F"/>
    <w:rsid w:val="00D2109E"/>
    <w:rsid w:val="00D210B1"/>
    <w:rsid w:val="00D210C1"/>
    <w:rsid w:val="00D2110B"/>
    <w:rsid w:val="00D2125F"/>
    <w:rsid w:val="00D21297"/>
    <w:rsid w:val="00D21365"/>
    <w:rsid w:val="00D21393"/>
    <w:rsid w:val="00D21605"/>
    <w:rsid w:val="00D2167A"/>
    <w:rsid w:val="00D21747"/>
    <w:rsid w:val="00D21A86"/>
    <w:rsid w:val="00D21B89"/>
    <w:rsid w:val="00D21BCE"/>
    <w:rsid w:val="00D21EB0"/>
    <w:rsid w:val="00D21FE3"/>
    <w:rsid w:val="00D22114"/>
    <w:rsid w:val="00D221C9"/>
    <w:rsid w:val="00D22445"/>
    <w:rsid w:val="00D2287C"/>
    <w:rsid w:val="00D229D0"/>
    <w:rsid w:val="00D22A0F"/>
    <w:rsid w:val="00D22CC1"/>
    <w:rsid w:val="00D22EA8"/>
    <w:rsid w:val="00D22F6B"/>
    <w:rsid w:val="00D230CA"/>
    <w:rsid w:val="00D232AE"/>
    <w:rsid w:val="00D23377"/>
    <w:rsid w:val="00D23387"/>
    <w:rsid w:val="00D235A2"/>
    <w:rsid w:val="00D23663"/>
    <w:rsid w:val="00D23798"/>
    <w:rsid w:val="00D23B20"/>
    <w:rsid w:val="00D23B7C"/>
    <w:rsid w:val="00D23DA3"/>
    <w:rsid w:val="00D24030"/>
    <w:rsid w:val="00D24074"/>
    <w:rsid w:val="00D24288"/>
    <w:rsid w:val="00D24490"/>
    <w:rsid w:val="00D2452E"/>
    <w:rsid w:val="00D2458A"/>
    <w:rsid w:val="00D24764"/>
    <w:rsid w:val="00D24B41"/>
    <w:rsid w:val="00D250DB"/>
    <w:rsid w:val="00D2512A"/>
    <w:rsid w:val="00D2515C"/>
    <w:rsid w:val="00D252FA"/>
    <w:rsid w:val="00D25367"/>
    <w:rsid w:val="00D25484"/>
    <w:rsid w:val="00D25517"/>
    <w:rsid w:val="00D25520"/>
    <w:rsid w:val="00D256CD"/>
    <w:rsid w:val="00D2575C"/>
    <w:rsid w:val="00D2576E"/>
    <w:rsid w:val="00D25C90"/>
    <w:rsid w:val="00D25F22"/>
    <w:rsid w:val="00D25FCC"/>
    <w:rsid w:val="00D264FF"/>
    <w:rsid w:val="00D26510"/>
    <w:rsid w:val="00D26789"/>
    <w:rsid w:val="00D26AA2"/>
    <w:rsid w:val="00D26CB6"/>
    <w:rsid w:val="00D26DB9"/>
    <w:rsid w:val="00D26E25"/>
    <w:rsid w:val="00D26F10"/>
    <w:rsid w:val="00D26FA0"/>
    <w:rsid w:val="00D271EB"/>
    <w:rsid w:val="00D27BD1"/>
    <w:rsid w:val="00D27D04"/>
    <w:rsid w:val="00D27DF7"/>
    <w:rsid w:val="00D27FBA"/>
    <w:rsid w:val="00D27FF2"/>
    <w:rsid w:val="00D3025F"/>
    <w:rsid w:val="00D302CF"/>
    <w:rsid w:val="00D3050A"/>
    <w:rsid w:val="00D3062F"/>
    <w:rsid w:val="00D306C6"/>
    <w:rsid w:val="00D306EE"/>
    <w:rsid w:val="00D30798"/>
    <w:rsid w:val="00D309BA"/>
    <w:rsid w:val="00D30A74"/>
    <w:rsid w:val="00D30C4D"/>
    <w:rsid w:val="00D30C60"/>
    <w:rsid w:val="00D30F7E"/>
    <w:rsid w:val="00D31005"/>
    <w:rsid w:val="00D31307"/>
    <w:rsid w:val="00D3131E"/>
    <w:rsid w:val="00D313B1"/>
    <w:rsid w:val="00D313C5"/>
    <w:rsid w:val="00D31537"/>
    <w:rsid w:val="00D3160A"/>
    <w:rsid w:val="00D3180B"/>
    <w:rsid w:val="00D3183C"/>
    <w:rsid w:val="00D31AB7"/>
    <w:rsid w:val="00D31C1C"/>
    <w:rsid w:val="00D31CF0"/>
    <w:rsid w:val="00D31E3B"/>
    <w:rsid w:val="00D320E5"/>
    <w:rsid w:val="00D3226C"/>
    <w:rsid w:val="00D3235A"/>
    <w:rsid w:val="00D326BD"/>
    <w:rsid w:val="00D327FC"/>
    <w:rsid w:val="00D328D1"/>
    <w:rsid w:val="00D328E2"/>
    <w:rsid w:val="00D32B8A"/>
    <w:rsid w:val="00D32B8C"/>
    <w:rsid w:val="00D32C48"/>
    <w:rsid w:val="00D32D24"/>
    <w:rsid w:val="00D32D46"/>
    <w:rsid w:val="00D33075"/>
    <w:rsid w:val="00D3333A"/>
    <w:rsid w:val="00D33612"/>
    <w:rsid w:val="00D33746"/>
    <w:rsid w:val="00D33781"/>
    <w:rsid w:val="00D337A6"/>
    <w:rsid w:val="00D33869"/>
    <w:rsid w:val="00D3387E"/>
    <w:rsid w:val="00D33A95"/>
    <w:rsid w:val="00D33BE1"/>
    <w:rsid w:val="00D33C3E"/>
    <w:rsid w:val="00D33CEB"/>
    <w:rsid w:val="00D33E1D"/>
    <w:rsid w:val="00D34379"/>
    <w:rsid w:val="00D344AB"/>
    <w:rsid w:val="00D344E1"/>
    <w:rsid w:val="00D345B8"/>
    <w:rsid w:val="00D348B7"/>
    <w:rsid w:val="00D34C91"/>
    <w:rsid w:val="00D34F98"/>
    <w:rsid w:val="00D35007"/>
    <w:rsid w:val="00D351C1"/>
    <w:rsid w:val="00D35304"/>
    <w:rsid w:val="00D35648"/>
    <w:rsid w:val="00D356DF"/>
    <w:rsid w:val="00D35737"/>
    <w:rsid w:val="00D357CD"/>
    <w:rsid w:val="00D35836"/>
    <w:rsid w:val="00D35969"/>
    <w:rsid w:val="00D35AF4"/>
    <w:rsid w:val="00D35EDE"/>
    <w:rsid w:val="00D36641"/>
    <w:rsid w:val="00D36682"/>
    <w:rsid w:val="00D36742"/>
    <w:rsid w:val="00D367EA"/>
    <w:rsid w:val="00D36916"/>
    <w:rsid w:val="00D3692B"/>
    <w:rsid w:val="00D36E4F"/>
    <w:rsid w:val="00D36E56"/>
    <w:rsid w:val="00D36EDF"/>
    <w:rsid w:val="00D36EF0"/>
    <w:rsid w:val="00D37109"/>
    <w:rsid w:val="00D37126"/>
    <w:rsid w:val="00D3715F"/>
    <w:rsid w:val="00D372F3"/>
    <w:rsid w:val="00D3736D"/>
    <w:rsid w:val="00D37391"/>
    <w:rsid w:val="00D3743D"/>
    <w:rsid w:val="00D37877"/>
    <w:rsid w:val="00D37ABD"/>
    <w:rsid w:val="00D37E77"/>
    <w:rsid w:val="00D40061"/>
    <w:rsid w:val="00D4012E"/>
    <w:rsid w:val="00D401B0"/>
    <w:rsid w:val="00D4039C"/>
    <w:rsid w:val="00D405A2"/>
    <w:rsid w:val="00D40653"/>
    <w:rsid w:val="00D40675"/>
    <w:rsid w:val="00D407E2"/>
    <w:rsid w:val="00D408E8"/>
    <w:rsid w:val="00D40EBE"/>
    <w:rsid w:val="00D40F17"/>
    <w:rsid w:val="00D40FEF"/>
    <w:rsid w:val="00D4139A"/>
    <w:rsid w:val="00D41490"/>
    <w:rsid w:val="00D41654"/>
    <w:rsid w:val="00D41A22"/>
    <w:rsid w:val="00D41A7F"/>
    <w:rsid w:val="00D41D07"/>
    <w:rsid w:val="00D41DA9"/>
    <w:rsid w:val="00D41FCE"/>
    <w:rsid w:val="00D4214C"/>
    <w:rsid w:val="00D421AF"/>
    <w:rsid w:val="00D422D6"/>
    <w:rsid w:val="00D4231E"/>
    <w:rsid w:val="00D42773"/>
    <w:rsid w:val="00D427F3"/>
    <w:rsid w:val="00D42931"/>
    <w:rsid w:val="00D42F0A"/>
    <w:rsid w:val="00D42FE5"/>
    <w:rsid w:val="00D42FF8"/>
    <w:rsid w:val="00D430B0"/>
    <w:rsid w:val="00D430D3"/>
    <w:rsid w:val="00D43123"/>
    <w:rsid w:val="00D4315A"/>
    <w:rsid w:val="00D43624"/>
    <w:rsid w:val="00D437D9"/>
    <w:rsid w:val="00D43827"/>
    <w:rsid w:val="00D43CAC"/>
    <w:rsid w:val="00D442FD"/>
    <w:rsid w:val="00D44314"/>
    <w:rsid w:val="00D443FC"/>
    <w:rsid w:val="00D4440A"/>
    <w:rsid w:val="00D4441F"/>
    <w:rsid w:val="00D4446F"/>
    <w:rsid w:val="00D444FB"/>
    <w:rsid w:val="00D44A89"/>
    <w:rsid w:val="00D44E5E"/>
    <w:rsid w:val="00D45127"/>
    <w:rsid w:val="00D45143"/>
    <w:rsid w:val="00D45163"/>
    <w:rsid w:val="00D45193"/>
    <w:rsid w:val="00D4536A"/>
    <w:rsid w:val="00D45539"/>
    <w:rsid w:val="00D45588"/>
    <w:rsid w:val="00D4559C"/>
    <w:rsid w:val="00D455E7"/>
    <w:rsid w:val="00D457C1"/>
    <w:rsid w:val="00D45860"/>
    <w:rsid w:val="00D45AAF"/>
    <w:rsid w:val="00D45B27"/>
    <w:rsid w:val="00D45BAD"/>
    <w:rsid w:val="00D45BB3"/>
    <w:rsid w:val="00D45DAD"/>
    <w:rsid w:val="00D46069"/>
    <w:rsid w:val="00D4637E"/>
    <w:rsid w:val="00D4685E"/>
    <w:rsid w:val="00D468C8"/>
    <w:rsid w:val="00D46943"/>
    <w:rsid w:val="00D4700D"/>
    <w:rsid w:val="00D47051"/>
    <w:rsid w:val="00D4712D"/>
    <w:rsid w:val="00D4733D"/>
    <w:rsid w:val="00D4745E"/>
    <w:rsid w:val="00D474B9"/>
    <w:rsid w:val="00D477D9"/>
    <w:rsid w:val="00D478B7"/>
    <w:rsid w:val="00D47A97"/>
    <w:rsid w:val="00D47EBB"/>
    <w:rsid w:val="00D47F49"/>
    <w:rsid w:val="00D50030"/>
    <w:rsid w:val="00D50033"/>
    <w:rsid w:val="00D500F2"/>
    <w:rsid w:val="00D50423"/>
    <w:rsid w:val="00D5053A"/>
    <w:rsid w:val="00D50596"/>
    <w:rsid w:val="00D507C6"/>
    <w:rsid w:val="00D508C3"/>
    <w:rsid w:val="00D509C1"/>
    <w:rsid w:val="00D50AA1"/>
    <w:rsid w:val="00D50C7D"/>
    <w:rsid w:val="00D50CBF"/>
    <w:rsid w:val="00D50CF1"/>
    <w:rsid w:val="00D50E14"/>
    <w:rsid w:val="00D50EAA"/>
    <w:rsid w:val="00D50F83"/>
    <w:rsid w:val="00D50FC9"/>
    <w:rsid w:val="00D50FEA"/>
    <w:rsid w:val="00D510B8"/>
    <w:rsid w:val="00D511D4"/>
    <w:rsid w:val="00D51264"/>
    <w:rsid w:val="00D5130D"/>
    <w:rsid w:val="00D51474"/>
    <w:rsid w:val="00D5164E"/>
    <w:rsid w:val="00D517B9"/>
    <w:rsid w:val="00D517FE"/>
    <w:rsid w:val="00D51CFE"/>
    <w:rsid w:val="00D51E13"/>
    <w:rsid w:val="00D51ED7"/>
    <w:rsid w:val="00D51FE3"/>
    <w:rsid w:val="00D5200B"/>
    <w:rsid w:val="00D520A3"/>
    <w:rsid w:val="00D52198"/>
    <w:rsid w:val="00D525CC"/>
    <w:rsid w:val="00D52911"/>
    <w:rsid w:val="00D52958"/>
    <w:rsid w:val="00D52C6E"/>
    <w:rsid w:val="00D52C7B"/>
    <w:rsid w:val="00D52D75"/>
    <w:rsid w:val="00D52DEA"/>
    <w:rsid w:val="00D52FBA"/>
    <w:rsid w:val="00D5329E"/>
    <w:rsid w:val="00D5332A"/>
    <w:rsid w:val="00D53355"/>
    <w:rsid w:val="00D533F6"/>
    <w:rsid w:val="00D5345F"/>
    <w:rsid w:val="00D53542"/>
    <w:rsid w:val="00D539E7"/>
    <w:rsid w:val="00D53A1E"/>
    <w:rsid w:val="00D53FA0"/>
    <w:rsid w:val="00D54068"/>
    <w:rsid w:val="00D540D4"/>
    <w:rsid w:val="00D540E1"/>
    <w:rsid w:val="00D544DA"/>
    <w:rsid w:val="00D546CA"/>
    <w:rsid w:val="00D54794"/>
    <w:rsid w:val="00D5480E"/>
    <w:rsid w:val="00D54875"/>
    <w:rsid w:val="00D549BC"/>
    <w:rsid w:val="00D54A10"/>
    <w:rsid w:val="00D54B7D"/>
    <w:rsid w:val="00D54CCA"/>
    <w:rsid w:val="00D54CE6"/>
    <w:rsid w:val="00D54FF0"/>
    <w:rsid w:val="00D5503E"/>
    <w:rsid w:val="00D55069"/>
    <w:rsid w:val="00D550DB"/>
    <w:rsid w:val="00D55175"/>
    <w:rsid w:val="00D55540"/>
    <w:rsid w:val="00D555D6"/>
    <w:rsid w:val="00D5592F"/>
    <w:rsid w:val="00D55959"/>
    <w:rsid w:val="00D55CBD"/>
    <w:rsid w:val="00D55D15"/>
    <w:rsid w:val="00D56213"/>
    <w:rsid w:val="00D563CD"/>
    <w:rsid w:val="00D563ED"/>
    <w:rsid w:val="00D5653D"/>
    <w:rsid w:val="00D5678B"/>
    <w:rsid w:val="00D567E1"/>
    <w:rsid w:val="00D569A7"/>
    <w:rsid w:val="00D569C9"/>
    <w:rsid w:val="00D56AA4"/>
    <w:rsid w:val="00D56C6C"/>
    <w:rsid w:val="00D56F33"/>
    <w:rsid w:val="00D56F57"/>
    <w:rsid w:val="00D570F6"/>
    <w:rsid w:val="00D571A7"/>
    <w:rsid w:val="00D571FE"/>
    <w:rsid w:val="00D572BC"/>
    <w:rsid w:val="00D575C4"/>
    <w:rsid w:val="00D5774B"/>
    <w:rsid w:val="00D5785C"/>
    <w:rsid w:val="00D57C0E"/>
    <w:rsid w:val="00D57D9C"/>
    <w:rsid w:val="00D600C6"/>
    <w:rsid w:val="00D60278"/>
    <w:rsid w:val="00D6036F"/>
    <w:rsid w:val="00D60439"/>
    <w:rsid w:val="00D604A7"/>
    <w:rsid w:val="00D606DF"/>
    <w:rsid w:val="00D60846"/>
    <w:rsid w:val="00D608AE"/>
    <w:rsid w:val="00D608C5"/>
    <w:rsid w:val="00D60938"/>
    <w:rsid w:val="00D60BD2"/>
    <w:rsid w:val="00D60C1E"/>
    <w:rsid w:val="00D60C21"/>
    <w:rsid w:val="00D60D26"/>
    <w:rsid w:val="00D60E58"/>
    <w:rsid w:val="00D60F09"/>
    <w:rsid w:val="00D60F51"/>
    <w:rsid w:val="00D6180E"/>
    <w:rsid w:val="00D6191E"/>
    <w:rsid w:val="00D61B41"/>
    <w:rsid w:val="00D62041"/>
    <w:rsid w:val="00D62137"/>
    <w:rsid w:val="00D62392"/>
    <w:rsid w:val="00D6241C"/>
    <w:rsid w:val="00D62783"/>
    <w:rsid w:val="00D62E61"/>
    <w:rsid w:val="00D63062"/>
    <w:rsid w:val="00D63736"/>
    <w:rsid w:val="00D63963"/>
    <w:rsid w:val="00D63996"/>
    <w:rsid w:val="00D63C67"/>
    <w:rsid w:val="00D63D91"/>
    <w:rsid w:val="00D63E11"/>
    <w:rsid w:val="00D63E9C"/>
    <w:rsid w:val="00D6419C"/>
    <w:rsid w:val="00D6425C"/>
    <w:rsid w:val="00D642C0"/>
    <w:rsid w:val="00D643B0"/>
    <w:rsid w:val="00D64500"/>
    <w:rsid w:val="00D64690"/>
    <w:rsid w:val="00D64D3F"/>
    <w:rsid w:val="00D64D5F"/>
    <w:rsid w:val="00D64DB3"/>
    <w:rsid w:val="00D64E22"/>
    <w:rsid w:val="00D64F3A"/>
    <w:rsid w:val="00D64FD9"/>
    <w:rsid w:val="00D650BE"/>
    <w:rsid w:val="00D653EB"/>
    <w:rsid w:val="00D65438"/>
    <w:rsid w:val="00D656A9"/>
    <w:rsid w:val="00D657E7"/>
    <w:rsid w:val="00D65822"/>
    <w:rsid w:val="00D658B4"/>
    <w:rsid w:val="00D659A5"/>
    <w:rsid w:val="00D65B3C"/>
    <w:rsid w:val="00D65C8A"/>
    <w:rsid w:val="00D65F07"/>
    <w:rsid w:val="00D660CE"/>
    <w:rsid w:val="00D66479"/>
    <w:rsid w:val="00D66933"/>
    <w:rsid w:val="00D66C27"/>
    <w:rsid w:val="00D66D36"/>
    <w:rsid w:val="00D66EF2"/>
    <w:rsid w:val="00D66F3A"/>
    <w:rsid w:val="00D67013"/>
    <w:rsid w:val="00D67198"/>
    <w:rsid w:val="00D671E5"/>
    <w:rsid w:val="00D67217"/>
    <w:rsid w:val="00D67649"/>
    <w:rsid w:val="00D67779"/>
    <w:rsid w:val="00D6790B"/>
    <w:rsid w:val="00D6794D"/>
    <w:rsid w:val="00D679F6"/>
    <w:rsid w:val="00D67A53"/>
    <w:rsid w:val="00D67AD2"/>
    <w:rsid w:val="00D67D80"/>
    <w:rsid w:val="00D67FD3"/>
    <w:rsid w:val="00D701E9"/>
    <w:rsid w:val="00D704DD"/>
    <w:rsid w:val="00D70585"/>
    <w:rsid w:val="00D70671"/>
    <w:rsid w:val="00D70768"/>
    <w:rsid w:val="00D70914"/>
    <w:rsid w:val="00D70915"/>
    <w:rsid w:val="00D70BE1"/>
    <w:rsid w:val="00D712B3"/>
    <w:rsid w:val="00D7134E"/>
    <w:rsid w:val="00D7148A"/>
    <w:rsid w:val="00D7154C"/>
    <w:rsid w:val="00D71614"/>
    <w:rsid w:val="00D71C59"/>
    <w:rsid w:val="00D71C5A"/>
    <w:rsid w:val="00D71CCD"/>
    <w:rsid w:val="00D71D8E"/>
    <w:rsid w:val="00D71F56"/>
    <w:rsid w:val="00D71FE0"/>
    <w:rsid w:val="00D72098"/>
    <w:rsid w:val="00D720AB"/>
    <w:rsid w:val="00D7211B"/>
    <w:rsid w:val="00D726CF"/>
    <w:rsid w:val="00D7273A"/>
    <w:rsid w:val="00D72748"/>
    <w:rsid w:val="00D72896"/>
    <w:rsid w:val="00D729B5"/>
    <w:rsid w:val="00D72A33"/>
    <w:rsid w:val="00D72A36"/>
    <w:rsid w:val="00D72B16"/>
    <w:rsid w:val="00D72C40"/>
    <w:rsid w:val="00D72C6A"/>
    <w:rsid w:val="00D72DB6"/>
    <w:rsid w:val="00D72DBD"/>
    <w:rsid w:val="00D72EAE"/>
    <w:rsid w:val="00D72EFB"/>
    <w:rsid w:val="00D72F3F"/>
    <w:rsid w:val="00D7309A"/>
    <w:rsid w:val="00D73114"/>
    <w:rsid w:val="00D73146"/>
    <w:rsid w:val="00D73260"/>
    <w:rsid w:val="00D732E3"/>
    <w:rsid w:val="00D7350C"/>
    <w:rsid w:val="00D735FF"/>
    <w:rsid w:val="00D737BA"/>
    <w:rsid w:val="00D738DC"/>
    <w:rsid w:val="00D73C07"/>
    <w:rsid w:val="00D73C31"/>
    <w:rsid w:val="00D73CBA"/>
    <w:rsid w:val="00D740FB"/>
    <w:rsid w:val="00D740FC"/>
    <w:rsid w:val="00D744B8"/>
    <w:rsid w:val="00D747B8"/>
    <w:rsid w:val="00D74974"/>
    <w:rsid w:val="00D74A0C"/>
    <w:rsid w:val="00D74C0D"/>
    <w:rsid w:val="00D74C9A"/>
    <w:rsid w:val="00D74CC9"/>
    <w:rsid w:val="00D74F44"/>
    <w:rsid w:val="00D74F90"/>
    <w:rsid w:val="00D7506E"/>
    <w:rsid w:val="00D751BE"/>
    <w:rsid w:val="00D75211"/>
    <w:rsid w:val="00D7547C"/>
    <w:rsid w:val="00D756A6"/>
    <w:rsid w:val="00D7573F"/>
    <w:rsid w:val="00D757C1"/>
    <w:rsid w:val="00D75917"/>
    <w:rsid w:val="00D75955"/>
    <w:rsid w:val="00D759CA"/>
    <w:rsid w:val="00D75DD2"/>
    <w:rsid w:val="00D75E73"/>
    <w:rsid w:val="00D760EF"/>
    <w:rsid w:val="00D762E8"/>
    <w:rsid w:val="00D76622"/>
    <w:rsid w:val="00D76718"/>
    <w:rsid w:val="00D76767"/>
    <w:rsid w:val="00D7680C"/>
    <w:rsid w:val="00D76DEE"/>
    <w:rsid w:val="00D771A5"/>
    <w:rsid w:val="00D77209"/>
    <w:rsid w:val="00D77399"/>
    <w:rsid w:val="00D775ED"/>
    <w:rsid w:val="00D77777"/>
    <w:rsid w:val="00D7794D"/>
    <w:rsid w:val="00D779CE"/>
    <w:rsid w:val="00D77B06"/>
    <w:rsid w:val="00D77EB0"/>
    <w:rsid w:val="00D77EEE"/>
    <w:rsid w:val="00D77F91"/>
    <w:rsid w:val="00D77FAC"/>
    <w:rsid w:val="00D7A0CB"/>
    <w:rsid w:val="00D80363"/>
    <w:rsid w:val="00D803C9"/>
    <w:rsid w:val="00D80527"/>
    <w:rsid w:val="00D8053B"/>
    <w:rsid w:val="00D8063D"/>
    <w:rsid w:val="00D808F0"/>
    <w:rsid w:val="00D80965"/>
    <w:rsid w:val="00D80FBF"/>
    <w:rsid w:val="00D812BF"/>
    <w:rsid w:val="00D8139C"/>
    <w:rsid w:val="00D8139E"/>
    <w:rsid w:val="00D81515"/>
    <w:rsid w:val="00D815ED"/>
    <w:rsid w:val="00D815F6"/>
    <w:rsid w:val="00D81604"/>
    <w:rsid w:val="00D8170B"/>
    <w:rsid w:val="00D81E3E"/>
    <w:rsid w:val="00D81EA1"/>
    <w:rsid w:val="00D82030"/>
    <w:rsid w:val="00D822A9"/>
    <w:rsid w:val="00D823C3"/>
    <w:rsid w:val="00D82405"/>
    <w:rsid w:val="00D825A2"/>
    <w:rsid w:val="00D827CF"/>
    <w:rsid w:val="00D827E3"/>
    <w:rsid w:val="00D828A6"/>
    <w:rsid w:val="00D8293F"/>
    <w:rsid w:val="00D82AA2"/>
    <w:rsid w:val="00D83110"/>
    <w:rsid w:val="00D8311C"/>
    <w:rsid w:val="00D832FD"/>
    <w:rsid w:val="00D8346A"/>
    <w:rsid w:val="00D83513"/>
    <w:rsid w:val="00D83530"/>
    <w:rsid w:val="00D837C6"/>
    <w:rsid w:val="00D83A62"/>
    <w:rsid w:val="00D83CA9"/>
    <w:rsid w:val="00D83D40"/>
    <w:rsid w:val="00D83FE8"/>
    <w:rsid w:val="00D84293"/>
    <w:rsid w:val="00D84342"/>
    <w:rsid w:val="00D84386"/>
    <w:rsid w:val="00D847F6"/>
    <w:rsid w:val="00D84912"/>
    <w:rsid w:val="00D8498E"/>
    <w:rsid w:val="00D84A4E"/>
    <w:rsid w:val="00D84A63"/>
    <w:rsid w:val="00D84B2B"/>
    <w:rsid w:val="00D84B5F"/>
    <w:rsid w:val="00D84C82"/>
    <w:rsid w:val="00D84CF0"/>
    <w:rsid w:val="00D84E3A"/>
    <w:rsid w:val="00D84E41"/>
    <w:rsid w:val="00D84ECE"/>
    <w:rsid w:val="00D84F5D"/>
    <w:rsid w:val="00D84FC6"/>
    <w:rsid w:val="00D85196"/>
    <w:rsid w:val="00D851D6"/>
    <w:rsid w:val="00D85227"/>
    <w:rsid w:val="00D855BA"/>
    <w:rsid w:val="00D856E9"/>
    <w:rsid w:val="00D858F8"/>
    <w:rsid w:val="00D85AB7"/>
    <w:rsid w:val="00D85AE2"/>
    <w:rsid w:val="00D85B2A"/>
    <w:rsid w:val="00D85B5C"/>
    <w:rsid w:val="00D85BF3"/>
    <w:rsid w:val="00D85F28"/>
    <w:rsid w:val="00D85FBD"/>
    <w:rsid w:val="00D861BE"/>
    <w:rsid w:val="00D86514"/>
    <w:rsid w:val="00D86641"/>
    <w:rsid w:val="00D86766"/>
    <w:rsid w:val="00D86AD4"/>
    <w:rsid w:val="00D86BF4"/>
    <w:rsid w:val="00D86E85"/>
    <w:rsid w:val="00D86F59"/>
    <w:rsid w:val="00D86F71"/>
    <w:rsid w:val="00D870E0"/>
    <w:rsid w:val="00D8715A"/>
    <w:rsid w:val="00D87414"/>
    <w:rsid w:val="00D8743C"/>
    <w:rsid w:val="00D874FB"/>
    <w:rsid w:val="00D8768D"/>
    <w:rsid w:val="00D878F9"/>
    <w:rsid w:val="00D87B55"/>
    <w:rsid w:val="00D87EB0"/>
    <w:rsid w:val="00D87EE5"/>
    <w:rsid w:val="00D87EE8"/>
    <w:rsid w:val="00D9002D"/>
    <w:rsid w:val="00D908AE"/>
    <w:rsid w:val="00D90984"/>
    <w:rsid w:val="00D909F9"/>
    <w:rsid w:val="00D90A07"/>
    <w:rsid w:val="00D90E0E"/>
    <w:rsid w:val="00D90E48"/>
    <w:rsid w:val="00D91040"/>
    <w:rsid w:val="00D91411"/>
    <w:rsid w:val="00D915EA"/>
    <w:rsid w:val="00D916F0"/>
    <w:rsid w:val="00D918C7"/>
    <w:rsid w:val="00D91B2D"/>
    <w:rsid w:val="00D91CF2"/>
    <w:rsid w:val="00D91D07"/>
    <w:rsid w:val="00D92038"/>
    <w:rsid w:val="00D92074"/>
    <w:rsid w:val="00D922E1"/>
    <w:rsid w:val="00D9243A"/>
    <w:rsid w:val="00D92714"/>
    <w:rsid w:val="00D9271A"/>
    <w:rsid w:val="00D927F9"/>
    <w:rsid w:val="00D92808"/>
    <w:rsid w:val="00D9280D"/>
    <w:rsid w:val="00D92824"/>
    <w:rsid w:val="00D92A18"/>
    <w:rsid w:val="00D92AC3"/>
    <w:rsid w:val="00D92DB2"/>
    <w:rsid w:val="00D934CF"/>
    <w:rsid w:val="00D935BE"/>
    <w:rsid w:val="00D9360F"/>
    <w:rsid w:val="00D93689"/>
    <w:rsid w:val="00D938DF"/>
    <w:rsid w:val="00D93B74"/>
    <w:rsid w:val="00D93BD8"/>
    <w:rsid w:val="00D93C12"/>
    <w:rsid w:val="00D93C95"/>
    <w:rsid w:val="00D93ECA"/>
    <w:rsid w:val="00D94099"/>
    <w:rsid w:val="00D94278"/>
    <w:rsid w:val="00D945B2"/>
    <w:rsid w:val="00D94719"/>
    <w:rsid w:val="00D94986"/>
    <w:rsid w:val="00D94A9E"/>
    <w:rsid w:val="00D94AB2"/>
    <w:rsid w:val="00D951A2"/>
    <w:rsid w:val="00D954BE"/>
    <w:rsid w:val="00D959B0"/>
    <w:rsid w:val="00D959EB"/>
    <w:rsid w:val="00D95BB4"/>
    <w:rsid w:val="00D95F78"/>
    <w:rsid w:val="00D96163"/>
    <w:rsid w:val="00D96253"/>
    <w:rsid w:val="00D962ED"/>
    <w:rsid w:val="00D96334"/>
    <w:rsid w:val="00D9637D"/>
    <w:rsid w:val="00D963E0"/>
    <w:rsid w:val="00D96578"/>
    <w:rsid w:val="00D9661C"/>
    <w:rsid w:val="00D9678A"/>
    <w:rsid w:val="00D96893"/>
    <w:rsid w:val="00D96981"/>
    <w:rsid w:val="00D9699A"/>
    <w:rsid w:val="00D96C4F"/>
    <w:rsid w:val="00D96D60"/>
    <w:rsid w:val="00D96DD7"/>
    <w:rsid w:val="00D96E23"/>
    <w:rsid w:val="00D96F1E"/>
    <w:rsid w:val="00D972D6"/>
    <w:rsid w:val="00D9739C"/>
    <w:rsid w:val="00D9766D"/>
    <w:rsid w:val="00D9770C"/>
    <w:rsid w:val="00D977A3"/>
    <w:rsid w:val="00D97917"/>
    <w:rsid w:val="00D97920"/>
    <w:rsid w:val="00D97A53"/>
    <w:rsid w:val="00D97B22"/>
    <w:rsid w:val="00D97C9C"/>
    <w:rsid w:val="00D97DA0"/>
    <w:rsid w:val="00D97E7A"/>
    <w:rsid w:val="00DA0038"/>
    <w:rsid w:val="00DA0442"/>
    <w:rsid w:val="00DA047E"/>
    <w:rsid w:val="00DA0957"/>
    <w:rsid w:val="00DA0C29"/>
    <w:rsid w:val="00DA0EC8"/>
    <w:rsid w:val="00DA1135"/>
    <w:rsid w:val="00DA1279"/>
    <w:rsid w:val="00DA1293"/>
    <w:rsid w:val="00DA1375"/>
    <w:rsid w:val="00DA14E3"/>
    <w:rsid w:val="00DA1B3C"/>
    <w:rsid w:val="00DA1BD3"/>
    <w:rsid w:val="00DA1C54"/>
    <w:rsid w:val="00DA1CFB"/>
    <w:rsid w:val="00DA1EC7"/>
    <w:rsid w:val="00DA22A9"/>
    <w:rsid w:val="00DA2378"/>
    <w:rsid w:val="00DA2528"/>
    <w:rsid w:val="00DA2572"/>
    <w:rsid w:val="00DA28D7"/>
    <w:rsid w:val="00DA2DF7"/>
    <w:rsid w:val="00DA2E0C"/>
    <w:rsid w:val="00DA3045"/>
    <w:rsid w:val="00DA308E"/>
    <w:rsid w:val="00DA33F8"/>
    <w:rsid w:val="00DA3717"/>
    <w:rsid w:val="00DA38B1"/>
    <w:rsid w:val="00DA38E1"/>
    <w:rsid w:val="00DA3A99"/>
    <w:rsid w:val="00DA3D48"/>
    <w:rsid w:val="00DA3E58"/>
    <w:rsid w:val="00DA4173"/>
    <w:rsid w:val="00DA433D"/>
    <w:rsid w:val="00DA451C"/>
    <w:rsid w:val="00DA465C"/>
    <w:rsid w:val="00DA4690"/>
    <w:rsid w:val="00DA47CB"/>
    <w:rsid w:val="00DA47E7"/>
    <w:rsid w:val="00DA4805"/>
    <w:rsid w:val="00DA4C33"/>
    <w:rsid w:val="00DA4F16"/>
    <w:rsid w:val="00DA5056"/>
    <w:rsid w:val="00DA5071"/>
    <w:rsid w:val="00DA50A1"/>
    <w:rsid w:val="00DA510F"/>
    <w:rsid w:val="00DA52AB"/>
    <w:rsid w:val="00DA53D5"/>
    <w:rsid w:val="00DA541F"/>
    <w:rsid w:val="00DA5A97"/>
    <w:rsid w:val="00DA5AA2"/>
    <w:rsid w:val="00DA60E4"/>
    <w:rsid w:val="00DA62EE"/>
    <w:rsid w:val="00DA6648"/>
    <w:rsid w:val="00DA671A"/>
    <w:rsid w:val="00DA691D"/>
    <w:rsid w:val="00DA692A"/>
    <w:rsid w:val="00DA6AB2"/>
    <w:rsid w:val="00DA6BC7"/>
    <w:rsid w:val="00DA6C44"/>
    <w:rsid w:val="00DA6D44"/>
    <w:rsid w:val="00DA6E38"/>
    <w:rsid w:val="00DA6EB6"/>
    <w:rsid w:val="00DA6F83"/>
    <w:rsid w:val="00DA74CD"/>
    <w:rsid w:val="00DA751F"/>
    <w:rsid w:val="00DA7643"/>
    <w:rsid w:val="00DA78B6"/>
    <w:rsid w:val="00DB015D"/>
    <w:rsid w:val="00DB0332"/>
    <w:rsid w:val="00DB0574"/>
    <w:rsid w:val="00DB05D1"/>
    <w:rsid w:val="00DB089F"/>
    <w:rsid w:val="00DB0BBF"/>
    <w:rsid w:val="00DB0D02"/>
    <w:rsid w:val="00DB11B8"/>
    <w:rsid w:val="00DB12BE"/>
    <w:rsid w:val="00DB14AD"/>
    <w:rsid w:val="00DB1570"/>
    <w:rsid w:val="00DB199B"/>
    <w:rsid w:val="00DB1B36"/>
    <w:rsid w:val="00DB1BD5"/>
    <w:rsid w:val="00DB1CB2"/>
    <w:rsid w:val="00DB1D54"/>
    <w:rsid w:val="00DB214D"/>
    <w:rsid w:val="00DB21C6"/>
    <w:rsid w:val="00DB2221"/>
    <w:rsid w:val="00DB22CA"/>
    <w:rsid w:val="00DB24EA"/>
    <w:rsid w:val="00DB2888"/>
    <w:rsid w:val="00DB28FA"/>
    <w:rsid w:val="00DB2D53"/>
    <w:rsid w:val="00DB2D90"/>
    <w:rsid w:val="00DB325B"/>
    <w:rsid w:val="00DB32C7"/>
    <w:rsid w:val="00DB354A"/>
    <w:rsid w:val="00DB354C"/>
    <w:rsid w:val="00DB3720"/>
    <w:rsid w:val="00DB3726"/>
    <w:rsid w:val="00DB3794"/>
    <w:rsid w:val="00DB3B8C"/>
    <w:rsid w:val="00DB3ED5"/>
    <w:rsid w:val="00DB3FDB"/>
    <w:rsid w:val="00DB4107"/>
    <w:rsid w:val="00DB41F4"/>
    <w:rsid w:val="00DB44B0"/>
    <w:rsid w:val="00DB4538"/>
    <w:rsid w:val="00DB474C"/>
    <w:rsid w:val="00DB4838"/>
    <w:rsid w:val="00DB4C6A"/>
    <w:rsid w:val="00DB4E61"/>
    <w:rsid w:val="00DB504D"/>
    <w:rsid w:val="00DB50E3"/>
    <w:rsid w:val="00DB525D"/>
    <w:rsid w:val="00DB5329"/>
    <w:rsid w:val="00DB5654"/>
    <w:rsid w:val="00DB58E8"/>
    <w:rsid w:val="00DB5A39"/>
    <w:rsid w:val="00DB5A67"/>
    <w:rsid w:val="00DB5CB5"/>
    <w:rsid w:val="00DB5F81"/>
    <w:rsid w:val="00DB6066"/>
    <w:rsid w:val="00DB607E"/>
    <w:rsid w:val="00DB61AE"/>
    <w:rsid w:val="00DB648E"/>
    <w:rsid w:val="00DB6578"/>
    <w:rsid w:val="00DB67ED"/>
    <w:rsid w:val="00DB6CAD"/>
    <w:rsid w:val="00DB6D0D"/>
    <w:rsid w:val="00DB6DCD"/>
    <w:rsid w:val="00DB6EF9"/>
    <w:rsid w:val="00DB6F4D"/>
    <w:rsid w:val="00DB7452"/>
    <w:rsid w:val="00DB74BF"/>
    <w:rsid w:val="00DB7670"/>
    <w:rsid w:val="00DB78D0"/>
    <w:rsid w:val="00DB78DD"/>
    <w:rsid w:val="00DB7A1B"/>
    <w:rsid w:val="00DB7ADA"/>
    <w:rsid w:val="00DB7C69"/>
    <w:rsid w:val="00DB7C6F"/>
    <w:rsid w:val="00DB7D21"/>
    <w:rsid w:val="00DB7E64"/>
    <w:rsid w:val="00DB7E9B"/>
    <w:rsid w:val="00DB7F17"/>
    <w:rsid w:val="00DB7F1C"/>
    <w:rsid w:val="00DB8F36"/>
    <w:rsid w:val="00DC02CD"/>
    <w:rsid w:val="00DC0BAC"/>
    <w:rsid w:val="00DC0C24"/>
    <w:rsid w:val="00DC0D56"/>
    <w:rsid w:val="00DC0E58"/>
    <w:rsid w:val="00DC0E7B"/>
    <w:rsid w:val="00DC0F8A"/>
    <w:rsid w:val="00DC111F"/>
    <w:rsid w:val="00DC12B8"/>
    <w:rsid w:val="00DC1549"/>
    <w:rsid w:val="00DC16CC"/>
    <w:rsid w:val="00DC170B"/>
    <w:rsid w:val="00DC1773"/>
    <w:rsid w:val="00DC183E"/>
    <w:rsid w:val="00DC1A6F"/>
    <w:rsid w:val="00DC1AB4"/>
    <w:rsid w:val="00DC1C5A"/>
    <w:rsid w:val="00DC1E7B"/>
    <w:rsid w:val="00DC20B9"/>
    <w:rsid w:val="00DC2233"/>
    <w:rsid w:val="00DC233A"/>
    <w:rsid w:val="00DC237B"/>
    <w:rsid w:val="00DC24FF"/>
    <w:rsid w:val="00DC2541"/>
    <w:rsid w:val="00DC25C7"/>
    <w:rsid w:val="00DC2919"/>
    <w:rsid w:val="00DC29A3"/>
    <w:rsid w:val="00DC2A20"/>
    <w:rsid w:val="00DC2B3D"/>
    <w:rsid w:val="00DC2CDC"/>
    <w:rsid w:val="00DC2DAD"/>
    <w:rsid w:val="00DC2E5B"/>
    <w:rsid w:val="00DC2FD4"/>
    <w:rsid w:val="00DC33D4"/>
    <w:rsid w:val="00DC3649"/>
    <w:rsid w:val="00DC3779"/>
    <w:rsid w:val="00DC37D0"/>
    <w:rsid w:val="00DC3E43"/>
    <w:rsid w:val="00DC403B"/>
    <w:rsid w:val="00DC4064"/>
    <w:rsid w:val="00DC427A"/>
    <w:rsid w:val="00DC4285"/>
    <w:rsid w:val="00DC42E0"/>
    <w:rsid w:val="00DC44FA"/>
    <w:rsid w:val="00DC46C1"/>
    <w:rsid w:val="00DC46EE"/>
    <w:rsid w:val="00DC4A2E"/>
    <w:rsid w:val="00DC4B6F"/>
    <w:rsid w:val="00DC4B77"/>
    <w:rsid w:val="00DC4EEC"/>
    <w:rsid w:val="00DC52E7"/>
    <w:rsid w:val="00DC54C2"/>
    <w:rsid w:val="00DC55D8"/>
    <w:rsid w:val="00DC566C"/>
    <w:rsid w:val="00DC588E"/>
    <w:rsid w:val="00DC5967"/>
    <w:rsid w:val="00DC5B29"/>
    <w:rsid w:val="00DC5D15"/>
    <w:rsid w:val="00DC5E2E"/>
    <w:rsid w:val="00DC5F32"/>
    <w:rsid w:val="00DC6278"/>
    <w:rsid w:val="00DC64AE"/>
    <w:rsid w:val="00DC6503"/>
    <w:rsid w:val="00DC650D"/>
    <w:rsid w:val="00DC652A"/>
    <w:rsid w:val="00DC6584"/>
    <w:rsid w:val="00DC692B"/>
    <w:rsid w:val="00DC6959"/>
    <w:rsid w:val="00DC6BC0"/>
    <w:rsid w:val="00DC6CD3"/>
    <w:rsid w:val="00DC6D12"/>
    <w:rsid w:val="00DC6E12"/>
    <w:rsid w:val="00DC6E39"/>
    <w:rsid w:val="00DC70EC"/>
    <w:rsid w:val="00DC7349"/>
    <w:rsid w:val="00DC73E4"/>
    <w:rsid w:val="00DC73F7"/>
    <w:rsid w:val="00DC744A"/>
    <w:rsid w:val="00DC74CC"/>
    <w:rsid w:val="00DC766E"/>
    <w:rsid w:val="00DC7734"/>
    <w:rsid w:val="00DC779D"/>
    <w:rsid w:val="00DC7D60"/>
    <w:rsid w:val="00DC7F4A"/>
    <w:rsid w:val="00DD000A"/>
    <w:rsid w:val="00DD00A7"/>
    <w:rsid w:val="00DD00DF"/>
    <w:rsid w:val="00DD0273"/>
    <w:rsid w:val="00DD0384"/>
    <w:rsid w:val="00DD0A20"/>
    <w:rsid w:val="00DD0B7C"/>
    <w:rsid w:val="00DD0C0C"/>
    <w:rsid w:val="00DD0CB8"/>
    <w:rsid w:val="00DD0CF9"/>
    <w:rsid w:val="00DD0D96"/>
    <w:rsid w:val="00DD0DD4"/>
    <w:rsid w:val="00DD0E28"/>
    <w:rsid w:val="00DD125F"/>
    <w:rsid w:val="00DD18A9"/>
    <w:rsid w:val="00DD1963"/>
    <w:rsid w:val="00DD1BCF"/>
    <w:rsid w:val="00DD1D49"/>
    <w:rsid w:val="00DD1DB9"/>
    <w:rsid w:val="00DD1EAF"/>
    <w:rsid w:val="00DD22DF"/>
    <w:rsid w:val="00DD23A6"/>
    <w:rsid w:val="00DD24EA"/>
    <w:rsid w:val="00DD26A5"/>
    <w:rsid w:val="00DD2782"/>
    <w:rsid w:val="00DD28E7"/>
    <w:rsid w:val="00DD2A74"/>
    <w:rsid w:val="00DD2B1D"/>
    <w:rsid w:val="00DD2E24"/>
    <w:rsid w:val="00DD2EAB"/>
    <w:rsid w:val="00DD301C"/>
    <w:rsid w:val="00DD30A6"/>
    <w:rsid w:val="00DD30DE"/>
    <w:rsid w:val="00DD327D"/>
    <w:rsid w:val="00DD3318"/>
    <w:rsid w:val="00DD34B4"/>
    <w:rsid w:val="00DD34C8"/>
    <w:rsid w:val="00DD373C"/>
    <w:rsid w:val="00DD3AC8"/>
    <w:rsid w:val="00DD3BF0"/>
    <w:rsid w:val="00DD3C0D"/>
    <w:rsid w:val="00DD3D23"/>
    <w:rsid w:val="00DD3DC9"/>
    <w:rsid w:val="00DD3E66"/>
    <w:rsid w:val="00DD40C8"/>
    <w:rsid w:val="00DD4155"/>
    <w:rsid w:val="00DD419D"/>
    <w:rsid w:val="00DD4665"/>
    <w:rsid w:val="00DD48DB"/>
    <w:rsid w:val="00DD491A"/>
    <w:rsid w:val="00DD4923"/>
    <w:rsid w:val="00DD49E7"/>
    <w:rsid w:val="00DD4B3F"/>
    <w:rsid w:val="00DD4D49"/>
    <w:rsid w:val="00DD4DA0"/>
    <w:rsid w:val="00DD4E32"/>
    <w:rsid w:val="00DD522A"/>
    <w:rsid w:val="00DD5286"/>
    <w:rsid w:val="00DD535F"/>
    <w:rsid w:val="00DD569C"/>
    <w:rsid w:val="00DD5700"/>
    <w:rsid w:val="00DD5973"/>
    <w:rsid w:val="00DD5999"/>
    <w:rsid w:val="00DD59AE"/>
    <w:rsid w:val="00DD5EE6"/>
    <w:rsid w:val="00DD62DA"/>
    <w:rsid w:val="00DD62ED"/>
    <w:rsid w:val="00DD63A7"/>
    <w:rsid w:val="00DD6591"/>
    <w:rsid w:val="00DD65AB"/>
    <w:rsid w:val="00DD6605"/>
    <w:rsid w:val="00DD67D7"/>
    <w:rsid w:val="00DD68ED"/>
    <w:rsid w:val="00DD695C"/>
    <w:rsid w:val="00DD6ACD"/>
    <w:rsid w:val="00DD6ED1"/>
    <w:rsid w:val="00DD72B6"/>
    <w:rsid w:val="00DD72D2"/>
    <w:rsid w:val="00DD737D"/>
    <w:rsid w:val="00DD7669"/>
    <w:rsid w:val="00DD7A93"/>
    <w:rsid w:val="00DD7BF6"/>
    <w:rsid w:val="00DD7D00"/>
    <w:rsid w:val="00DD7D1D"/>
    <w:rsid w:val="00DD7E84"/>
    <w:rsid w:val="00DD7F5F"/>
    <w:rsid w:val="00DD7F67"/>
    <w:rsid w:val="00DD7FD5"/>
    <w:rsid w:val="00DE015E"/>
    <w:rsid w:val="00DE046D"/>
    <w:rsid w:val="00DE084F"/>
    <w:rsid w:val="00DE0972"/>
    <w:rsid w:val="00DE09E1"/>
    <w:rsid w:val="00DE0A46"/>
    <w:rsid w:val="00DE0A8A"/>
    <w:rsid w:val="00DE0D63"/>
    <w:rsid w:val="00DE0EC3"/>
    <w:rsid w:val="00DE1063"/>
    <w:rsid w:val="00DE1118"/>
    <w:rsid w:val="00DE1453"/>
    <w:rsid w:val="00DE1BB2"/>
    <w:rsid w:val="00DE20DF"/>
    <w:rsid w:val="00DE2385"/>
    <w:rsid w:val="00DE257C"/>
    <w:rsid w:val="00DE27DD"/>
    <w:rsid w:val="00DE2B18"/>
    <w:rsid w:val="00DE30F9"/>
    <w:rsid w:val="00DE3415"/>
    <w:rsid w:val="00DE34BA"/>
    <w:rsid w:val="00DE3801"/>
    <w:rsid w:val="00DE39B6"/>
    <w:rsid w:val="00DE39ED"/>
    <w:rsid w:val="00DE3C7D"/>
    <w:rsid w:val="00DE3CA4"/>
    <w:rsid w:val="00DE3CB0"/>
    <w:rsid w:val="00DE3F11"/>
    <w:rsid w:val="00DE3F39"/>
    <w:rsid w:val="00DE4070"/>
    <w:rsid w:val="00DE408F"/>
    <w:rsid w:val="00DE4104"/>
    <w:rsid w:val="00DE430B"/>
    <w:rsid w:val="00DE43A3"/>
    <w:rsid w:val="00DE43A9"/>
    <w:rsid w:val="00DE4406"/>
    <w:rsid w:val="00DE44DA"/>
    <w:rsid w:val="00DE4727"/>
    <w:rsid w:val="00DE4750"/>
    <w:rsid w:val="00DE48F1"/>
    <w:rsid w:val="00DE4B39"/>
    <w:rsid w:val="00DE4BB9"/>
    <w:rsid w:val="00DE4DFE"/>
    <w:rsid w:val="00DE4E66"/>
    <w:rsid w:val="00DE50EC"/>
    <w:rsid w:val="00DE54E3"/>
    <w:rsid w:val="00DE54ED"/>
    <w:rsid w:val="00DE5636"/>
    <w:rsid w:val="00DE579A"/>
    <w:rsid w:val="00DE582C"/>
    <w:rsid w:val="00DE58C3"/>
    <w:rsid w:val="00DE5AA4"/>
    <w:rsid w:val="00DE5C2D"/>
    <w:rsid w:val="00DE5EC8"/>
    <w:rsid w:val="00DE630C"/>
    <w:rsid w:val="00DE63A5"/>
    <w:rsid w:val="00DE6434"/>
    <w:rsid w:val="00DE662C"/>
    <w:rsid w:val="00DE6BD8"/>
    <w:rsid w:val="00DE6C17"/>
    <w:rsid w:val="00DE7053"/>
    <w:rsid w:val="00DE70EA"/>
    <w:rsid w:val="00DE721C"/>
    <w:rsid w:val="00DE76E4"/>
    <w:rsid w:val="00DE779E"/>
    <w:rsid w:val="00DE79D1"/>
    <w:rsid w:val="00DE7BC1"/>
    <w:rsid w:val="00DE7E1E"/>
    <w:rsid w:val="00DE7E54"/>
    <w:rsid w:val="00DF0059"/>
    <w:rsid w:val="00DF04B6"/>
    <w:rsid w:val="00DF09E3"/>
    <w:rsid w:val="00DF0C66"/>
    <w:rsid w:val="00DF0F80"/>
    <w:rsid w:val="00DF15B1"/>
    <w:rsid w:val="00DF15FE"/>
    <w:rsid w:val="00DF174F"/>
    <w:rsid w:val="00DF1B4C"/>
    <w:rsid w:val="00DF1BA0"/>
    <w:rsid w:val="00DF1DAF"/>
    <w:rsid w:val="00DF1E14"/>
    <w:rsid w:val="00DF2079"/>
    <w:rsid w:val="00DF20A7"/>
    <w:rsid w:val="00DF2197"/>
    <w:rsid w:val="00DF223C"/>
    <w:rsid w:val="00DF2394"/>
    <w:rsid w:val="00DF2442"/>
    <w:rsid w:val="00DF2578"/>
    <w:rsid w:val="00DF25A0"/>
    <w:rsid w:val="00DF2642"/>
    <w:rsid w:val="00DF265D"/>
    <w:rsid w:val="00DF278E"/>
    <w:rsid w:val="00DF2A61"/>
    <w:rsid w:val="00DF2A75"/>
    <w:rsid w:val="00DF2AB7"/>
    <w:rsid w:val="00DF2AFE"/>
    <w:rsid w:val="00DF2FBA"/>
    <w:rsid w:val="00DF2FBD"/>
    <w:rsid w:val="00DF30F7"/>
    <w:rsid w:val="00DF34D5"/>
    <w:rsid w:val="00DF350A"/>
    <w:rsid w:val="00DF35AA"/>
    <w:rsid w:val="00DF35E2"/>
    <w:rsid w:val="00DF3679"/>
    <w:rsid w:val="00DF3812"/>
    <w:rsid w:val="00DF38A0"/>
    <w:rsid w:val="00DF3993"/>
    <w:rsid w:val="00DF3B4F"/>
    <w:rsid w:val="00DF3C8E"/>
    <w:rsid w:val="00DF3F1C"/>
    <w:rsid w:val="00DF4185"/>
    <w:rsid w:val="00DF471C"/>
    <w:rsid w:val="00DF4C00"/>
    <w:rsid w:val="00DF5004"/>
    <w:rsid w:val="00DF50EC"/>
    <w:rsid w:val="00DF5419"/>
    <w:rsid w:val="00DF5494"/>
    <w:rsid w:val="00DF5512"/>
    <w:rsid w:val="00DF5538"/>
    <w:rsid w:val="00DF56CB"/>
    <w:rsid w:val="00DF573E"/>
    <w:rsid w:val="00DF57BB"/>
    <w:rsid w:val="00DF59E0"/>
    <w:rsid w:val="00DF5A1E"/>
    <w:rsid w:val="00DF5CDD"/>
    <w:rsid w:val="00DF5D7B"/>
    <w:rsid w:val="00DF5E84"/>
    <w:rsid w:val="00DF614B"/>
    <w:rsid w:val="00DF616C"/>
    <w:rsid w:val="00DF671F"/>
    <w:rsid w:val="00DF68FE"/>
    <w:rsid w:val="00DF6975"/>
    <w:rsid w:val="00DF69CA"/>
    <w:rsid w:val="00DF69FD"/>
    <w:rsid w:val="00DF6C8D"/>
    <w:rsid w:val="00DF6D41"/>
    <w:rsid w:val="00DF6D50"/>
    <w:rsid w:val="00DF7223"/>
    <w:rsid w:val="00DF73F4"/>
    <w:rsid w:val="00DF75FB"/>
    <w:rsid w:val="00DF76FA"/>
    <w:rsid w:val="00DF77DE"/>
    <w:rsid w:val="00DF7AD1"/>
    <w:rsid w:val="00DF7C80"/>
    <w:rsid w:val="00DF7E14"/>
    <w:rsid w:val="00DF7E97"/>
    <w:rsid w:val="00DF7FE8"/>
    <w:rsid w:val="00E00299"/>
    <w:rsid w:val="00E0029D"/>
    <w:rsid w:val="00E003E1"/>
    <w:rsid w:val="00E004F2"/>
    <w:rsid w:val="00E006D4"/>
    <w:rsid w:val="00E00714"/>
    <w:rsid w:val="00E007C7"/>
    <w:rsid w:val="00E008AA"/>
    <w:rsid w:val="00E008DC"/>
    <w:rsid w:val="00E009B7"/>
    <w:rsid w:val="00E00A96"/>
    <w:rsid w:val="00E00C5D"/>
    <w:rsid w:val="00E00C78"/>
    <w:rsid w:val="00E00CAE"/>
    <w:rsid w:val="00E00D12"/>
    <w:rsid w:val="00E01021"/>
    <w:rsid w:val="00E012AE"/>
    <w:rsid w:val="00E01455"/>
    <w:rsid w:val="00E0150C"/>
    <w:rsid w:val="00E01775"/>
    <w:rsid w:val="00E017D9"/>
    <w:rsid w:val="00E0190E"/>
    <w:rsid w:val="00E01B48"/>
    <w:rsid w:val="00E02161"/>
    <w:rsid w:val="00E023B6"/>
    <w:rsid w:val="00E024F0"/>
    <w:rsid w:val="00E02632"/>
    <w:rsid w:val="00E026EE"/>
    <w:rsid w:val="00E0280D"/>
    <w:rsid w:val="00E02937"/>
    <w:rsid w:val="00E02B77"/>
    <w:rsid w:val="00E02C8A"/>
    <w:rsid w:val="00E02F3E"/>
    <w:rsid w:val="00E02F68"/>
    <w:rsid w:val="00E02F7A"/>
    <w:rsid w:val="00E03154"/>
    <w:rsid w:val="00E032A9"/>
    <w:rsid w:val="00E03378"/>
    <w:rsid w:val="00E03429"/>
    <w:rsid w:val="00E03544"/>
    <w:rsid w:val="00E0363B"/>
    <w:rsid w:val="00E038D6"/>
    <w:rsid w:val="00E0390F"/>
    <w:rsid w:val="00E03975"/>
    <w:rsid w:val="00E03B1A"/>
    <w:rsid w:val="00E03B70"/>
    <w:rsid w:val="00E03D3A"/>
    <w:rsid w:val="00E03E59"/>
    <w:rsid w:val="00E03EED"/>
    <w:rsid w:val="00E0410D"/>
    <w:rsid w:val="00E04113"/>
    <w:rsid w:val="00E041C7"/>
    <w:rsid w:val="00E0423D"/>
    <w:rsid w:val="00E0427F"/>
    <w:rsid w:val="00E0429C"/>
    <w:rsid w:val="00E042E4"/>
    <w:rsid w:val="00E04302"/>
    <w:rsid w:val="00E0459A"/>
    <w:rsid w:val="00E0476A"/>
    <w:rsid w:val="00E0476E"/>
    <w:rsid w:val="00E048F4"/>
    <w:rsid w:val="00E04DAA"/>
    <w:rsid w:val="00E05215"/>
    <w:rsid w:val="00E0530C"/>
    <w:rsid w:val="00E0540E"/>
    <w:rsid w:val="00E05655"/>
    <w:rsid w:val="00E05805"/>
    <w:rsid w:val="00E05CA4"/>
    <w:rsid w:val="00E05EA7"/>
    <w:rsid w:val="00E05F3F"/>
    <w:rsid w:val="00E05FCB"/>
    <w:rsid w:val="00E0630B"/>
    <w:rsid w:val="00E064B4"/>
    <w:rsid w:val="00E064F7"/>
    <w:rsid w:val="00E0658F"/>
    <w:rsid w:val="00E0663D"/>
    <w:rsid w:val="00E06850"/>
    <w:rsid w:val="00E06952"/>
    <w:rsid w:val="00E0714A"/>
    <w:rsid w:val="00E07199"/>
    <w:rsid w:val="00E07335"/>
    <w:rsid w:val="00E0756D"/>
    <w:rsid w:val="00E078D0"/>
    <w:rsid w:val="00E07928"/>
    <w:rsid w:val="00E079AF"/>
    <w:rsid w:val="00E07AA6"/>
    <w:rsid w:val="00E07B1A"/>
    <w:rsid w:val="00E07CFF"/>
    <w:rsid w:val="00E07E00"/>
    <w:rsid w:val="00E07EDF"/>
    <w:rsid w:val="00E0FCB6"/>
    <w:rsid w:val="00E10138"/>
    <w:rsid w:val="00E10375"/>
    <w:rsid w:val="00E10437"/>
    <w:rsid w:val="00E10944"/>
    <w:rsid w:val="00E109B9"/>
    <w:rsid w:val="00E10B03"/>
    <w:rsid w:val="00E10B72"/>
    <w:rsid w:val="00E10D31"/>
    <w:rsid w:val="00E10FCB"/>
    <w:rsid w:val="00E11027"/>
    <w:rsid w:val="00E1109D"/>
    <w:rsid w:val="00E117C9"/>
    <w:rsid w:val="00E11880"/>
    <w:rsid w:val="00E11BD0"/>
    <w:rsid w:val="00E11DBD"/>
    <w:rsid w:val="00E11DCE"/>
    <w:rsid w:val="00E11E6F"/>
    <w:rsid w:val="00E12227"/>
    <w:rsid w:val="00E124C1"/>
    <w:rsid w:val="00E12569"/>
    <w:rsid w:val="00E1260E"/>
    <w:rsid w:val="00E1262E"/>
    <w:rsid w:val="00E1265B"/>
    <w:rsid w:val="00E12798"/>
    <w:rsid w:val="00E1279C"/>
    <w:rsid w:val="00E12868"/>
    <w:rsid w:val="00E12B36"/>
    <w:rsid w:val="00E12D5F"/>
    <w:rsid w:val="00E12D67"/>
    <w:rsid w:val="00E12DC5"/>
    <w:rsid w:val="00E12F40"/>
    <w:rsid w:val="00E12FBF"/>
    <w:rsid w:val="00E1300F"/>
    <w:rsid w:val="00E131F4"/>
    <w:rsid w:val="00E131FB"/>
    <w:rsid w:val="00E1374B"/>
    <w:rsid w:val="00E1379F"/>
    <w:rsid w:val="00E137E9"/>
    <w:rsid w:val="00E13871"/>
    <w:rsid w:val="00E1390B"/>
    <w:rsid w:val="00E139A4"/>
    <w:rsid w:val="00E13A63"/>
    <w:rsid w:val="00E13AEE"/>
    <w:rsid w:val="00E14047"/>
    <w:rsid w:val="00E140DD"/>
    <w:rsid w:val="00E142F6"/>
    <w:rsid w:val="00E143FC"/>
    <w:rsid w:val="00E144E2"/>
    <w:rsid w:val="00E14664"/>
    <w:rsid w:val="00E14951"/>
    <w:rsid w:val="00E14B50"/>
    <w:rsid w:val="00E14CC7"/>
    <w:rsid w:val="00E14D67"/>
    <w:rsid w:val="00E14DCB"/>
    <w:rsid w:val="00E14F9E"/>
    <w:rsid w:val="00E15139"/>
    <w:rsid w:val="00E1526F"/>
    <w:rsid w:val="00E154D1"/>
    <w:rsid w:val="00E154D2"/>
    <w:rsid w:val="00E155BB"/>
    <w:rsid w:val="00E156CD"/>
    <w:rsid w:val="00E1588F"/>
    <w:rsid w:val="00E158DD"/>
    <w:rsid w:val="00E15AAE"/>
    <w:rsid w:val="00E15ADD"/>
    <w:rsid w:val="00E15BD5"/>
    <w:rsid w:val="00E15BFB"/>
    <w:rsid w:val="00E15C22"/>
    <w:rsid w:val="00E15DA2"/>
    <w:rsid w:val="00E15F66"/>
    <w:rsid w:val="00E160CD"/>
    <w:rsid w:val="00E16225"/>
    <w:rsid w:val="00E16607"/>
    <w:rsid w:val="00E16995"/>
    <w:rsid w:val="00E16ACA"/>
    <w:rsid w:val="00E16BB2"/>
    <w:rsid w:val="00E16C24"/>
    <w:rsid w:val="00E16D28"/>
    <w:rsid w:val="00E16F1F"/>
    <w:rsid w:val="00E17028"/>
    <w:rsid w:val="00E1711C"/>
    <w:rsid w:val="00E171C1"/>
    <w:rsid w:val="00E1752E"/>
    <w:rsid w:val="00E176D7"/>
    <w:rsid w:val="00E1773B"/>
    <w:rsid w:val="00E179B5"/>
    <w:rsid w:val="00E17A61"/>
    <w:rsid w:val="00E17CA2"/>
    <w:rsid w:val="00E17D0D"/>
    <w:rsid w:val="00E17E46"/>
    <w:rsid w:val="00E17F22"/>
    <w:rsid w:val="00E17F93"/>
    <w:rsid w:val="00E202AB"/>
    <w:rsid w:val="00E204B6"/>
    <w:rsid w:val="00E20951"/>
    <w:rsid w:val="00E2097A"/>
    <w:rsid w:val="00E209DB"/>
    <w:rsid w:val="00E20F8C"/>
    <w:rsid w:val="00E20FA5"/>
    <w:rsid w:val="00E210CF"/>
    <w:rsid w:val="00E211B7"/>
    <w:rsid w:val="00E214A2"/>
    <w:rsid w:val="00E21629"/>
    <w:rsid w:val="00E21748"/>
    <w:rsid w:val="00E21A05"/>
    <w:rsid w:val="00E21A69"/>
    <w:rsid w:val="00E21B45"/>
    <w:rsid w:val="00E21C78"/>
    <w:rsid w:val="00E2207D"/>
    <w:rsid w:val="00E221D3"/>
    <w:rsid w:val="00E223AD"/>
    <w:rsid w:val="00E224F0"/>
    <w:rsid w:val="00E225DF"/>
    <w:rsid w:val="00E22975"/>
    <w:rsid w:val="00E22AFE"/>
    <w:rsid w:val="00E22BF3"/>
    <w:rsid w:val="00E2314C"/>
    <w:rsid w:val="00E23560"/>
    <w:rsid w:val="00E24275"/>
    <w:rsid w:val="00E24345"/>
    <w:rsid w:val="00E246C6"/>
    <w:rsid w:val="00E24701"/>
    <w:rsid w:val="00E24A06"/>
    <w:rsid w:val="00E24E9F"/>
    <w:rsid w:val="00E24F03"/>
    <w:rsid w:val="00E24F53"/>
    <w:rsid w:val="00E25436"/>
    <w:rsid w:val="00E2557B"/>
    <w:rsid w:val="00E25746"/>
    <w:rsid w:val="00E25A2D"/>
    <w:rsid w:val="00E25B2C"/>
    <w:rsid w:val="00E25C8E"/>
    <w:rsid w:val="00E25CD8"/>
    <w:rsid w:val="00E25FDD"/>
    <w:rsid w:val="00E260F9"/>
    <w:rsid w:val="00E261E2"/>
    <w:rsid w:val="00E26232"/>
    <w:rsid w:val="00E2637C"/>
    <w:rsid w:val="00E264EC"/>
    <w:rsid w:val="00E26501"/>
    <w:rsid w:val="00E26859"/>
    <w:rsid w:val="00E268C5"/>
    <w:rsid w:val="00E268D6"/>
    <w:rsid w:val="00E26A22"/>
    <w:rsid w:val="00E26BB9"/>
    <w:rsid w:val="00E26CFE"/>
    <w:rsid w:val="00E26E27"/>
    <w:rsid w:val="00E27964"/>
    <w:rsid w:val="00E27A2C"/>
    <w:rsid w:val="00E27D07"/>
    <w:rsid w:val="00E27D4C"/>
    <w:rsid w:val="00E27E81"/>
    <w:rsid w:val="00E27EAD"/>
    <w:rsid w:val="00E27F47"/>
    <w:rsid w:val="00E3003D"/>
    <w:rsid w:val="00E30257"/>
    <w:rsid w:val="00E3048B"/>
    <w:rsid w:val="00E30689"/>
    <w:rsid w:val="00E30B51"/>
    <w:rsid w:val="00E3111B"/>
    <w:rsid w:val="00E311FA"/>
    <w:rsid w:val="00E312E7"/>
    <w:rsid w:val="00E315A4"/>
    <w:rsid w:val="00E31620"/>
    <w:rsid w:val="00E31811"/>
    <w:rsid w:val="00E318E2"/>
    <w:rsid w:val="00E31950"/>
    <w:rsid w:val="00E31AE9"/>
    <w:rsid w:val="00E31B1F"/>
    <w:rsid w:val="00E31BC6"/>
    <w:rsid w:val="00E31C7E"/>
    <w:rsid w:val="00E3201D"/>
    <w:rsid w:val="00E320BE"/>
    <w:rsid w:val="00E322AD"/>
    <w:rsid w:val="00E32430"/>
    <w:rsid w:val="00E325AE"/>
    <w:rsid w:val="00E32C22"/>
    <w:rsid w:val="00E32E12"/>
    <w:rsid w:val="00E32E13"/>
    <w:rsid w:val="00E32FD4"/>
    <w:rsid w:val="00E33001"/>
    <w:rsid w:val="00E3312C"/>
    <w:rsid w:val="00E332BE"/>
    <w:rsid w:val="00E334DC"/>
    <w:rsid w:val="00E33533"/>
    <w:rsid w:val="00E33537"/>
    <w:rsid w:val="00E3369A"/>
    <w:rsid w:val="00E337D4"/>
    <w:rsid w:val="00E337E9"/>
    <w:rsid w:val="00E3380D"/>
    <w:rsid w:val="00E338E5"/>
    <w:rsid w:val="00E33C79"/>
    <w:rsid w:val="00E33F55"/>
    <w:rsid w:val="00E34155"/>
    <w:rsid w:val="00E341DA"/>
    <w:rsid w:val="00E3446B"/>
    <w:rsid w:val="00E34822"/>
    <w:rsid w:val="00E349CF"/>
    <w:rsid w:val="00E34C15"/>
    <w:rsid w:val="00E34F9F"/>
    <w:rsid w:val="00E3501E"/>
    <w:rsid w:val="00E3526F"/>
    <w:rsid w:val="00E35282"/>
    <w:rsid w:val="00E3529E"/>
    <w:rsid w:val="00E352A0"/>
    <w:rsid w:val="00E359A4"/>
    <w:rsid w:val="00E35A27"/>
    <w:rsid w:val="00E35D50"/>
    <w:rsid w:val="00E35E1D"/>
    <w:rsid w:val="00E360A3"/>
    <w:rsid w:val="00E36C8A"/>
    <w:rsid w:val="00E36D78"/>
    <w:rsid w:val="00E36F54"/>
    <w:rsid w:val="00E36FD6"/>
    <w:rsid w:val="00E370EF"/>
    <w:rsid w:val="00E374E6"/>
    <w:rsid w:val="00E37559"/>
    <w:rsid w:val="00E3758E"/>
    <w:rsid w:val="00E379BE"/>
    <w:rsid w:val="00E37AF7"/>
    <w:rsid w:val="00E37C0E"/>
    <w:rsid w:val="00E37DBC"/>
    <w:rsid w:val="00E4004F"/>
    <w:rsid w:val="00E40082"/>
    <w:rsid w:val="00E40085"/>
    <w:rsid w:val="00E405E1"/>
    <w:rsid w:val="00E40BDC"/>
    <w:rsid w:val="00E40DB8"/>
    <w:rsid w:val="00E40DE1"/>
    <w:rsid w:val="00E40E8F"/>
    <w:rsid w:val="00E40ED4"/>
    <w:rsid w:val="00E40F06"/>
    <w:rsid w:val="00E41084"/>
    <w:rsid w:val="00E410B3"/>
    <w:rsid w:val="00E41643"/>
    <w:rsid w:val="00E416F7"/>
    <w:rsid w:val="00E41991"/>
    <w:rsid w:val="00E419A4"/>
    <w:rsid w:val="00E41D98"/>
    <w:rsid w:val="00E41DF1"/>
    <w:rsid w:val="00E41EC1"/>
    <w:rsid w:val="00E41FD1"/>
    <w:rsid w:val="00E42006"/>
    <w:rsid w:val="00E421EB"/>
    <w:rsid w:val="00E4239E"/>
    <w:rsid w:val="00E4239F"/>
    <w:rsid w:val="00E4245B"/>
    <w:rsid w:val="00E424F5"/>
    <w:rsid w:val="00E42657"/>
    <w:rsid w:val="00E426F5"/>
    <w:rsid w:val="00E4284F"/>
    <w:rsid w:val="00E428DF"/>
    <w:rsid w:val="00E429E3"/>
    <w:rsid w:val="00E42D95"/>
    <w:rsid w:val="00E4315E"/>
    <w:rsid w:val="00E4325C"/>
    <w:rsid w:val="00E433F5"/>
    <w:rsid w:val="00E43480"/>
    <w:rsid w:val="00E4353B"/>
    <w:rsid w:val="00E435FE"/>
    <w:rsid w:val="00E43692"/>
    <w:rsid w:val="00E436BF"/>
    <w:rsid w:val="00E436C9"/>
    <w:rsid w:val="00E43987"/>
    <w:rsid w:val="00E43A7A"/>
    <w:rsid w:val="00E43D29"/>
    <w:rsid w:val="00E43F6A"/>
    <w:rsid w:val="00E44144"/>
    <w:rsid w:val="00E441B7"/>
    <w:rsid w:val="00E441D9"/>
    <w:rsid w:val="00E442E4"/>
    <w:rsid w:val="00E4455A"/>
    <w:rsid w:val="00E4473F"/>
    <w:rsid w:val="00E4486C"/>
    <w:rsid w:val="00E4488B"/>
    <w:rsid w:val="00E449BA"/>
    <w:rsid w:val="00E44ABB"/>
    <w:rsid w:val="00E44D2C"/>
    <w:rsid w:val="00E450E8"/>
    <w:rsid w:val="00E453D7"/>
    <w:rsid w:val="00E453E6"/>
    <w:rsid w:val="00E45407"/>
    <w:rsid w:val="00E454C8"/>
    <w:rsid w:val="00E4560F"/>
    <w:rsid w:val="00E45894"/>
    <w:rsid w:val="00E45B9A"/>
    <w:rsid w:val="00E45D23"/>
    <w:rsid w:val="00E4617A"/>
    <w:rsid w:val="00E4631D"/>
    <w:rsid w:val="00E4651B"/>
    <w:rsid w:val="00E46A47"/>
    <w:rsid w:val="00E46AB6"/>
    <w:rsid w:val="00E46BAE"/>
    <w:rsid w:val="00E46C74"/>
    <w:rsid w:val="00E46CA4"/>
    <w:rsid w:val="00E46DBE"/>
    <w:rsid w:val="00E46F18"/>
    <w:rsid w:val="00E46F49"/>
    <w:rsid w:val="00E472F8"/>
    <w:rsid w:val="00E47457"/>
    <w:rsid w:val="00E4757F"/>
    <w:rsid w:val="00E475C6"/>
    <w:rsid w:val="00E475E7"/>
    <w:rsid w:val="00E4775C"/>
    <w:rsid w:val="00E478F1"/>
    <w:rsid w:val="00E47B10"/>
    <w:rsid w:val="00E47C43"/>
    <w:rsid w:val="00E47CB5"/>
    <w:rsid w:val="00E47E6B"/>
    <w:rsid w:val="00E47ECE"/>
    <w:rsid w:val="00E50467"/>
    <w:rsid w:val="00E50875"/>
    <w:rsid w:val="00E508E3"/>
    <w:rsid w:val="00E50B1A"/>
    <w:rsid w:val="00E50BA0"/>
    <w:rsid w:val="00E50D95"/>
    <w:rsid w:val="00E50EC5"/>
    <w:rsid w:val="00E510E1"/>
    <w:rsid w:val="00E51112"/>
    <w:rsid w:val="00E51276"/>
    <w:rsid w:val="00E5130E"/>
    <w:rsid w:val="00E51348"/>
    <w:rsid w:val="00E514FF"/>
    <w:rsid w:val="00E516C2"/>
    <w:rsid w:val="00E518E5"/>
    <w:rsid w:val="00E51952"/>
    <w:rsid w:val="00E51A37"/>
    <w:rsid w:val="00E51A52"/>
    <w:rsid w:val="00E51B2A"/>
    <w:rsid w:val="00E51F08"/>
    <w:rsid w:val="00E522E5"/>
    <w:rsid w:val="00E525A2"/>
    <w:rsid w:val="00E526F9"/>
    <w:rsid w:val="00E52770"/>
    <w:rsid w:val="00E52796"/>
    <w:rsid w:val="00E52838"/>
    <w:rsid w:val="00E52AA4"/>
    <w:rsid w:val="00E52CCE"/>
    <w:rsid w:val="00E52E7E"/>
    <w:rsid w:val="00E52FEA"/>
    <w:rsid w:val="00E5302A"/>
    <w:rsid w:val="00E530DD"/>
    <w:rsid w:val="00E539C4"/>
    <w:rsid w:val="00E53A73"/>
    <w:rsid w:val="00E53E21"/>
    <w:rsid w:val="00E53E7C"/>
    <w:rsid w:val="00E53EE2"/>
    <w:rsid w:val="00E54001"/>
    <w:rsid w:val="00E5405E"/>
    <w:rsid w:val="00E54181"/>
    <w:rsid w:val="00E5429F"/>
    <w:rsid w:val="00E545DB"/>
    <w:rsid w:val="00E54788"/>
    <w:rsid w:val="00E5484A"/>
    <w:rsid w:val="00E54883"/>
    <w:rsid w:val="00E5489A"/>
    <w:rsid w:val="00E548A6"/>
    <w:rsid w:val="00E548F0"/>
    <w:rsid w:val="00E54C51"/>
    <w:rsid w:val="00E54E0B"/>
    <w:rsid w:val="00E54F96"/>
    <w:rsid w:val="00E550BB"/>
    <w:rsid w:val="00E5568A"/>
    <w:rsid w:val="00E5580E"/>
    <w:rsid w:val="00E55D13"/>
    <w:rsid w:val="00E56243"/>
    <w:rsid w:val="00E56328"/>
    <w:rsid w:val="00E563E0"/>
    <w:rsid w:val="00E5654B"/>
    <w:rsid w:val="00E565BB"/>
    <w:rsid w:val="00E5673A"/>
    <w:rsid w:val="00E56A49"/>
    <w:rsid w:val="00E56B03"/>
    <w:rsid w:val="00E56B75"/>
    <w:rsid w:val="00E56C2B"/>
    <w:rsid w:val="00E570C7"/>
    <w:rsid w:val="00E571D1"/>
    <w:rsid w:val="00E574E8"/>
    <w:rsid w:val="00E57591"/>
    <w:rsid w:val="00E5763D"/>
    <w:rsid w:val="00E576B4"/>
    <w:rsid w:val="00E57760"/>
    <w:rsid w:val="00E5776D"/>
    <w:rsid w:val="00E5781F"/>
    <w:rsid w:val="00E578E3"/>
    <w:rsid w:val="00E5790C"/>
    <w:rsid w:val="00E57BCE"/>
    <w:rsid w:val="00E57C96"/>
    <w:rsid w:val="00E57D61"/>
    <w:rsid w:val="00E57ECE"/>
    <w:rsid w:val="00E57FE2"/>
    <w:rsid w:val="00E60008"/>
    <w:rsid w:val="00E6003B"/>
    <w:rsid w:val="00E600FA"/>
    <w:rsid w:val="00E6022D"/>
    <w:rsid w:val="00E60324"/>
    <w:rsid w:val="00E6043C"/>
    <w:rsid w:val="00E60657"/>
    <w:rsid w:val="00E60681"/>
    <w:rsid w:val="00E606A7"/>
    <w:rsid w:val="00E60847"/>
    <w:rsid w:val="00E60AF6"/>
    <w:rsid w:val="00E60B9E"/>
    <w:rsid w:val="00E60D8E"/>
    <w:rsid w:val="00E60DA6"/>
    <w:rsid w:val="00E60E5B"/>
    <w:rsid w:val="00E610AE"/>
    <w:rsid w:val="00E6124E"/>
    <w:rsid w:val="00E61549"/>
    <w:rsid w:val="00E615FC"/>
    <w:rsid w:val="00E61756"/>
    <w:rsid w:val="00E617D4"/>
    <w:rsid w:val="00E6207B"/>
    <w:rsid w:val="00E622F6"/>
    <w:rsid w:val="00E6282A"/>
    <w:rsid w:val="00E6283B"/>
    <w:rsid w:val="00E62865"/>
    <w:rsid w:val="00E62AFF"/>
    <w:rsid w:val="00E62BFD"/>
    <w:rsid w:val="00E62C6F"/>
    <w:rsid w:val="00E62DBE"/>
    <w:rsid w:val="00E6321A"/>
    <w:rsid w:val="00E63836"/>
    <w:rsid w:val="00E63887"/>
    <w:rsid w:val="00E63919"/>
    <w:rsid w:val="00E63A08"/>
    <w:rsid w:val="00E63A2B"/>
    <w:rsid w:val="00E63E99"/>
    <w:rsid w:val="00E64083"/>
    <w:rsid w:val="00E645BC"/>
    <w:rsid w:val="00E646E2"/>
    <w:rsid w:val="00E647B0"/>
    <w:rsid w:val="00E647F5"/>
    <w:rsid w:val="00E648FD"/>
    <w:rsid w:val="00E64B0D"/>
    <w:rsid w:val="00E64B4C"/>
    <w:rsid w:val="00E64C7A"/>
    <w:rsid w:val="00E64E0F"/>
    <w:rsid w:val="00E65014"/>
    <w:rsid w:val="00E650C5"/>
    <w:rsid w:val="00E651D1"/>
    <w:rsid w:val="00E65259"/>
    <w:rsid w:val="00E65289"/>
    <w:rsid w:val="00E656DE"/>
    <w:rsid w:val="00E659EC"/>
    <w:rsid w:val="00E65B4B"/>
    <w:rsid w:val="00E66080"/>
    <w:rsid w:val="00E66099"/>
    <w:rsid w:val="00E6615A"/>
    <w:rsid w:val="00E6624E"/>
    <w:rsid w:val="00E66285"/>
    <w:rsid w:val="00E662A6"/>
    <w:rsid w:val="00E663D1"/>
    <w:rsid w:val="00E665AD"/>
    <w:rsid w:val="00E6661D"/>
    <w:rsid w:val="00E66AE7"/>
    <w:rsid w:val="00E66B17"/>
    <w:rsid w:val="00E66BE4"/>
    <w:rsid w:val="00E66C0D"/>
    <w:rsid w:val="00E66C86"/>
    <w:rsid w:val="00E66ED9"/>
    <w:rsid w:val="00E67165"/>
    <w:rsid w:val="00E671F3"/>
    <w:rsid w:val="00E67244"/>
    <w:rsid w:val="00E673F6"/>
    <w:rsid w:val="00E67457"/>
    <w:rsid w:val="00E67472"/>
    <w:rsid w:val="00E675FB"/>
    <w:rsid w:val="00E676C4"/>
    <w:rsid w:val="00E67817"/>
    <w:rsid w:val="00E678EF"/>
    <w:rsid w:val="00E6790F"/>
    <w:rsid w:val="00E67918"/>
    <w:rsid w:val="00E67AFF"/>
    <w:rsid w:val="00E67B33"/>
    <w:rsid w:val="00E67C59"/>
    <w:rsid w:val="00E67D83"/>
    <w:rsid w:val="00E67E75"/>
    <w:rsid w:val="00E67EAA"/>
    <w:rsid w:val="00E67F85"/>
    <w:rsid w:val="00E67FEE"/>
    <w:rsid w:val="00E700AA"/>
    <w:rsid w:val="00E701F2"/>
    <w:rsid w:val="00E702A5"/>
    <w:rsid w:val="00E70475"/>
    <w:rsid w:val="00E705FA"/>
    <w:rsid w:val="00E70706"/>
    <w:rsid w:val="00E7071A"/>
    <w:rsid w:val="00E70831"/>
    <w:rsid w:val="00E70862"/>
    <w:rsid w:val="00E7088A"/>
    <w:rsid w:val="00E70E29"/>
    <w:rsid w:val="00E71032"/>
    <w:rsid w:val="00E71038"/>
    <w:rsid w:val="00E710CF"/>
    <w:rsid w:val="00E71A60"/>
    <w:rsid w:val="00E71B8A"/>
    <w:rsid w:val="00E71D2B"/>
    <w:rsid w:val="00E71DD0"/>
    <w:rsid w:val="00E71DFD"/>
    <w:rsid w:val="00E71E08"/>
    <w:rsid w:val="00E71E5B"/>
    <w:rsid w:val="00E71EE7"/>
    <w:rsid w:val="00E71FCE"/>
    <w:rsid w:val="00E722FC"/>
    <w:rsid w:val="00E7272F"/>
    <w:rsid w:val="00E72820"/>
    <w:rsid w:val="00E729DB"/>
    <w:rsid w:val="00E72DCD"/>
    <w:rsid w:val="00E72EA8"/>
    <w:rsid w:val="00E72FB1"/>
    <w:rsid w:val="00E72FB2"/>
    <w:rsid w:val="00E73226"/>
    <w:rsid w:val="00E7343F"/>
    <w:rsid w:val="00E73464"/>
    <w:rsid w:val="00E738E2"/>
    <w:rsid w:val="00E73A2D"/>
    <w:rsid w:val="00E73AE2"/>
    <w:rsid w:val="00E73B48"/>
    <w:rsid w:val="00E73B6D"/>
    <w:rsid w:val="00E73B9F"/>
    <w:rsid w:val="00E73BFE"/>
    <w:rsid w:val="00E73F26"/>
    <w:rsid w:val="00E74193"/>
    <w:rsid w:val="00E74225"/>
    <w:rsid w:val="00E7448C"/>
    <w:rsid w:val="00E747B7"/>
    <w:rsid w:val="00E74961"/>
    <w:rsid w:val="00E74BF9"/>
    <w:rsid w:val="00E74C26"/>
    <w:rsid w:val="00E74DE6"/>
    <w:rsid w:val="00E74E5C"/>
    <w:rsid w:val="00E74E98"/>
    <w:rsid w:val="00E74F04"/>
    <w:rsid w:val="00E74F0E"/>
    <w:rsid w:val="00E750D5"/>
    <w:rsid w:val="00E75262"/>
    <w:rsid w:val="00E75530"/>
    <w:rsid w:val="00E755A7"/>
    <w:rsid w:val="00E75743"/>
    <w:rsid w:val="00E757B1"/>
    <w:rsid w:val="00E7585B"/>
    <w:rsid w:val="00E75A45"/>
    <w:rsid w:val="00E75FB5"/>
    <w:rsid w:val="00E761E0"/>
    <w:rsid w:val="00E7627C"/>
    <w:rsid w:val="00E762CD"/>
    <w:rsid w:val="00E7639C"/>
    <w:rsid w:val="00E7647E"/>
    <w:rsid w:val="00E76659"/>
    <w:rsid w:val="00E76C0E"/>
    <w:rsid w:val="00E76F8C"/>
    <w:rsid w:val="00E770B9"/>
    <w:rsid w:val="00E772F9"/>
    <w:rsid w:val="00E7748F"/>
    <w:rsid w:val="00E77669"/>
    <w:rsid w:val="00E779EF"/>
    <w:rsid w:val="00E77AD3"/>
    <w:rsid w:val="00E77BC3"/>
    <w:rsid w:val="00E801C8"/>
    <w:rsid w:val="00E8032E"/>
    <w:rsid w:val="00E805FB"/>
    <w:rsid w:val="00E80913"/>
    <w:rsid w:val="00E80A58"/>
    <w:rsid w:val="00E80B0B"/>
    <w:rsid w:val="00E80B34"/>
    <w:rsid w:val="00E80B93"/>
    <w:rsid w:val="00E80E43"/>
    <w:rsid w:val="00E80E51"/>
    <w:rsid w:val="00E80FB4"/>
    <w:rsid w:val="00E80FCB"/>
    <w:rsid w:val="00E8107C"/>
    <w:rsid w:val="00E81387"/>
    <w:rsid w:val="00E813F9"/>
    <w:rsid w:val="00E8173A"/>
    <w:rsid w:val="00E81A5A"/>
    <w:rsid w:val="00E81BDD"/>
    <w:rsid w:val="00E81BFD"/>
    <w:rsid w:val="00E81EF0"/>
    <w:rsid w:val="00E81F65"/>
    <w:rsid w:val="00E81FB6"/>
    <w:rsid w:val="00E82384"/>
    <w:rsid w:val="00E823E8"/>
    <w:rsid w:val="00E8247F"/>
    <w:rsid w:val="00E82515"/>
    <w:rsid w:val="00E827BC"/>
    <w:rsid w:val="00E82817"/>
    <w:rsid w:val="00E82D3A"/>
    <w:rsid w:val="00E83211"/>
    <w:rsid w:val="00E8327E"/>
    <w:rsid w:val="00E83450"/>
    <w:rsid w:val="00E834FE"/>
    <w:rsid w:val="00E83505"/>
    <w:rsid w:val="00E83B45"/>
    <w:rsid w:val="00E83F81"/>
    <w:rsid w:val="00E83FAE"/>
    <w:rsid w:val="00E84374"/>
    <w:rsid w:val="00E846F2"/>
    <w:rsid w:val="00E84A0F"/>
    <w:rsid w:val="00E84A8A"/>
    <w:rsid w:val="00E84B4A"/>
    <w:rsid w:val="00E84EFA"/>
    <w:rsid w:val="00E84FFA"/>
    <w:rsid w:val="00E85200"/>
    <w:rsid w:val="00E85220"/>
    <w:rsid w:val="00E85231"/>
    <w:rsid w:val="00E8544B"/>
    <w:rsid w:val="00E85929"/>
    <w:rsid w:val="00E85AE8"/>
    <w:rsid w:val="00E85B12"/>
    <w:rsid w:val="00E85C9A"/>
    <w:rsid w:val="00E8600F"/>
    <w:rsid w:val="00E86225"/>
    <w:rsid w:val="00E8640B"/>
    <w:rsid w:val="00E86422"/>
    <w:rsid w:val="00E8691E"/>
    <w:rsid w:val="00E869CF"/>
    <w:rsid w:val="00E869E3"/>
    <w:rsid w:val="00E86A6C"/>
    <w:rsid w:val="00E86A8B"/>
    <w:rsid w:val="00E86B6C"/>
    <w:rsid w:val="00E8748C"/>
    <w:rsid w:val="00E87AC7"/>
    <w:rsid w:val="00E87BC6"/>
    <w:rsid w:val="00E87CBA"/>
    <w:rsid w:val="00E87DC6"/>
    <w:rsid w:val="00E9018E"/>
    <w:rsid w:val="00E90327"/>
    <w:rsid w:val="00E90392"/>
    <w:rsid w:val="00E904F9"/>
    <w:rsid w:val="00E9056E"/>
    <w:rsid w:val="00E905B7"/>
    <w:rsid w:val="00E908B2"/>
    <w:rsid w:val="00E9095F"/>
    <w:rsid w:val="00E90C14"/>
    <w:rsid w:val="00E90D3F"/>
    <w:rsid w:val="00E90DF4"/>
    <w:rsid w:val="00E90E01"/>
    <w:rsid w:val="00E90E72"/>
    <w:rsid w:val="00E90F2D"/>
    <w:rsid w:val="00E912CD"/>
    <w:rsid w:val="00E9132D"/>
    <w:rsid w:val="00E913A3"/>
    <w:rsid w:val="00E9176A"/>
    <w:rsid w:val="00E91EDA"/>
    <w:rsid w:val="00E9203E"/>
    <w:rsid w:val="00E920EF"/>
    <w:rsid w:val="00E9234B"/>
    <w:rsid w:val="00E92440"/>
    <w:rsid w:val="00E9246A"/>
    <w:rsid w:val="00E9291D"/>
    <w:rsid w:val="00E929F0"/>
    <w:rsid w:val="00E929F3"/>
    <w:rsid w:val="00E92DAA"/>
    <w:rsid w:val="00E930A9"/>
    <w:rsid w:val="00E9358B"/>
    <w:rsid w:val="00E93629"/>
    <w:rsid w:val="00E936E5"/>
    <w:rsid w:val="00E938BC"/>
    <w:rsid w:val="00E93A15"/>
    <w:rsid w:val="00E93C1C"/>
    <w:rsid w:val="00E93CA8"/>
    <w:rsid w:val="00E93D62"/>
    <w:rsid w:val="00E93E2A"/>
    <w:rsid w:val="00E93E82"/>
    <w:rsid w:val="00E93E8E"/>
    <w:rsid w:val="00E93EDB"/>
    <w:rsid w:val="00E94072"/>
    <w:rsid w:val="00E94268"/>
    <w:rsid w:val="00E94344"/>
    <w:rsid w:val="00E94477"/>
    <w:rsid w:val="00E9465A"/>
    <w:rsid w:val="00E94776"/>
    <w:rsid w:val="00E94803"/>
    <w:rsid w:val="00E9483E"/>
    <w:rsid w:val="00E94A0C"/>
    <w:rsid w:val="00E94A6D"/>
    <w:rsid w:val="00E94B5A"/>
    <w:rsid w:val="00E94D4C"/>
    <w:rsid w:val="00E94E3C"/>
    <w:rsid w:val="00E94E70"/>
    <w:rsid w:val="00E95185"/>
    <w:rsid w:val="00E95362"/>
    <w:rsid w:val="00E955E0"/>
    <w:rsid w:val="00E9561F"/>
    <w:rsid w:val="00E95972"/>
    <w:rsid w:val="00E95A39"/>
    <w:rsid w:val="00E95D2C"/>
    <w:rsid w:val="00E95EB9"/>
    <w:rsid w:val="00E96038"/>
    <w:rsid w:val="00E96203"/>
    <w:rsid w:val="00E96276"/>
    <w:rsid w:val="00E96693"/>
    <w:rsid w:val="00E966B2"/>
    <w:rsid w:val="00E967E9"/>
    <w:rsid w:val="00E9691C"/>
    <w:rsid w:val="00E96979"/>
    <w:rsid w:val="00E96EA6"/>
    <w:rsid w:val="00E96F4D"/>
    <w:rsid w:val="00E97103"/>
    <w:rsid w:val="00E97496"/>
    <w:rsid w:val="00E9756C"/>
    <w:rsid w:val="00E9771E"/>
    <w:rsid w:val="00E9776A"/>
    <w:rsid w:val="00E9777B"/>
    <w:rsid w:val="00E977CA"/>
    <w:rsid w:val="00E97CF2"/>
    <w:rsid w:val="00E97DF2"/>
    <w:rsid w:val="00EA0252"/>
    <w:rsid w:val="00EA0399"/>
    <w:rsid w:val="00EA045D"/>
    <w:rsid w:val="00EA052A"/>
    <w:rsid w:val="00EA05B7"/>
    <w:rsid w:val="00EA0606"/>
    <w:rsid w:val="00EA07AB"/>
    <w:rsid w:val="00EA0899"/>
    <w:rsid w:val="00EA0A57"/>
    <w:rsid w:val="00EA0AB7"/>
    <w:rsid w:val="00EA0AC4"/>
    <w:rsid w:val="00EA0B02"/>
    <w:rsid w:val="00EA0BE5"/>
    <w:rsid w:val="00EA1013"/>
    <w:rsid w:val="00EA112A"/>
    <w:rsid w:val="00EA1332"/>
    <w:rsid w:val="00EA14D3"/>
    <w:rsid w:val="00EA152F"/>
    <w:rsid w:val="00EA168A"/>
    <w:rsid w:val="00EA16D0"/>
    <w:rsid w:val="00EA1725"/>
    <w:rsid w:val="00EA1840"/>
    <w:rsid w:val="00EA1AAC"/>
    <w:rsid w:val="00EA1E4B"/>
    <w:rsid w:val="00EA2388"/>
    <w:rsid w:val="00EA240F"/>
    <w:rsid w:val="00EA263D"/>
    <w:rsid w:val="00EA2919"/>
    <w:rsid w:val="00EA295F"/>
    <w:rsid w:val="00EA2A49"/>
    <w:rsid w:val="00EA2A8A"/>
    <w:rsid w:val="00EA2DD6"/>
    <w:rsid w:val="00EA2E9B"/>
    <w:rsid w:val="00EA305D"/>
    <w:rsid w:val="00EA3128"/>
    <w:rsid w:val="00EA313D"/>
    <w:rsid w:val="00EA33AE"/>
    <w:rsid w:val="00EA33EF"/>
    <w:rsid w:val="00EA3534"/>
    <w:rsid w:val="00EA3923"/>
    <w:rsid w:val="00EA3DE1"/>
    <w:rsid w:val="00EA3F91"/>
    <w:rsid w:val="00EA423D"/>
    <w:rsid w:val="00EA44E4"/>
    <w:rsid w:val="00EA455B"/>
    <w:rsid w:val="00EA4774"/>
    <w:rsid w:val="00EA4857"/>
    <w:rsid w:val="00EA4878"/>
    <w:rsid w:val="00EA4A4E"/>
    <w:rsid w:val="00EA4A57"/>
    <w:rsid w:val="00EA4D4D"/>
    <w:rsid w:val="00EA4DF5"/>
    <w:rsid w:val="00EA50E6"/>
    <w:rsid w:val="00EA519D"/>
    <w:rsid w:val="00EA52EA"/>
    <w:rsid w:val="00EA53A4"/>
    <w:rsid w:val="00EA54AD"/>
    <w:rsid w:val="00EA569D"/>
    <w:rsid w:val="00EA5714"/>
    <w:rsid w:val="00EA57D5"/>
    <w:rsid w:val="00EA5AAB"/>
    <w:rsid w:val="00EA5CDD"/>
    <w:rsid w:val="00EA5E2B"/>
    <w:rsid w:val="00EA5EF3"/>
    <w:rsid w:val="00EA60B1"/>
    <w:rsid w:val="00EA6371"/>
    <w:rsid w:val="00EA6754"/>
    <w:rsid w:val="00EA6794"/>
    <w:rsid w:val="00EA67BF"/>
    <w:rsid w:val="00EA6B4F"/>
    <w:rsid w:val="00EA70C4"/>
    <w:rsid w:val="00EA71C4"/>
    <w:rsid w:val="00EA736A"/>
    <w:rsid w:val="00EA7445"/>
    <w:rsid w:val="00EA767C"/>
    <w:rsid w:val="00EA7951"/>
    <w:rsid w:val="00EA79DB"/>
    <w:rsid w:val="00EA7B4F"/>
    <w:rsid w:val="00EA7B77"/>
    <w:rsid w:val="00EA7C7F"/>
    <w:rsid w:val="00EA7CA6"/>
    <w:rsid w:val="00EA7D33"/>
    <w:rsid w:val="00EB0556"/>
    <w:rsid w:val="00EB0569"/>
    <w:rsid w:val="00EB05A2"/>
    <w:rsid w:val="00EB067A"/>
    <w:rsid w:val="00EB07F8"/>
    <w:rsid w:val="00EB0B66"/>
    <w:rsid w:val="00EB0D3C"/>
    <w:rsid w:val="00EB0DC3"/>
    <w:rsid w:val="00EB1023"/>
    <w:rsid w:val="00EB10F3"/>
    <w:rsid w:val="00EB1197"/>
    <w:rsid w:val="00EB119D"/>
    <w:rsid w:val="00EB12B7"/>
    <w:rsid w:val="00EB16DE"/>
    <w:rsid w:val="00EB18F9"/>
    <w:rsid w:val="00EB1935"/>
    <w:rsid w:val="00EB1CD8"/>
    <w:rsid w:val="00EB1CF8"/>
    <w:rsid w:val="00EB1E2B"/>
    <w:rsid w:val="00EB1FD5"/>
    <w:rsid w:val="00EB203B"/>
    <w:rsid w:val="00EB217E"/>
    <w:rsid w:val="00EB226D"/>
    <w:rsid w:val="00EB23C9"/>
    <w:rsid w:val="00EB2738"/>
    <w:rsid w:val="00EB27D5"/>
    <w:rsid w:val="00EB2AF0"/>
    <w:rsid w:val="00EB2BF3"/>
    <w:rsid w:val="00EB2BFD"/>
    <w:rsid w:val="00EB2D37"/>
    <w:rsid w:val="00EB2D5C"/>
    <w:rsid w:val="00EB2D71"/>
    <w:rsid w:val="00EB2F43"/>
    <w:rsid w:val="00EB2FB3"/>
    <w:rsid w:val="00EB300E"/>
    <w:rsid w:val="00EB30F3"/>
    <w:rsid w:val="00EB3191"/>
    <w:rsid w:val="00EB31CC"/>
    <w:rsid w:val="00EB3248"/>
    <w:rsid w:val="00EB338C"/>
    <w:rsid w:val="00EB33F7"/>
    <w:rsid w:val="00EB34B2"/>
    <w:rsid w:val="00EB34DE"/>
    <w:rsid w:val="00EB35DA"/>
    <w:rsid w:val="00EB3A0F"/>
    <w:rsid w:val="00EB3B37"/>
    <w:rsid w:val="00EB3E87"/>
    <w:rsid w:val="00EB421E"/>
    <w:rsid w:val="00EB4260"/>
    <w:rsid w:val="00EB4B97"/>
    <w:rsid w:val="00EB4F82"/>
    <w:rsid w:val="00EB5224"/>
    <w:rsid w:val="00EB5318"/>
    <w:rsid w:val="00EB534B"/>
    <w:rsid w:val="00EB5370"/>
    <w:rsid w:val="00EB56A8"/>
    <w:rsid w:val="00EB5776"/>
    <w:rsid w:val="00EB5934"/>
    <w:rsid w:val="00EB59FA"/>
    <w:rsid w:val="00EB5A80"/>
    <w:rsid w:val="00EB5EC3"/>
    <w:rsid w:val="00EB5EDA"/>
    <w:rsid w:val="00EB5EE4"/>
    <w:rsid w:val="00EB60F3"/>
    <w:rsid w:val="00EB622E"/>
    <w:rsid w:val="00EB660A"/>
    <w:rsid w:val="00EB6751"/>
    <w:rsid w:val="00EB6757"/>
    <w:rsid w:val="00EB6915"/>
    <w:rsid w:val="00EB6AE7"/>
    <w:rsid w:val="00EB708A"/>
    <w:rsid w:val="00EB721A"/>
    <w:rsid w:val="00EB7280"/>
    <w:rsid w:val="00EB7470"/>
    <w:rsid w:val="00EB7801"/>
    <w:rsid w:val="00EB7ABD"/>
    <w:rsid w:val="00EB7B72"/>
    <w:rsid w:val="00EB7C48"/>
    <w:rsid w:val="00EB7CF0"/>
    <w:rsid w:val="00EB7EFC"/>
    <w:rsid w:val="00EB7F7A"/>
    <w:rsid w:val="00EC00E5"/>
    <w:rsid w:val="00EC012C"/>
    <w:rsid w:val="00EC0191"/>
    <w:rsid w:val="00EC06E6"/>
    <w:rsid w:val="00EC0789"/>
    <w:rsid w:val="00EC0793"/>
    <w:rsid w:val="00EC08DF"/>
    <w:rsid w:val="00EC095B"/>
    <w:rsid w:val="00EC0D0C"/>
    <w:rsid w:val="00EC0E55"/>
    <w:rsid w:val="00EC0ECE"/>
    <w:rsid w:val="00EC0F5D"/>
    <w:rsid w:val="00EC0F8B"/>
    <w:rsid w:val="00EC107F"/>
    <w:rsid w:val="00EC10DD"/>
    <w:rsid w:val="00EC1211"/>
    <w:rsid w:val="00EC1550"/>
    <w:rsid w:val="00EC15A9"/>
    <w:rsid w:val="00EC15FA"/>
    <w:rsid w:val="00EC1A76"/>
    <w:rsid w:val="00EC1A7C"/>
    <w:rsid w:val="00EC1D52"/>
    <w:rsid w:val="00EC1D7A"/>
    <w:rsid w:val="00EC1D92"/>
    <w:rsid w:val="00EC1DD0"/>
    <w:rsid w:val="00EC1EA7"/>
    <w:rsid w:val="00EC21BF"/>
    <w:rsid w:val="00EC2485"/>
    <w:rsid w:val="00EC2570"/>
    <w:rsid w:val="00EC2988"/>
    <w:rsid w:val="00EC29B0"/>
    <w:rsid w:val="00EC2B0F"/>
    <w:rsid w:val="00EC2B81"/>
    <w:rsid w:val="00EC2C4A"/>
    <w:rsid w:val="00EC2DB9"/>
    <w:rsid w:val="00EC2EDD"/>
    <w:rsid w:val="00EC3081"/>
    <w:rsid w:val="00EC3303"/>
    <w:rsid w:val="00EC3406"/>
    <w:rsid w:val="00EC3460"/>
    <w:rsid w:val="00EC34D2"/>
    <w:rsid w:val="00EC35C1"/>
    <w:rsid w:val="00EC35FB"/>
    <w:rsid w:val="00EC38D4"/>
    <w:rsid w:val="00EC3A53"/>
    <w:rsid w:val="00EC3A96"/>
    <w:rsid w:val="00EC3DBB"/>
    <w:rsid w:val="00EC3E4D"/>
    <w:rsid w:val="00EC3F6B"/>
    <w:rsid w:val="00EC4374"/>
    <w:rsid w:val="00EC4540"/>
    <w:rsid w:val="00EC45D1"/>
    <w:rsid w:val="00EC4750"/>
    <w:rsid w:val="00EC49E1"/>
    <w:rsid w:val="00EC4CC5"/>
    <w:rsid w:val="00EC4CFC"/>
    <w:rsid w:val="00EC4FEE"/>
    <w:rsid w:val="00EC50BF"/>
    <w:rsid w:val="00EC51F0"/>
    <w:rsid w:val="00EC5262"/>
    <w:rsid w:val="00EC529B"/>
    <w:rsid w:val="00EC5305"/>
    <w:rsid w:val="00EC5456"/>
    <w:rsid w:val="00EC56C8"/>
    <w:rsid w:val="00EC58CF"/>
    <w:rsid w:val="00EC5A2A"/>
    <w:rsid w:val="00EC5E43"/>
    <w:rsid w:val="00EC5F66"/>
    <w:rsid w:val="00EC601D"/>
    <w:rsid w:val="00EC6101"/>
    <w:rsid w:val="00EC631A"/>
    <w:rsid w:val="00EC63B7"/>
    <w:rsid w:val="00EC6409"/>
    <w:rsid w:val="00EC66EF"/>
    <w:rsid w:val="00EC6791"/>
    <w:rsid w:val="00EC67C1"/>
    <w:rsid w:val="00EC6A92"/>
    <w:rsid w:val="00EC6B00"/>
    <w:rsid w:val="00EC6CD7"/>
    <w:rsid w:val="00EC6CED"/>
    <w:rsid w:val="00EC6CFA"/>
    <w:rsid w:val="00EC6EA4"/>
    <w:rsid w:val="00EC6FEE"/>
    <w:rsid w:val="00EC73AC"/>
    <w:rsid w:val="00EC75CC"/>
    <w:rsid w:val="00EC7C97"/>
    <w:rsid w:val="00EC7EB7"/>
    <w:rsid w:val="00ED0095"/>
    <w:rsid w:val="00ED00B2"/>
    <w:rsid w:val="00ED00F9"/>
    <w:rsid w:val="00ED00FE"/>
    <w:rsid w:val="00ED0123"/>
    <w:rsid w:val="00ED01CA"/>
    <w:rsid w:val="00ED0313"/>
    <w:rsid w:val="00ED05CF"/>
    <w:rsid w:val="00ED05E0"/>
    <w:rsid w:val="00ED08AB"/>
    <w:rsid w:val="00ED0BBD"/>
    <w:rsid w:val="00ED0DCC"/>
    <w:rsid w:val="00ED0DFD"/>
    <w:rsid w:val="00ED0F1E"/>
    <w:rsid w:val="00ED0F4B"/>
    <w:rsid w:val="00ED110B"/>
    <w:rsid w:val="00ED1158"/>
    <w:rsid w:val="00ED11B1"/>
    <w:rsid w:val="00ED130C"/>
    <w:rsid w:val="00ED1C69"/>
    <w:rsid w:val="00ED1F05"/>
    <w:rsid w:val="00ED2057"/>
    <w:rsid w:val="00ED2157"/>
    <w:rsid w:val="00ED23C8"/>
    <w:rsid w:val="00ED241F"/>
    <w:rsid w:val="00ED2789"/>
    <w:rsid w:val="00ED27B9"/>
    <w:rsid w:val="00ED2882"/>
    <w:rsid w:val="00ED29DB"/>
    <w:rsid w:val="00ED2A5D"/>
    <w:rsid w:val="00ED2A8E"/>
    <w:rsid w:val="00ED2AD0"/>
    <w:rsid w:val="00ED2C75"/>
    <w:rsid w:val="00ED2E8C"/>
    <w:rsid w:val="00ED2FA1"/>
    <w:rsid w:val="00ED3183"/>
    <w:rsid w:val="00ED33C5"/>
    <w:rsid w:val="00ED35F5"/>
    <w:rsid w:val="00ED36FD"/>
    <w:rsid w:val="00ED3A26"/>
    <w:rsid w:val="00ED3B6E"/>
    <w:rsid w:val="00ED3BDF"/>
    <w:rsid w:val="00ED403C"/>
    <w:rsid w:val="00ED4252"/>
    <w:rsid w:val="00ED4995"/>
    <w:rsid w:val="00ED4A91"/>
    <w:rsid w:val="00ED4C24"/>
    <w:rsid w:val="00ED4D00"/>
    <w:rsid w:val="00ED4E17"/>
    <w:rsid w:val="00ED5232"/>
    <w:rsid w:val="00ED5317"/>
    <w:rsid w:val="00ED537C"/>
    <w:rsid w:val="00ED544C"/>
    <w:rsid w:val="00ED54F1"/>
    <w:rsid w:val="00ED5584"/>
    <w:rsid w:val="00ED57AF"/>
    <w:rsid w:val="00ED5BDA"/>
    <w:rsid w:val="00ED5C05"/>
    <w:rsid w:val="00ED5E1B"/>
    <w:rsid w:val="00ED6094"/>
    <w:rsid w:val="00ED6288"/>
    <w:rsid w:val="00ED6366"/>
    <w:rsid w:val="00ED6493"/>
    <w:rsid w:val="00ED663D"/>
    <w:rsid w:val="00ED664A"/>
    <w:rsid w:val="00ED6729"/>
    <w:rsid w:val="00ED68F2"/>
    <w:rsid w:val="00ED698E"/>
    <w:rsid w:val="00ED6B03"/>
    <w:rsid w:val="00ED6C0F"/>
    <w:rsid w:val="00ED6C30"/>
    <w:rsid w:val="00ED6CE5"/>
    <w:rsid w:val="00ED6E74"/>
    <w:rsid w:val="00ED6F4A"/>
    <w:rsid w:val="00ED7027"/>
    <w:rsid w:val="00ED7028"/>
    <w:rsid w:val="00ED7537"/>
    <w:rsid w:val="00ED7583"/>
    <w:rsid w:val="00ED75C5"/>
    <w:rsid w:val="00ED77A8"/>
    <w:rsid w:val="00ED77E2"/>
    <w:rsid w:val="00ED7D1F"/>
    <w:rsid w:val="00ED7D33"/>
    <w:rsid w:val="00ED7EF1"/>
    <w:rsid w:val="00ED7F0E"/>
    <w:rsid w:val="00EE01D6"/>
    <w:rsid w:val="00EE047B"/>
    <w:rsid w:val="00EE052F"/>
    <w:rsid w:val="00EE06C2"/>
    <w:rsid w:val="00EE08D8"/>
    <w:rsid w:val="00EE0904"/>
    <w:rsid w:val="00EE0932"/>
    <w:rsid w:val="00EE0A36"/>
    <w:rsid w:val="00EE0ADB"/>
    <w:rsid w:val="00EE0BF3"/>
    <w:rsid w:val="00EE0C54"/>
    <w:rsid w:val="00EE0D00"/>
    <w:rsid w:val="00EE0DC1"/>
    <w:rsid w:val="00EE0DF7"/>
    <w:rsid w:val="00EE13D0"/>
    <w:rsid w:val="00EE1409"/>
    <w:rsid w:val="00EE142C"/>
    <w:rsid w:val="00EE1603"/>
    <w:rsid w:val="00EE1760"/>
    <w:rsid w:val="00EE177E"/>
    <w:rsid w:val="00EE18DD"/>
    <w:rsid w:val="00EE1A10"/>
    <w:rsid w:val="00EE1D21"/>
    <w:rsid w:val="00EE1F3F"/>
    <w:rsid w:val="00EE23F0"/>
    <w:rsid w:val="00EE24ED"/>
    <w:rsid w:val="00EE2593"/>
    <w:rsid w:val="00EE25C9"/>
    <w:rsid w:val="00EE297D"/>
    <w:rsid w:val="00EE2A72"/>
    <w:rsid w:val="00EE2C31"/>
    <w:rsid w:val="00EE31A6"/>
    <w:rsid w:val="00EE328A"/>
    <w:rsid w:val="00EE3439"/>
    <w:rsid w:val="00EE349A"/>
    <w:rsid w:val="00EE3525"/>
    <w:rsid w:val="00EE3649"/>
    <w:rsid w:val="00EE39C9"/>
    <w:rsid w:val="00EE3A53"/>
    <w:rsid w:val="00EE3A77"/>
    <w:rsid w:val="00EE3C6B"/>
    <w:rsid w:val="00EE3E95"/>
    <w:rsid w:val="00EE3F2C"/>
    <w:rsid w:val="00EE40AD"/>
    <w:rsid w:val="00EE431F"/>
    <w:rsid w:val="00EE4471"/>
    <w:rsid w:val="00EE455C"/>
    <w:rsid w:val="00EE4CAC"/>
    <w:rsid w:val="00EE51F5"/>
    <w:rsid w:val="00EE525B"/>
    <w:rsid w:val="00EE531F"/>
    <w:rsid w:val="00EE5380"/>
    <w:rsid w:val="00EE53EE"/>
    <w:rsid w:val="00EE570B"/>
    <w:rsid w:val="00EE5723"/>
    <w:rsid w:val="00EE5BF7"/>
    <w:rsid w:val="00EE5EEC"/>
    <w:rsid w:val="00EE5FA7"/>
    <w:rsid w:val="00EE6035"/>
    <w:rsid w:val="00EE6037"/>
    <w:rsid w:val="00EE61D7"/>
    <w:rsid w:val="00EE62E4"/>
    <w:rsid w:val="00EE6406"/>
    <w:rsid w:val="00EE6755"/>
    <w:rsid w:val="00EE69C5"/>
    <w:rsid w:val="00EE6BEC"/>
    <w:rsid w:val="00EE6D74"/>
    <w:rsid w:val="00EE6FC3"/>
    <w:rsid w:val="00EE70BE"/>
    <w:rsid w:val="00EE71FE"/>
    <w:rsid w:val="00EE723C"/>
    <w:rsid w:val="00EE7635"/>
    <w:rsid w:val="00EE7985"/>
    <w:rsid w:val="00EE7AB0"/>
    <w:rsid w:val="00EF01F2"/>
    <w:rsid w:val="00EF05DC"/>
    <w:rsid w:val="00EF069A"/>
    <w:rsid w:val="00EF0A63"/>
    <w:rsid w:val="00EF0B19"/>
    <w:rsid w:val="00EF0D30"/>
    <w:rsid w:val="00EF0E98"/>
    <w:rsid w:val="00EF0F99"/>
    <w:rsid w:val="00EF1204"/>
    <w:rsid w:val="00EF1270"/>
    <w:rsid w:val="00EF1368"/>
    <w:rsid w:val="00EF138A"/>
    <w:rsid w:val="00EF17E1"/>
    <w:rsid w:val="00EF1850"/>
    <w:rsid w:val="00EF1E2C"/>
    <w:rsid w:val="00EF1EB0"/>
    <w:rsid w:val="00EF242C"/>
    <w:rsid w:val="00EF26C5"/>
    <w:rsid w:val="00EF2874"/>
    <w:rsid w:val="00EF28B2"/>
    <w:rsid w:val="00EF2A3F"/>
    <w:rsid w:val="00EF2B46"/>
    <w:rsid w:val="00EF2C45"/>
    <w:rsid w:val="00EF2EA3"/>
    <w:rsid w:val="00EF2EB1"/>
    <w:rsid w:val="00EF2FDA"/>
    <w:rsid w:val="00EF30DD"/>
    <w:rsid w:val="00EF337E"/>
    <w:rsid w:val="00EF38C8"/>
    <w:rsid w:val="00EF39AB"/>
    <w:rsid w:val="00EF3ECA"/>
    <w:rsid w:val="00EF3EE3"/>
    <w:rsid w:val="00EF3FD0"/>
    <w:rsid w:val="00EF4121"/>
    <w:rsid w:val="00EF42D8"/>
    <w:rsid w:val="00EF435B"/>
    <w:rsid w:val="00EF4589"/>
    <w:rsid w:val="00EF464B"/>
    <w:rsid w:val="00EF4777"/>
    <w:rsid w:val="00EF49AC"/>
    <w:rsid w:val="00EF49D8"/>
    <w:rsid w:val="00EF49EA"/>
    <w:rsid w:val="00EF4A1E"/>
    <w:rsid w:val="00EF4A4D"/>
    <w:rsid w:val="00EF4C71"/>
    <w:rsid w:val="00EF4C81"/>
    <w:rsid w:val="00EF4DF5"/>
    <w:rsid w:val="00EF4E18"/>
    <w:rsid w:val="00EF4E8D"/>
    <w:rsid w:val="00EF4F95"/>
    <w:rsid w:val="00EF4FFE"/>
    <w:rsid w:val="00EF527F"/>
    <w:rsid w:val="00EF53E0"/>
    <w:rsid w:val="00EF5486"/>
    <w:rsid w:val="00EF551E"/>
    <w:rsid w:val="00EF5744"/>
    <w:rsid w:val="00EF57F0"/>
    <w:rsid w:val="00EF57F2"/>
    <w:rsid w:val="00EF5819"/>
    <w:rsid w:val="00EF5CB4"/>
    <w:rsid w:val="00EF62A7"/>
    <w:rsid w:val="00EF6C03"/>
    <w:rsid w:val="00EF6C57"/>
    <w:rsid w:val="00EF6CCB"/>
    <w:rsid w:val="00EF6FCB"/>
    <w:rsid w:val="00EF713B"/>
    <w:rsid w:val="00EF71F6"/>
    <w:rsid w:val="00EF721C"/>
    <w:rsid w:val="00EF76A0"/>
    <w:rsid w:val="00EF76E8"/>
    <w:rsid w:val="00EF774E"/>
    <w:rsid w:val="00EF7A5A"/>
    <w:rsid w:val="00EF7B63"/>
    <w:rsid w:val="00EF9441"/>
    <w:rsid w:val="00F001F8"/>
    <w:rsid w:val="00F0035F"/>
    <w:rsid w:val="00F00491"/>
    <w:rsid w:val="00F00A80"/>
    <w:rsid w:val="00F00BC1"/>
    <w:rsid w:val="00F00C8A"/>
    <w:rsid w:val="00F00C9E"/>
    <w:rsid w:val="00F00F24"/>
    <w:rsid w:val="00F00F2B"/>
    <w:rsid w:val="00F0112B"/>
    <w:rsid w:val="00F01170"/>
    <w:rsid w:val="00F01473"/>
    <w:rsid w:val="00F018E6"/>
    <w:rsid w:val="00F018FA"/>
    <w:rsid w:val="00F01D16"/>
    <w:rsid w:val="00F01EB7"/>
    <w:rsid w:val="00F0201B"/>
    <w:rsid w:val="00F02126"/>
    <w:rsid w:val="00F021B2"/>
    <w:rsid w:val="00F021EF"/>
    <w:rsid w:val="00F0227E"/>
    <w:rsid w:val="00F023C5"/>
    <w:rsid w:val="00F023CA"/>
    <w:rsid w:val="00F0254D"/>
    <w:rsid w:val="00F02619"/>
    <w:rsid w:val="00F0285D"/>
    <w:rsid w:val="00F02AF2"/>
    <w:rsid w:val="00F02CEA"/>
    <w:rsid w:val="00F02EE6"/>
    <w:rsid w:val="00F02F36"/>
    <w:rsid w:val="00F030C9"/>
    <w:rsid w:val="00F030CA"/>
    <w:rsid w:val="00F030ED"/>
    <w:rsid w:val="00F03171"/>
    <w:rsid w:val="00F031E2"/>
    <w:rsid w:val="00F0345C"/>
    <w:rsid w:val="00F03624"/>
    <w:rsid w:val="00F03CBA"/>
    <w:rsid w:val="00F03EA0"/>
    <w:rsid w:val="00F042D8"/>
    <w:rsid w:val="00F043E1"/>
    <w:rsid w:val="00F0455F"/>
    <w:rsid w:val="00F04AF8"/>
    <w:rsid w:val="00F04F5B"/>
    <w:rsid w:val="00F05002"/>
    <w:rsid w:val="00F05003"/>
    <w:rsid w:val="00F0513E"/>
    <w:rsid w:val="00F052A9"/>
    <w:rsid w:val="00F052D5"/>
    <w:rsid w:val="00F0539A"/>
    <w:rsid w:val="00F0556A"/>
    <w:rsid w:val="00F05870"/>
    <w:rsid w:val="00F059E4"/>
    <w:rsid w:val="00F05D3C"/>
    <w:rsid w:val="00F05D53"/>
    <w:rsid w:val="00F05F44"/>
    <w:rsid w:val="00F05FDB"/>
    <w:rsid w:val="00F06850"/>
    <w:rsid w:val="00F06851"/>
    <w:rsid w:val="00F068C7"/>
    <w:rsid w:val="00F06BFB"/>
    <w:rsid w:val="00F06F03"/>
    <w:rsid w:val="00F06F8C"/>
    <w:rsid w:val="00F071A7"/>
    <w:rsid w:val="00F0741E"/>
    <w:rsid w:val="00F076A0"/>
    <w:rsid w:val="00F076C4"/>
    <w:rsid w:val="00F07776"/>
    <w:rsid w:val="00F07947"/>
    <w:rsid w:val="00F0796D"/>
    <w:rsid w:val="00F07AC3"/>
    <w:rsid w:val="00F07CB2"/>
    <w:rsid w:val="00F07E4C"/>
    <w:rsid w:val="00F100DB"/>
    <w:rsid w:val="00F10202"/>
    <w:rsid w:val="00F1026D"/>
    <w:rsid w:val="00F10431"/>
    <w:rsid w:val="00F1062E"/>
    <w:rsid w:val="00F10735"/>
    <w:rsid w:val="00F108ED"/>
    <w:rsid w:val="00F10AAC"/>
    <w:rsid w:val="00F10AC5"/>
    <w:rsid w:val="00F10BC7"/>
    <w:rsid w:val="00F10EB7"/>
    <w:rsid w:val="00F10ED6"/>
    <w:rsid w:val="00F113B9"/>
    <w:rsid w:val="00F114E3"/>
    <w:rsid w:val="00F11601"/>
    <w:rsid w:val="00F1175F"/>
    <w:rsid w:val="00F118B8"/>
    <w:rsid w:val="00F11AF1"/>
    <w:rsid w:val="00F11C77"/>
    <w:rsid w:val="00F11D47"/>
    <w:rsid w:val="00F11F64"/>
    <w:rsid w:val="00F1222C"/>
    <w:rsid w:val="00F12255"/>
    <w:rsid w:val="00F122D1"/>
    <w:rsid w:val="00F122DB"/>
    <w:rsid w:val="00F1230E"/>
    <w:rsid w:val="00F124F6"/>
    <w:rsid w:val="00F1273F"/>
    <w:rsid w:val="00F12AA7"/>
    <w:rsid w:val="00F12B10"/>
    <w:rsid w:val="00F12FCA"/>
    <w:rsid w:val="00F132BF"/>
    <w:rsid w:val="00F1345C"/>
    <w:rsid w:val="00F1346C"/>
    <w:rsid w:val="00F134E5"/>
    <w:rsid w:val="00F1368E"/>
    <w:rsid w:val="00F138E7"/>
    <w:rsid w:val="00F13906"/>
    <w:rsid w:val="00F13BFB"/>
    <w:rsid w:val="00F13CAF"/>
    <w:rsid w:val="00F13D0E"/>
    <w:rsid w:val="00F13DD5"/>
    <w:rsid w:val="00F13E08"/>
    <w:rsid w:val="00F13E35"/>
    <w:rsid w:val="00F13E85"/>
    <w:rsid w:val="00F1424A"/>
    <w:rsid w:val="00F143C8"/>
    <w:rsid w:val="00F1461A"/>
    <w:rsid w:val="00F146BD"/>
    <w:rsid w:val="00F146CD"/>
    <w:rsid w:val="00F14704"/>
    <w:rsid w:val="00F1484A"/>
    <w:rsid w:val="00F14904"/>
    <w:rsid w:val="00F14A43"/>
    <w:rsid w:val="00F14A50"/>
    <w:rsid w:val="00F14A71"/>
    <w:rsid w:val="00F14A9E"/>
    <w:rsid w:val="00F14E42"/>
    <w:rsid w:val="00F14E5F"/>
    <w:rsid w:val="00F1501C"/>
    <w:rsid w:val="00F1503D"/>
    <w:rsid w:val="00F150D8"/>
    <w:rsid w:val="00F15110"/>
    <w:rsid w:val="00F1543B"/>
    <w:rsid w:val="00F15529"/>
    <w:rsid w:val="00F157F6"/>
    <w:rsid w:val="00F1583A"/>
    <w:rsid w:val="00F159E4"/>
    <w:rsid w:val="00F15CB0"/>
    <w:rsid w:val="00F15E37"/>
    <w:rsid w:val="00F15F78"/>
    <w:rsid w:val="00F15FF5"/>
    <w:rsid w:val="00F16017"/>
    <w:rsid w:val="00F16049"/>
    <w:rsid w:val="00F16052"/>
    <w:rsid w:val="00F1610E"/>
    <w:rsid w:val="00F1613D"/>
    <w:rsid w:val="00F16249"/>
    <w:rsid w:val="00F16278"/>
    <w:rsid w:val="00F162A2"/>
    <w:rsid w:val="00F1654D"/>
    <w:rsid w:val="00F166FA"/>
    <w:rsid w:val="00F16C6C"/>
    <w:rsid w:val="00F16D5B"/>
    <w:rsid w:val="00F16F93"/>
    <w:rsid w:val="00F1719F"/>
    <w:rsid w:val="00F1720E"/>
    <w:rsid w:val="00F17414"/>
    <w:rsid w:val="00F1756B"/>
    <w:rsid w:val="00F1759B"/>
    <w:rsid w:val="00F176F0"/>
    <w:rsid w:val="00F178DC"/>
    <w:rsid w:val="00F179A6"/>
    <w:rsid w:val="00F17A16"/>
    <w:rsid w:val="00F17DD5"/>
    <w:rsid w:val="00F17DE1"/>
    <w:rsid w:val="00F17FBF"/>
    <w:rsid w:val="00F1C765"/>
    <w:rsid w:val="00F202D5"/>
    <w:rsid w:val="00F20468"/>
    <w:rsid w:val="00F204C4"/>
    <w:rsid w:val="00F2050A"/>
    <w:rsid w:val="00F20725"/>
    <w:rsid w:val="00F20769"/>
    <w:rsid w:val="00F208BA"/>
    <w:rsid w:val="00F20909"/>
    <w:rsid w:val="00F20B83"/>
    <w:rsid w:val="00F20D52"/>
    <w:rsid w:val="00F20EFD"/>
    <w:rsid w:val="00F21395"/>
    <w:rsid w:val="00F2142C"/>
    <w:rsid w:val="00F2150B"/>
    <w:rsid w:val="00F216C2"/>
    <w:rsid w:val="00F216C3"/>
    <w:rsid w:val="00F2198A"/>
    <w:rsid w:val="00F219DC"/>
    <w:rsid w:val="00F21CE2"/>
    <w:rsid w:val="00F21CF1"/>
    <w:rsid w:val="00F21D32"/>
    <w:rsid w:val="00F21D6D"/>
    <w:rsid w:val="00F21DB6"/>
    <w:rsid w:val="00F223C3"/>
    <w:rsid w:val="00F223CD"/>
    <w:rsid w:val="00F2243C"/>
    <w:rsid w:val="00F225D3"/>
    <w:rsid w:val="00F2296B"/>
    <w:rsid w:val="00F22B54"/>
    <w:rsid w:val="00F22BEF"/>
    <w:rsid w:val="00F22E40"/>
    <w:rsid w:val="00F23300"/>
    <w:rsid w:val="00F23708"/>
    <w:rsid w:val="00F2378E"/>
    <w:rsid w:val="00F2380B"/>
    <w:rsid w:val="00F239FF"/>
    <w:rsid w:val="00F23C25"/>
    <w:rsid w:val="00F23DB4"/>
    <w:rsid w:val="00F23F79"/>
    <w:rsid w:val="00F23FE4"/>
    <w:rsid w:val="00F240AB"/>
    <w:rsid w:val="00F240EA"/>
    <w:rsid w:val="00F242D1"/>
    <w:rsid w:val="00F24620"/>
    <w:rsid w:val="00F24665"/>
    <w:rsid w:val="00F24701"/>
    <w:rsid w:val="00F24711"/>
    <w:rsid w:val="00F249E8"/>
    <w:rsid w:val="00F249EF"/>
    <w:rsid w:val="00F24B04"/>
    <w:rsid w:val="00F24C75"/>
    <w:rsid w:val="00F24DA4"/>
    <w:rsid w:val="00F24DFD"/>
    <w:rsid w:val="00F2519A"/>
    <w:rsid w:val="00F25581"/>
    <w:rsid w:val="00F255D7"/>
    <w:rsid w:val="00F257B4"/>
    <w:rsid w:val="00F25937"/>
    <w:rsid w:val="00F259CB"/>
    <w:rsid w:val="00F25C3B"/>
    <w:rsid w:val="00F26052"/>
    <w:rsid w:val="00F26314"/>
    <w:rsid w:val="00F26322"/>
    <w:rsid w:val="00F263DF"/>
    <w:rsid w:val="00F26600"/>
    <w:rsid w:val="00F2673B"/>
    <w:rsid w:val="00F268E4"/>
    <w:rsid w:val="00F26A89"/>
    <w:rsid w:val="00F26BD2"/>
    <w:rsid w:val="00F26C50"/>
    <w:rsid w:val="00F26CEA"/>
    <w:rsid w:val="00F26DB7"/>
    <w:rsid w:val="00F26E38"/>
    <w:rsid w:val="00F26F8A"/>
    <w:rsid w:val="00F26FDA"/>
    <w:rsid w:val="00F27127"/>
    <w:rsid w:val="00F27271"/>
    <w:rsid w:val="00F272A2"/>
    <w:rsid w:val="00F27301"/>
    <w:rsid w:val="00F2761E"/>
    <w:rsid w:val="00F276D5"/>
    <w:rsid w:val="00F277F7"/>
    <w:rsid w:val="00F279DC"/>
    <w:rsid w:val="00F27EDF"/>
    <w:rsid w:val="00F304E2"/>
    <w:rsid w:val="00F30B6B"/>
    <w:rsid w:val="00F30C58"/>
    <w:rsid w:val="00F30D01"/>
    <w:rsid w:val="00F30E80"/>
    <w:rsid w:val="00F30E9A"/>
    <w:rsid w:val="00F31097"/>
    <w:rsid w:val="00F31229"/>
    <w:rsid w:val="00F3150A"/>
    <w:rsid w:val="00F318EB"/>
    <w:rsid w:val="00F31991"/>
    <w:rsid w:val="00F31ADE"/>
    <w:rsid w:val="00F31D9F"/>
    <w:rsid w:val="00F31E93"/>
    <w:rsid w:val="00F31F5D"/>
    <w:rsid w:val="00F32126"/>
    <w:rsid w:val="00F32495"/>
    <w:rsid w:val="00F32A36"/>
    <w:rsid w:val="00F32DBD"/>
    <w:rsid w:val="00F32F3E"/>
    <w:rsid w:val="00F334D8"/>
    <w:rsid w:val="00F33579"/>
    <w:rsid w:val="00F33589"/>
    <w:rsid w:val="00F33FA2"/>
    <w:rsid w:val="00F3403C"/>
    <w:rsid w:val="00F3403D"/>
    <w:rsid w:val="00F342EE"/>
    <w:rsid w:val="00F34412"/>
    <w:rsid w:val="00F34896"/>
    <w:rsid w:val="00F34F2D"/>
    <w:rsid w:val="00F353CF"/>
    <w:rsid w:val="00F35C7D"/>
    <w:rsid w:val="00F35DD2"/>
    <w:rsid w:val="00F35E07"/>
    <w:rsid w:val="00F35FEE"/>
    <w:rsid w:val="00F36104"/>
    <w:rsid w:val="00F3623C"/>
    <w:rsid w:val="00F363F5"/>
    <w:rsid w:val="00F3650A"/>
    <w:rsid w:val="00F3657A"/>
    <w:rsid w:val="00F365FD"/>
    <w:rsid w:val="00F3688F"/>
    <w:rsid w:val="00F36A6A"/>
    <w:rsid w:val="00F36D05"/>
    <w:rsid w:val="00F36D1D"/>
    <w:rsid w:val="00F36D95"/>
    <w:rsid w:val="00F36EC0"/>
    <w:rsid w:val="00F37075"/>
    <w:rsid w:val="00F374D1"/>
    <w:rsid w:val="00F3753F"/>
    <w:rsid w:val="00F375EA"/>
    <w:rsid w:val="00F37768"/>
    <w:rsid w:val="00F378E4"/>
    <w:rsid w:val="00F37B88"/>
    <w:rsid w:val="00F37B8C"/>
    <w:rsid w:val="00F37CA5"/>
    <w:rsid w:val="00F37DE6"/>
    <w:rsid w:val="00F37F5C"/>
    <w:rsid w:val="00F37FB8"/>
    <w:rsid w:val="00F4012B"/>
    <w:rsid w:val="00F402CB"/>
    <w:rsid w:val="00F403E8"/>
    <w:rsid w:val="00F406E5"/>
    <w:rsid w:val="00F4092C"/>
    <w:rsid w:val="00F4096B"/>
    <w:rsid w:val="00F40A48"/>
    <w:rsid w:val="00F40B01"/>
    <w:rsid w:val="00F40B09"/>
    <w:rsid w:val="00F40D88"/>
    <w:rsid w:val="00F410C2"/>
    <w:rsid w:val="00F41197"/>
    <w:rsid w:val="00F4120F"/>
    <w:rsid w:val="00F41283"/>
    <w:rsid w:val="00F4132A"/>
    <w:rsid w:val="00F413CF"/>
    <w:rsid w:val="00F41570"/>
    <w:rsid w:val="00F416A2"/>
    <w:rsid w:val="00F41744"/>
    <w:rsid w:val="00F41846"/>
    <w:rsid w:val="00F4194A"/>
    <w:rsid w:val="00F41B25"/>
    <w:rsid w:val="00F41D22"/>
    <w:rsid w:val="00F41DE1"/>
    <w:rsid w:val="00F41E43"/>
    <w:rsid w:val="00F423BC"/>
    <w:rsid w:val="00F4249D"/>
    <w:rsid w:val="00F42B87"/>
    <w:rsid w:val="00F42D1A"/>
    <w:rsid w:val="00F42E05"/>
    <w:rsid w:val="00F42E66"/>
    <w:rsid w:val="00F42FBD"/>
    <w:rsid w:val="00F43191"/>
    <w:rsid w:val="00F43280"/>
    <w:rsid w:val="00F43324"/>
    <w:rsid w:val="00F43361"/>
    <w:rsid w:val="00F43419"/>
    <w:rsid w:val="00F4343C"/>
    <w:rsid w:val="00F4348C"/>
    <w:rsid w:val="00F43500"/>
    <w:rsid w:val="00F4351F"/>
    <w:rsid w:val="00F436C6"/>
    <w:rsid w:val="00F43CAA"/>
    <w:rsid w:val="00F43DCA"/>
    <w:rsid w:val="00F43E0D"/>
    <w:rsid w:val="00F4445C"/>
    <w:rsid w:val="00F444AD"/>
    <w:rsid w:val="00F444E0"/>
    <w:rsid w:val="00F44688"/>
    <w:rsid w:val="00F446E4"/>
    <w:rsid w:val="00F4472C"/>
    <w:rsid w:val="00F4478A"/>
    <w:rsid w:val="00F44836"/>
    <w:rsid w:val="00F44E30"/>
    <w:rsid w:val="00F44E8F"/>
    <w:rsid w:val="00F45068"/>
    <w:rsid w:val="00F451B8"/>
    <w:rsid w:val="00F453CD"/>
    <w:rsid w:val="00F45ADB"/>
    <w:rsid w:val="00F45C8C"/>
    <w:rsid w:val="00F4604F"/>
    <w:rsid w:val="00F46212"/>
    <w:rsid w:val="00F46347"/>
    <w:rsid w:val="00F46556"/>
    <w:rsid w:val="00F46602"/>
    <w:rsid w:val="00F466AE"/>
    <w:rsid w:val="00F466BE"/>
    <w:rsid w:val="00F4676B"/>
    <w:rsid w:val="00F46843"/>
    <w:rsid w:val="00F46949"/>
    <w:rsid w:val="00F469F3"/>
    <w:rsid w:val="00F46A7D"/>
    <w:rsid w:val="00F46CCA"/>
    <w:rsid w:val="00F46D0F"/>
    <w:rsid w:val="00F46DA7"/>
    <w:rsid w:val="00F46FD7"/>
    <w:rsid w:val="00F471FD"/>
    <w:rsid w:val="00F4723B"/>
    <w:rsid w:val="00F47260"/>
    <w:rsid w:val="00F47329"/>
    <w:rsid w:val="00F474CD"/>
    <w:rsid w:val="00F47838"/>
    <w:rsid w:val="00F478BA"/>
    <w:rsid w:val="00F47A5D"/>
    <w:rsid w:val="00F47A7B"/>
    <w:rsid w:val="00F47CEB"/>
    <w:rsid w:val="00F47E57"/>
    <w:rsid w:val="00F47EEB"/>
    <w:rsid w:val="00F501AB"/>
    <w:rsid w:val="00F5049C"/>
    <w:rsid w:val="00F50663"/>
    <w:rsid w:val="00F50928"/>
    <w:rsid w:val="00F50967"/>
    <w:rsid w:val="00F5096B"/>
    <w:rsid w:val="00F509D1"/>
    <w:rsid w:val="00F50A10"/>
    <w:rsid w:val="00F50B1A"/>
    <w:rsid w:val="00F50D99"/>
    <w:rsid w:val="00F50DAF"/>
    <w:rsid w:val="00F50E1A"/>
    <w:rsid w:val="00F50E30"/>
    <w:rsid w:val="00F50E8B"/>
    <w:rsid w:val="00F51208"/>
    <w:rsid w:val="00F51525"/>
    <w:rsid w:val="00F51551"/>
    <w:rsid w:val="00F5177A"/>
    <w:rsid w:val="00F5244D"/>
    <w:rsid w:val="00F52682"/>
    <w:rsid w:val="00F52770"/>
    <w:rsid w:val="00F52A35"/>
    <w:rsid w:val="00F52AB4"/>
    <w:rsid w:val="00F52C56"/>
    <w:rsid w:val="00F52DA9"/>
    <w:rsid w:val="00F53015"/>
    <w:rsid w:val="00F53051"/>
    <w:rsid w:val="00F530FC"/>
    <w:rsid w:val="00F533BA"/>
    <w:rsid w:val="00F5349F"/>
    <w:rsid w:val="00F53758"/>
    <w:rsid w:val="00F5387D"/>
    <w:rsid w:val="00F53A1B"/>
    <w:rsid w:val="00F53E48"/>
    <w:rsid w:val="00F53E5B"/>
    <w:rsid w:val="00F53EAC"/>
    <w:rsid w:val="00F541B3"/>
    <w:rsid w:val="00F541D0"/>
    <w:rsid w:val="00F545C8"/>
    <w:rsid w:val="00F545F7"/>
    <w:rsid w:val="00F54652"/>
    <w:rsid w:val="00F547E7"/>
    <w:rsid w:val="00F548C7"/>
    <w:rsid w:val="00F548E6"/>
    <w:rsid w:val="00F549A6"/>
    <w:rsid w:val="00F549F2"/>
    <w:rsid w:val="00F54A15"/>
    <w:rsid w:val="00F54B1B"/>
    <w:rsid w:val="00F54B65"/>
    <w:rsid w:val="00F54C9F"/>
    <w:rsid w:val="00F551A2"/>
    <w:rsid w:val="00F553F9"/>
    <w:rsid w:val="00F5549F"/>
    <w:rsid w:val="00F55600"/>
    <w:rsid w:val="00F557E1"/>
    <w:rsid w:val="00F55B6D"/>
    <w:rsid w:val="00F55C0A"/>
    <w:rsid w:val="00F55DB7"/>
    <w:rsid w:val="00F55E43"/>
    <w:rsid w:val="00F55F03"/>
    <w:rsid w:val="00F55FBC"/>
    <w:rsid w:val="00F5623E"/>
    <w:rsid w:val="00F56270"/>
    <w:rsid w:val="00F56812"/>
    <w:rsid w:val="00F56827"/>
    <w:rsid w:val="00F56928"/>
    <w:rsid w:val="00F56992"/>
    <w:rsid w:val="00F56C40"/>
    <w:rsid w:val="00F56D26"/>
    <w:rsid w:val="00F56FD7"/>
    <w:rsid w:val="00F57173"/>
    <w:rsid w:val="00F5719D"/>
    <w:rsid w:val="00F572FE"/>
    <w:rsid w:val="00F576A9"/>
    <w:rsid w:val="00F57A6F"/>
    <w:rsid w:val="00F60071"/>
    <w:rsid w:val="00F60299"/>
    <w:rsid w:val="00F60586"/>
    <w:rsid w:val="00F60782"/>
    <w:rsid w:val="00F60D61"/>
    <w:rsid w:val="00F60DE1"/>
    <w:rsid w:val="00F6125A"/>
    <w:rsid w:val="00F61480"/>
    <w:rsid w:val="00F614A0"/>
    <w:rsid w:val="00F61800"/>
    <w:rsid w:val="00F61856"/>
    <w:rsid w:val="00F61958"/>
    <w:rsid w:val="00F61AE4"/>
    <w:rsid w:val="00F61B65"/>
    <w:rsid w:val="00F61F4D"/>
    <w:rsid w:val="00F61FB9"/>
    <w:rsid w:val="00F62109"/>
    <w:rsid w:val="00F625FF"/>
    <w:rsid w:val="00F62967"/>
    <w:rsid w:val="00F629AF"/>
    <w:rsid w:val="00F629D7"/>
    <w:rsid w:val="00F62A33"/>
    <w:rsid w:val="00F62B09"/>
    <w:rsid w:val="00F62EC6"/>
    <w:rsid w:val="00F63233"/>
    <w:rsid w:val="00F633CD"/>
    <w:rsid w:val="00F6356C"/>
    <w:rsid w:val="00F635D3"/>
    <w:rsid w:val="00F635FA"/>
    <w:rsid w:val="00F63991"/>
    <w:rsid w:val="00F63CF5"/>
    <w:rsid w:val="00F6404A"/>
    <w:rsid w:val="00F6405D"/>
    <w:rsid w:val="00F64612"/>
    <w:rsid w:val="00F647A9"/>
    <w:rsid w:val="00F64819"/>
    <w:rsid w:val="00F64AE5"/>
    <w:rsid w:val="00F64E75"/>
    <w:rsid w:val="00F64F8D"/>
    <w:rsid w:val="00F651AF"/>
    <w:rsid w:val="00F6524E"/>
    <w:rsid w:val="00F65367"/>
    <w:rsid w:val="00F6553F"/>
    <w:rsid w:val="00F65899"/>
    <w:rsid w:val="00F65A2D"/>
    <w:rsid w:val="00F65B73"/>
    <w:rsid w:val="00F65E0B"/>
    <w:rsid w:val="00F65E5A"/>
    <w:rsid w:val="00F65EE0"/>
    <w:rsid w:val="00F660BB"/>
    <w:rsid w:val="00F66125"/>
    <w:rsid w:val="00F66161"/>
    <w:rsid w:val="00F661F8"/>
    <w:rsid w:val="00F66644"/>
    <w:rsid w:val="00F66720"/>
    <w:rsid w:val="00F669B4"/>
    <w:rsid w:val="00F669E3"/>
    <w:rsid w:val="00F66A70"/>
    <w:rsid w:val="00F66BED"/>
    <w:rsid w:val="00F66F70"/>
    <w:rsid w:val="00F67178"/>
    <w:rsid w:val="00F67259"/>
    <w:rsid w:val="00F67291"/>
    <w:rsid w:val="00F67639"/>
    <w:rsid w:val="00F6773E"/>
    <w:rsid w:val="00F677CE"/>
    <w:rsid w:val="00F678DC"/>
    <w:rsid w:val="00F67A4E"/>
    <w:rsid w:val="00F67D03"/>
    <w:rsid w:val="00F67D16"/>
    <w:rsid w:val="00F67ED5"/>
    <w:rsid w:val="00F67F3D"/>
    <w:rsid w:val="00F67F83"/>
    <w:rsid w:val="00F70204"/>
    <w:rsid w:val="00F70631"/>
    <w:rsid w:val="00F7080A"/>
    <w:rsid w:val="00F7096D"/>
    <w:rsid w:val="00F70982"/>
    <w:rsid w:val="00F70C47"/>
    <w:rsid w:val="00F70C8A"/>
    <w:rsid w:val="00F70D5D"/>
    <w:rsid w:val="00F70DEF"/>
    <w:rsid w:val="00F70E21"/>
    <w:rsid w:val="00F71150"/>
    <w:rsid w:val="00F711D1"/>
    <w:rsid w:val="00F712D8"/>
    <w:rsid w:val="00F71377"/>
    <w:rsid w:val="00F71593"/>
    <w:rsid w:val="00F716AE"/>
    <w:rsid w:val="00F716B8"/>
    <w:rsid w:val="00F71B72"/>
    <w:rsid w:val="00F71C4D"/>
    <w:rsid w:val="00F71FFC"/>
    <w:rsid w:val="00F7205A"/>
    <w:rsid w:val="00F7208A"/>
    <w:rsid w:val="00F7233A"/>
    <w:rsid w:val="00F7237F"/>
    <w:rsid w:val="00F723DF"/>
    <w:rsid w:val="00F72608"/>
    <w:rsid w:val="00F728FB"/>
    <w:rsid w:val="00F72934"/>
    <w:rsid w:val="00F72B67"/>
    <w:rsid w:val="00F72C44"/>
    <w:rsid w:val="00F72E4D"/>
    <w:rsid w:val="00F7320C"/>
    <w:rsid w:val="00F733FA"/>
    <w:rsid w:val="00F7346E"/>
    <w:rsid w:val="00F734AC"/>
    <w:rsid w:val="00F734DF"/>
    <w:rsid w:val="00F73644"/>
    <w:rsid w:val="00F737A9"/>
    <w:rsid w:val="00F737F2"/>
    <w:rsid w:val="00F73856"/>
    <w:rsid w:val="00F73AC1"/>
    <w:rsid w:val="00F73DD9"/>
    <w:rsid w:val="00F73ED5"/>
    <w:rsid w:val="00F73F5C"/>
    <w:rsid w:val="00F74018"/>
    <w:rsid w:val="00F741DC"/>
    <w:rsid w:val="00F742F5"/>
    <w:rsid w:val="00F74433"/>
    <w:rsid w:val="00F744C6"/>
    <w:rsid w:val="00F7469E"/>
    <w:rsid w:val="00F74707"/>
    <w:rsid w:val="00F747B5"/>
    <w:rsid w:val="00F74822"/>
    <w:rsid w:val="00F7487F"/>
    <w:rsid w:val="00F74AB1"/>
    <w:rsid w:val="00F74BC8"/>
    <w:rsid w:val="00F74E1B"/>
    <w:rsid w:val="00F74E8C"/>
    <w:rsid w:val="00F751D0"/>
    <w:rsid w:val="00F751ED"/>
    <w:rsid w:val="00F7529B"/>
    <w:rsid w:val="00F7536A"/>
    <w:rsid w:val="00F753F3"/>
    <w:rsid w:val="00F7569B"/>
    <w:rsid w:val="00F7574D"/>
    <w:rsid w:val="00F75917"/>
    <w:rsid w:val="00F75A14"/>
    <w:rsid w:val="00F75AF2"/>
    <w:rsid w:val="00F75B10"/>
    <w:rsid w:val="00F75BB0"/>
    <w:rsid w:val="00F75C54"/>
    <w:rsid w:val="00F75CAF"/>
    <w:rsid w:val="00F75D73"/>
    <w:rsid w:val="00F75DDC"/>
    <w:rsid w:val="00F75F6B"/>
    <w:rsid w:val="00F76090"/>
    <w:rsid w:val="00F7662D"/>
    <w:rsid w:val="00F7672E"/>
    <w:rsid w:val="00F7684E"/>
    <w:rsid w:val="00F76851"/>
    <w:rsid w:val="00F76B7A"/>
    <w:rsid w:val="00F76D38"/>
    <w:rsid w:val="00F76E54"/>
    <w:rsid w:val="00F7739D"/>
    <w:rsid w:val="00F774E2"/>
    <w:rsid w:val="00F77525"/>
    <w:rsid w:val="00F77692"/>
    <w:rsid w:val="00F77BCF"/>
    <w:rsid w:val="00F80143"/>
    <w:rsid w:val="00F80449"/>
    <w:rsid w:val="00F80470"/>
    <w:rsid w:val="00F804A3"/>
    <w:rsid w:val="00F80650"/>
    <w:rsid w:val="00F806CE"/>
    <w:rsid w:val="00F806D3"/>
    <w:rsid w:val="00F808E5"/>
    <w:rsid w:val="00F8097F"/>
    <w:rsid w:val="00F81482"/>
    <w:rsid w:val="00F81641"/>
    <w:rsid w:val="00F81749"/>
    <w:rsid w:val="00F819EF"/>
    <w:rsid w:val="00F81A4D"/>
    <w:rsid w:val="00F81FAE"/>
    <w:rsid w:val="00F81FEC"/>
    <w:rsid w:val="00F8204F"/>
    <w:rsid w:val="00F822D3"/>
    <w:rsid w:val="00F82652"/>
    <w:rsid w:val="00F82702"/>
    <w:rsid w:val="00F828D3"/>
    <w:rsid w:val="00F82B3C"/>
    <w:rsid w:val="00F82EC4"/>
    <w:rsid w:val="00F833F8"/>
    <w:rsid w:val="00F83465"/>
    <w:rsid w:val="00F8370E"/>
    <w:rsid w:val="00F839D5"/>
    <w:rsid w:val="00F83ABB"/>
    <w:rsid w:val="00F83BB0"/>
    <w:rsid w:val="00F83D80"/>
    <w:rsid w:val="00F83FBD"/>
    <w:rsid w:val="00F84036"/>
    <w:rsid w:val="00F840C1"/>
    <w:rsid w:val="00F840C2"/>
    <w:rsid w:val="00F84534"/>
    <w:rsid w:val="00F84742"/>
    <w:rsid w:val="00F84CD1"/>
    <w:rsid w:val="00F84E38"/>
    <w:rsid w:val="00F84EB1"/>
    <w:rsid w:val="00F84F70"/>
    <w:rsid w:val="00F850AF"/>
    <w:rsid w:val="00F85289"/>
    <w:rsid w:val="00F8530C"/>
    <w:rsid w:val="00F85429"/>
    <w:rsid w:val="00F85604"/>
    <w:rsid w:val="00F859F3"/>
    <w:rsid w:val="00F85AE4"/>
    <w:rsid w:val="00F85AFE"/>
    <w:rsid w:val="00F860A7"/>
    <w:rsid w:val="00F8623B"/>
    <w:rsid w:val="00F86292"/>
    <w:rsid w:val="00F86596"/>
    <w:rsid w:val="00F865A8"/>
    <w:rsid w:val="00F86677"/>
    <w:rsid w:val="00F8670E"/>
    <w:rsid w:val="00F86871"/>
    <w:rsid w:val="00F86994"/>
    <w:rsid w:val="00F86A1D"/>
    <w:rsid w:val="00F86A5D"/>
    <w:rsid w:val="00F86FAA"/>
    <w:rsid w:val="00F8707D"/>
    <w:rsid w:val="00F871C8"/>
    <w:rsid w:val="00F87319"/>
    <w:rsid w:val="00F8732E"/>
    <w:rsid w:val="00F875BD"/>
    <w:rsid w:val="00F87729"/>
    <w:rsid w:val="00F877B7"/>
    <w:rsid w:val="00F87921"/>
    <w:rsid w:val="00F87932"/>
    <w:rsid w:val="00F87E27"/>
    <w:rsid w:val="00F9003B"/>
    <w:rsid w:val="00F901A3"/>
    <w:rsid w:val="00F905B6"/>
    <w:rsid w:val="00F90DAA"/>
    <w:rsid w:val="00F90F34"/>
    <w:rsid w:val="00F91045"/>
    <w:rsid w:val="00F91185"/>
    <w:rsid w:val="00F91312"/>
    <w:rsid w:val="00F9187A"/>
    <w:rsid w:val="00F918CA"/>
    <w:rsid w:val="00F91903"/>
    <w:rsid w:val="00F91B09"/>
    <w:rsid w:val="00F91C19"/>
    <w:rsid w:val="00F91CE6"/>
    <w:rsid w:val="00F91DCF"/>
    <w:rsid w:val="00F9204E"/>
    <w:rsid w:val="00F92138"/>
    <w:rsid w:val="00F921D0"/>
    <w:rsid w:val="00F92449"/>
    <w:rsid w:val="00F929EB"/>
    <w:rsid w:val="00F92BD5"/>
    <w:rsid w:val="00F935B6"/>
    <w:rsid w:val="00F936C1"/>
    <w:rsid w:val="00F936D9"/>
    <w:rsid w:val="00F93800"/>
    <w:rsid w:val="00F938EF"/>
    <w:rsid w:val="00F93BDE"/>
    <w:rsid w:val="00F93DAC"/>
    <w:rsid w:val="00F93FB5"/>
    <w:rsid w:val="00F94308"/>
    <w:rsid w:val="00F9441F"/>
    <w:rsid w:val="00F94613"/>
    <w:rsid w:val="00F94697"/>
    <w:rsid w:val="00F94853"/>
    <w:rsid w:val="00F948B1"/>
    <w:rsid w:val="00F94D09"/>
    <w:rsid w:val="00F94DE5"/>
    <w:rsid w:val="00F94EF1"/>
    <w:rsid w:val="00F95135"/>
    <w:rsid w:val="00F95197"/>
    <w:rsid w:val="00F951F5"/>
    <w:rsid w:val="00F95212"/>
    <w:rsid w:val="00F95311"/>
    <w:rsid w:val="00F95313"/>
    <w:rsid w:val="00F957E5"/>
    <w:rsid w:val="00F957EA"/>
    <w:rsid w:val="00F95967"/>
    <w:rsid w:val="00F95ACA"/>
    <w:rsid w:val="00F95AE0"/>
    <w:rsid w:val="00F95D63"/>
    <w:rsid w:val="00F95F55"/>
    <w:rsid w:val="00F95F5F"/>
    <w:rsid w:val="00F96337"/>
    <w:rsid w:val="00F963DB"/>
    <w:rsid w:val="00F9652A"/>
    <w:rsid w:val="00F96569"/>
    <w:rsid w:val="00F96692"/>
    <w:rsid w:val="00F9688B"/>
    <w:rsid w:val="00F96A87"/>
    <w:rsid w:val="00F96B5F"/>
    <w:rsid w:val="00F96C31"/>
    <w:rsid w:val="00F96DC6"/>
    <w:rsid w:val="00F96EA8"/>
    <w:rsid w:val="00F96F0E"/>
    <w:rsid w:val="00F97066"/>
    <w:rsid w:val="00F970DB"/>
    <w:rsid w:val="00F97491"/>
    <w:rsid w:val="00F975D4"/>
    <w:rsid w:val="00F97860"/>
    <w:rsid w:val="00F97AA7"/>
    <w:rsid w:val="00F97F71"/>
    <w:rsid w:val="00FA01C1"/>
    <w:rsid w:val="00FA0456"/>
    <w:rsid w:val="00FA05F9"/>
    <w:rsid w:val="00FA0785"/>
    <w:rsid w:val="00FA0825"/>
    <w:rsid w:val="00FA08F7"/>
    <w:rsid w:val="00FA0957"/>
    <w:rsid w:val="00FA09B1"/>
    <w:rsid w:val="00FA09DF"/>
    <w:rsid w:val="00FA0A55"/>
    <w:rsid w:val="00FA0B6F"/>
    <w:rsid w:val="00FA0D19"/>
    <w:rsid w:val="00FA0F74"/>
    <w:rsid w:val="00FA1419"/>
    <w:rsid w:val="00FA15B7"/>
    <w:rsid w:val="00FA170A"/>
    <w:rsid w:val="00FA1B9C"/>
    <w:rsid w:val="00FA1E7E"/>
    <w:rsid w:val="00FA2075"/>
    <w:rsid w:val="00FA23B2"/>
    <w:rsid w:val="00FA24F6"/>
    <w:rsid w:val="00FA262C"/>
    <w:rsid w:val="00FA26A6"/>
    <w:rsid w:val="00FA27F3"/>
    <w:rsid w:val="00FA2BA1"/>
    <w:rsid w:val="00FA2D50"/>
    <w:rsid w:val="00FA2F6D"/>
    <w:rsid w:val="00FA2F70"/>
    <w:rsid w:val="00FA32F8"/>
    <w:rsid w:val="00FA3376"/>
    <w:rsid w:val="00FA34C3"/>
    <w:rsid w:val="00FA3725"/>
    <w:rsid w:val="00FA387A"/>
    <w:rsid w:val="00FA38B3"/>
    <w:rsid w:val="00FA4140"/>
    <w:rsid w:val="00FA454F"/>
    <w:rsid w:val="00FA4953"/>
    <w:rsid w:val="00FA49FE"/>
    <w:rsid w:val="00FA4A0A"/>
    <w:rsid w:val="00FA4FDD"/>
    <w:rsid w:val="00FA51E5"/>
    <w:rsid w:val="00FA5376"/>
    <w:rsid w:val="00FA5384"/>
    <w:rsid w:val="00FA53C9"/>
    <w:rsid w:val="00FA54F2"/>
    <w:rsid w:val="00FA5574"/>
    <w:rsid w:val="00FA562A"/>
    <w:rsid w:val="00FA57C6"/>
    <w:rsid w:val="00FA58A9"/>
    <w:rsid w:val="00FA592B"/>
    <w:rsid w:val="00FA5B32"/>
    <w:rsid w:val="00FA5C72"/>
    <w:rsid w:val="00FA5FB7"/>
    <w:rsid w:val="00FA6323"/>
    <w:rsid w:val="00FA644E"/>
    <w:rsid w:val="00FA64E9"/>
    <w:rsid w:val="00FA65AF"/>
    <w:rsid w:val="00FA66E4"/>
    <w:rsid w:val="00FA6911"/>
    <w:rsid w:val="00FA6C50"/>
    <w:rsid w:val="00FA708C"/>
    <w:rsid w:val="00FA7149"/>
    <w:rsid w:val="00FA7202"/>
    <w:rsid w:val="00FA737D"/>
    <w:rsid w:val="00FA740F"/>
    <w:rsid w:val="00FA75F2"/>
    <w:rsid w:val="00FA78C8"/>
    <w:rsid w:val="00FA7C3C"/>
    <w:rsid w:val="00FA7EEE"/>
    <w:rsid w:val="00FA7F4F"/>
    <w:rsid w:val="00FA7FDD"/>
    <w:rsid w:val="00FB05C0"/>
    <w:rsid w:val="00FB0742"/>
    <w:rsid w:val="00FB0A2E"/>
    <w:rsid w:val="00FB0B0D"/>
    <w:rsid w:val="00FB0B13"/>
    <w:rsid w:val="00FB0F0F"/>
    <w:rsid w:val="00FB1280"/>
    <w:rsid w:val="00FB1342"/>
    <w:rsid w:val="00FB13EE"/>
    <w:rsid w:val="00FB14CA"/>
    <w:rsid w:val="00FB188F"/>
    <w:rsid w:val="00FB1A02"/>
    <w:rsid w:val="00FB1A92"/>
    <w:rsid w:val="00FB1DCC"/>
    <w:rsid w:val="00FB1EFB"/>
    <w:rsid w:val="00FB20E9"/>
    <w:rsid w:val="00FB226E"/>
    <w:rsid w:val="00FB240F"/>
    <w:rsid w:val="00FB244A"/>
    <w:rsid w:val="00FB24AE"/>
    <w:rsid w:val="00FB24C1"/>
    <w:rsid w:val="00FB2585"/>
    <w:rsid w:val="00FB2774"/>
    <w:rsid w:val="00FB28B6"/>
    <w:rsid w:val="00FB29D5"/>
    <w:rsid w:val="00FB2F80"/>
    <w:rsid w:val="00FB316F"/>
    <w:rsid w:val="00FB355F"/>
    <w:rsid w:val="00FB359A"/>
    <w:rsid w:val="00FB3601"/>
    <w:rsid w:val="00FB3845"/>
    <w:rsid w:val="00FB3989"/>
    <w:rsid w:val="00FB399C"/>
    <w:rsid w:val="00FB3AF3"/>
    <w:rsid w:val="00FB3BE5"/>
    <w:rsid w:val="00FB3C35"/>
    <w:rsid w:val="00FB3FDE"/>
    <w:rsid w:val="00FB4267"/>
    <w:rsid w:val="00FB4395"/>
    <w:rsid w:val="00FB43F4"/>
    <w:rsid w:val="00FB4608"/>
    <w:rsid w:val="00FB4654"/>
    <w:rsid w:val="00FB468F"/>
    <w:rsid w:val="00FB4782"/>
    <w:rsid w:val="00FB4915"/>
    <w:rsid w:val="00FB4B84"/>
    <w:rsid w:val="00FB4D60"/>
    <w:rsid w:val="00FB5055"/>
    <w:rsid w:val="00FB5135"/>
    <w:rsid w:val="00FB53F1"/>
    <w:rsid w:val="00FB54A9"/>
    <w:rsid w:val="00FB56BD"/>
    <w:rsid w:val="00FB572E"/>
    <w:rsid w:val="00FB5A5C"/>
    <w:rsid w:val="00FB5CE4"/>
    <w:rsid w:val="00FB60C2"/>
    <w:rsid w:val="00FB613E"/>
    <w:rsid w:val="00FB61DF"/>
    <w:rsid w:val="00FB630F"/>
    <w:rsid w:val="00FB6344"/>
    <w:rsid w:val="00FB6744"/>
    <w:rsid w:val="00FB6844"/>
    <w:rsid w:val="00FB6D73"/>
    <w:rsid w:val="00FB6E57"/>
    <w:rsid w:val="00FB70BF"/>
    <w:rsid w:val="00FB7150"/>
    <w:rsid w:val="00FB7229"/>
    <w:rsid w:val="00FB7245"/>
    <w:rsid w:val="00FB72AF"/>
    <w:rsid w:val="00FB7346"/>
    <w:rsid w:val="00FB73B5"/>
    <w:rsid w:val="00FB7485"/>
    <w:rsid w:val="00FB7A6F"/>
    <w:rsid w:val="00FB7AEA"/>
    <w:rsid w:val="00FB7B12"/>
    <w:rsid w:val="00FB7FF0"/>
    <w:rsid w:val="00FC01BC"/>
    <w:rsid w:val="00FC0250"/>
    <w:rsid w:val="00FC0345"/>
    <w:rsid w:val="00FC0380"/>
    <w:rsid w:val="00FC040C"/>
    <w:rsid w:val="00FC07A1"/>
    <w:rsid w:val="00FC09A1"/>
    <w:rsid w:val="00FC0C57"/>
    <w:rsid w:val="00FC0E3B"/>
    <w:rsid w:val="00FC0EB6"/>
    <w:rsid w:val="00FC1117"/>
    <w:rsid w:val="00FC1475"/>
    <w:rsid w:val="00FC152A"/>
    <w:rsid w:val="00FC1672"/>
    <w:rsid w:val="00FC17B0"/>
    <w:rsid w:val="00FC1926"/>
    <w:rsid w:val="00FC1AA9"/>
    <w:rsid w:val="00FC1E6B"/>
    <w:rsid w:val="00FC1F6C"/>
    <w:rsid w:val="00FC22D6"/>
    <w:rsid w:val="00FC27E1"/>
    <w:rsid w:val="00FC29DC"/>
    <w:rsid w:val="00FC2ADA"/>
    <w:rsid w:val="00FC2C19"/>
    <w:rsid w:val="00FC2DA2"/>
    <w:rsid w:val="00FC2F7E"/>
    <w:rsid w:val="00FC302F"/>
    <w:rsid w:val="00FC309E"/>
    <w:rsid w:val="00FC30FB"/>
    <w:rsid w:val="00FC3247"/>
    <w:rsid w:val="00FC3248"/>
    <w:rsid w:val="00FC34B9"/>
    <w:rsid w:val="00FC36FE"/>
    <w:rsid w:val="00FC3888"/>
    <w:rsid w:val="00FC3AEF"/>
    <w:rsid w:val="00FC3C25"/>
    <w:rsid w:val="00FC3E62"/>
    <w:rsid w:val="00FC3E91"/>
    <w:rsid w:val="00FC3FA1"/>
    <w:rsid w:val="00FC4004"/>
    <w:rsid w:val="00FC400C"/>
    <w:rsid w:val="00FC4055"/>
    <w:rsid w:val="00FC411A"/>
    <w:rsid w:val="00FC42FF"/>
    <w:rsid w:val="00FC43B2"/>
    <w:rsid w:val="00FC43E8"/>
    <w:rsid w:val="00FC4619"/>
    <w:rsid w:val="00FC47EA"/>
    <w:rsid w:val="00FC47EF"/>
    <w:rsid w:val="00FC48D7"/>
    <w:rsid w:val="00FC52D9"/>
    <w:rsid w:val="00FC53F4"/>
    <w:rsid w:val="00FC5557"/>
    <w:rsid w:val="00FC5916"/>
    <w:rsid w:val="00FC5980"/>
    <w:rsid w:val="00FC5A24"/>
    <w:rsid w:val="00FC5C56"/>
    <w:rsid w:val="00FC5C69"/>
    <w:rsid w:val="00FC5DC1"/>
    <w:rsid w:val="00FC5DD3"/>
    <w:rsid w:val="00FC5E6B"/>
    <w:rsid w:val="00FC5F99"/>
    <w:rsid w:val="00FC61CE"/>
    <w:rsid w:val="00FC627F"/>
    <w:rsid w:val="00FC633D"/>
    <w:rsid w:val="00FC6403"/>
    <w:rsid w:val="00FC6651"/>
    <w:rsid w:val="00FC6ABA"/>
    <w:rsid w:val="00FC6DD5"/>
    <w:rsid w:val="00FC6DF6"/>
    <w:rsid w:val="00FC6E69"/>
    <w:rsid w:val="00FC6F55"/>
    <w:rsid w:val="00FC7010"/>
    <w:rsid w:val="00FC7195"/>
    <w:rsid w:val="00FC71C7"/>
    <w:rsid w:val="00FC765C"/>
    <w:rsid w:val="00FC76CB"/>
    <w:rsid w:val="00FC77D0"/>
    <w:rsid w:val="00FC79EB"/>
    <w:rsid w:val="00FC7EF5"/>
    <w:rsid w:val="00FC7F3B"/>
    <w:rsid w:val="00FD038A"/>
    <w:rsid w:val="00FD04F4"/>
    <w:rsid w:val="00FD06ED"/>
    <w:rsid w:val="00FD07B4"/>
    <w:rsid w:val="00FD0895"/>
    <w:rsid w:val="00FD08D6"/>
    <w:rsid w:val="00FD08F4"/>
    <w:rsid w:val="00FD08FE"/>
    <w:rsid w:val="00FD0B1B"/>
    <w:rsid w:val="00FD0D26"/>
    <w:rsid w:val="00FD0E87"/>
    <w:rsid w:val="00FD0F0A"/>
    <w:rsid w:val="00FD0F9C"/>
    <w:rsid w:val="00FD1119"/>
    <w:rsid w:val="00FD1180"/>
    <w:rsid w:val="00FD120D"/>
    <w:rsid w:val="00FD1237"/>
    <w:rsid w:val="00FD131F"/>
    <w:rsid w:val="00FD1392"/>
    <w:rsid w:val="00FD1664"/>
    <w:rsid w:val="00FD17AE"/>
    <w:rsid w:val="00FD1861"/>
    <w:rsid w:val="00FD194A"/>
    <w:rsid w:val="00FD1A38"/>
    <w:rsid w:val="00FD1D55"/>
    <w:rsid w:val="00FD2178"/>
    <w:rsid w:val="00FD2688"/>
    <w:rsid w:val="00FD26D8"/>
    <w:rsid w:val="00FD26DB"/>
    <w:rsid w:val="00FD275A"/>
    <w:rsid w:val="00FD28AB"/>
    <w:rsid w:val="00FD28DA"/>
    <w:rsid w:val="00FD2964"/>
    <w:rsid w:val="00FD29EB"/>
    <w:rsid w:val="00FD2A87"/>
    <w:rsid w:val="00FD2AF3"/>
    <w:rsid w:val="00FD2B1E"/>
    <w:rsid w:val="00FD2E90"/>
    <w:rsid w:val="00FD2FD7"/>
    <w:rsid w:val="00FD3096"/>
    <w:rsid w:val="00FD3424"/>
    <w:rsid w:val="00FD3482"/>
    <w:rsid w:val="00FD34A9"/>
    <w:rsid w:val="00FD3783"/>
    <w:rsid w:val="00FD3A6A"/>
    <w:rsid w:val="00FD3B92"/>
    <w:rsid w:val="00FD3BC6"/>
    <w:rsid w:val="00FD3C0A"/>
    <w:rsid w:val="00FD3C17"/>
    <w:rsid w:val="00FD3C29"/>
    <w:rsid w:val="00FD3C81"/>
    <w:rsid w:val="00FD3CCB"/>
    <w:rsid w:val="00FD3CFD"/>
    <w:rsid w:val="00FD45A6"/>
    <w:rsid w:val="00FD4ADA"/>
    <w:rsid w:val="00FD4B59"/>
    <w:rsid w:val="00FD4DAE"/>
    <w:rsid w:val="00FD4F8B"/>
    <w:rsid w:val="00FD50E5"/>
    <w:rsid w:val="00FD515F"/>
    <w:rsid w:val="00FD542A"/>
    <w:rsid w:val="00FD5501"/>
    <w:rsid w:val="00FD5504"/>
    <w:rsid w:val="00FD5511"/>
    <w:rsid w:val="00FD55EB"/>
    <w:rsid w:val="00FD56CF"/>
    <w:rsid w:val="00FD56DE"/>
    <w:rsid w:val="00FD576B"/>
    <w:rsid w:val="00FD584D"/>
    <w:rsid w:val="00FD58A1"/>
    <w:rsid w:val="00FD5903"/>
    <w:rsid w:val="00FD5BEB"/>
    <w:rsid w:val="00FD5F30"/>
    <w:rsid w:val="00FD6367"/>
    <w:rsid w:val="00FD65EA"/>
    <w:rsid w:val="00FD66CB"/>
    <w:rsid w:val="00FD6806"/>
    <w:rsid w:val="00FD68B2"/>
    <w:rsid w:val="00FD6AD9"/>
    <w:rsid w:val="00FD6C5A"/>
    <w:rsid w:val="00FD6C9E"/>
    <w:rsid w:val="00FD6E3A"/>
    <w:rsid w:val="00FD6E90"/>
    <w:rsid w:val="00FD74E8"/>
    <w:rsid w:val="00FD76A2"/>
    <w:rsid w:val="00FD77FC"/>
    <w:rsid w:val="00FD783B"/>
    <w:rsid w:val="00FD78C5"/>
    <w:rsid w:val="00FD78FF"/>
    <w:rsid w:val="00FD7F14"/>
    <w:rsid w:val="00FE0065"/>
    <w:rsid w:val="00FE0278"/>
    <w:rsid w:val="00FE0343"/>
    <w:rsid w:val="00FE0689"/>
    <w:rsid w:val="00FE087B"/>
    <w:rsid w:val="00FE087C"/>
    <w:rsid w:val="00FE09AE"/>
    <w:rsid w:val="00FE09C8"/>
    <w:rsid w:val="00FE0DDE"/>
    <w:rsid w:val="00FE10CF"/>
    <w:rsid w:val="00FE128F"/>
    <w:rsid w:val="00FE16E0"/>
    <w:rsid w:val="00FE19C5"/>
    <w:rsid w:val="00FE1B15"/>
    <w:rsid w:val="00FE1C41"/>
    <w:rsid w:val="00FE1CFF"/>
    <w:rsid w:val="00FE1D43"/>
    <w:rsid w:val="00FE1FB0"/>
    <w:rsid w:val="00FE20BC"/>
    <w:rsid w:val="00FE2403"/>
    <w:rsid w:val="00FE2534"/>
    <w:rsid w:val="00FE2575"/>
    <w:rsid w:val="00FE2766"/>
    <w:rsid w:val="00FE2839"/>
    <w:rsid w:val="00FE2BE7"/>
    <w:rsid w:val="00FE30B3"/>
    <w:rsid w:val="00FE318A"/>
    <w:rsid w:val="00FE327D"/>
    <w:rsid w:val="00FE33C6"/>
    <w:rsid w:val="00FE3835"/>
    <w:rsid w:val="00FE384F"/>
    <w:rsid w:val="00FE3903"/>
    <w:rsid w:val="00FE3B01"/>
    <w:rsid w:val="00FE3C0D"/>
    <w:rsid w:val="00FE3D37"/>
    <w:rsid w:val="00FE3D45"/>
    <w:rsid w:val="00FE3EBD"/>
    <w:rsid w:val="00FE3F92"/>
    <w:rsid w:val="00FE3F99"/>
    <w:rsid w:val="00FE4111"/>
    <w:rsid w:val="00FE41A2"/>
    <w:rsid w:val="00FE46E1"/>
    <w:rsid w:val="00FE474B"/>
    <w:rsid w:val="00FE4777"/>
    <w:rsid w:val="00FE47B5"/>
    <w:rsid w:val="00FE48AD"/>
    <w:rsid w:val="00FE4E9B"/>
    <w:rsid w:val="00FE50DD"/>
    <w:rsid w:val="00FE5224"/>
    <w:rsid w:val="00FE525A"/>
    <w:rsid w:val="00FE5333"/>
    <w:rsid w:val="00FE55D0"/>
    <w:rsid w:val="00FE562B"/>
    <w:rsid w:val="00FE5681"/>
    <w:rsid w:val="00FE56DF"/>
    <w:rsid w:val="00FE56E1"/>
    <w:rsid w:val="00FE57AC"/>
    <w:rsid w:val="00FE5A69"/>
    <w:rsid w:val="00FE5B1A"/>
    <w:rsid w:val="00FE5B50"/>
    <w:rsid w:val="00FE5B7A"/>
    <w:rsid w:val="00FE5BFF"/>
    <w:rsid w:val="00FE62C6"/>
    <w:rsid w:val="00FE6358"/>
    <w:rsid w:val="00FE649C"/>
    <w:rsid w:val="00FE6741"/>
    <w:rsid w:val="00FE6D12"/>
    <w:rsid w:val="00FE6E15"/>
    <w:rsid w:val="00FE6E5B"/>
    <w:rsid w:val="00FE7570"/>
    <w:rsid w:val="00FE75CA"/>
    <w:rsid w:val="00FE7668"/>
    <w:rsid w:val="00FE77D5"/>
    <w:rsid w:val="00FE77E9"/>
    <w:rsid w:val="00FE791E"/>
    <w:rsid w:val="00FE7BC7"/>
    <w:rsid w:val="00FE7C58"/>
    <w:rsid w:val="00FE7DDE"/>
    <w:rsid w:val="00FE7F9A"/>
    <w:rsid w:val="00FF00F9"/>
    <w:rsid w:val="00FF0231"/>
    <w:rsid w:val="00FF0236"/>
    <w:rsid w:val="00FF02EF"/>
    <w:rsid w:val="00FF036C"/>
    <w:rsid w:val="00FF0430"/>
    <w:rsid w:val="00FF04F6"/>
    <w:rsid w:val="00FF08EE"/>
    <w:rsid w:val="00FF08F5"/>
    <w:rsid w:val="00FF09CB"/>
    <w:rsid w:val="00FF0C89"/>
    <w:rsid w:val="00FF0EE8"/>
    <w:rsid w:val="00FF126F"/>
    <w:rsid w:val="00FF129F"/>
    <w:rsid w:val="00FF156C"/>
    <w:rsid w:val="00FF17C8"/>
    <w:rsid w:val="00FF1A95"/>
    <w:rsid w:val="00FF1AAE"/>
    <w:rsid w:val="00FF1AFB"/>
    <w:rsid w:val="00FF1EDA"/>
    <w:rsid w:val="00FF1FCD"/>
    <w:rsid w:val="00FF1FF0"/>
    <w:rsid w:val="00FF20A9"/>
    <w:rsid w:val="00FF2803"/>
    <w:rsid w:val="00FF292D"/>
    <w:rsid w:val="00FF2C31"/>
    <w:rsid w:val="00FF2DB0"/>
    <w:rsid w:val="00FF2E11"/>
    <w:rsid w:val="00FF2E43"/>
    <w:rsid w:val="00FF2F8B"/>
    <w:rsid w:val="00FF3332"/>
    <w:rsid w:val="00FF3380"/>
    <w:rsid w:val="00FF33D3"/>
    <w:rsid w:val="00FF3437"/>
    <w:rsid w:val="00FF3505"/>
    <w:rsid w:val="00FF399D"/>
    <w:rsid w:val="00FF3BEB"/>
    <w:rsid w:val="00FF3D6F"/>
    <w:rsid w:val="00FF3DD8"/>
    <w:rsid w:val="00FF3E4C"/>
    <w:rsid w:val="00FF3EB2"/>
    <w:rsid w:val="00FF3FE8"/>
    <w:rsid w:val="00FF4011"/>
    <w:rsid w:val="00FF40CD"/>
    <w:rsid w:val="00FF4246"/>
    <w:rsid w:val="00FF42F4"/>
    <w:rsid w:val="00FF4392"/>
    <w:rsid w:val="00FF43A4"/>
    <w:rsid w:val="00FF47C4"/>
    <w:rsid w:val="00FF481F"/>
    <w:rsid w:val="00FF4847"/>
    <w:rsid w:val="00FF48CB"/>
    <w:rsid w:val="00FF493A"/>
    <w:rsid w:val="00FF494B"/>
    <w:rsid w:val="00FF4987"/>
    <w:rsid w:val="00FF4AEA"/>
    <w:rsid w:val="00FF4C3A"/>
    <w:rsid w:val="00FF4EF0"/>
    <w:rsid w:val="00FF5047"/>
    <w:rsid w:val="00FF53DC"/>
    <w:rsid w:val="00FF5624"/>
    <w:rsid w:val="00FF5692"/>
    <w:rsid w:val="00FF5772"/>
    <w:rsid w:val="00FF598F"/>
    <w:rsid w:val="00FF5E90"/>
    <w:rsid w:val="00FF608E"/>
    <w:rsid w:val="00FF6133"/>
    <w:rsid w:val="00FF6148"/>
    <w:rsid w:val="00FF615E"/>
    <w:rsid w:val="00FF673F"/>
    <w:rsid w:val="00FF6993"/>
    <w:rsid w:val="00FF6A8A"/>
    <w:rsid w:val="00FF6B56"/>
    <w:rsid w:val="00FF6C63"/>
    <w:rsid w:val="00FF6D96"/>
    <w:rsid w:val="00FF6DC4"/>
    <w:rsid w:val="00FF70B3"/>
    <w:rsid w:val="00FF719B"/>
    <w:rsid w:val="00FF7666"/>
    <w:rsid w:val="00FF78F0"/>
    <w:rsid w:val="00FF79A3"/>
    <w:rsid w:val="00FF7E64"/>
    <w:rsid w:val="00FF7E74"/>
    <w:rsid w:val="00FF7ED8"/>
    <w:rsid w:val="0103D29D"/>
    <w:rsid w:val="01065638"/>
    <w:rsid w:val="010671D2"/>
    <w:rsid w:val="010EF410"/>
    <w:rsid w:val="01127851"/>
    <w:rsid w:val="01195163"/>
    <w:rsid w:val="01195CE5"/>
    <w:rsid w:val="011D10E5"/>
    <w:rsid w:val="0125FD79"/>
    <w:rsid w:val="012BEA7E"/>
    <w:rsid w:val="01342E4D"/>
    <w:rsid w:val="013AE652"/>
    <w:rsid w:val="01427E2F"/>
    <w:rsid w:val="014350AF"/>
    <w:rsid w:val="01483C05"/>
    <w:rsid w:val="014C240E"/>
    <w:rsid w:val="014D08C8"/>
    <w:rsid w:val="014D8CFE"/>
    <w:rsid w:val="014E52B9"/>
    <w:rsid w:val="01504AA8"/>
    <w:rsid w:val="015203FC"/>
    <w:rsid w:val="0155E74A"/>
    <w:rsid w:val="015774D1"/>
    <w:rsid w:val="015A008F"/>
    <w:rsid w:val="01720620"/>
    <w:rsid w:val="017AAA8B"/>
    <w:rsid w:val="017C2026"/>
    <w:rsid w:val="0180FC54"/>
    <w:rsid w:val="01827D71"/>
    <w:rsid w:val="01845B92"/>
    <w:rsid w:val="018A8A8C"/>
    <w:rsid w:val="018DF656"/>
    <w:rsid w:val="01991694"/>
    <w:rsid w:val="019DE80E"/>
    <w:rsid w:val="019F7D0B"/>
    <w:rsid w:val="01A33AAD"/>
    <w:rsid w:val="01A36337"/>
    <w:rsid w:val="01A9155F"/>
    <w:rsid w:val="01AD1B73"/>
    <w:rsid w:val="01B383E9"/>
    <w:rsid w:val="01B78EF4"/>
    <w:rsid w:val="01C345EC"/>
    <w:rsid w:val="01C6DF44"/>
    <w:rsid w:val="01CBBF87"/>
    <w:rsid w:val="01CDD5D8"/>
    <w:rsid w:val="01D09DC3"/>
    <w:rsid w:val="01D37F1F"/>
    <w:rsid w:val="01D6BB88"/>
    <w:rsid w:val="01E1976B"/>
    <w:rsid w:val="01E864BE"/>
    <w:rsid w:val="01EBA5C8"/>
    <w:rsid w:val="01F10D21"/>
    <w:rsid w:val="01F5E0EF"/>
    <w:rsid w:val="01F91202"/>
    <w:rsid w:val="01FB4EF0"/>
    <w:rsid w:val="01FCC1FA"/>
    <w:rsid w:val="01FEE93C"/>
    <w:rsid w:val="01FF4C8F"/>
    <w:rsid w:val="020077A4"/>
    <w:rsid w:val="020401CF"/>
    <w:rsid w:val="0211A5DB"/>
    <w:rsid w:val="021B99C0"/>
    <w:rsid w:val="02220E90"/>
    <w:rsid w:val="0223A024"/>
    <w:rsid w:val="022FAECE"/>
    <w:rsid w:val="0230A3DC"/>
    <w:rsid w:val="0234F688"/>
    <w:rsid w:val="02362135"/>
    <w:rsid w:val="023A8245"/>
    <w:rsid w:val="02427BE9"/>
    <w:rsid w:val="02468B13"/>
    <w:rsid w:val="024F43C8"/>
    <w:rsid w:val="025287DF"/>
    <w:rsid w:val="0257E540"/>
    <w:rsid w:val="0259BF35"/>
    <w:rsid w:val="0266ED62"/>
    <w:rsid w:val="026ABDA5"/>
    <w:rsid w:val="026ADCB8"/>
    <w:rsid w:val="026AF35C"/>
    <w:rsid w:val="026CC990"/>
    <w:rsid w:val="026DB55C"/>
    <w:rsid w:val="026E5862"/>
    <w:rsid w:val="026FC314"/>
    <w:rsid w:val="02750C9D"/>
    <w:rsid w:val="0276632F"/>
    <w:rsid w:val="0277D775"/>
    <w:rsid w:val="0279DA80"/>
    <w:rsid w:val="027CE82E"/>
    <w:rsid w:val="0280245A"/>
    <w:rsid w:val="02891186"/>
    <w:rsid w:val="029C3710"/>
    <w:rsid w:val="029F37FF"/>
    <w:rsid w:val="029F6982"/>
    <w:rsid w:val="02A436FD"/>
    <w:rsid w:val="02AB3EA4"/>
    <w:rsid w:val="02B60F08"/>
    <w:rsid w:val="02B9439E"/>
    <w:rsid w:val="02BC328B"/>
    <w:rsid w:val="02BE6390"/>
    <w:rsid w:val="02CB5098"/>
    <w:rsid w:val="02D935B6"/>
    <w:rsid w:val="02DE02E8"/>
    <w:rsid w:val="02E3E377"/>
    <w:rsid w:val="02E7C3D9"/>
    <w:rsid w:val="02F46E2F"/>
    <w:rsid w:val="02F5F8DF"/>
    <w:rsid w:val="02F9AFFA"/>
    <w:rsid w:val="02FC76AA"/>
    <w:rsid w:val="030CA629"/>
    <w:rsid w:val="030CE5DB"/>
    <w:rsid w:val="030DC2DA"/>
    <w:rsid w:val="030E3434"/>
    <w:rsid w:val="0312AB57"/>
    <w:rsid w:val="03285085"/>
    <w:rsid w:val="032D23E0"/>
    <w:rsid w:val="0333BCE6"/>
    <w:rsid w:val="033CFD5A"/>
    <w:rsid w:val="0344BCC4"/>
    <w:rsid w:val="0348CE18"/>
    <w:rsid w:val="03503D13"/>
    <w:rsid w:val="035602E5"/>
    <w:rsid w:val="03670E10"/>
    <w:rsid w:val="036AE6CB"/>
    <w:rsid w:val="036B2B19"/>
    <w:rsid w:val="0370CF46"/>
    <w:rsid w:val="037802BD"/>
    <w:rsid w:val="037DDDEA"/>
    <w:rsid w:val="03832A34"/>
    <w:rsid w:val="0383FA44"/>
    <w:rsid w:val="039758E0"/>
    <w:rsid w:val="0398E64B"/>
    <w:rsid w:val="03A206DF"/>
    <w:rsid w:val="03A2558A"/>
    <w:rsid w:val="03A4C15A"/>
    <w:rsid w:val="03A57FAD"/>
    <w:rsid w:val="03A6276F"/>
    <w:rsid w:val="03AAE9A5"/>
    <w:rsid w:val="03AEE272"/>
    <w:rsid w:val="03AF2916"/>
    <w:rsid w:val="03B0B9D1"/>
    <w:rsid w:val="03B136CD"/>
    <w:rsid w:val="03B3AF7C"/>
    <w:rsid w:val="03BE9D2B"/>
    <w:rsid w:val="03C2CDFF"/>
    <w:rsid w:val="03C43C3D"/>
    <w:rsid w:val="03C662A4"/>
    <w:rsid w:val="03CA16A1"/>
    <w:rsid w:val="03D47CFD"/>
    <w:rsid w:val="03D5A7CA"/>
    <w:rsid w:val="03D6062F"/>
    <w:rsid w:val="03DB328A"/>
    <w:rsid w:val="03DCD4A1"/>
    <w:rsid w:val="03DD6E5D"/>
    <w:rsid w:val="03E44B8C"/>
    <w:rsid w:val="03E769A4"/>
    <w:rsid w:val="03E93DD7"/>
    <w:rsid w:val="03F02340"/>
    <w:rsid w:val="03F0B863"/>
    <w:rsid w:val="03F4432B"/>
    <w:rsid w:val="03F768EE"/>
    <w:rsid w:val="040439BE"/>
    <w:rsid w:val="04063B6C"/>
    <w:rsid w:val="040C0CEC"/>
    <w:rsid w:val="040C7874"/>
    <w:rsid w:val="041227F6"/>
    <w:rsid w:val="0417F57B"/>
    <w:rsid w:val="0419D97D"/>
    <w:rsid w:val="041C36A6"/>
    <w:rsid w:val="041D5E52"/>
    <w:rsid w:val="04261583"/>
    <w:rsid w:val="042BA07D"/>
    <w:rsid w:val="0436F0EF"/>
    <w:rsid w:val="043F2306"/>
    <w:rsid w:val="0442B078"/>
    <w:rsid w:val="044905CC"/>
    <w:rsid w:val="044D6F79"/>
    <w:rsid w:val="044F4B93"/>
    <w:rsid w:val="04539DE9"/>
    <w:rsid w:val="0453DC0F"/>
    <w:rsid w:val="04544791"/>
    <w:rsid w:val="0457771D"/>
    <w:rsid w:val="045D3F70"/>
    <w:rsid w:val="046882A8"/>
    <w:rsid w:val="046D1FBE"/>
    <w:rsid w:val="0471EF9C"/>
    <w:rsid w:val="0472F24C"/>
    <w:rsid w:val="047638F6"/>
    <w:rsid w:val="047BA0C6"/>
    <w:rsid w:val="04832D15"/>
    <w:rsid w:val="04850DEE"/>
    <w:rsid w:val="0485E54F"/>
    <w:rsid w:val="048ADB33"/>
    <w:rsid w:val="048D06B7"/>
    <w:rsid w:val="0490B691"/>
    <w:rsid w:val="0491F23E"/>
    <w:rsid w:val="04953FE0"/>
    <w:rsid w:val="0495802A"/>
    <w:rsid w:val="04961961"/>
    <w:rsid w:val="049D4F5C"/>
    <w:rsid w:val="04A148F4"/>
    <w:rsid w:val="04A263E7"/>
    <w:rsid w:val="04A2FC5B"/>
    <w:rsid w:val="04A33322"/>
    <w:rsid w:val="04A43E1F"/>
    <w:rsid w:val="04A4FCC3"/>
    <w:rsid w:val="04AA1EE5"/>
    <w:rsid w:val="04AF0A84"/>
    <w:rsid w:val="04B2C95A"/>
    <w:rsid w:val="04BCE36E"/>
    <w:rsid w:val="04BDB829"/>
    <w:rsid w:val="04C4CE63"/>
    <w:rsid w:val="04C4CFF9"/>
    <w:rsid w:val="04CAC1C7"/>
    <w:rsid w:val="04CD0CC9"/>
    <w:rsid w:val="04D053EC"/>
    <w:rsid w:val="04D64835"/>
    <w:rsid w:val="04D86CCD"/>
    <w:rsid w:val="04DC311B"/>
    <w:rsid w:val="04E009B5"/>
    <w:rsid w:val="04E99A81"/>
    <w:rsid w:val="04E9B83A"/>
    <w:rsid w:val="04EC1B87"/>
    <w:rsid w:val="04EEA810"/>
    <w:rsid w:val="04FF45AB"/>
    <w:rsid w:val="05025727"/>
    <w:rsid w:val="0503655E"/>
    <w:rsid w:val="0504FAED"/>
    <w:rsid w:val="0514F78B"/>
    <w:rsid w:val="0516CE99"/>
    <w:rsid w:val="0517E049"/>
    <w:rsid w:val="0519D0CA"/>
    <w:rsid w:val="0521816C"/>
    <w:rsid w:val="05251F37"/>
    <w:rsid w:val="052796F9"/>
    <w:rsid w:val="0534721D"/>
    <w:rsid w:val="053E04FE"/>
    <w:rsid w:val="0542F6C6"/>
    <w:rsid w:val="0545013D"/>
    <w:rsid w:val="05510917"/>
    <w:rsid w:val="0558329E"/>
    <w:rsid w:val="055992C5"/>
    <w:rsid w:val="055A120C"/>
    <w:rsid w:val="055EC4E2"/>
    <w:rsid w:val="0568CC21"/>
    <w:rsid w:val="056C390F"/>
    <w:rsid w:val="056F0471"/>
    <w:rsid w:val="056F7C5F"/>
    <w:rsid w:val="0570A558"/>
    <w:rsid w:val="0570C224"/>
    <w:rsid w:val="05722995"/>
    <w:rsid w:val="057344AA"/>
    <w:rsid w:val="05750774"/>
    <w:rsid w:val="0578A596"/>
    <w:rsid w:val="057C4ED1"/>
    <w:rsid w:val="057D1717"/>
    <w:rsid w:val="0583B23B"/>
    <w:rsid w:val="0589A48E"/>
    <w:rsid w:val="058B1630"/>
    <w:rsid w:val="058D832F"/>
    <w:rsid w:val="058FC1D6"/>
    <w:rsid w:val="05916279"/>
    <w:rsid w:val="0592B480"/>
    <w:rsid w:val="059468E1"/>
    <w:rsid w:val="059A7FF9"/>
    <w:rsid w:val="059AC111"/>
    <w:rsid w:val="059D4D53"/>
    <w:rsid w:val="059F5B95"/>
    <w:rsid w:val="05A17042"/>
    <w:rsid w:val="05A3670B"/>
    <w:rsid w:val="05A6668E"/>
    <w:rsid w:val="05A66A56"/>
    <w:rsid w:val="05A6ED3B"/>
    <w:rsid w:val="05A9F3E8"/>
    <w:rsid w:val="05ACE6B9"/>
    <w:rsid w:val="05AD0219"/>
    <w:rsid w:val="05AF1390"/>
    <w:rsid w:val="05AFAC72"/>
    <w:rsid w:val="05B0BAD9"/>
    <w:rsid w:val="05B32EC3"/>
    <w:rsid w:val="05BB94F4"/>
    <w:rsid w:val="05BBFD33"/>
    <w:rsid w:val="05BE7860"/>
    <w:rsid w:val="05C7222D"/>
    <w:rsid w:val="05CF0973"/>
    <w:rsid w:val="05CFD641"/>
    <w:rsid w:val="05D52374"/>
    <w:rsid w:val="05D82568"/>
    <w:rsid w:val="05D8C613"/>
    <w:rsid w:val="05D9CFCC"/>
    <w:rsid w:val="05DAA251"/>
    <w:rsid w:val="05DB49B2"/>
    <w:rsid w:val="05DC28AE"/>
    <w:rsid w:val="05E5A995"/>
    <w:rsid w:val="05E80D8B"/>
    <w:rsid w:val="05EB2CDE"/>
    <w:rsid w:val="05EEE10C"/>
    <w:rsid w:val="05EF9090"/>
    <w:rsid w:val="05FE00ED"/>
    <w:rsid w:val="060112DE"/>
    <w:rsid w:val="0602A586"/>
    <w:rsid w:val="060BD26D"/>
    <w:rsid w:val="060D98DD"/>
    <w:rsid w:val="060EB139"/>
    <w:rsid w:val="060F5BD3"/>
    <w:rsid w:val="06118951"/>
    <w:rsid w:val="061D5D01"/>
    <w:rsid w:val="061F20E1"/>
    <w:rsid w:val="0624CD7F"/>
    <w:rsid w:val="0625092B"/>
    <w:rsid w:val="0628EB46"/>
    <w:rsid w:val="06336558"/>
    <w:rsid w:val="06338A65"/>
    <w:rsid w:val="0634158F"/>
    <w:rsid w:val="0634D1ED"/>
    <w:rsid w:val="0640E1E0"/>
    <w:rsid w:val="06430F15"/>
    <w:rsid w:val="0658C5DF"/>
    <w:rsid w:val="06625AB8"/>
    <w:rsid w:val="0664897A"/>
    <w:rsid w:val="06659527"/>
    <w:rsid w:val="06659BD9"/>
    <w:rsid w:val="067B4C9C"/>
    <w:rsid w:val="068C5B36"/>
    <w:rsid w:val="068FD2F4"/>
    <w:rsid w:val="0690269F"/>
    <w:rsid w:val="0690C698"/>
    <w:rsid w:val="0695F578"/>
    <w:rsid w:val="06984553"/>
    <w:rsid w:val="06A58B9C"/>
    <w:rsid w:val="06A7B6DA"/>
    <w:rsid w:val="06A8E715"/>
    <w:rsid w:val="06B89AA0"/>
    <w:rsid w:val="06BBD059"/>
    <w:rsid w:val="06BE7BE0"/>
    <w:rsid w:val="06C0DD51"/>
    <w:rsid w:val="06C3BDB7"/>
    <w:rsid w:val="06C6E104"/>
    <w:rsid w:val="06C8C764"/>
    <w:rsid w:val="06CAD27B"/>
    <w:rsid w:val="06CB225F"/>
    <w:rsid w:val="06CC8405"/>
    <w:rsid w:val="06CE6D50"/>
    <w:rsid w:val="06D3B9E9"/>
    <w:rsid w:val="06DCB56E"/>
    <w:rsid w:val="06E61029"/>
    <w:rsid w:val="06E76CF2"/>
    <w:rsid w:val="06EC2C86"/>
    <w:rsid w:val="06F045E2"/>
    <w:rsid w:val="06FAA36A"/>
    <w:rsid w:val="06FBF3A4"/>
    <w:rsid w:val="06FD1861"/>
    <w:rsid w:val="06FDD62D"/>
    <w:rsid w:val="07083D45"/>
    <w:rsid w:val="070A1FC2"/>
    <w:rsid w:val="070E4901"/>
    <w:rsid w:val="071003D6"/>
    <w:rsid w:val="07108BDC"/>
    <w:rsid w:val="071091F4"/>
    <w:rsid w:val="072905E5"/>
    <w:rsid w:val="072DA101"/>
    <w:rsid w:val="072EEB18"/>
    <w:rsid w:val="072F332C"/>
    <w:rsid w:val="07306AE6"/>
    <w:rsid w:val="07317934"/>
    <w:rsid w:val="0731B886"/>
    <w:rsid w:val="0739F4DF"/>
    <w:rsid w:val="07407D0F"/>
    <w:rsid w:val="074514A0"/>
    <w:rsid w:val="07486446"/>
    <w:rsid w:val="074B7F8B"/>
    <w:rsid w:val="0753F0CB"/>
    <w:rsid w:val="0757689B"/>
    <w:rsid w:val="075847EA"/>
    <w:rsid w:val="0769C8C6"/>
    <w:rsid w:val="076BCA25"/>
    <w:rsid w:val="076C5E08"/>
    <w:rsid w:val="0772AFF9"/>
    <w:rsid w:val="07753AE5"/>
    <w:rsid w:val="077DA4CB"/>
    <w:rsid w:val="0781E2FC"/>
    <w:rsid w:val="07894549"/>
    <w:rsid w:val="078DE91E"/>
    <w:rsid w:val="07927B9A"/>
    <w:rsid w:val="079657C5"/>
    <w:rsid w:val="07969F93"/>
    <w:rsid w:val="0799A3F0"/>
    <w:rsid w:val="079A9CBF"/>
    <w:rsid w:val="079C0AC7"/>
    <w:rsid w:val="07A19C34"/>
    <w:rsid w:val="07A4CEDB"/>
    <w:rsid w:val="07A8AB19"/>
    <w:rsid w:val="07AD20DD"/>
    <w:rsid w:val="07B76CEC"/>
    <w:rsid w:val="07B85167"/>
    <w:rsid w:val="07BEE514"/>
    <w:rsid w:val="07BF0AFB"/>
    <w:rsid w:val="07CCFA29"/>
    <w:rsid w:val="07D2DAAB"/>
    <w:rsid w:val="07D7A155"/>
    <w:rsid w:val="07D7B854"/>
    <w:rsid w:val="07D8CF1A"/>
    <w:rsid w:val="07D8D6BE"/>
    <w:rsid w:val="07DA2D2E"/>
    <w:rsid w:val="07DB68B7"/>
    <w:rsid w:val="07E154A0"/>
    <w:rsid w:val="07E4EE5F"/>
    <w:rsid w:val="07E56C75"/>
    <w:rsid w:val="07E75F94"/>
    <w:rsid w:val="07EA7D0A"/>
    <w:rsid w:val="07EE3E83"/>
    <w:rsid w:val="07EE9D90"/>
    <w:rsid w:val="07F45E1B"/>
    <w:rsid w:val="07F7F2AC"/>
    <w:rsid w:val="08003E8A"/>
    <w:rsid w:val="080B5525"/>
    <w:rsid w:val="080B619E"/>
    <w:rsid w:val="0819B104"/>
    <w:rsid w:val="08203D56"/>
    <w:rsid w:val="0822ACDB"/>
    <w:rsid w:val="082C1944"/>
    <w:rsid w:val="082CC26A"/>
    <w:rsid w:val="082CE7FA"/>
    <w:rsid w:val="0843F9FC"/>
    <w:rsid w:val="08493985"/>
    <w:rsid w:val="084FC457"/>
    <w:rsid w:val="08543A61"/>
    <w:rsid w:val="085599F1"/>
    <w:rsid w:val="0858D3C7"/>
    <w:rsid w:val="0864D8EA"/>
    <w:rsid w:val="087F6597"/>
    <w:rsid w:val="087FD2D4"/>
    <w:rsid w:val="08836F1F"/>
    <w:rsid w:val="088DF37D"/>
    <w:rsid w:val="089002D4"/>
    <w:rsid w:val="089154F9"/>
    <w:rsid w:val="0891E4D6"/>
    <w:rsid w:val="089224ED"/>
    <w:rsid w:val="0894AA5E"/>
    <w:rsid w:val="0897D4DB"/>
    <w:rsid w:val="08A53256"/>
    <w:rsid w:val="08A62CB4"/>
    <w:rsid w:val="08ABA164"/>
    <w:rsid w:val="08B1DE04"/>
    <w:rsid w:val="08B292CD"/>
    <w:rsid w:val="08B33F61"/>
    <w:rsid w:val="08B43F38"/>
    <w:rsid w:val="08B618F0"/>
    <w:rsid w:val="08BA33DB"/>
    <w:rsid w:val="08C920E5"/>
    <w:rsid w:val="08D08CDE"/>
    <w:rsid w:val="08D704F9"/>
    <w:rsid w:val="08E60CFA"/>
    <w:rsid w:val="08E9062F"/>
    <w:rsid w:val="08EE9AAE"/>
    <w:rsid w:val="08EFED86"/>
    <w:rsid w:val="08F10527"/>
    <w:rsid w:val="08F2AEAB"/>
    <w:rsid w:val="08F534F5"/>
    <w:rsid w:val="08F93249"/>
    <w:rsid w:val="08F9BD1E"/>
    <w:rsid w:val="08FAEB11"/>
    <w:rsid w:val="08FD34A9"/>
    <w:rsid w:val="08FEFEDF"/>
    <w:rsid w:val="08FF82D3"/>
    <w:rsid w:val="0900297D"/>
    <w:rsid w:val="090551D0"/>
    <w:rsid w:val="090D1B5C"/>
    <w:rsid w:val="090FCC9E"/>
    <w:rsid w:val="09118D73"/>
    <w:rsid w:val="09157776"/>
    <w:rsid w:val="091C8222"/>
    <w:rsid w:val="091D1EAD"/>
    <w:rsid w:val="092A0790"/>
    <w:rsid w:val="092B809B"/>
    <w:rsid w:val="092CF2F6"/>
    <w:rsid w:val="092D4CF3"/>
    <w:rsid w:val="0930CE14"/>
    <w:rsid w:val="09315D9C"/>
    <w:rsid w:val="0932A4CC"/>
    <w:rsid w:val="0934B9F3"/>
    <w:rsid w:val="0935D4D6"/>
    <w:rsid w:val="0947B5BD"/>
    <w:rsid w:val="094D9448"/>
    <w:rsid w:val="094E60C4"/>
    <w:rsid w:val="094FF30E"/>
    <w:rsid w:val="0951AC56"/>
    <w:rsid w:val="09539276"/>
    <w:rsid w:val="0966F079"/>
    <w:rsid w:val="09680CAB"/>
    <w:rsid w:val="09796CBB"/>
    <w:rsid w:val="097CA5C4"/>
    <w:rsid w:val="097EE9E6"/>
    <w:rsid w:val="09828053"/>
    <w:rsid w:val="098A603E"/>
    <w:rsid w:val="098CA963"/>
    <w:rsid w:val="0994AE9E"/>
    <w:rsid w:val="099A9335"/>
    <w:rsid w:val="09AE59EE"/>
    <w:rsid w:val="09AFE235"/>
    <w:rsid w:val="09B5975E"/>
    <w:rsid w:val="09B9C856"/>
    <w:rsid w:val="09BA9E90"/>
    <w:rsid w:val="09BB646D"/>
    <w:rsid w:val="09C4B45D"/>
    <w:rsid w:val="09CA02AE"/>
    <w:rsid w:val="09CB1592"/>
    <w:rsid w:val="09D4069A"/>
    <w:rsid w:val="09D5330D"/>
    <w:rsid w:val="09E31F71"/>
    <w:rsid w:val="09E33CF2"/>
    <w:rsid w:val="09E5A9B3"/>
    <w:rsid w:val="09E8BBFE"/>
    <w:rsid w:val="09EE4E5E"/>
    <w:rsid w:val="09F64AE8"/>
    <w:rsid w:val="09FA173A"/>
    <w:rsid w:val="09FA6EA0"/>
    <w:rsid w:val="09FC2D97"/>
    <w:rsid w:val="09FF6922"/>
    <w:rsid w:val="0A02ADA9"/>
    <w:rsid w:val="0A043288"/>
    <w:rsid w:val="0A09BFFD"/>
    <w:rsid w:val="0A1103B7"/>
    <w:rsid w:val="0A1F330B"/>
    <w:rsid w:val="0A275580"/>
    <w:rsid w:val="0A290A30"/>
    <w:rsid w:val="0A29D0C7"/>
    <w:rsid w:val="0A2C177D"/>
    <w:rsid w:val="0A2DB2ED"/>
    <w:rsid w:val="0A32A2F6"/>
    <w:rsid w:val="0A362FD5"/>
    <w:rsid w:val="0A3C0BB3"/>
    <w:rsid w:val="0A49E161"/>
    <w:rsid w:val="0A4E5A98"/>
    <w:rsid w:val="0A4F6FC3"/>
    <w:rsid w:val="0A527E73"/>
    <w:rsid w:val="0A563F8A"/>
    <w:rsid w:val="0A5BD187"/>
    <w:rsid w:val="0A5BEB9D"/>
    <w:rsid w:val="0A6299BC"/>
    <w:rsid w:val="0A724FCD"/>
    <w:rsid w:val="0A7B9D66"/>
    <w:rsid w:val="0A8059A4"/>
    <w:rsid w:val="0A88B7A0"/>
    <w:rsid w:val="0A8B7E3C"/>
    <w:rsid w:val="0A91D1F5"/>
    <w:rsid w:val="0A97B848"/>
    <w:rsid w:val="0AA5FB9E"/>
    <w:rsid w:val="0AA8A0B1"/>
    <w:rsid w:val="0AB15027"/>
    <w:rsid w:val="0AB34C82"/>
    <w:rsid w:val="0ABB27C3"/>
    <w:rsid w:val="0AC3B75C"/>
    <w:rsid w:val="0AC97426"/>
    <w:rsid w:val="0ACF3310"/>
    <w:rsid w:val="0AD11F65"/>
    <w:rsid w:val="0AD1281A"/>
    <w:rsid w:val="0AD3C47C"/>
    <w:rsid w:val="0AD77118"/>
    <w:rsid w:val="0AD9E78E"/>
    <w:rsid w:val="0ADB27DB"/>
    <w:rsid w:val="0ADC80CA"/>
    <w:rsid w:val="0ADD9AD4"/>
    <w:rsid w:val="0ADD9FA0"/>
    <w:rsid w:val="0AEF196E"/>
    <w:rsid w:val="0AF15FBD"/>
    <w:rsid w:val="0AF1B33D"/>
    <w:rsid w:val="0AFA09FA"/>
    <w:rsid w:val="0AFF4E37"/>
    <w:rsid w:val="0B0E8BBB"/>
    <w:rsid w:val="0B14B889"/>
    <w:rsid w:val="0B1F9D20"/>
    <w:rsid w:val="0B25F94E"/>
    <w:rsid w:val="0B2BC111"/>
    <w:rsid w:val="0B2C4D2B"/>
    <w:rsid w:val="0B3055A7"/>
    <w:rsid w:val="0B32B0B7"/>
    <w:rsid w:val="0B34CE19"/>
    <w:rsid w:val="0B3B97DB"/>
    <w:rsid w:val="0B3E6081"/>
    <w:rsid w:val="0B3F03D6"/>
    <w:rsid w:val="0B414BBC"/>
    <w:rsid w:val="0B431C9B"/>
    <w:rsid w:val="0B4C07F8"/>
    <w:rsid w:val="0B4C0D02"/>
    <w:rsid w:val="0B5AF4C6"/>
    <w:rsid w:val="0B5BF168"/>
    <w:rsid w:val="0B5F53A5"/>
    <w:rsid w:val="0B60B1F0"/>
    <w:rsid w:val="0B6B426E"/>
    <w:rsid w:val="0B6F9B79"/>
    <w:rsid w:val="0B706280"/>
    <w:rsid w:val="0B72ACD7"/>
    <w:rsid w:val="0B8095BF"/>
    <w:rsid w:val="0B80E82D"/>
    <w:rsid w:val="0B8F6815"/>
    <w:rsid w:val="0B90C25B"/>
    <w:rsid w:val="0B96E678"/>
    <w:rsid w:val="0B9DED4F"/>
    <w:rsid w:val="0BA1D34D"/>
    <w:rsid w:val="0BA3D944"/>
    <w:rsid w:val="0BA6666E"/>
    <w:rsid w:val="0BA86CD8"/>
    <w:rsid w:val="0BA8C9D1"/>
    <w:rsid w:val="0BAB423E"/>
    <w:rsid w:val="0BBB0294"/>
    <w:rsid w:val="0BC0630D"/>
    <w:rsid w:val="0BC3A2FE"/>
    <w:rsid w:val="0BC4D848"/>
    <w:rsid w:val="0BCCD03B"/>
    <w:rsid w:val="0BD8D56D"/>
    <w:rsid w:val="0BDFDEC3"/>
    <w:rsid w:val="0BE6262A"/>
    <w:rsid w:val="0BEC72BB"/>
    <w:rsid w:val="0BEFA4B2"/>
    <w:rsid w:val="0BFA5669"/>
    <w:rsid w:val="0C0497B1"/>
    <w:rsid w:val="0C0789D1"/>
    <w:rsid w:val="0C0F84CA"/>
    <w:rsid w:val="0C116008"/>
    <w:rsid w:val="0C1184F1"/>
    <w:rsid w:val="0C11A590"/>
    <w:rsid w:val="0C14D211"/>
    <w:rsid w:val="0C14E96B"/>
    <w:rsid w:val="0C1D9159"/>
    <w:rsid w:val="0C22DCA4"/>
    <w:rsid w:val="0C2C0552"/>
    <w:rsid w:val="0C2C644D"/>
    <w:rsid w:val="0C362FDF"/>
    <w:rsid w:val="0C39E725"/>
    <w:rsid w:val="0C3B3BE3"/>
    <w:rsid w:val="0C3D8307"/>
    <w:rsid w:val="0C426EB7"/>
    <w:rsid w:val="0C441F0B"/>
    <w:rsid w:val="0C46C8FD"/>
    <w:rsid w:val="0C4A9971"/>
    <w:rsid w:val="0C4ADAFB"/>
    <w:rsid w:val="0C5289A3"/>
    <w:rsid w:val="0C54429A"/>
    <w:rsid w:val="0C54A925"/>
    <w:rsid w:val="0C54B347"/>
    <w:rsid w:val="0C592838"/>
    <w:rsid w:val="0C5F5B32"/>
    <w:rsid w:val="0C61049C"/>
    <w:rsid w:val="0C6589AF"/>
    <w:rsid w:val="0C676F32"/>
    <w:rsid w:val="0C67D5A2"/>
    <w:rsid w:val="0C69C324"/>
    <w:rsid w:val="0C6F1DB3"/>
    <w:rsid w:val="0C703612"/>
    <w:rsid w:val="0C76775B"/>
    <w:rsid w:val="0C7870E5"/>
    <w:rsid w:val="0C7D4089"/>
    <w:rsid w:val="0C82E4DB"/>
    <w:rsid w:val="0C8CA124"/>
    <w:rsid w:val="0C923338"/>
    <w:rsid w:val="0C9F8DCF"/>
    <w:rsid w:val="0CB319AA"/>
    <w:rsid w:val="0CB4292C"/>
    <w:rsid w:val="0CB6B41D"/>
    <w:rsid w:val="0CB73DA1"/>
    <w:rsid w:val="0CB9E8B8"/>
    <w:rsid w:val="0CBB717E"/>
    <w:rsid w:val="0CBE52AB"/>
    <w:rsid w:val="0CC126DC"/>
    <w:rsid w:val="0CC2D85D"/>
    <w:rsid w:val="0CC96A5D"/>
    <w:rsid w:val="0CCED57A"/>
    <w:rsid w:val="0CD269DD"/>
    <w:rsid w:val="0CEEC28C"/>
    <w:rsid w:val="0CF730C3"/>
    <w:rsid w:val="0CF86248"/>
    <w:rsid w:val="0CF92C8D"/>
    <w:rsid w:val="0CFFFD49"/>
    <w:rsid w:val="0D02056E"/>
    <w:rsid w:val="0D0734C1"/>
    <w:rsid w:val="0D093473"/>
    <w:rsid w:val="0D0DDBF9"/>
    <w:rsid w:val="0D0F8352"/>
    <w:rsid w:val="0D12B9D1"/>
    <w:rsid w:val="0D183912"/>
    <w:rsid w:val="0D1852EA"/>
    <w:rsid w:val="0D1A1816"/>
    <w:rsid w:val="0D20CD2B"/>
    <w:rsid w:val="0D22BD37"/>
    <w:rsid w:val="0D244E37"/>
    <w:rsid w:val="0D27D97E"/>
    <w:rsid w:val="0D32831B"/>
    <w:rsid w:val="0D33E299"/>
    <w:rsid w:val="0D372FBA"/>
    <w:rsid w:val="0D3A8950"/>
    <w:rsid w:val="0D4648E3"/>
    <w:rsid w:val="0D46F0E2"/>
    <w:rsid w:val="0D4BF989"/>
    <w:rsid w:val="0D514BB9"/>
    <w:rsid w:val="0D53D29C"/>
    <w:rsid w:val="0D622E88"/>
    <w:rsid w:val="0D626018"/>
    <w:rsid w:val="0D632B9D"/>
    <w:rsid w:val="0D6373F7"/>
    <w:rsid w:val="0D648CCA"/>
    <w:rsid w:val="0D66D08A"/>
    <w:rsid w:val="0D79699B"/>
    <w:rsid w:val="0D7CAF2C"/>
    <w:rsid w:val="0D83E379"/>
    <w:rsid w:val="0D88038A"/>
    <w:rsid w:val="0D8D3BAA"/>
    <w:rsid w:val="0DA5FAE9"/>
    <w:rsid w:val="0DB7240C"/>
    <w:rsid w:val="0DB8BDB7"/>
    <w:rsid w:val="0DC0C9BA"/>
    <w:rsid w:val="0DC3AB7D"/>
    <w:rsid w:val="0DC96B35"/>
    <w:rsid w:val="0DCB64FD"/>
    <w:rsid w:val="0DD8B7A6"/>
    <w:rsid w:val="0DDB1C88"/>
    <w:rsid w:val="0DDB6AC7"/>
    <w:rsid w:val="0DDF426B"/>
    <w:rsid w:val="0DE431B2"/>
    <w:rsid w:val="0DE62EDC"/>
    <w:rsid w:val="0DE75502"/>
    <w:rsid w:val="0DE85BB9"/>
    <w:rsid w:val="0DE9BF3B"/>
    <w:rsid w:val="0DED98ED"/>
    <w:rsid w:val="0DEEA913"/>
    <w:rsid w:val="0DEFC5B0"/>
    <w:rsid w:val="0DF0B351"/>
    <w:rsid w:val="0DF17832"/>
    <w:rsid w:val="0DF5D737"/>
    <w:rsid w:val="0DF99EF2"/>
    <w:rsid w:val="0E02D9B8"/>
    <w:rsid w:val="0E07EE9F"/>
    <w:rsid w:val="0E0A2F57"/>
    <w:rsid w:val="0E0C0F26"/>
    <w:rsid w:val="0E0CA32D"/>
    <w:rsid w:val="0E151158"/>
    <w:rsid w:val="0E241B78"/>
    <w:rsid w:val="0E27B86A"/>
    <w:rsid w:val="0E280850"/>
    <w:rsid w:val="0E30B68C"/>
    <w:rsid w:val="0E3B6CFA"/>
    <w:rsid w:val="0E3FFE8D"/>
    <w:rsid w:val="0E42E79E"/>
    <w:rsid w:val="0E441D2D"/>
    <w:rsid w:val="0E45CB1A"/>
    <w:rsid w:val="0E4D7FFD"/>
    <w:rsid w:val="0E4DD9FD"/>
    <w:rsid w:val="0E51BA53"/>
    <w:rsid w:val="0E55C7C0"/>
    <w:rsid w:val="0E5609D2"/>
    <w:rsid w:val="0E575642"/>
    <w:rsid w:val="0E57C98D"/>
    <w:rsid w:val="0E5E3FEA"/>
    <w:rsid w:val="0E5F766D"/>
    <w:rsid w:val="0E642F53"/>
    <w:rsid w:val="0E7F4EA7"/>
    <w:rsid w:val="0E7FDF36"/>
    <w:rsid w:val="0E811B03"/>
    <w:rsid w:val="0E83DD12"/>
    <w:rsid w:val="0E873C93"/>
    <w:rsid w:val="0E87A7BB"/>
    <w:rsid w:val="0E88ED9C"/>
    <w:rsid w:val="0E8BF68D"/>
    <w:rsid w:val="0E8C8636"/>
    <w:rsid w:val="0E90ED71"/>
    <w:rsid w:val="0E9431B2"/>
    <w:rsid w:val="0E94E5EE"/>
    <w:rsid w:val="0E94E724"/>
    <w:rsid w:val="0E988C45"/>
    <w:rsid w:val="0E9F3274"/>
    <w:rsid w:val="0EA4AB14"/>
    <w:rsid w:val="0EADD874"/>
    <w:rsid w:val="0EB5F896"/>
    <w:rsid w:val="0EB6D91A"/>
    <w:rsid w:val="0EB7EDED"/>
    <w:rsid w:val="0EB8B1EA"/>
    <w:rsid w:val="0EBA7121"/>
    <w:rsid w:val="0EBB9E3C"/>
    <w:rsid w:val="0ED3A6D1"/>
    <w:rsid w:val="0EDBBF01"/>
    <w:rsid w:val="0EE0647B"/>
    <w:rsid w:val="0EE1B27E"/>
    <w:rsid w:val="0EE50AA4"/>
    <w:rsid w:val="0EE677B9"/>
    <w:rsid w:val="0EEC5F23"/>
    <w:rsid w:val="0EF14CFC"/>
    <w:rsid w:val="0EF5EEE5"/>
    <w:rsid w:val="0EFCE708"/>
    <w:rsid w:val="0EFD6109"/>
    <w:rsid w:val="0F1C9D35"/>
    <w:rsid w:val="0F2139CE"/>
    <w:rsid w:val="0F28AC11"/>
    <w:rsid w:val="0F2AFB30"/>
    <w:rsid w:val="0F3E931B"/>
    <w:rsid w:val="0F499BCC"/>
    <w:rsid w:val="0F4D38AE"/>
    <w:rsid w:val="0F503E2C"/>
    <w:rsid w:val="0F53CA44"/>
    <w:rsid w:val="0F5448B2"/>
    <w:rsid w:val="0F54D3E1"/>
    <w:rsid w:val="0F565D35"/>
    <w:rsid w:val="0F58F702"/>
    <w:rsid w:val="0F5A80AA"/>
    <w:rsid w:val="0F5F6C98"/>
    <w:rsid w:val="0F653B96"/>
    <w:rsid w:val="0F6C5A32"/>
    <w:rsid w:val="0F6DEE1D"/>
    <w:rsid w:val="0F708845"/>
    <w:rsid w:val="0F7D9EFC"/>
    <w:rsid w:val="0F89C04E"/>
    <w:rsid w:val="0F8A181A"/>
    <w:rsid w:val="0F8AB7DF"/>
    <w:rsid w:val="0F8D517A"/>
    <w:rsid w:val="0F8E39E2"/>
    <w:rsid w:val="0FA06E93"/>
    <w:rsid w:val="0FA48D7B"/>
    <w:rsid w:val="0FA4E7FF"/>
    <w:rsid w:val="0FA5D464"/>
    <w:rsid w:val="0FA60A87"/>
    <w:rsid w:val="0FAFEBCA"/>
    <w:rsid w:val="0FB4A3C8"/>
    <w:rsid w:val="0FB7237E"/>
    <w:rsid w:val="0FBFBCEB"/>
    <w:rsid w:val="0FC52910"/>
    <w:rsid w:val="0FC7DA06"/>
    <w:rsid w:val="0FC98D8E"/>
    <w:rsid w:val="0FCCD564"/>
    <w:rsid w:val="0FCF4649"/>
    <w:rsid w:val="0FDEEEB7"/>
    <w:rsid w:val="0FE5612B"/>
    <w:rsid w:val="0FE6D0C4"/>
    <w:rsid w:val="0FE70F87"/>
    <w:rsid w:val="0FE95C87"/>
    <w:rsid w:val="0FEAFB9B"/>
    <w:rsid w:val="0FEF9AB2"/>
    <w:rsid w:val="0FF194E9"/>
    <w:rsid w:val="0FF5957A"/>
    <w:rsid w:val="0FF5A7BB"/>
    <w:rsid w:val="1000CE4E"/>
    <w:rsid w:val="1005F0CA"/>
    <w:rsid w:val="100B527E"/>
    <w:rsid w:val="1019AFB8"/>
    <w:rsid w:val="10230867"/>
    <w:rsid w:val="1026F4A9"/>
    <w:rsid w:val="1027F330"/>
    <w:rsid w:val="102B4207"/>
    <w:rsid w:val="102F1A53"/>
    <w:rsid w:val="10371ECE"/>
    <w:rsid w:val="10514DC7"/>
    <w:rsid w:val="1056A6A1"/>
    <w:rsid w:val="105E221D"/>
    <w:rsid w:val="105F7CD0"/>
    <w:rsid w:val="106293B1"/>
    <w:rsid w:val="10632927"/>
    <w:rsid w:val="10661343"/>
    <w:rsid w:val="106EAD6A"/>
    <w:rsid w:val="10712C03"/>
    <w:rsid w:val="1077AAF5"/>
    <w:rsid w:val="1080A219"/>
    <w:rsid w:val="1081DB15"/>
    <w:rsid w:val="108837AA"/>
    <w:rsid w:val="108DE2BC"/>
    <w:rsid w:val="109606E6"/>
    <w:rsid w:val="109A4217"/>
    <w:rsid w:val="109C67C0"/>
    <w:rsid w:val="109F8461"/>
    <w:rsid w:val="10A89523"/>
    <w:rsid w:val="10A9E87E"/>
    <w:rsid w:val="10B46CD9"/>
    <w:rsid w:val="10BA884E"/>
    <w:rsid w:val="10BC11BC"/>
    <w:rsid w:val="10CD446C"/>
    <w:rsid w:val="10D30E8A"/>
    <w:rsid w:val="10D31149"/>
    <w:rsid w:val="10D7C626"/>
    <w:rsid w:val="10DED9A9"/>
    <w:rsid w:val="10E08D07"/>
    <w:rsid w:val="10E8C0E7"/>
    <w:rsid w:val="10EA1B14"/>
    <w:rsid w:val="10ECF7AD"/>
    <w:rsid w:val="10ED1491"/>
    <w:rsid w:val="10ED9143"/>
    <w:rsid w:val="10F58C24"/>
    <w:rsid w:val="10F6A681"/>
    <w:rsid w:val="10FA519F"/>
    <w:rsid w:val="10FC9751"/>
    <w:rsid w:val="11007092"/>
    <w:rsid w:val="1100D7BF"/>
    <w:rsid w:val="11010BF7"/>
    <w:rsid w:val="110E988E"/>
    <w:rsid w:val="1119CAC5"/>
    <w:rsid w:val="111B6690"/>
    <w:rsid w:val="111F1296"/>
    <w:rsid w:val="11201873"/>
    <w:rsid w:val="11202F3F"/>
    <w:rsid w:val="11274141"/>
    <w:rsid w:val="1127F6ED"/>
    <w:rsid w:val="112A0A43"/>
    <w:rsid w:val="112D9160"/>
    <w:rsid w:val="112EF07B"/>
    <w:rsid w:val="1135D637"/>
    <w:rsid w:val="114165F4"/>
    <w:rsid w:val="11468896"/>
    <w:rsid w:val="11480C80"/>
    <w:rsid w:val="115401BB"/>
    <w:rsid w:val="115C7158"/>
    <w:rsid w:val="11630560"/>
    <w:rsid w:val="1166067C"/>
    <w:rsid w:val="116D738E"/>
    <w:rsid w:val="116F43E1"/>
    <w:rsid w:val="116F73BD"/>
    <w:rsid w:val="117028D0"/>
    <w:rsid w:val="1176F359"/>
    <w:rsid w:val="11788798"/>
    <w:rsid w:val="1178D09E"/>
    <w:rsid w:val="117D1985"/>
    <w:rsid w:val="11886D05"/>
    <w:rsid w:val="11890248"/>
    <w:rsid w:val="119377FF"/>
    <w:rsid w:val="119F5D07"/>
    <w:rsid w:val="11AAFEEC"/>
    <w:rsid w:val="11BDD942"/>
    <w:rsid w:val="11C38376"/>
    <w:rsid w:val="11C89E8A"/>
    <w:rsid w:val="11CCFE0B"/>
    <w:rsid w:val="11CD04AA"/>
    <w:rsid w:val="11D2C030"/>
    <w:rsid w:val="11D97C35"/>
    <w:rsid w:val="11DAE8C2"/>
    <w:rsid w:val="11DDE22C"/>
    <w:rsid w:val="11DE717E"/>
    <w:rsid w:val="11E2C7B2"/>
    <w:rsid w:val="11E35F57"/>
    <w:rsid w:val="11E64942"/>
    <w:rsid w:val="11EB71E4"/>
    <w:rsid w:val="11EB7222"/>
    <w:rsid w:val="11EBA607"/>
    <w:rsid w:val="11F6EB08"/>
    <w:rsid w:val="11FBBCEF"/>
    <w:rsid w:val="11FE98C7"/>
    <w:rsid w:val="11FEA662"/>
    <w:rsid w:val="11FF63E1"/>
    <w:rsid w:val="12089022"/>
    <w:rsid w:val="120A6E03"/>
    <w:rsid w:val="120F8F72"/>
    <w:rsid w:val="120FA0B5"/>
    <w:rsid w:val="120FE5E1"/>
    <w:rsid w:val="121F7782"/>
    <w:rsid w:val="12237AEE"/>
    <w:rsid w:val="1226B62F"/>
    <w:rsid w:val="1229C987"/>
    <w:rsid w:val="122F806B"/>
    <w:rsid w:val="123093C8"/>
    <w:rsid w:val="12309A44"/>
    <w:rsid w:val="1232390D"/>
    <w:rsid w:val="12333ED2"/>
    <w:rsid w:val="12346C0C"/>
    <w:rsid w:val="1238F4C3"/>
    <w:rsid w:val="1241594B"/>
    <w:rsid w:val="12442830"/>
    <w:rsid w:val="12479BEE"/>
    <w:rsid w:val="124A43E9"/>
    <w:rsid w:val="124BB55C"/>
    <w:rsid w:val="124D9913"/>
    <w:rsid w:val="1251F9C9"/>
    <w:rsid w:val="1252F668"/>
    <w:rsid w:val="12554690"/>
    <w:rsid w:val="1257B853"/>
    <w:rsid w:val="1257D57F"/>
    <w:rsid w:val="12585AE9"/>
    <w:rsid w:val="125A4262"/>
    <w:rsid w:val="12620AD7"/>
    <w:rsid w:val="1265A683"/>
    <w:rsid w:val="1268C4F9"/>
    <w:rsid w:val="12697139"/>
    <w:rsid w:val="126E5CC2"/>
    <w:rsid w:val="1271DB49"/>
    <w:rsid w:val="1276B494"/>
    <w:rsid w:val="12790A88"/>
    <w:rsid w:val="127E3F85"/>
    <w:rsid w:val="128714E7"/>
    <w:rsid w:val="1289FCA5"/>
    <w:rsid w:val="128D6A46"/>
    <w:rsid w:val="128D91B2"/>
    <w:rsid w:val="1290C9A8"/>
    <w:rsid w:val="1292B348"/>
    <w:rsid w:val="129F1A38"/>
    <w:rsid w:val="12A26BEE"/>
    <w:rsid w:val="12A97A28"/>
    <w:rsid w:val="12B3E26B"/>
    <w:rsid w:val="12BC05A5"/>
    <w:rsid w:val="12BF1211"/>
    <w:rsid w:val="12C1DFD1"/>
    <w:rsid w:val="12C86EB9"/>
    <w:rsid w:val="12D7B593"/>
    <w:rsid w:val="12E176A3"/>
    <w:rsid w:val="12E4726A"/>
    <w:rsid w:val="12E5FB81"/>
    <w:rsid w:val="12F80C82"/>
    <w:rsid w:val="12F9A95C"/>
    <w:rsid w:val="13012E50"/>
    <w:rsid w:val="130A66A3"/>
    <w:rsid w:val="130E6CC8"/>
    <w:rsid w:val="13110485"/>
    <w:rsid w:val="13131559"/>
    <w:rsid w:val="1318ECC7"/>
    <w:rsid w:val="131DAA99"/>
    <w:rsid w:val="131DCEC9"/>
    <w:rsid w:val="13209F2B"/>
    <w:rsid w:val="132656D5"/>
    <w:rsid w:val="132C969B"/>
    <w:rsid w:val="13303890"/>
    <w:rsid w:val="1331AF81"/>
    <w:rsid w:val="1336A7E0"/>
    <w:rsid w:val="133B9158"/>
    <w:rsid w:val="1343FEE3"/>
    <w:rsid w:val="134454CE"/>
    <w:rsid w:val="1346E9C7"/>
    <w:rsid w:val="13475053"/>
    <w:rsid w:val="134AFDA3"/>
    <w:rsid w:val="13527875"/>
    <w:rsid w:val="1355BD31"/>
    <w:rsid w:val="135D08EF"/>
    <w:rsid w:val="135E09AF"/>
    <w:rsid w:val="13636D7E"/>
    <w:rsid w:val="13643E9F"/>
    <w:rsid w:val="1365961A"/>
    <w:rsid w:val="1372A2D0"/>
    <w:rsid w:val="1380CE2C"/>
    <w:rsid w:val="13831D14"/>
    <w:rsid w:val="138371CB"/>
    <w:rsid w:val="1386CBFB"/>
    <w:rsid w:val="138C80BF"/>
    <w:rsid w:val="1393ED6F"/>
    <w:rsid w:val="13A02EE5"/>
    <w:rsid w:val="13A8D0C7"/>
    <w:rsid w:val="13B89AB0"/>
    <w:rsid w:val="13BDF5BD"/>
    <w:rsid w:val="13C18F67"/>
    <w:rsid w:val="13C1E4C6"/>
    <w:rsid w:val="13C3B788"/>
    <w:rsid w:val="13C686A9"/>
    <w:rsid w:val="13C77DA9"/>
    <w:rsid w:val="13CE6511"/>
    <w:rsid w:val="13D6FCAD"/>
    <w:rsid w:val="13DD29AC"/>
    <w:rsid w:val="13E0A4E1"/>
    <w:rsid w:val="13E3D495"/>
    <w:rsid w:val="13E721F1"/>
    <w:rsid w:val="13F2118C"/>
    <w:rsid w:val="13F4CAAF"/>
    <w:rsid w:val="13FCA85D"/>
    <w:rsid w:val="14068CB8"/>
    <w:rsid w:val="14086A5D"/>
    <w:rsid w:val="140970E7"/>
    <w:rsid w:val="140C4C1E"/>
    <w:rsid w:val="140D9529"/>
    <w:rsid w:val="140FBC23"/>
    <w:rsid w:val="1429949E"/>
    <w:rsid w:val="14336269"/>
    <w:rsid w:val="143E7F86"/>
    <w:rsid w:val="144440AE"/>
    <w:rsid w:val="14553331"/>
    <w:rsid w:val="1462998D"/>
    <w:rsid w:val="146A657D"/>
    <w:rsid w:val="146B2A48"/>
    <w:rsid w:val="146C655F"/>
    <w:rsid w:val="146DF72D"/>
    <w:rsid w:val="14747AAF"/>
    <w:rsid w:val="1476DBA6"/>
    <w:rsid w:val="147AC5C1"/>
    <w:rsid w:val="147C9A0B"/>
    <w:rsid w:val="14853173"/>
    <w:rsid w:val="148D0B3D"/>
    <w:rsid w:val="148E1BDC"/>
    <w:rsid w:val="149181DA"/>
    <w:rsid w:val="1491F5BF"/>
    <w:rsid w:val="14946F1B"/>
    <w:rsid w:val="149882B4"/>
    <w:rsid w:val="14BB6CCC"/>
    <w:rsid w:val="14BBBE3B"/>
    <w:rsid w:val="14BD8D34"/>
    <w:rsid w:val="14CA4BA8"/>
    <w:rsid w:val="14CC0EE1"/>
    <w:rsid w:val="14CF230F"/>
    <w:rsid w:val="14E21892"/>
    <w:rsid w:val="14E407A3"/>
    <w:rsid w:val="14E4352F"/>
    <w:rsid w:val="14E57B0F"/>
    <w:rsid w:val="14E7F2DA"/>
    <w:rsid w:val="14EF6BF3"/>
    <w:rsid w:val="14F2CA5C"/>
    <w:rsid w:val="14F562AF"/>
    <w:rsid w:val="14FB34F5"/>
    <w:rsid w:val="14FBF4CB"/>
    <w:rsid w:val="14FE00D6"/>
    <w:rsid w:val="15094759"/>
    <w:rsid w:val="150E8464"/>
    <w:rsid w:val="1519BC89"/>
    <w:rsid w:val="1520A26B"/>
    <w:rsid w:val="152D814C"/>
    <w:rsid w:val="152E6E65"/>
    <w:rsid w:val="1530C661"/>
    <w:rsid w:val="15337511"/>
    <w:rsid w:val="1534F213"/>
    <w:rsid w:val="15388BB2"/>
    <w:rsid w:val="1539C80E"/>
    <w:rsid w:val="153BCD2C"/>
    <w:rsid w:val="153EE124"/>
    <w:rsid w:val="153F2F1C"/>
    <w:rsid w:val="154410B6"/>
    <w:rsid w:val="154557BA"/>
    <w:rsid w:val="15464182"/>
    <w:rsid w:val="1546EC39"/>
    <w:rsid w:val="154E9A03"/>
    <w:rsid w:val="155162DE"/>
    <w:rsid w:val="1552836D"/>
    <w:rsid w:val="155A0B51"/>
    <w:rsid w:val="155FCCCD"/>
    <w:rsid w:val="15633597"/>
    <w:rsid w:val="156E9130"/>
    <w:rsid w:val="15708A95"/>
    <w:rsid w:val="157286D1"/>
    <w:rsid w:val="1574570B"/>
    <w:rsid w:val="1585D078"/>
    <w:rsid w:val="1588F679"/>
    <w:rsid w:val="158A1DD7"/>
    <w:rsid w:val="158A4EA9"/>
    <w:rsid w:val="15918711"/>
    <w:rsid w:val="15918A10"/>
    <w:rsid w:val="159EF8C5"/>
    <w:rsid w:val="15A1548D"/>
    <w:rsid w:val="15A22363"/>
    <w:rsid w:val="15A309AD"/>
    <w:rsid w:val="15B0A8AE"/>
    <w:rsid w:val="15B28680"/>
    <w:rsid w:val="15B54340"/>
    <w:rsid w:val="15BD4384"/>
    <w:rsid w:val="15C3704C"/>
    <w:rsid w:val="15C3EA07"/>
    <w:rsid w:val="15C82AF1"/>
    <w:rsid w:val="15C9064A"/>
    <w:rsid w:val="15C99350"/>
    <w:rsid w:val="15CED8AA"/>
    <w:rsid w:val="15CF9831"/>
    <w:rsid w:val="15DB70F5"/>
    <w:rsid w:val="15DD139B"/>
    <w:rsid w:val="15DFFE4A"/>
    <w:rsid w:val="15E05DF4"/>
    <w:rsid w:val="15E141AD"/>
    <w:rsid w:val="15E9E262"/>
    <w:rsid w:val="15F0E892"/>
    <w:rsid w:val="15F1A820"/>
    <w:rsid w:val="15F2A10D"/>
    <w:rsid w:val="15F33518"/>
    <w:rsid w:val="15F4EA3E"/>
    <w:rsid w:val="15F793E8"/>
    <w:rsid w:val="15FFF102"/>
    <w:rsid w:val="160D32A7"/>
    <w:rsid w:val="1610127C"/>
    <w:rsid w:val="16131E7D"/>
    <w:rsid w:val="162193F1"/>
    <w:rsid w:val="162763B2"/>
    <w:rsid w:val="162849B8"/>
    <w:rsid w:val="1633BDFB"/>
    <w:rsid w:val="1640AEEA"/>
    <w:rsid w:val="16442194"/>
    <w:rsid w:val="164BFF6F"/>
    <w:rsid w:val="164E28B0"/>
    <w:rsid w:val="16588BEF"/>
    <w:rsid w:val="165DD872"/>
    <w:rsid w:val="165EB868"/>
    <w:rsid w:val="166152B6"/>
    <w:rsid w:val="1665D745"/>
    <w:rsid w:val="16673D0E"/>
    <w:rsid w:val="16689788"/>
    <w:rsid w:val="167307E0"/>
    <w:rsid w:val="16785F66"/>
    <w:rsid w:val="1678D44E"/>
    <w:rsid w:val="167F23E6"/>
    <w:rsid w:val="168296CA"/>
    <w:rsid w:val="168449C8"/>
    <w:rsid w:val="168806D2"/>
    <w:rsid w:val="1688D9EA"/>
    <w:rsid w:val="168D34E0"/>
    <w:rsid w:val="168D81C1"/>
    <w:rsid w:val="168E5C84"/>
    <w:rsid w:val="16908F25"/>
    <w:rsid w:val="1690B031"/>
    <w:rsid w:val="16AA54C5"/>
    <w:rsid w:val="16AC13D3"/>
    <w:rsid w:val="16AFADBA"/>
    <w:rsid w:val="16AFBD23"/>
    <w:rsid w:val="16BE4C8A"/>
    <w:rsid w:val="16C36A18"/>
    <w:rsid w:val="16D170FE"/>
    <w:rsid w:val="16D7C780"/>
    <w:rsid w:val="16DD4991"/>
    <w:rsid w:val="16DFA135"/>
    <w:rsid w:val="16E34AF0"/>
    <w:rsid w:val="16F12DE0"/>
    <w:rsid w:val="16F1CF13"/>
    <w:rsid w:val="16F33A22"/>
    <w:rsid w:val="16F43F85"/>
    <w:rsid w:val="16F8754D"/>
    <w:rsid w:val="16F9E9F6"/>
    <w:rsid w:val="16FBE4D8"/>
    <w:rsid w:val="16FF1EF8"/>
    <w:rsid w:val="1703252A"/>
    <w:rsid w:val="1705464F"/>
    <w:rsid w:val="170DB40B"/>
    <w:rsid w:val="170E6E2C"/>
    <w:rsid w:val="1717BE64"/>
    <w:rsid w:val="171C2C5F"/>
    <w:rsid w:val="171D4EF1"/>
    <w:rsid w:val="171E0478"/>
    <w:rsid w:val="1728A83A"/>
    <w:rsid w:val="172A0C9D"/>
    <w:rsid w:val="172B671C"/>
    <w:rsid w:val="172C5EE9"/>
    <w:rsid w:val="1730B132"/>
    <w:rsid w:val="173B0886"/>
    <w:rsid w:val="1740F811"/>
    <w:rsid w:val="1748B379"/>
    <w:rsid w:val="174A6F55"/>
    <w:rsid w:val="174B05C6"/>
    <w:rsid w:val="174CACF6"/>
    <w:rsid w:val="174CAE56"/>
    <w:rsid w:val="175007EE"/>
    <w:rsid w:val="17520F6C"/>
    <w:rsid w:val="175608C0"/>
    <w:rsid w:val="17682A9D"/>
    <w:rsid w:val="176F0F1B"/>
    <w:rsid w:val="177041B5"/>
    <w:rsid w:val="17708040"/>
    <w:rsid w:val="1773A6F4"/>
    <w:rsid w:val="1775C656"/>
    <w:rsid w:val="178D23FB"/>
    <w:rsid w:val="178FFCB5"/>
    <w:rsid w:val="17908C62"/>
    <w:rsid w:val="1790F99A"/>
    <w:rsid w:val="17993BC7"/>
    <w:rsid w:val="17A415CE"/>
    <w:rsid w:val="17A57DDF"/>
    <w:rsid w:val="17AA9585"/>
    <w:rsid w:val="17AAD103"/>
    <w:rsid w:val="17B5E353"/>
    <w:rsid w:val="17B818FA"/>
    <w:rsid w:val="17B93D52"/>
    <w:rsid w:val="17B97229"/>
    <w:rsid w:val="17C1E1AE"/>
    <w:rsid w:val="17D13E32"/>
    <w:rsid w:val="17D4A37A"/>
    <w:rsid w:val="17D585A4"/>
    <w:rsid w:val="17D5C63D"/>
    <w:rsid w:val="17E20D26"/>
    <w:rsid w:val="17E8A5EE"/>
    <w:rsid w:val="17E99D8E"/>
    <w:rsid w:val="17EF35FB"/>
    <w:rsid w:val="17F34D57"/>
    <w:rsid w:val="17F8C68E"/>
    <w:rsid w:val="17FD3099"/>
    <w:rsid w:val="17FED6D3"/>
    <w:rsid w:val="18012B0D"/>
    <w:rsid w:val="18066112"/>
    <w:rsid w:val="18072C01"/>
    <w:rsid w:val="180A307C"/>
    <w:rsid w:val="180AD4CD"/>
    <w:rsid w:val="180E3243"/>
    <w:rsid w:val="1811C170"/>
    <w:rsid w:val="18158423"/>
    <w:rsid w:val="181AB8F4"/>
    <w:rsid w:val="181F81FD"/>
    <w:rsid w:val="182BDC41"/>
    <w:rsid w:val="1830C812"/>
    <w:rsid w:val="18317C59"/>
    <w:rsid w:val="18323B75"/>
    <w:rsid w:val="183EBAF4"/>
    <w:rsid w:val="18473AA9"/>
    <w:rsid w:val="18499006"/>
    <w:rsid w:val="184BEADB"/>
    <w:rsid w:val="184D475E"/>
    <w:rsid w:val="185159AA"/>
    <w:rsid w:val="18574343"/>
    <w:rsid w:val="185D5CFE"/>
    <w:rsid w:val="1864CEB2"/>
    <w:rsid w:val="1865344C"/>
    <w:rsid w:val="186DD368"/>
    <w:rsid w:val="186E5E4F"/>
    <w:rsid w:val="1871B205"/>
    <w:rsid w:val="187211AA"/>
    <w:rsid w:val="18791591"/>
    <w:rsid w:val="187A4AFA"/>
    <w:rsid w:val="18804E9C"/>
    <w:rsid w:val="18845F70"/>
    <w:rsid w:val="18917DE9"/>
    <w:rsid w:val="1895DF7A"/>
    <w:rsid w:val="189B01D7"/>
    <w:rsid w:val="189ECA5E"/>
    <w:rsid w:val="18A6252F"/>
    <w:rsid w:val="18AA2793"/>
    <w:rsid w:val="18ABD291"/>
    <w:rsid w:val="18ABE0F5"/>
    <w:rsid w:val="18AC2841"/>
    <w:rsid w:val="18ADA848"/>
    <w:rsid w:val="18AE8005"/>
    <w:rsid w:val="18B544E4"/>
    <w:rsid w:val="18BFB47F"/>
    <w:rsid w:val="18D4EFB3"/>
    <w:rsid w:val="18D7D60E"/>
    <w:rsid w:val="18DD8506"/>
    <w:rsid w:val="18DF22E5"/>
    <w:rsid w:val="18E459AB"/>
    <w:rsid w:val="18E6EB9F"/>
    <w:rsid w:val="18E70888"/>
    <w:rsid w:val="18E8F393"/>
    <w:rsid w:val="18EF9853"/>
    <w:rsid w:val="18F1F481"/>
    <w:rsid w:val="18FA415F"/>
    <w:rsid w:val="18FF8710"/>
    <w:rsid w:val="1904715A"/>
    <w:rsid w:val="190DD215"/>
    <w:rsid w:val="1913082A"/>
    <w:rsid w:val="1915A63B"/>
    <w:rsid w:val="1917C020"/>
    <w:rsid w:val="1917C31B"/>
    <w:rsid w:val="191C4E80"/>
    <w:rsid w:val="191F9F6A"/>
    <w:rsid w:val="1920CF04"/>
    <w:rsid w:val="1922CDBC"/>
    <w:rsid w:val="1922DEB7"/>
    <w:rsid w:val="1929B802"/>
    <w:rsid w:val="192EB3F0"/>
    <w:rsid w:val="193C66A3"/>
    <w:rsid w:val="193CB023"/>
    <w:rsid w:val="1948CE45"/>
    <w:rsid w:val="194CB878"/>
    <w:rsid w:val="194E518A"/>
    <w:rsid w:val="1950DE2B"/>
    <w:rsid w:val="195110CA"/>
    <w:rsid w:val="19548F55"/>
    <w:rsid w:val="195939DC"/>
    <w:rsid w:val="195EEAED"/>
    <w:rsid w:val="19699210"/>
    <w:rsid w:val="19699E15"/>
    <w:rsid w:val="197175DB"/>
    <w:rsid w:val="197580CC"/>
    <w:rsid w:val="197BF2E5"/>
    <w:rsid w:val="198122BA"/>
    <w:rsid w:val="1988E22E"/>
    <w:rsid w:val="198AC9A3"/>
    <w:rsid w:val="1995BC78"/>
    <w:rsid w:val="199639A3"/>
    <w:rsid w:val="1997AE02"/>
    <w:rsid w:val="199A1D91"/>
    <w:rsid w:val="199ABD42"/>
    <w:rsid w:val="199C73D6"/>
    <w:rsid w:val="19A2FF1A"/>
    <w:rsid w:val="19A9F28E"/>
    <w:rsid w:val="19ACDC44"/>
    <w:rsid w:val="19AE7E87"/>
    <w:rsid w:val="19BA3153"/>
    <w:rsid w:val="19C33727"/>
    <w:rsid w:val="19C3B221"/>
    <w:rsid w:val="19CCF266"/>
    <w:rsid w:val="19CFC11C"/>
    <w:rsid w:val="19DBB70A"/>
    <w:rsid w:val="19DF3485"/>
    <w:rsid w:val="19DFACE5"/>
    <w:rsid w:val="19E05491"/>
    <w:rsid w:val="19E8D5C2"/>
    <w:rsid w:val="19EA337A"/>
    <w:rsid w:val="19EEE9C6"/>
    <w:rsid w:val="19F08A96"/>
    <w:rsid w:val="19F13C0C"/>
    <w:rsid w:val="19FE4C2E"/>
    <w:rsid w:val="1A058F0A"/>
    <w:rsid w:val="1A0B619B"/>
    <w:rsid w:val="1A0CF36A"/>
    <w:rsid w:val="1A0E54D2"/>
    <w:rsid w:val="1A0EA55B"/>
    <w:rsid w:val="1A0F6842"/>
    <w:rsid w:val="1A10DEE0"/>
    <w:rsid w:val="1A158972"/>
    <w:rsid w:val="1A1742ED"/>
    <w:rsid w:val="1A180A94"/>
    <w:rsid w:val="1A1A2263"/>
    <w:rsid w:val="1A1B52EC"/>
    <w:rsid w:val="1A1EC5A7"/>
    <w:rsid w:val="1A1ED350"/>
    <w:rsid w:val="1A242B04"/>
    <w:rsid w:val="1A263D53"/>
    <w:rsid w:val="1A2697E8"/>
    <w:rsid w:val="1A297B4F"/>
    <w:rsid w:val="1A2D3A6D"/>
    <w:rsid w:val="1A2EF240"/>
    <w:rsid w:val="1A32BACA"/>
    <w:rsid w:val="1A32F76A"/>
    <w:rsid w:val="1A349995"/>
    <w:rsid w:val="1A3BD2D3"/>
    <w:rsid w:val="1A3E66F9"/>
    <w:rsid w:val="1A3F1BC9"/>
    <w:rsid w:val="1A459DB5"/>
    <w:rsid w:val="1A46E360"/>
    <w:rsid w:val="1A4D07AA"/>
    <w:rsid w:val="1A4D962B"/>
    <w:rsid w:val="1A4E6F7E"/>
    <w:rsid w:val="1A53609E"/>
    <w:rsid w:val="1A5445B5"/>
    <w:rsid w:val="1A55AA4A"/>
    <w:rsid w:val="1A5843FB"/>
    <w:rsid w:val="1A5EA405"/>
    <w:rsid w:val="1A6197A3"/>
    <w:rsid w:val="1A646226"/>
    <w:rsid w:val="1A682971"/>
    <w:rsid w:val="1A6EA99C"/>
    <w:rsid w:val="1A6F691A"/>
    <w:rsid w:val="1A704E15"/>
    <w:rsid w:val="1A7537EC"/>
    <w:rsid w:val="1A7623A1"/>
    <w:rsid w:val="1A78E9F5"/>
    <w:rsid w:val="1A7D0433"/>
    <w:rsid w:val="1A7D230B"/>
    <w:rsid w:val="1A7F2FED"/>
    <w:rsid w:val="1A8090D7"/>
    <w:rsid w:val="1A85962B"/>
    <w:rsid w:val="1A87556D"/>
    <w:rsid w:val="1A99E617"/>
    <w:rsid w:val="1A9FE271"/>
    <w:rsid w:val="1AA5F602"/>
    <w:rsid w:val="1AB62848"/>
    <w:rsid w:val="1AB72182"/>
    <w:rsid w:val="1AB971B8"/>
    <w:rsid w:val="1ABA232C"/>
    <w:rsid w:val="1ABA2EDB"/>
    <w:rsid w:val="1ABE8C24"/>
    <w:rsid w:val="1AC4B3B2"/>
    <w:rsid w:val="1AC79897"/>
    <w:rsid w:val="1AC8620B"/>
    <w:rsid w:val="1ACB01D2"/>
    <w:rsid w:val="1ACDDA2D"/>
    <w:rsid w:val="1ACF76E6"/>
    <w:rsid w:val="1ACFE3D4"/>
    <w:rsid w:val="1AEB2635"/>
    <w:rsid w:val="1AEC18EF"/>
    <w:rsid w:val="1AEEA0BA"/>
    <w:rsid w:val="1AF39A16"/>
    <w:rsid w:val="1AF55E92"/>
    <w:rsid w:val="1AFA8B1D"/>
    <w:rsid w:val="1AFF541F"/>
    <w:rsid w:val="1B0082C6"/>
    <w:rsid w:val="1B054BED"/>
    <w:rsid w:val="1B10D35D"/>
    <w:rsid w:val="1B18B9B6"/>
    <w:rsid w:val="1B1DFCA7"/>
    <w:rsid w:val="1B22AF5F"/>
    <w:rsid w:val="1B256663"/>
    <w:rsid w:val="1B282C93"/>
    <w:rsid w:val="1B2AD869"/>
    <w:rsid w:val="1B30CB78"/>
    <w:rsid w:val="1B408254"/>
    <w:rsid w:val="1B4C4340"/>
    <w:rsid w:val="1B583093"/>
    <w:rsid w:val="1B5CCAAA"/>
    <w:rsid w:val="1B5FC72E"/>
    <w:rsid w:val="1B70660F"/>
    <w:rsid w:val="1B8065D5"/>
    <w:rsid w:val="1B838502"/>
    <w:rsid w:val="1B86C291"/>
    <w:rsid w:val="1B8C7F27"/>
    <w:rsid w:val="1B8D1B85"/>
    <w:rsid w:val="1B8D7363"/>
    <w:rsid w:val="1B963EA0"/>
    <w:rsid w:val="1B9A2138"/>
    <w:rsid w:val="1B9FBA9A"/>
    <w:rsid w:val="1BA85375"/>
    <w:rsid w:val="1BAFC24C"/>
    <w:rsid w:val="1BB7D116"/>
    <w:rsid w:val="1BB9F04D"/>
    <w:rsid w:val="1BBF655D"/>
    <w:rsid w:val="1BC0DDD9"/>
    <w:rsid w:val="1BD38F1F"/>
    <w:rsid w:val="1BD88B8A"/>
    <w:rsid w:val="1BD8B772"/>
    <w:rsid w:val="1BDB6B58"/>
    <w:rsid w:val="1BDBB74B"/>
    <w:rsid w:val="1BE03B80"/>
    <w:rsid w:val="1BE0B8F8"/>
    <w:rsid w:val="1BE7CEA5"/>
    <w:rsid w:val="1BF21D4C"/>
    <w:rsid w:val="1BF31FFA"/>
    <w:rsid w:val="1C06058A"/>
    <w:rsid w:val="1C072087"/>
    <w:rsid w:val="1C245D71"/>
    <w:rsid w:val="1C26D10D"/>
    <w:rsid w:val="1C323F6F"/>
    <w:rsid w:val="1C35C613"/>
    <w:rsid w:val="1C4387E0"/>
    <w:rsid w:val="1C45F22D"/>
    <w:rsid w:val="1C519B10"/>
    <w:rsid w:val="1C5772E3"/>
    <w:rsid w:val="1C58E243"/>
    <w:rsid w:val="1C5C5A90"/>
    <w:rsid w:val="1C605767"/>
    <w:rsid w:val="1C625548"/>
    <w:rsid w:val="1C62FE93"/>
    <w:rsid w:val="1C6A1E93"/>
    <w:rsid w:val="1C6DEB14"/>
    <w:rsid w:val="1C6FDB8F"/>
    <w:rsid w:val="1C76B890"/>
    <w:rsid w:val="1C7BE2DD"/>
    <w:rsid w:val="1C8024FA"/>
    <w:rsid w:val="1C84E67A"/>
    <w:rsid w:val="1C86F696"/>
    <w:rsid w:val="1C884BFE"/>
    <w:rsid w:val="1C8BD2B9"/>
    <w:rsid w:val="1C8BEB92"/>
    <w:rsid w:val="1C8C7108"/>
    <w:rsid w:val="1C971394"/>
    <w:rsid w:val="1C9927F2"/>
    <w:rsid w:val="1CA06636"/>
    <w:rsid w:val="1CA0B8EF"/>
    <w:rsid w:val="1CA2033D"/>
    <w:rsid w:val="1CAD1DCA"/>
    <w:rsid w:val="1CAD671D"/>
    <w:rsid w:val="1CB1B7AE"/>
    <w:rsid w:val="1CB649C5"/>
    <w:rsid w:val="1CB70BDD"/>
    <w:rsid w:val="1CBF7473"/>
    <w:rsid w:val="1CC1DEED"/>
    <w:rsid w:val="1CC3C698"/>
    <w:rsid w:val="1CC6F263"/>
    <w:rsid w:val="1CCBAE56"/>
    <w:rsid w:val="1CD5D304"/>
    <w:rsid w:val="1CDD8D38"/>
    <w:rsid w:val="1CEB0969"/>
    <w:rsid w:val="1CF4FB84"/>
    <w:rsid w:val="1CF604C1"/>
    <w:rsid w:val="1CFD6E62"/>
    <w:rsid w:val="1D00678D"/>
    <w:rsid w:val="1D035666"/>
    <w:rsid w:val="1D08B054"/>
    <w:rsid w:val="1D16E860"/>
    <w:rsid w:val="1D1D5B2A"/>
    <w:rsid w:val="1D237D03"/>
    <w:rsid w:val="1D23A31B"/>
    <w:rsid w:val="1D242D1D"/>
    <w:rsid w:val="1D2BDB5D"/>
    <w:rsid w:val="1D388348"/>
    <w:rsid w:val="1D3DFFD8"/>
    <w:rsid w:val="1D4D0B80"/>
    <w:rsid w:val="1D4DF48C"/>
    <w:rsid w:val="1D51E090"/>
    <w:rsid w:val="1D59D6EC"/>
    <w:rsid w:val="1D5A46F1"/>
    <w:rsid w:val="1D612257"/>
    <w:rsid w:val="1D711DBA"/>
    <w:rsid w:val="1D727435"/>
    <w:rsid w:val="1D72A88A"/>
    <w:rsid w:val="1D77D79D"/>
    <w:rsid w:val="1D77D98A"/>
    <w:rsid w:val="1D7B538C"/>
    <w:rsid w:val="1D80D53A"/>
    <w:rsid w:val="1D83184E"/>
    <w:rsid w:val="1D89100E"/>
    <w:rsid w:val="1D8DB883"/>
    <w:rsid w:val="1D8E3FBC"/>
    <w:rsid w:val="1D9214D9"/>
    <w:rsid w:val="1D93DA8A"/>
    <w:rsid w:val="1D96DC0F"/>
    <w:rsid w:val="1DA5CEA0"/>
    <w:rsid w:val="1DA7D4ED"/>
    <w:rsid w:val="1DABA6F6"/>
    <w:rsid w:val="1DAED0EC"/>
    <w:rsid w:val="1DB6477A"/>
    <w:rsid w:val="1DBAC2E2"/>
    <w:rsid w:val="1DC192E7"/>
    <w:rsid w:val="1DC666F5"/>
    <w:rsid w:val="1DC71384"/>
    <w:rsid w:val="1DC74D46"/>
    <w:rsid w:val="1DCCA446"/>
    <w:rsid w:val="1DD3D14E"/>
    <w:rsid w:val="1DD7FA98"/>
    <w:rsid w:val="1DDEB384"/>
    <w:rsid w:val="1DE34454"/>
    <w:rsid w:val="1DE66152"/>
    <w:rsid w:val="1DE71C52"/>
    <w:rsid w:val="1DEE3CBA"/>
    <w:rsid w:val="1DF344CC"/>
    <w:rsid w:val="1DF68765"/>
    <w:rsid w:val="1DFD48F8"/>
    <w:rsid w:val="1DFE3B10"/>
    <w:rsid w:val="1E0147BD"/>
    <w:rsid w:val="1E028903"/>
    <w:rsid w:val="1E1CE0AF"/>
    <w:rsid w:val="1E1D2CB1"/>
    <w:rsid w:val="1E24C94F"/>
    <w:rsid w:val="1E24F934"/>
    <w:rsid w:val="1E2702B0"/>
    <w:rsid w:val="1E2FAF83"/>
    <w:rsid w:val="1E326C34"/>
    <w:rsid w:val="1E346323"/>
    <w:rsid w:val="1E3EE2C8"/>
    <w:rsid w:val="1E416A0B"/>
    <w:rsid w:val="1E4EB769"/>
    <w:rsid w:val="1E54AB6B"/>
    <w:rsid w:val="1E57C7E3"/>
    <w:rsid w:val="1E64C36D"/>
    <w:rsid w:val="1E6ECD2F"/>
    <w:rsid w:val="1E70B55C"/>
    <w:rsid w:val="1E752F40"/>
    <w:rsid w:val="1E769B12"/>
    <w:rsid w:val="1E7828E3"/>
    <w:rsid w:val="1E7CC726"/>
    <w:rsid w:val="1E8192FB"/>
    <w:rsid w:val="1E8208E2"/>
    <w:rsid w:val="1E836BB8"/>
    <w:rsid w:val="1E8BA125"/>
    <w:rsid w:val="1E8BC6A8"/>
    <w:rsid w:val="1E90AA29"/>
    <w:rsid w:val="1E9118A2"/>
    <w:rsid w:val="1E958E44"/>
    <w:rsid w:val="1E9C32AC"/>
    <w:rsid w:val="1EB1F9B5"/>
    <w:rsid w:val="1EB87531"/>
    <w:rsid w:val="1EB9BE97"/>
    <w:rsid w:val="1EC11113"/>
    <w:rsid w:val="1EC32F2E"/>
    <w:rsid w:val="1ECAA0A5"/>
    <w:rsid w:val="1ED37BE1"/>
    <w:rsid w:val="1EDCFFF3"/>
    <w:rsid w:val="1EDFF684"/>
    <w:rsid w:val="1EE061D5"/>
    <w:rsid w:val="1EE82EDD"/>
    <w:rsid w:val="1EED3126"/>
    <w:rsid w:val="1EFA9326"/>
    <w:rsid w:val="1F0809F5"/>
    <w:rsid w:val="1F11140C"/>
    <w:rsid w:val="1F16D05C"/>
    <w:rsid w:val="1F23026A"/>
    <w:rsid w:val="1F2D0C9D"/>
    <w:rsid w:val="1F30F463"/>
    <w:rsid w:val="1F33AC95"/>
    <w:rsid w:val="1F36FF97"/>
    <w:rsid w:val="1F40F5FD"/>
    <w:rsid w:val="1F4360DF"/>
    <w:rsid w:val="1F4568EA"/>
    <w:rsid w:val="1F4607DB"/>
    <w:rsid w:val="1F46B7EB"/>
    <w:rsid w:val="1F47B9B9"/>
    <w:rsid w:val="1F4A8B90"/>
    <w:rsid w:val="1F4E12AD"/>
    <w:rsid w:val="1F5074B9"/>
    <w:rsid w:val="1F519BF0"/>
    <w:rsid w:val="1F5B6195"/>
    <w:rsid w:val="1F5DE8A9"/>
    <w:rsid w:val="1F62EE0B"/>
    <w:rsid w:val="1F646C16"/>
    <w:rsid w:val="1F6FD111"/>
    <w:rsid w:val="1F75BCBD"/>
    <w:rsid w:val="1F77F220"/>
    <w:rsid w:val="1F7B8757"/>
    <w:rsid w:val="1F7C0AD9"/>
    <w:rsid w:val="1F7C28F9"/>
    <w:rsid w:val="1F804F68"/>
    <w:rsid w:val="1F8649F0"/>
    <w:rsid w:val="1F8A7563"/>
    <w:rsid w:val="1F8C480A"/>
    <w:rsid w:val="1F928A97"/>
    <w:rsid w:val="1F9E7002"/>
    <w:rsid w:val="1F9F2783"/>
    <w:rsid w:val="1F9F64F8"/>
    <w:rsid w:val="1FA10719"/>
    <w:rsid w:val="1FA5FB15"/>
    <w:rsid w:val="1FA98382"/>
    <w:rsid w:val="1FA9B0CA"/>
    <w:rsid w:val="1FAE3D1F"/>
    <w:rsid w:val="1FB4E2EC"/>
    <w:rsid w:val="1FB61C2F"/>
    <w:rsid w:val="1FBC9591"/>
    <w:rsid w:val="1FBD766E"/>
    <w:rsid w:val="1FCDBABA"/>
    <w:rsid w:val="1FD2C8C3"/>
    <w:rsid w:val="1FD3CFC8"/>
    <w:rsid w:val="1FD517E9"/>
    <w:rsid w:val="1FD5B8D6"/>
    <w:rsid w:val="1FD5FA03"/>
    <w:rsid w:val="1FE92397"/>
    <w:rsid w:val="1FEAF204"/>
    <w:rsid w:val="1FF0E409"/>
    <w:rsid w:val="1FF1D9F0"/>
    <w:rsid w:val="1FF962EE"/>
    <w:rsid w:val="1FFA5740"/>
    <w:rsid w:val="20019F1E"/>
    <w:rsid w:val="200E4BC5"/>
    <w:rsid w:val="200F575C"/>
    <w:rsid w:val="20147072"/>
    <w:rsid w:val="20187A34"/>
    <w:rsid w:val="20258A3F"/>
    <w:rsid w:val="202597B1"/>
    <w:rsid w:val="2030030F"/>
    <w:rsid w:val="203A5518"/>
    <w:rsid w:val="203DAA83"/>
    <w:rsid w:val="204382E6"/>
    <w:rsid w:val="20491F55"/>
    <w:rsid w:val="204CA4A0"/>
    <w:rsid w:val="205219B1"/>
    <w:rsid w:val="20583CA7"/>
    <w:rsid w:val="205FC379"/>
    <w:rsid w:val="2060271C"/>
    <w:rsid w:val="206D865A"/>
    <w:rsid w:val="20719F4F"/>
    <w:rsid w:val="208117AE"/>
    <w:rsid w:val="20854C4E"/>
    <w:rsid w:val="208A0919"/>
    <w:rsid w:val="20977FCB"/>
    <w:rsid w:val="209DB36C"/>
    <w:rsid w:val="20A0445B"/>
    <w:rsid w:val="20A0E347"/>
    <w:rsid w:val="20A3EC93"/>
    <w:rsid w:val="20A66F80"/>
    <w:rsid w:val="20A71AD2"/>
    <w:rsid w:val="20B40199"/>
    <w:rsid w:val="20BE0648"/>
    <w:rsid w:val="20C3D6C1"/>
    <w:rsid w:val="20C457C4"/>
    <w:rsid w:val="20D0E163"/>
    <w:rsid w:val="20D23F98"/>
    <w:rsid w:val="20DDA152"/>
    <w:rsid w:val="20DF60EC"/>
    <w:rsid w:val="20ED1323"/>
    <w:rsid w:val="20F09FAF"/>
    <w:rsid w:val="20F51C27"/>
    <w:rsid w:val="20F9189B"/>
    <w:rsid w:val="2102C363"/>
    <w:rsid w:val="210EEF93"/>
    <w:rsid w:val="2124ACD9"/>
    <w:rsid w:val="21256FA5"/>
    <w:rsid w:val="213260B7"/>
    <w:rsid w:val="2134DC32"/>
    <w:rsid w:val="213655CC"/>
    <w:rsid w:val="21374787"/>
    <w:rsid w:val="213A0F3C"/>
    <w:rsid w:val="214771A3"/>
    <w:rsid w:val="21495D3F"/>
    <w:rsid w:val="214A0D80"/>
    <w:rsid w:val="214E37EA"/>
    <w:rsid w:val="21571F37"/>
    <w:rsid w:val="215793EC"/>
    <w:rsid w:val="2159C9C6"/>
    <w:rsid w:val="215B1A9D"/>
    <w:rsid w:val="215F01E9"/>
    <w:rsid w:val="2166AEB3"/>
    <w:rsid w:val="2167E4EC"/>
    <w:rsid w:val="216D8689"/>
    <w:rsid w:val="2173E65F"/>
    <w:rsid w:val="21757460"/>
    <w:rsid w:val="21757D89"/>
    <w:rsid w:val="2178B9F8"/>
    <w:rsid w:val="217C4038"/>
    <w:rsid w:val="217D71D1"/>
    <w:rsid w:val="2182E666"/>
    <w:rsid w:val="2183A21C"/>
    <w:rsid w:val="21858E02"/>
    <w:rsid w:val="218781E1"/>
    <w:rsid w:val="218C3AE7"/>
    <w:rsid w:val="218C86B1"/>
    <w:rsid w:val="2195DC55"/>
    <w:rsid w:val="219AC1DB"/>
    <w:rsid w:val="21A14B88"/>
    <w:rsid w:val="21A2E5C4"/>
    <w:rsid w:val="21A311E5"/>
    <w:rsid w:val="21B2F6A9"/>
    <w:rsid w:val="21B96540"/>
    <w:rsid w:val="21CCA0CF"/>
    <w:rsid w:val="21D3DFA3"/>
    <w:rsid w:val="21D4E062"/>
    <w:rsid w:val="21E43BE8"/>
    <w:rsid w:val="21E78753"/>
    <w:rsid w:val="21ECDC0C"/>
    <w:rsid w:val="21ED145C"/>
    <w:rsid w:val="21F752DF"/>
    <w:rsid w:val="21FDFA39"/>
    <w:rsid w:val="2200FF31"/>
    <w:rsid w:val="220A7078"/>
    <w:rsid w:val="220BB516"/>
    <w:rsid w:val="220D9BC7"/>
    <w:rsid w:val="22163DFB"/>
    <w:rsid w:val="2216B7E0"/>
    <w:rsid w:val="22170DB0"/>
    <w:rsid w:val="22182FA7"/>
    <w:rsid w:val="221AA5B4"/>
    <w:rsid w:val="221D59E8"/>
    <w:rsid w:val="2222EF76"/>
    <w:rsid w:val="2229AAB2"/>
    <w:rsid w:val="222AB66B"/>
    <w:rsid w:val="222ADEEF"/>
    <w:rsid w:val="222B6CEB"/>
    <w:rsid w:val="2248A010"/>
    <w:rsid w:val="22497543"/>
    <w:rsid w:val="224C0CA0"/>
    <w:rsid w:val="224E6AFC"/>
    <w:rsid w:val="225667F4"/>
    <w:rsid w:val="2258D780"/>
    <w:rsid w:val="2259A087"/>
    <w:rsid w:val="225D39AE"/>
    <w:rsid w:val="225DB3DA"/>
    <w:rsid w:val="225EECE8"/>
    <w:rsid w:val="2262AACF"/>
    <w:rsid w:val="22650AE1"/>
    <w:rsid w:val="2266815D"/>
    <w:rsid w:val="2267230F"/>
    <w:rsid w:val="2269ACC3"/>
    <w:rsid w:val="226E4C94"/>
    <w:rsid w:val="2276280C"/>
    <w:rsid w:val="227F4C8A"/>
    <w:rsid w:val="22879DB0"/>
    <w:rsid w:val="22952E02"/>
    <w:rsid w:val="22986901"/>
    <w:rsid w:val="229B7807"/>
    <w:rsid w:val="22A29D3B"/>
    <w:rsid w:val="22A7800E"/>
    <w:rsid w:val="22B17B86"/>
    <w:rsid w:val="22B2AE30"/>
    <w:rsid w:val="22B8C320"/>
    <w:rsid w:val="22BE8886"/>
    <w:rsid w:val="22C03CFF"/>
    <w:rsid w:val="22C69B65"/>
    <w:rsid w:val="22C6DB3F"/>
    <w:rsid w:val="22C7F097"/>
    <w:rsid w:val="22CA4846"/>
    <w:rsid w:val="22CC5184"/>
    <w:rsid w:val="22D1D4E3"/>
    <w:rsid w:val="22D4E2FE"/>
    <w:rsid w:val="22DCC534"/>
    <w:rsid w:val="22EF38BA"/>
    <w:rsid w:val="22F59A27"/>
    <w:rsid w:val="22F5C437"/>
    <w:rsid w:val="22FA8F47"/>
    <w:rsid w:val="22FB40FC"/>
    <w:rsid w:val="22FB6054"/>
    <w:rsid w:val="22FFE3B2"/>
    <w:rsid w:val="2303C56A"/>
    <w:rsid w:val="23077767"/>
    <w:rsid w:val="230A8C1D"/>
    <w:rsid w:val="2313CBEC"/>
    <w:rsid w:val="2314B1EE"/>
    <w:rsid w:val="23158607"/>
    <w:rsid w:val="23239C56"/>
    <w:rsid w:val="232AEA72"/>
    <w:rsid w:val="232D5C36"/>
    <w:rsid w:val="232E0C21"/>
    <w:rsid w:val="232E142E"/>
    <w:rsid w:val="2334EC4F"/>
    <w:rsid w:val="233752C0"/>
    <w:rsid w:val="233D0F80"/>
    <w:rsid w:val="2342D731"/>
    <w:rsid w:val="23449B37"/>
    <w:rsid w:val="2347B7F9"/>
    <w:rsid w:val="2348AA74"/>
    <w:rsid w:val="234B9DC1"/>
    <w:rsid w:val="235577F8"/>
    <w:rsid w:val="235CE2CB"/>
    <w:rsid w:val="235D5DFA"/>
    <w:rsid w:val="2362C9D9"/>
    <w:rsid w:val="23660C98"/>
    <w:rsid w:val="2366BF5F"/>
    <w:rsid w:val="236A3F50"/>
    <w:rsid w:val="236D5704"/>
    <w:rsid w:val="236D9EAB"/>
    <w:rsid w:val="2372E955"/>
    <w:rsid w:val="237A04F2"/>
    <w:rsid w:val="23849A61"/>
    <w:rsid w:val="2389CA8D"/>
    <w:rsid w:val="238E27EA"/>
    <w:rsid w:val="238E71C3"/>
    <w:rsid w:val="238F56B0"/>
    <w:rsid w:val="238FE1E8"/>
    <w:rsid w:val="23997D3F"/>
    <w:rsid w:val="2399C166"/>
    <w:rsid w:val="23A5BB82"/>
    <w:rsid w:val="23A6F463"/>
    <w:rsid w:val="23A73210"/>
    <w:rsid w:val="23A9C802"/>
    <w:rsid w:val="23B31701"/>
    <w:rsid w:val="23BDAB07"/>
    <w:rsid w:val="23C0016A"/>
    <w:rsid w:val="23C1B056"/>
    <w:rsid w:val="23C3DF8B"/>
    <w:rsid w:val="23CA3E03"/>
    <w:rsid w:val="23D7C83A"/>
    <w:rsid w:val="23DE6280"/>
    <w:rsid w:val="23E3787B"/>
    <w:rsid w:val="23E7918E"/>
    <w:rsid w:val="23E8005B"/>
    <w:rsid w:val="23E98A0D"/>
    <w:rsid w:val="23EA7806"/>
    <w:rsid w:val="23ED0B63"/>
    <w:rsid w:val="23EDA584"/>
    <w:rsid w:val="23F683FA"/>
    <w:rsid w:val="23FB9DC6"/>
    <w:rsid w:val="2405D793"/>
    <w:rsid w:val="2409BB4B"/>
    <w:rsid w:val="240B0061"/>
    <w:rsid w:val="24102605"/>
    <w:rsid w:val="242AC065"/>
    <w:rsid w:val="24331659"/>
    <w:rsid w:val="2435325F"/>
    <w:rsid w:val="24391D13"/>
    <w:rsid w:val="243962DF"/>
    <w:rsid w:val="243A4542"/>
    <w:rsid w:val="244AD60A"/>
    <w:rsid w:val="244C558E"/>
    <w:rsid w:val="244C6CF7"/>
    <w:rsid w:val="244D3D8D"/>
    <w:rsid w:val="2454D980"/>
    <w:rsid w:val="2459E625"/>
    <w:rsid w:val="245E24F4"/>
    <w:rsid w:val="246658BD"/>
    <w:rsid w:val="2468A813"/>
    <w:rsid w:val="246AE940"/>
    <w:rsid w:val="24730AC4"/>
    <w:rsid w:val="247FECF8"/>
    <w:rsid w:val="24816CC4"/>
    <w:rsid w:val="2481A587"/>
    <w:rsid w:val="24863EB6"/>
    <w:rsid w:val="24888996"/>
    <w:rsid w:val="248AF05C"/>
    <w:rsid w:val="248BC2B5"/>
    <w:rsid w:val="24903100"/>
    <w:rsid w:val="2498C42D"/>
    <w:rsid w:val="249ED4DF"/>
    <w:rsid w:val="249EFB6A"/>
    <w:rsid w:val="24A7FD51"/>
    <w:rsid w:val="24B613F7"/>
    <w:rsid w:val="24BC1F51"/>
    <w:rsid w:val="24C2DB55"/>
    <w:rsid w:val="24C4552C"/>
    <w:rsid w:val="24C552D9"/>
    <w:rsid w:val="24C7A10E"/>
    <w:rsid w:val="24E06029"/>
    <w:rsid w:val="24E55698"/>
    <w:rsid w:val="24E91E01"/>
    <w:rsid w:val="24EA59F2"/>
    <w:rsid w:val="24ED923C"/>
    <w:rsid w:val="24EED58E"/>
    <w:rsid w:val="24F97FBE"/>
    <w:rsid w:val="25056AFA"/>
    <w:rsid w:val="25082F39"/>
    <w:rsid w:val="2508B65F"/>
    <w:rsid w:val="250AE1FA"/>
    <w:rsid w:val="25112009"/>
    <w:rsid w:val="2511B925"/>
    <w:rsid w:val="251401EC"/>
    <w:rsid w:val="2514A909"/>
    <w:rsid w:val="2514D752"/>
    <w:rsid w:val="2518EC98"/>
    <w:rsid w:val="251CE71A"/>
    <w:rsid w:val="251FF62C"/>
    <w:rsid w:val="2526C862"/>
    <w:rsid w:val="253A7AC5"/>
    <w:rsid w:val="253E749D"/>
    <w:rsid w:val="2541AC6A"/>
    <w:rsid w:val="2546BB8F"/>
    <w:rsid w:val="25491D7F"/>
    <w:rsid w:val="2549B1CB"/>
    <w:rsid w:val="254C79A1"/>
    <w:rsid w:val="2551842A"/>
    <w:rsid w:val="25526965"/>
    <w:rsid w:val="2552B1E3"/>
    <w:rsid w:val="255606DC"/>
    <w:rsid w:val="2558C4A6"/>
    <w:rsid w:val="2559FC16"/>
    <w:rsid w:val="255AA623"/>
    <w:rsid w:val="255F989F"/>
    <w:rsid w:val="25650D14"/>
    <w:rsid w:val="25694987"/>
    <w:rsid w:val="256BD59B"/>
    <w:rsid w:val="256CFE72"/>
    <w:rsid w:val="25738C0C"/>
    <w:rsid w:val="25764A5E"/>
    <w:rsid w:val="257FC757"/>
    <w:rsid w:val="2585B001"/>
    <w:rsid w:val="258C8BDF"/>
    <w:rsid w:val="258CEDE5"/>
    <w:rsid w:val="258DFCD0"/>
    <w:rsid w:val="259060C1"/>
    <w:rsid w:val="2593AD8C"/>
    <w:rsid w:val="2593D859"/>
    <w:rsid w:val="259475C9"/>
    <w:rsid w:val="25964616"/>
    <w:rsid w:val="259D2BEA"/>
    <w:rsid w:val="25A46511"/>
    <w:rsid w:val="25AFE7DD"/>
    <w:rsid w:val="25B26CD5"/>
    <w:rsid w:val="25B46256"/>
    <w:rsid w:val="25B8BA4A"/>
    <w:rsid w:val="25B9F6BA"/>
    <w:rsid w:val="25C19DDF"/>
    <w:rsid w:val="25CCFB71"/>
    <w:rsid w:val="25D186A5"/>
    <w:rsid w:val="25D7C03B"/>
    <w:rsid w:val="25D7E525"/>
    <w:rsid w:val="25DBBF05"/>
    <w:rsid w:val="25E0DE58"/>
    <w:rsid w:val="25E1798B"/>
    <w:rsid w:val="25E1DB2E"/>
    <w:rsid w:val="25E8994F"/>
    <w:rsid w:val="25EDE63D"/>
    <w:rsid w:val="25EFBC5A"/>
    <w:rsid w:val="26068B81"/>
    <w:rsid w:val="2608250F"/>
    <w:rsid w:val="260A32C5"/>
    <w:rsid w:val="260C18F7"/>
    <w:rsid w:val="260E38E3"/>
    <w:rsid w:val="260F3994"/>
    <w:rsid w:val="2616A63F"/>
    <w:rsid w:val="26260EA9"/>
    <w:rsid w:val="26308000"/>
    <w:rsid w:val="263E7CBC"/>
    <w:rsid w:val="263F9993"/>
    <w:rsid w:val="2640914F"/>
    <w:rsid w:val="26421EB0"/>
    <w:rsid w:val="26472042"/>
    <w:rsid w:val="26524339"/>
    <w:rsid w:val="2655D1D7"/>
    <w:rsid w:val="2658D3E3"/>
    <w:rsid w:val="265CD726"/>
    <w:rsid w:val="265D5CF8"/>
    <w:rsid w:val="2669BDAC"/>
    <w:rsid w:val="26752AE7"/>
    <w:rsid w:val="2679927E"/>
    <w:rsid w:val="267E1F74"/>
    <w:rsid w:val="2681D05A"/>
    <w:rsid w:val="26832C65"/>
    <w:rsid w:val="2684A90B"/>
    <w:rsid w:val="2686A18B"/>
    <w:rsid w:val="26895B70"/>
    <w:rsid w:val="26918BE0"/>
    <w:rsid w:val="2694A0C9"/>
    <w:rsid w:val="2696271E"/>
    <w:rsid w:val="269E6B0E"/>
    <w:rsid w:val="26A2CBAA"/>
    <w:rsid w:val="26A848FE"/>
    <w:rsid w:val="26A8C8A1"/>
    <w:rsid w:val="26AD7328"/>
    <w:rsid w:val="26B290EF"/>
    <w:rsid w:val="26B2F1BA"/>
    <w:rsid w:val="26B34A3A"/>
    <w:rsid w:val="26B5880E"/>
    <w:rsid w:val="26B80970"/>
    <w:rsid w:val="26B861FB"/>
    <w:rsid w:val="26BA5527"/>
    <w:rsid w:val="26BB19FB"/>
    <w:rsid w:val="26C41222"/>
    <w:rsid w:val="26CA9CF7"/>
    <w:rsid w:val="26CCE602"/>
    <w:rsid w:val="26E244EC"/>
    <w:rsid w:val="26E7A05B"/>
    <w:rsid w:val="26E94E3A"/>
    <w:rsid w:val="26E95ACE"/>
    <w:rsid w:val="26EE39C6"/>
    <w:rsid w:val="26EEB41D"/>
    <w:rsid w:val="26EF1A3A"/>
    <w:rsid w:val="26EF331A"/>
    <w:rsid w:val="26F24D81"/>
    <w:rsid w:val="26FAB07C"/>
    <w:rsid w:val="26FAB14D"/>
    <w:rsid w:val="26FD1BD5"/>
    <w:rsid w:val="26FDC2E7"/>
    <w:rsid w:val="26FE66FD"/>
    <w:rsid w:val="26FFEFCD"/>
    <w:rsid w:val="27029485"/>
    <w:rsid w:val="270946E1"/>
    <w:rsid w:val="270D8F16"/>
    <w:rsid w:val="270E725E"/>
    <w:rsid w:val="270F213E"/>
    <w:rsid w:val="2711DC2A"/>
    <w:rsid w:val="27146074"/>
    <w:rsid w:val="2719DA06"/>
    <w:rsid w:val="2719DAE7"/>
    <w:rsid w:val="271CC6C0"/>
    <w:rsid w:val="271F911B"/>
    <w:rsid w:val="27223440"/>
    <w:rsid w:val="2727EA6F"/>
    <w:rsid w:val="273D9BE3"/>
    <w:rsid w:val="273F28DE"/>
    <w:rsid w:val="27412505"/>
    <w:rsid w:val="27460D56"/>
    <w:rsid w:val="27489039"/>
    <w:rsid w:val="274A39D7"/>
    <w:rsid w:val="27516011"/>
    <w:rsid w:val="27543358"/>
    <w:rsid w:val="27559311"/>
    <w:rsid w:val="2756C36B"/>
    <w:rsid w:val="27609B44"/>
    <w:rsid w:val="27636835"/>
    <w:rsid w:val="276C681F"/>
    <w:rsid w:val="2772712F"/>
    <w:rsid w:val="27751299"/>
    <w:rsid w:val="277DCE57"/>
    <w:rsid w:val="2787DBEB"/>
    <w:rsid w:val="2788B81E"/>
    <w:rsid w:val="278B6166"/>
    <w:rsid w:val="278CA71E"/>
    <w:rsid w:val="27948A50"/>
    <w:rsid w:val="27978DC9"/>
    <w:rsid w:val="2799DBD1"/>
    <w:rsid w:val="279AFB40"/>
    <w:rsid w:val="27A27BAD"/>
    <w:rsid w:val="27A3FA9E"/>
    <w:rsid w:val="27A57435"/>
    <w:rsid w:val="27A745A7"/>
    <w:rsid w:val="27AF9BEB"/>
    <w:rsid w:val="27B393E9"/>
    <w:rsid w:val="27B85A72"/>
    <w:rsid w:val="27BC99C5"/>
    <w:rsid w:val="27CC5B90"/>
    <w:rsid w:val="27CD4139"/>
    <w:rsid w:val="27CD5FD6"/>
    <w:rsid w:val="27D11D2D"/>
    <w:rsid w:val="27DA91C7"/>
    <w:rsid w:val="27E124CA"/>
    <w:rsid w:val="27E2B861"/>
    <w:rsid w:val="27E4607A"/>
    <w:rsid w:val="27E5F24D"/>
    <w:rsid w:val="27E6029A"/>
    <w:rsid w:val="27E9A18A"/>
    <w:rsid w:val="27EF2D29"/>
    <w:rsid w:val="27F8A917"/>
    <w:rsid w:val="27FB9D98"/>
    <w:rsid w:val="27FD5161"/>
    <w:rsid w:val="280116A3"/>
    <w:rsid w:val="28055E98"/>
    <w:rsid w:val="2806E441"/>
    <w:rsid w:val="280993A4"/>
    <w:rsid w:val="28103CE2"/>
    <w:rsid w:val="2812600E"/>
    <w:rsid w:val="28191EE2"/>
    <w:rsid w:val="282269F3"/>
    <w:rsid w:val="28319D38"/>
    <w:rsid w:val="2836B012"/>
    <w:rsid w:val="28382928"/>
    <w:rsid w:val="283ACC38"/>
    <w:rsid w:val="28499B3C"/>
    <w:rsid w:val="284A0D9D"/>
    <w:rsid w:val="284A8F57"/>
    <w:rsid w:val="284DB60B"/>
    <w:rsid w:val="284F19FF"/>
    <w:rsid w:val="285944B9"/>
    <w:rsid w:val="2859C787"/>
    <w:rsid w:val="285BB104"/>
    <w:rsid w:val="286239BF"/>
    <w:rsid w:val="286307D4"/>
    <w:rsid w:val="28639A06"/>
    <w:rsid w:val="28643647"/>
    <w:rsid w:val="2867B37D"/>
    <w:rsid w:val="2868B979"/>
    <w:rsid w:val="286FAF3A"/>
    <w:rsid w:val="28730E25"/>
    <w:rsid w:val="28756C9A"/>
    <w:rsid w:val="287722B1"/>
    <w:rsid w:val="287F87BB"/>
    <w:rsid w:val="288124A4"/>
    <w:rsid w:val="2887B666"/>
    <w:rsid w:val="2887D606"/>
    <w:rsid w:val="2888635A"/>
    <w:rsid w:val="28888803"/>
    <w:rsid w:val="288B8AFB"/>
    <w:rsid w:val="289D2D40"/>
    <w:rsid w:val="28A0A208"/>
    <w:rsid w:val="28A1A89F"/>
    <w:rsid w:val="28ABF3F0"/>
    <w:rsid w:val="28ABFAFC"/>
    <w:rsid w:val="28B3187F"/>
    <w:rsid w:val="28B9EBFC"/>
    <w:rsid w:val="28BC4136"/>
    <w:rsid w:val="28C2C0F0"/>
    <w:rsid w:val="28D36A62"/>
    <w:rsid w:val="28D9C626"/>
    <w:rsid w:val="28DE67FA"/>
    <w:rsid w:val="28DFD49D"/>
    <w:rsid w:val="28E395B5"/>
    <w:rsid w:val="28E5F224"/>
    <w:rsid w:val="28E9A3BF"/>
    <w:rsid w:val="28EA5F79"/>
    <w:rsid w:val="28EF5F89"/>
    <w:rsid w:val="28F05E7E"/>
    <w:rsid w:val="28F87C95"/>
    <w:rsid w:val="29016AD9"/>
    <w:rsid w:val="2901D73A"/>
    <w:rsid w:val="29038852"/>
    <w:rsid w:val="2909281B"/>
    <w:rsid w:val="29166EA5"/>
    <w:rsid w:val="291C9E74"/>
    <w:rsid w:val="291DEBD3"/>
    <w:rsid w:val="292C5553"/>
    <w:rsid w:val="2930C778"/>
    <w:rsid w:val="29345669"/>
    <w:rsid w:val="29380C6B"/>
    <w:rsid w:val="293BF1EF"/>
    <w:rsid w:val="293D7384"/>
    <w:rsid w:val="2947BFAE"/>
    <w:rsid w:val="2948E7B1"/>
    <w:rsid w:val="2948F43A"/>
    <w:rsid w:val="2954BB8D"/>
    <w:rsid w:val="295B3E90"/>
    <w:rsid w:val="295DECB2"/>
    <w:rsid w:val="2976EE1D"/>
    <w:rsid w:val="297C6710"/>
    <w:rsid w:val="29806BF0"/>
    <w:rsid w:val="29859BF4"/>
    <w:rsid w:val="29A056F7"/>
    <w:rsid w:val="29AC6559"/>
    <w:rsid w:val="29B10571"/>
    <w:rsid w:val="29B88084"/>
    <w:rsid w:val="29C0A9F3"/>
    <w:rsid w:val="29C21A5A"/>
    <w:rsid w:val="29CD3A2D"/>
    <w:rsid w:val="29D5BF9D"/>
    <w:rsid w:val="29D948A9"/>
    <w:rsid w:val="29D9B2EE"/>
    <w:rsid w:val="29DC22D8"/>
    <w:rsid w:val="29DD4E68"/>
    <w:rsid w:val="29DD5979"/>
    <w:rsid w:val="29DF3061"/>
    <w:rsid w:val="29DFD8EF"/>
    <w:rsid w:val="29E7D1F0"/>
    <w:rsid w:val="29E86453"/>
    <w:rsid w:val="29EA6608"/>
    <w:rsid w:val="29F3D3E2"/>
    <w:rsid w:val="29F55283"/>
    <w:rsid w:val="29F6A841"/>
    <w:rsid w:val="2A01DE98"/>
    <w:rsid w:val="2A0D3B25"/>
    <w:rsid w:val="2A0DAD5D"/>
    <w:rsid w:val="2A1D34C5"/>
    <w:rsid w:val="2A214303"/>
    <w:rsid w:val="2A22E3FB"/>
    <w:rsid w:val="2A2416DE"/>
    <w:rsid w:val="2A2EBE78"/>
    <w:rsid w:val="2A31CB25"/>
    <w:rsid w:val="2A36BB6C"/>
    <w:rsid w:val="2A37579D"/>
    <w:rsid w:val="2A387EB6"/>
    <w:rsid w:val="2A38E8AC"/>
    <w:rsid w:val="2A4159A7"/>
    <w:rsid w:val="2A41FAE6"/>
    <w:rsid w:val="2A42DD85"/>
    <w:rsid w:val="2A437983"/>
    <w:rsid w:val="2A448CFB"/>
    <w:rsid w:val="2A46DFF2"/>
    <w:rsid w:val="2A48002C"/>
    <w:rsid w:val="2A5642B2"/>
    <w:rsid w:val="2A57EB46"/>
    <w:rsid w:val="2A593D8A"/>
    <w:rsid w:val="2A599E1E"/>
    <w:rsid w:val="2A5A7BCB"/>
    <w:rsid w:val="2A61CC73"/>
    <w:rsid w:val="2A67B41B"/>
    <w:rsid w:val="2A87FE1A"/>
    <w:rsid w:val="2A8DB699"/>
    <w:rsid w:val="2A95CC23"/>
    <w:rsid w:val="2A9A38AD"/>
    <w:rsid w:val="2AA71F53"/>
    <w:rsid w:val="2AACAB0A"/>
    <w:rsid w:val="2AB3453A"/>
    <w:rsid w:val="2AB5C955"/>
    <w:rsid w:val="2AB67DA0"/>
    <w:rsid w:val="2AB88C09"/>
    <w:rsid w:val="2ABFB92F"/>
    <w:rsid w:val="2AC00A3B"/>
    <w:rsid w:val="2AC88B14"/>
    <w:rsid w:val="2AC90CA3"/>
    <w:rsid w:val="2AC93650"/>
    <w:rsid w:val="2ACA9904"/>
    <w:rsid w:val="2ACB4EE4"/>
    <w:rsid w:val="2ACE0FF8"/>
    <w:rsid w:val="2AD065E4"/>
    <w:rsid w:val="2AD3F0F5"/>
    <w:rsid w:val="2ADFD1B9"/>
    <w:rsid w:val="2AE1B1EB"/>
    <w:rsid w:val="2AEF2D0F"/>
    <w:rsid w:val="2AF109CE"/>
    <w:rsid w:val="2AF4F59E"/>
    <w:rsid w:val="2AF535C5"/>
    <w:rsid w:val="2AFAC9CD"/>
    <w:rsid w:val="2AFC916B"/>
    <w:rsid w:val="2B02A17F"/>
    <w:rsid w:val="2B03AC96"/>
    <w:rsid w:val="2B04FA3A"/>
    <w:rsid w:val="2B053CC8"/>
    <w:rsid w:val="2B0C58F8"/>
    <w:rsid w:val="2B128521"/>
    <w:rsid w:val="2B12F530"/>
    <w:rsid w:val="2B165090"/>
    <w:rsid w:val="2B19E663"/>
    <w:rsid w:val="2B1E3EE4"/>
    <w:rsid w:val="2B20A352"/>
    <w:rsid w:val="2B20CBDA"/>
    <w:rsid w:val="2B213B41"/>
    <w:rsid w:val="2B23F4B5"/>
    <w:rsid w:val="2B24DFC2"/>
    <w:rsid w:val="2B2E5ECE"/>
    <w:rsid w:val="2B2F9453"/>
    <w:rsid w:val="2B36430E"/>
    <w:rsid w:val="2B391E06"/>
    <w:rsid w:val="2B3F9C06"/>
    <w:rsid w:val="2B419578"/>
    <w:rsid w:val="2B41F2BA"/>
    <w:rsid w:val="2B44B3FF"/>
    <w:rsid w:val="2B464E12"/>
    <w:rsid w:val="2B4C60A9"/>
    <w:rsid w:val="2B53BEF2"/>
    <w:rsid w:val="2B551357"/>
    <w:rsid w:val="2B607438"/>
    <w:rsid w:val="2B673930"/>
    <w:rsid w:val="2B69B8F8"/>
    <w:rsid w:val="2B722E9A"/>
    <w:rsid w:val="2B7462FB"/>
    <w:rsid w:val="2B7A3801"/>
    <w:rsid w:val="2B853532"/>
    <w:rsid w:val="2B8A6549"/>
    <w:rsid w:val="2B8B0697"/>
    <w:rsid w:val="2B8EB91A"/>
    <w:rsid w:val="2BA0606F"/>
    <w:rsid w:val="2BA50F33"/>
    <w:rsid w:val="2BA83DBD"/>
    <w:rsid w:val="2BAADCC7"/>
    <w:rsid w:val="2BB4356F"/>
    <w:rsid w:val="2BB4C2EB"/>
    <w:rsid w:val="2BBC5AE3"/>
    <w:rsid w:val="2BBD1D59"/>
    <w:rsid w:val="2BBE4889"/>
    <w:rsid w:val="2BBF61AA"/>
    <w:rsid w:val="2BC33BB5"/>
    <w:rsid w:val="2BC48A40"/>
    <w:rsid w:val="2BC8B0E3"/>
    <w:rsid w:val="2BCA93C8"/>
    <w:rsid w:val="2BCDC31E"/>
    <w:rsid w:val="2BD09754"/>
    <w:rsid w:val="2BD423B1"/>
    <w:rsid w:val="2BDCFB42"/>
    <w:rsid w:val="2BDF0BCA"/>
    <w:rsid w:val="2BEB1D62"/>
    <w:rsid w:val="2BEEFDAF"/>
    <w:rsid w:val="2BF3499F"/>
    <w:rsid w:val="2BFB7F85"/>
    <w:rsid w:val="2BFFA65B"/>
    <w:rsid w:val="2C0B86C9"/>
    <w:rsid w:val="2C10E7A7"/>
    <w:rsid w:val="2C16DB0E"/>
    <w:rsid w:val="2C1E812E"/>
    <w:rsid w:val="2C200FB9"/>
    <w:rsid w:val="2C21338A"/>
    <w:rsid w:val="2C2BCC5F"/>
    <w:rsid w:val="2C3451AA"/>
    <w:rsid w:val="2C3C9261"/>
    <w:rsid w:val="2C3DAA13"/>
    <w:rsid w:val="2C42E2EE"/>
    <w:rsid w:val="2C4786C6"/>
    <w:rsid w:val="2C4C1D76"/>
    <w:rsid w:val="2C50B724"/>
    <w:rsid w:val="2C53A020"/>
    <w:rsid w:val="2C55FD7A"/>
    <w:rsid w:val="2C58595A"/>
    <w:rsid w:val="2C594126"/>
    <w:rsid w:val="2C5A3617"/>
    <w:rsid w:val="2C61FAD7"/>
    <w:rsid w:val="2C6275D0"/>
    <w:rsid w:val="2C669A30"/>
    <w:rsid w:val="2C6BE87C"/>
    <w:rsid w:val="2C7259AE"/>
    <w:rsid w:val="2C74F8EA"/>
    <w:rsid w:val="2C7B3DF4"/>
    <w:rsid w:val="2C84C479"/>
    <w:rsid w:val="2C878824"/>
    <w:rsid w:val="2C8BC4D7"/>
    <w:rsid w:val="2C8BE2F3"/>
    <w:rsid w:val="2C8BE3E6"/>
    <w:rsid w:val="2C8F3E4B"/>
    <w:rsid w:val="2C906C77"/>
    <w:rsid w:val="2C91935F"/>
    <w:rsid w:val="2C983433"/>
    <w:rsid w:val="2C9C58A3"/>
    <w:rsid w:val="2CAB8B6A"/>
    <w:rsid w:val="2CAFBCAA"/>
    <w:rsid w:val="2CB03446"/>
    <w:rsid w:val="2CBD0F77"/>
    <w:rsid w:val="2CC14FB4"/>
    <w:rsid w:val="2CC21255"/>
    <w:rsid w:val="2CC3493A"/>
    <w:rsid w:val="2CC81CEF"/>
    <w:rsid w:val="2CC9897C"/>
    <w:rsid w:val="2CC9EBA4"/>
    <w:rsid w:val="2CCD6330"/>
    <w:rsid w:val="2CCEA223"/>
    <w:rsid w:val="2CD25FD4"/>
    <w:rsid w:val="2CD52365"/>
    <w:rsid w:val="2CD704DF"/>
    <w:rsid w:val="2CDACA41"/>
    <w:rsid w:val="2CDD1D73"/>
    <w:rsid w:val="2CE89CB5"/>
    <w:rsid w:val="2CECC298"/>
    <w:rsid w:val="2CFDE8CE"/>
    <w:rsid w:val="2D019F4B"/>
    <w:rsid w:val="2D022CD5"/>
    <w:rsid w:val="2D06960C"/>
    <w:rsid w:val="2D0A6DE7"/>
    <w:rsid w:val="2D17F7B0"/>
    <w:rsid w:val="2D17FB19"/>
    <w:rsid w:val="2D1C794A"/>
    <w:rsid w:val="2D1FD9A3"/>
    <w:rsid w:val="2D234F60"/>
    <w:rsid w:val="2D297DD8"/>
    <w:rsid w:val="2D2E58B5"/>
    <w:rsid w:val="2D39705D"/>
    <w:rsid w:val="2D43F976"/>
    <w:rsid w:val="2D47AA21"/>
    <w:rsid w:val="2D482C07"/>
    <w:rsid w:val="2D54E474"/>
    <w:rsid w:val="2D5A22AD"/>
    <w:rsid w:val="2D6237E5"/>
    <w:rsid w:val="2D6BC90B"/>
    <w:rsid w:val="2D6F1FE0"/>
    <w:rsid w:val="2D7779C4"/>
    <w:rsid w:val="2D7DA3C3"/>
    <w:rsid w:val="2D7F7C22"/>
    <w:rsid w:val="2D7FFBC9"/>
    <w:rsid w:val="2D8D4F77"/>
    <w:rsid w:val="2D927EEF"/>
    <w:rsid w:val="2D934305"/>
    <w:rsid w:val="2D939402"/>
    <w:rsid w:val="2D9621B8"/>
    <w:rsid w:val="2DA83602"/>
    <w:rsid w:val="2DB02AC3"/>
    <w:rsid w:val="2DB93709"/>
    <w:rsid w:val="2DBA81AC"/>
    <w:rsid w:val="2DBB3570"/>
    <w:rsid w:val="2DBB7B7C"/>
    <w:rsid w:val="2DC64026"/>
    <w:rsid w:val="2DC9D3D5"/>
    <w:rsid w:val="2DCB98A5"/>
    <w:rsid w:val="2DD1477C"/>
    <w:rsid w:val="2DD2C858"/>
    <w:rsid w:val="2DDC2BBD"/>
    <w:rsid w:val="2DE0DBBE"/>
    <w:rsid w:val="2DE443E4"/>
    <w:rsid w:val="2DE98843"/>
    <w:rsid w:val="2DECA81E"/>
    <w:rsid w:val="2DEF48D6"/>
    <w:rsid w:val="2DF3FF65"/>
    <w:rsid w:val="2DF6D05B"/>
    <w:rsid w:val="2DF7A515"/>
    <w:rsid w:val="2E087693"/>
    <w:rsid w:val="2E08788E"/>
    <w:rsid w:val="2E0AF886"/>
    <w:rsid w:val="2E166610"/>
    <w:rsid w:val="2E1A399A"/>
    <w:rsid w:val="2E1A8246"/>
    <w:rsid w:val="2E1D52D9"/>
    <w:rsid w:val="2E20D4EF"/>
    <w:rsid w:val="2E257A43"/>
    <w:rsid w:val="2E2CDD81"/>
    <w:rsid w:val="2E369FCE"/>
    <w:rsid w:val="2E3823EF"/>
    <w:rsid w:val="2E3CBE72"/>
    <w:rsid w:val="2E3EBA22"/>
    <w:rsid w:val="2E40D095"/>
    <w:rsid w:val="2E46D52A"/>
    <w:rsid w:val="2E51129A"/>
    <w:rsid w:val="2E51DB7E"/>
    <w:rsid w:val="2E5A5F5D"/>
    <w:rsid w:val="2E5DF966"/>
    <w:rsid w:val="2E61FD44"/>
    <w:rsid w:val="2E63FFBC"/>
    <w:rsid w:val="2E754877"/>
    <w:rsid w:val="2E858B62"/>
    <w:rsid w:val="2E9262C1"/>
    <w:rsid w:val="2E95B91A"/>
    <w:rsid w:val="2E995C5A"/>
    <w:rsid w:val="2E9C17E0"/>
    <w:rsid w:val="2EB21074"/>
    <w:rsid w:val="2EB548BD"/>
    <w:rsid w:val="2EBB0CB8"/>
    <w:rsid w:val="2EBD84E9"/>
    <w:rsid w:val="2EC0E386"/>
    <w:rsid w:val="2EC2B8EA"/>
    <w:rsid w:val="2EC44E17"/>
    <w:rsid w:val="2ED19EBE"/>
    <w:rsid w:val="2ED49AD7"/>
    <w:rsid w:val="2EDF19FE"/>
    <w:rsid w:val="2EE1D07D"/>
    <w:rsid w:val="2EE327C0"/>
    <w:rsid w:val="2EE7BFE4"/>
    <w:rsid w:val="2EE84DBC"/>
    <w:rsid w:val="2EEAF7B4"/>
    <w:rsid w:val="2EEFB364"/>
    <w:rsid w:val="2EF1DECF"/>
    <w:rsid w:val="2EFE3A1C"/>
    <w:rsid w:val="2EFEA23B"/>
    <w:rsid w:val="2F04AA18"/>
    <w:rsid w:val="2F06E490"/>
    <w:rsid w:val="2F0D011B"/>
    <w:rsid w:val="2F0FE5E7"/>
    <w:rsid w:val="2F166550"/>
    <w:rsid w:val="2F186FDF"/>
    <w:rsid w:val="2F247794"/>
    <w:rsid w:val="2F2D43D6"/>
    <w:rsid w:val="2F372858"/>
    <w:rsid w:val="2F3CA5CA"/>
    <w:rsid w:val="2F5150A8"/>
    <w:rsid w:val="2F51F7D2"/>
    <w:rsid w:val="2F5217F4"/>
    <w:rsid w:val="2F5973D9"/>
    <w:rsid w:val="2F5A9D84"/>
    <w:rsid w:val="2F5DA5CC"/>
    <w:rsid w:val="2F5F1187"/>
    <w:rsid w:val="2F5F408E"/>
    <w:rsid w:val="2F67951D"/>
    <w:rsid w:val="2F6CEE82"/>
    <w:rsid w:val="2F72AEC7"/>
    <w:rsid w:val="2F76B81A"/>
    <w:rsid w:val="2F782629"/>
    <w:rsid w:val="2F78D774"/>
    <w:rsid w:val="2F7F3EB6"/>
    <w:rsid w:val="2F809163"/>
    <w:rsid w:val="2F878CDC"/>
    <w:rsid w:val="2F8FCFC6"/>
    <w:rsid w:val="2F93235F"/>
    <w:rsid w:val="2F9413D6"/>
    <w:rsid w:val="2F948762"/>
    <w:rsid w:val="2F97A491"/>
    <w:rsid w:val="2F9916EE"/>
    <w:rsid w:val="2F99828B"/>
    <w:rsid w:val="2F9D9BC9"/>
    <w:rsid w:val="2FA00C0A"/>
    <w:rsid w:val="2FA61EAB"/>
    <w:rsid w:val="2FA67577"/>
    <w:rsid w:val="2FA75978"/>
    <w:rsid w:val="2FA884EE"/>
    <w:rsid w:val="2FAAE30A"/>
    <w:rsid w:val="2FAE19AD"/>
    <w:rsid w:val="2FB1DBE0"/>
    <w:rsid w:val="2FB37A16"/>
    <w:rsid w:val="2FB5362D"/>
    <w:rsid w:val="2FBA46A9"/>
    <w:rsid w:val="2FBCB92C"/>
    <w:rsid w:val="2FBE0BCB"/>
    <w:rsid w:val="2FC01056"/>
    <w:rsid w:val="2FC3665B"/>
    <w:rsid w:val="2FC50D0F"/>
    <w:rsid w:val="2FC93421"/>
    <w:rsid w:val="2FCD84B4"/>
    <w:rsid w:val="2FD09182"/>
    <w:rsid w:val="2FD4F6E4"/>
    <w:rsid w:val="2FD5B55C"/>
    <w:rsid w:val="2FDF0DD4"/>
    <w:rsid w:val="2FE58780"/>
    <w:rsid w:val="2FE9317F"/>
    <w:rsid w:val="2FF89843"/>
    <w:rsid w:val="2FFDA6C6"/>
    <w:rsid w:val="30008B48"/>
    <w:rsid w:val="3000F5D4"/>
    <w:rsid w:val="300370AE"/>
    <w:rsid w:val="300528CE"/>
    <w:rsid w:val="3010AB77"/>
    <w:rsid w:val="30125552"/>
    <w:rsid w:val="30193FFC"/>
    <w:rsid w:val="3022B0DE"/>
    <w:rsid w:val="3024C6BD"/>
    <w:rsid w:val="302FB27A"/>
    <w:rsid w:val="30410421"/>
    <w:rsid w:val="304298ED"/>
    <w:rsid w:val="30481856"/>
    <w:rsid w:val="3048785C"/>
    <w:rsid w:val="304FA73D"/>
    <w:rsid w:val="3055AB67"/>
    <w:rsid w:val="30588C59"/>
    <w:rsid w:val="305A9C06"/>
    <w:rsid w:val="305BD199"/>
    <w:rsid w:val="305FC515"/>
    <w:rsid w:val="306D6B7E"/>
    <w:rsid w:val="3070BEEF"/>
    <w:rsid w:val="3072202B"/>
    <w:rsid w:val="3076FC22"/>
    <w:rsid w:val="30841823"/>
    <w:rsid w:val="309A718B"/>
    <w:rsid w:val="309C888B"/>
    <w:rsid w:val="309EDED6"/>
    <w:rsid w:val="30A081F0"/>
    <w:rsid w:val="30A200FA"/>
    <w:rsid w:val="30A9E432"/>
    <w:rsid w:val="30ABE5D1"/>
    <w:rsid w:val="30ADDF91"/>
    <w:rsid w:val="30B1DBCB"/>
    <w:rsid w:val="30B1FBD9"/>
    <w:rsid w:val="30B2194E"/>
    <w:rsid w:val="30B56415"/>
    <w:rsid w:val="30B5ED2B"/>
    <w:rsid w:val="30B6349C"/>
    <w:rsid w:val="30B759B3"/>
    <w:rsid w:val="30B920D8"/>
    <w:rsid w:val="30B9776C"/>
    <w:rsid w:val="30C3E3BE"/>
    <w:rsid w:val="30D1D81E"/>
    <w:rsid w:val="30DB0735"/>
    <w:rsid w:val="30DB4832"/>
    <w:rsid w:val="30DC0D42"/>
    <w:rsid w:val="30E084F3"/>
    <w:rsid w:val="30E75F47"/>
    <w:rsid w:val="30E7B5BD"/>
    <w:rsid w:val="30E83654"/>
    <w:rsid w:val="30EDC6A9"/>
    <w:rsid w:val="30F1118C"/>
    <w:rsid w:val="30F66C37"/>
    <w:rsid w:val="30F7D526"/>
    <w:rsid w:val="30FB88DC"/>
    <w:rsid w:val="30FE605E"/>
    <w:rsid w:val="31018DDA"/>
    <w:rsid w:val="3102F702"/>
    <w:rsid w:val="310318BA"/>
    <w:rsid w:val="31065808"/>
    <w:rsid w:val="31194749"/>
    <w:rsid w:val="311BD76D"/>
    <w:rsid w:val="311EB0EA"/>
    <w:rsid w:val="311FCFD5"/>
    <w:rsid w:val="312027AC"/>
    <w:rsid w:val="31208A70"/>
    <w:rsid w:val="312A1DB1"/>
    <w:rsid w:val="312F76CF"/>
    <w:rsid w:val="3130278B"/>
    <w:rsid w:val="31331CAD"/>
    <w:rsid w:val="31373C19"/>
    <w:rsid w:val="313E6E39"/>
    <w:rsid w:val="3141A472"/>
    <w:rsid w:val="31488E1F"/>
    <w:rsid w:val="3148F7DA"/>
    <w:rsid w:val="315E9E94"/>
    <w:rsid w:val="31700E0B"/>
    <w:rsid w:val="3171577F"/>
    <w:rsid w:val="317C79C2"/>
    <w:rsid w:val="317CA1C2"/>
    <w:rsid w:val="317CE98A"/>
    <w:rsid w:val="31804C5B"/>
    <w:rsid w:val="3183D3F2"/>
    <w:rsid w:val="3186280B"/>
    <w:rsid w:val="31868A6D"/>
    <w:rsid w:val="3188DEFF"/>
    <w:rsid w:val="318C19E4"/>
    <w:rsid w:val="318DDB14"/>
    <w:rsid w:val="318ECA33"/>
    <w:rsid w:val="318F372D"/>
    <w:rsid w:val="3194791D"/>
    <w:rsid w:val="319CE6F5"/>
    <w:rsid w:val="31A1AE79"/>
    <w:rsid w:val="31A593C2"/>
    <w:rsid w:val="31A680AF"/>
    <w:rsid w:val="31A7AB1B"/>
    <w:rsid w:val="31BA907E"/>
    <w:rsid w:val="31CFC1EC"/>
    <w:rsid w:val="31D963B3"/>
    <w:rsid w:val="31D9BDC2"/>
    <w:rsid w:val="31DD4792"/>
    <w:rsid w:val="31DED4B2"/>
    <w:rsid w:val="31E060E7"/>
    <w:rsid w:val="31E0D47D"/>
    <w:rsid w:val="31E1475D"/>
    <w:rsid w:val="31E3B020"/>
    <w:rsid w:val="31E77799"/>
    <w:rsid w:val="31F1081B"/>
    <w:rsid w:val="31FB11E8"/>
    <w:rsid w:val="3202D07B"/>
    <w:rsid w:val="32073D7E"/>
    <w:rsid w:val="320D1FF8"/>
    <w:rsid w:val="320DC139"/>
    <w:rsid w:val="3214179F"/>
    <w:rsid w:val="321750DE"/>
    <w:rsid w:val="3219FE9F"/>
    <w:rsid w:val="32222B8D"/>
    <w:rsid w:val="3222D05C"/>
    <w:rsid w:val="32299CDA"/>
    <w:rsid w:val="322BDB05"/>
    <w:rsid w:val="32341837"/>
    <w:rsid w:val="323818E1"/>
    <w:rsid w:val="3238D9F3"/>
    <w:rsid w:val="323F47D8"/>
    <w:rsid w:val="3242DB24"/>
    <w:rsid w:val="32465D36"/>
    <w:rsid w:val="324944A0"/>
    <w:rsid w:val="324B5824"/>
    <w:rsid w:val="32501A31"/>
    <w:rsid w:val="3250580B"/>
    <w:rsid w:val="32546026"/>
    <w:rsid w:val="3256B90C"/>
    <w:rsid w:val="325B17D8"/>
    <w:rsid w:val="3261D17C"/>
    <w:rsid w:val="3264A625"/>
    <w:rsid w:val="326553B4"/>
    <w:rsid w:val="3269156A"/>
    <w:rsid w:val="32786A7E"/>
    <w:rsid w:val="3279D821"/>
    <w:rsid w:val="327D84D8"/>
    <w:rsid w:val="328660B7"/>
    <w:rsid w:val="3286E68E"/>
    <w:rsid w:val="32871F85"/>
    <w:rsid w:val="328F0241"/>
    <w:rsid w:val="329847F4"/>
    <w:rsid w:val="329F5C07"/>
    <w:rsid w:val="32A25433"/>
    <w:rsid w:val="32A52E68"/>
    <w:rsid w:val="32A5544E"/>
    <w:rsid w:val="32A6B7BA"/>
    <w:rsid w:val="32AA6E56"/>
    <w:rsid w:val="32B0DB4E"/>
    <w:rsid w:val="32B6B5C7"/>
    <w:rsid w:val="32BBDC17"/>
    <w:rsid w:val="32BCF69A"/>
    <w:rsid w:val="32CCF22C"/>
    <w:rsid w:val="32D8BEA9"/>
    <w:rsid w:val="32DB8828"/>
    <w:rsid w:val="32DC9B15"/>
    <w:rsid w:val="32DCCDE6"/>
    <w:rsid w:val="32E5AECD"/>
    <w:rsid w:val="32F1BD91"/>
    <w:rsid w:val="32F47729"/>
    <w:rsid w:val="32FE31F7"/>
    <w:rsid w:val="33080C73"/>
    <w:rsid w:val="330BA652"/>
    <w:rsid w:val="330D1D2F"/>
    <w:rsid w:val="330D564A"/>
    <w:rsid w:val="3314E1DB"/>
    <w:rsid w:val="33163205"/>
    <w:rsid w:val="3318C223"/>
    <w:rsid w:val="331EA89B"/>
    <w:rsid w:val="331EE24A"/>
    <w:rsid w:val="33217C45"/>
    <w:rsid w:val="3325216A"/>
    <w:rsid w:val="332ACDAA"/>
    <w:rsid w:val="332DD7AA"/>
    <w:rsid w:val="332E04C2"/>
    <w:rsid w:val="332F5D26"/>
    <w:rsid w:val="332F7241"/>
    <w:rsid w:val="33310803"/>
    <w:rsid w:val="333CB365"/>
    <w:rsid w:val="333E3BF6"/>
    <w:rsid w:val="333F5470"/>
    <w:rsid w:val="333F75EC"/>
    <w:rsid w:val="334228F7"/>
    <w:rsid w:val="334BBC76"/>
    <w:rsid w:val="334E0C42"/>
    <w:rsid w:val="334FBDC3"/>
    <w:rsid w:val="3351AE67"/>
    <w:rsid w:val="3357CAA4"/>
    <w:rsid w:val="33594DEB"/>
    <w:rsid w:val="335B2E1B"/>
    <w:rsid w:val="3364E889"/>
    <w:rsid w:val="33665A6A"/>
    <w:rsid w:val="33719A66"/>
    <w:rsid w:val="33749DA9"/>
    <w:rsid w:val="33769FBA"/>
    <w:rsid w:val="3377E36D"/>
    <w:rsid w:val="337DAFB5"/>
    <w:rsid w:val="33804A0E"/>
    <w:rsid w:val="3382B4F7"/>
    <w:rsid w:val="3388548E"/>
    <w:rsid w:val="33992290"/>
    <w:rsid w:val="339BD968"/>
    <w:rsid w:val="339BE283"/>
    <w:rsid w:val="33A24F02"/>
    <w:rsid w:val="33A4A82C"/>
    <w:rsid w:val="33AE867E"/>
    <w:rsid w:val="33AF86C9"/>
    <w:rsid w:val="33B40FF8"/>
    <w:rsid w:val="33B9663E"/>
    <w:rsid w:val="33BB1C8A"/>
    <w:rsid w:val="33C4BFDE"/>
    <w:rsid w:val="33D64B98"/>
    <w:rsid w:val="33DF6208"/>
    <w:rsid w:val="33DFF5CB"/>
    <w:rsid w:val="33E04C41"/>
    <w:rsid w:val="33E10DBA"/>
    <w:rsid w:val="33ECF6D9"/>
    <w:rsid w:val="33F0FA20"/>
    <w:rsid w:val="33F103A1"/>
    <w:rsid w:val="33FA70DF"/>
    <w:rsid w:val="33FC9016"/>
    <w:rsid w:val="33FD9A48"/>
    <w:rsid w:val="3400A8AF"/>
    <w:rsid w:val="34039F29"/>
    <w:rsid w:val="3406EFFE"/>
    <w:rsid w:val="340903BC"/>
    <w:rsid w:val="34107B71"/>
    <w:rsid w:val="3411022D"/>
    <w:rsid w:val="34138C7B"/>
    <w:rsid w:val="3414F305"/>
    <w:rsid w:val="341EE6D1"/>
    <w:rsid w:val="3424EECB"/>
    <w:rsid w:val="342D1620"/>
    <w:rsid w:val="342FA901"/>
    <w:rsid w:val="3438E036"/>
    <w:rsid w:val="34399AF2"/>
    <w:rsid w:val="34515B96"/>
    <w:rsid w:val="3451C441"/>
    <w:rsid w:val="3467E413"/>
    <w:rsid w:val="3469AF22"/>
    <w:rsid w:val="34705C6D"/>
    <w:rsid w:val="347224F3"/>
    <w:rsid w:val="3473048D"/>
    <w:rsid w:val="347AA42E"/>
    <w:rsid w:val="347C6316"/>
    <w:rsid w:val="347DC0B0"/>
    <w:rsid w:val="3485C10C"/>
    <w:rsid w:val="3485EF22"/>
    <w:rsid w:val="34870543"/>
    <w:rsid w:val="348A1440"/>
    <w:rsid w:val="348B11AF"/>
    <w:rsid w:val="3492E5BF"/>
    <w:rsid w:val="34951469"/>
    <w:rsid w:val="349AD68C"/>
    <w:rsid w:val="34A29F35"/>
    <w:rsid w:val="34AA5755"/>
    <w:rsid w:val="34AAF903"/>
    <w:rsid w:val="34AF1CE6"/>
    <w:rsid w:val="34B2523C"/>
    <w:rsid w:val="34BF619D"/>
    <w:rsid w:val="34C46ABD"/>
    <w:rsid w:val="34C52C02"/>
    <w:rsid w:val="34C65414"/>
    <w:rsid w:val="34D6A81D"/>
    <w:rsid w:val="34D6D670"/>
    <w:rsid w:val="34D71F53"/>
    <w:rsid w:val="34D7A28A"/>
    <w:rsid w:val="34DAB07E"/>
    <w:rsid w:val="34DE9B49"/>
    <w:rsid w:val="34DFCD7B"/>
    <w:rsid w:val="34DFF6B9"/>
    <w:rsid w:val="34E1BD1F"/>
    <w:rsid w:val="34E641D7"/>
    <w:rsid w:val="34F51E0D"/>
    <w:rsid w:val="34F8056E"/>
    <w:rsid w:val="34F86F78"/>
    <w:rsid w:val="34FC2C2A"/>
    <w:rsid w:val="34FD8FF5"/>
    <w:rsid w:val="35139E10"/>
    <w:rsid w:val="351D8BFA"/>
    <w:rsid w:val="3523BA4F"/>
    <w:rsid w:val="3524B566"/>
    <w:rsid w:val="352C20BE"/>
    <w:rsid w:val="35332BC8"/>
    <w:rsid w:val="3535755E"/>
    <w:rsid w:val="353ABA94"/>
    <w:rsid w:val="3542CC82"/>
    <w:rsid w:val="35434797"/>
    <w:rsid w:val="3543B8DB"/>
    <w:rsid w:val="3544BAD8"/>
    <w:rsid w:val="354987C4"/>
    <w:rsid w:val="354F6F9F"/>
    <w:rsid w:val="35535196"/>
    <w:rsid w:val="35575A31"/>
    <w:rsid w:val="35617F10"/>
    <w:rsid w:val="3567D798"/>
    <w:rsid w:val="3569BE77"/>
    <w:rsid w:val="356C31B0"/>
    <w:rsid w:val="35707864"/>
    <w:rsid w:val="35713294"/>
    <w:rsid w:val="3573E34B"/>
    <w:rsid w:val="3575E023"/>
    <w:rsid w:val="357696FD"/>
    <w:rsid w:val="358FE977"/>
    <w:rsid w:val="35912B4D"/>
    <w:rsid w:val="3594668E"/>
    <w:rsid w:val="359A6A71"/>
    <w:rsid w:val="35A7CC8C"/>
    <w:rsid w:val="35A7D0AA"/>
    <w:rsid w:val="35AA0409"/>
    <w:rsid w:val="35AC917A"/>
    <w:rsid w:val="35B34B73"/>
    <w:rsid w:val="35B9E1B1"/>
    <w:rsid w:val="35BB140A"/>
    <w:rsid w:val="35C62559"/>
    <w:rsid w:val="35CA1107"/>
    <w:rsid w:val="35CAD104"/>
    <w:rsid w:val="35D08427"/>
    <w:rsid w:val="35D92B32"/>
    <w:rsid w:val="35E2AFD2"/>
    <w:rsid w:val="35E47AE1"/>
    <w:rsid w:val="35E906BF"/>
    <w:rsid w:val="35F011E8"/>
    <w:rsid w:val="35FFC862"/>
    <w:rsid w:val="36012001"/>
    <w:rsid w:val="3606F773"/>
    <w:rsid w:val="360850C2"/>
    <w:rsid w:val="36099284"/>
    <w:rsid w:val="360BC141"/>
    <w:rsid w:val="3613F3C7"/>
    <w:rsid w:val="361C8276"/>
    <w:rsid w:val="361F89DB"/>
    <w:rsid w:val="362464D0"/>
    <w:rsid w:val="3624DCEE"/>
    <w:rsid w:val="3624FED9"/>
    <w:rsid w:val="3628194D"/>
    <w:rsid w:val="3637312F"/>
    <w:rsid w:val="363C8465"/>
    <w:rsid w:val="3642AEA5"/>
    <w:rsid w:val="36465559"/>
    <w:rsid w:val="364A7AF6"/>
    <w:rsid w:val="364C64FC"/>
    <w:rsid w:val="364DDD0E"/>
    <w:rsid w:val="36568249"/>
    <w:rsid w:val="3657997A"/>
    <w:rsid w:val="36588029"/>
    <w:rsid w:val="3659992E"/>
    <w:rsid w:val="365A88F4"/>
    <w:rsid w:val="365CDD02"/>
    <w:rsid w:val="365EC2AC"/>
    <w:rsid w:val="36641089"/>
    <w:rsid w:val="36671C2D"/>
    <w:rsid w:val="366D9C47"/>
    <w:rsid w:val="366EC5D3"/>
    <w:rsid w:val="36702D78"/>
    <w:rsid w:val="3670B28C"/>
    <w:rsid w:val="3672B532"/>
    <w:rsid w:val="367AC914"/>
    <w:rsid w:val="36802388"/>
    <w:rsid w:val="3683FD9E"/>
    <w:rsid w:val="368C0804"/>
    <w:rsid w:val="369287CE"/>
    <w:rsid w:val="36A2CF75"/>
    <w:rsid w:val="36A6A89A"/>
    <w:rsid w:val="36B531F0"/>
    <w:rsid w:val="36B658B4"/>
    <w:rsid w:val="36B6681F"/>
    <w:rsid w:val="36BA82B5"/>
    <w:rsid w:val="36BEDE67"/>
    <w:rsid w:val="36BFD0CF"/>
    <w:rsid w:val="36C03507"/>
    <w:rsid w:val="36D24A74"/>
    <w:rsid w:val="36D3BDF8"/>
    <w:rsid w:val="36D53024"/>
    <w:rsid w:val="36DDE443"/>
    <w:rsid w:val="36E7B394"/>
    <w:rsid w:val="36E94DA1"/>
    <w:rsid w:val="36EB167A"/>
    <w:rsid w:val="36EDFC0F"/>
    <w:rsid w:val="36F82296"/>
    <w:rsid w:val="36FBD642"/>
    <w:rsid w:val="3708A96C"/>
    <w:rsid w:val="37092AB0"/>
    <w:rsid w:val="370CA0B7"/>
    <w:rsid w:val="370DB949"/>
    <w:rsid w:val="370DBA1A"/>
    <w:rsid w:val="37135EE4"/>
    <w:rsid w:val="37228823"/>
    <w:rsid w:val="37282F26"/>
    <w:rsid w:val="372D2FBC"/>
    <w:rsid w:val="373140F7"/>
    <w:rsid w:val="373679D7"/>
    <w:rsid w:val="3736BBBC"/>
    <w:rsid w:val="3739A34D"/>
    <w:rsid w:val="373A4C44"/>
    <w:rsid w:val="373B875E"/>
    <w:rsid w:val="374285D0"/>
    <w:rsid w:val="37435AB0"/>
    <w:rsid w:val="374D21F4"/>
    <w:rsid w:val="3750F88B"/>
    <w:rsid w:val="3753DCBA"/>
    <w:rsid w:val="37654B4D"/>
    <w:rsid w:val="376C109E"/>
    <w:rsid w:val="376E3D72"/>
    <w:rsid w:val="3774610A"/>
    <w:rsid w:val="377F213A"/>
    <w:rsid w:val="378BB236"/>
    <w:rsid w:val="3793B310"/>
    <w:rsid w:val="379B056A"/>
    <w:rsid w:val="37A07F9A"/>
    <w:rsid w:val="37A4FA96"/>
    <w:rsid w:val="37A54387"/>
    <w:rsid w:val="37ABCE06"/>
    <w:rsid w:val="37AD0C42"/>
    <w:rsid w:val="37AEA2F2"/>
    <w:rsid w:val="37B54A36"/>
    <w:rsid w:val="37BFACF1"/>
    <w:rsid w:val="37C89285"/>
    <w:rsid w:val="37C99C0F"/>
    <w:rsid w:val="37CAB181"/>
    <w:rsid w:val="37D1C345"/>
    <w:rsid w:val="37E347A5"/>
    <w:rsid w:val="37E68C96"/>
    <w:rsid w:val="37EA759E"/>
    <w:rsid w:val="37ED87F2"/>
    <w:rsid w:val="37EFC250"/>
    <w:rsid w:val="37F6B661"/>
    <w:rsid w:val="37F8DFE2"/>
    <w:rsid w:val="38032F40"/>
    <w:rsid w:val="38067F9A"/>
    <w:rsid w:val="380AFBC0"/>
    <w:rsid w:val="380C2879"/>
    <w:rsid w:val="38117E58"/>
    <w:rsid w:val="3814D4A6"/>
    <w:rsid w:val="381C666B"/>
    <w:rsid w:val="381C993C"/>
    <w:rsid w:val="382200A9"/>
    <w:rsid w:val="38224E3F"/>
    <w:rsid w:val="38229B82"/>
    <w:rsid w:val="3826F014"/>
    <w:rsid w:val="3827488D"/>
    <w:rsid w:val="3827878C"/>
    <w:rsid w:val="382787B9"/>
    <w:rsid w:val="382E783B"/>
    <w:rsid w:val="38330BC2"/>
    <w:rsid w:val="383924CF"/>
    <w:rsid w:val="384176BC"/>
    <w:rsid w:val="38437671"/>
    <w:rsid w:val="3845515B"/>
    <w:rsid w:val="3846F658"/>
    <w:rsid w:val="384C3F23"/>
    <w:rsid w:val="3854D20E"/>
    <w:rsid w:val="385B3AEB"/>
    <w:rsid w:val="3866141B"/>
    <w:rsid w:val="386C4891"/>
    <w:rsid w:val="387025FC"/>
    <w:rsid w:val="3871E038"/>
    <w:rsid w:val="3875B2CF"/>
    <w:rsid w:val="3884D79A"/>
    <w:rsid w:val="3885DCB5"/>
    <w:rsid w:val="38863A38"/>
    <w:rsid w:val="388A36D9"/>
    <w:rsid w:val="388E9776"/>
    <w:rsid w:val="38909BE9"/>
    <w:rsid w:val="38968E22"/>
    <w:rsid w:val="38977043"/>
    <w:rsid w:val="38978098"/>
    <w:rsid w:val="389949F6"/>
    <w:rsid w:val="38A02FE1"/>
    <w:rsid w:val="38A097AD"/>
    <w:rsid w:val="38A136B2"/>
    <w:rsid w:val="38A63A70"/>
    <w:rsid w:val="38AC2158"/>
    <w:rsid w:val="38AD2083"/>
    <w:rsid w:val="38AFE71F"/>
    <w:rsid w:val="38BE149A"/>
    <w:rsid w:val="38C3377E"/>
    <w:rsid w:val="38C43250"/>
    <w:rsid w:val="38C5BD84"/>
    <w:rsid w:val="38C75518"/>
    <w:rsid w:val="38C7D797"/>
    <w:rsid w:val="38D81C82"/>
    <w:rsid w:val="38D98EA1"/>
    <w:rsid w:val="38DCAD69"/>
    <w:rsid w:val="38DD4F88"/>
    <w:rsid w:val="38E4B512"/>
    <w:rsid w:val="38EB9494"/>
    <w:rsid w:val="38EF7600"/>
    <w:rsid w:val="38F11847"/>
    <w:rsid w:val="38F7B673"/>
    <w:rsid w:val="38F98BFD"/>
    <w:rsid w:val="3907C883"/>
    <w:rsid w:val="390AFAB6"/>
    <w:rsid w:val="39181F62"/>
    <w:rsid w:val="3918B2BD"/>
    <w:rsid w:val="391D8CAF"/>
    <w:rsid w:val="392237F7"/>
    <w:rsid w:val="3927EE0B"/>
    <w:rsid w:val="39289E22"/>
    <w:rsid w:val="392C97FE"/>
    <w:rsid w:val="392CA7D0"/>
    <w:rsid w:val="3933BA6F"/>
    <w:rsid w:val="39371038"/>
    <w:rsid w:val="393744DA"/>
    <w:rsid w:val="3942E005"/>
    <w:rsid w:val="39526623"/>
    <w:rsid w:val="3955A9A7"/>
    <w:rsid w:val="395A24EE"/>
    <w:rsid w:val="395A4A51"/>
    <w:rsid w:val="395B5243"/>
    <w:rsid w:val="3961650E"/>
    <w:rsid w:val="39622883"/>
    <w:rsid w:val="3962D00F"/>
    <w:rsid w:val="3964C78D"/>
    <w:rsid w:val="396D6456"/>
    <w:rsid w:val="39772C98"/>
    <w:rsid w:val="397D6FA8"/>
    <w:rsid w:val="398196CD"/>
    <w:rsid w:val="3984D4C3"/>
    <w:rsid w:val="39893CBA"/>
    <w:rsid w:val="398C0451"/>
    <w:rsid w:val="398F2F25"/>
    <w:rsid w:val="398F3A3C"/>
    <w:rsid w:val="398F5C27"/>
    <w:rsid w:val="3995C77C"/>
    <w:rsid w:val="3998C772"/>
    <w:rsid w:val="39A49DD9"/>
    <w:rsid w:val="39A7D0D6"/>
    <w:rsid w:val="39A891A4"/>
    <w:rsid w:val="39AA355E"/>
    <w:rsid w:val="39AC2CAE"/>
    <w:rsid w:val="39ACDB39"/>
    <w:rsid w:val="39B6D6CC"/>
    <w:rsid w:val="39B6E09E"/>
    <w:rsid w:val="39B97910"/>
    <w:rsid w:val="39BA39D7"/>
    <w:rsid w:val="39BC4E02"/>
    <w:rsid w:val="39BE2393"/>
    <w:rsid w:val="39C62BD5"/>
    <w:rsid w:val="39CAA351"/>
    <w:rsid w:val="39CCD937"/>
    <w:rsid w:val="39CD4B70"/>
    <w:rsid w:val="39CD770E"/>
    <w:rsid w:val="39D6DC0E"/>
    <w:rsid w:val="39D6EECF"/>
    <w:rsid w:val="39DE361D"/>
    <w:rsid w:val="39E35CB4"/>
    <w:rsid w:val="39E82CBD"/>
    <w:rsid w:val="39E85977"/>
    <w:rsid w:val="3A026735"/>
    <w:rsid w:val="3A02E79C"/>
    <w:rsid w:val="3A084526"/>
    <w:rsid w:val="3A14E562"/>
    <w:rsid w:val="3A1DAB2B"/>
    <w:rsid w:val="3A20D56C"/>
    <w:rsid w:val="3A276ACE"/>
    <w:rsid w:val="3A288594"/>
    <w:rsid w:val="3A2D0741"/>
    <w:rsid w:val="3A327755"/>
    <w:rsid w:val="3A33905D"/>
    <w:rsid w:val="3A377C93"/>
    <w:rsid w:val="3A3E4A24"/>
    <w:rsid w:val="3A409C71"/>
    <w:rsid w:val="3A435A4F"/>
    <w:rsid w:val="3A436007"/>
    <w:rsid w:val="3A485F60"/>
    <w:rsid w:val="3A4C6514"/>
    <w:rsid w:val="3A4F3A6D"/>
    <w:rsid w:val="3A4FA2F3"/>
    <w:rsid w:val="3A519AB7"/>
    <w:rsid w:val="3A52CDE7"/>
    <w:rsid w:val="3A55C0FA"/>
    <w:rsid w:val="3A5B97EF"/>
    <w:rsid w:val="3A5E350F"/>
    <w:rsid w:val="3A70A74A"/>
    <w:rsid w:val="3A7689FC"/>
    <w:rsid w:val="3A787A33"/>
    <w:rsid w:val="3A802B2D"/>
    <w:rsid w:val="3A8431D4"/>
    <w:rsid w:val="3A87B3D7"/>
    <w:rsid w:val="3A922972"/>
    <w:rsid w:val="3A93A3FB"/>
    <w:rsid w:val="3A9DA8ED"/>
    <w:rsid w:val="3AA714E8"/>
    <w:rsid w:val="3AA779CB"/>
    <w:rsid w:val="3AAF20ED"/>
    <w:rsid w:val="3AB0A8E0"/>
    <w:rsid w:val="3ABC84AB"/>
    <w:rsid w:val="3AC46F9C"/>
    <w:rsid w:val="3AC7DBAF"/>
    <w:rsid w:val="3ACAC90E"/>
    <w:rsid w:val="3ADD542D"/>
    <w:rsid w:val="3AE212BC"/>
    <w:rsid w:val="3AE3E843"/>
    <w:rsid w:val="3AE8E8BD"/>
    <w:rsid w:val="3AEC4E6F"/>
    <w:rsid w:val="3AEE5539"/>
    <w:rsid w:val="3AF07921"/>
    <w:rsid w:val="3AF1FC22"/>
    <w:rsid w:val="3AFC5F4E"/>
    <w:rsid w:val="3B045B77"/>
    <w:rsid w:val="3B0A9ACA"/>
    <w:rsid w:val="3B15961C"/>
    <w:rsid w:val="3B1DD06E"/>
    <w:rsid w:val="3B20B9BB"/>
    <w:rsid w:val="3B25135E"/>
    <w:rsid w:val="3B26E022"/>
    <w:rsid w:val="3B2709AB"/>
    <w:rsid w:val="3B2B0A9D"/>
    <w:rsid w:val="3B30BFC6"/>
    <w:rsid w:val="3B31CC76"/>
    <w:rsid w:val="3B32D055"/>
    <w:rsid w:val="3B3B465E"/>
    <w:rsid w:val="3B43A949"/>
    <w:rsid w:val="3B43C93B"/>
    <w:rsid w:val="3B46FD0B"/>
    <w:rsid w:val="3B4A0906"/>
    <w:rsid w:val="3B4B8D52"/>
    <w:rsid w:val="3B4EA467"/>
    <w:rsid w:val="3B536FB5"/>
    <w:rsid w:val="3B580E57"/>
    <w:rsid w:val="3B599FC7"/>
    <w:rsid w:val="3B5A1499"/>
    <w:rsid w:val="3B5C010A"/>
    <w:rsid w:val="3B631A72"/>
    <w:rsid w:val="3B63234E"/>
    <w:rsid w:val="3B65D4C0"/>
    <w:rsid w:val="3B66B2D5"/>
    <w:rsid w:val="3B67E653"/>
    <w:rsid w:val="3B73887E"/>
    <w:rsid w:val="3B7B83E9"/>
    <w:rsid w:val="3B7FB7BD"/>
    <w:rsid w:val="3B806D37"/>
    <w:rsid w:val="3B834A8A"/>
    <w:rsid w:val="3B844155"/>
    <w:rsid w:val="3B850C14"/>
    <w:rsid w:val="3B92B195"/>
    <w:rsid w:val="3B92C6FA"/>
    <w:rsid w:val="3B9540A3"/>
    <w:rsid w:val="3B96F0D8"/>
    <w:rsid w:val="3B9B2350"/>
    <w:rsid w:val="3B9CF7A8"/>
    <w:rsid w:val="3BA5C880"/>
    <w:rsid w:val="3BA828E5"/>
    <w:rsid w:val="3BAB1A2D"/>
    <w:rsid w:val="3BB8E4B9"/>
    <w:rsid w:val="3BBB8942"/>
    <w:rsid w:val="3BC7AF45"/>
    <w:rsid w:val="3BC8046B"/>
    <w:rsid w:val="3BD5A107"/>
    <w:rsid w:val="3BE177F8"/>
    <w:rsid w:val="3BE64E0B"/>
    <w:rsid w:val="3BF791D5"/>
    <w:rsid w:val="3C010EE1"/>
    <w:rsid w:val="3C068DA9"/>
    <w:rsid w:val="3C0957E5"/>
    <w:rsid w:val="3C0F8EA5"/>
    <w:rsid w:val="3C13C668"/>
    <w:rsid w:val="3C17F5B2"/>
    <w:rsid w:val="3C1C6E89"/>
    <w:rsid w:val="3C1EAD01"/>
    <w:rsid w:val="3C249FA0"/>
    <w:rsid w:val="3C298AE9"/>
    <w:rsid w:val="3C2A71F1"/>
    <w:rsid w:val="3C3115A3"/>
    <w:rsid w:val="3C314940"/>
    <w:rsid w:val="3C378C2E"/>
    <w:rsid w:val="3C37B37A"/>
    <w:rsid w:val="3C3D26DD"/>
    <w:rsid w:val="3C45F2CA"/>
    <w:rsid w:val="3C46A0AB"/>
    <w:rsid w:val="3C483D5A"/>
    <w:rsid w:val="3C48AB6E"/>
    <w:rsid w:val="3C4DE8A1"/>
    <w:rsid w:val="3C511E0E"/>
    <w:rsid w:val="3C57A028"/>
    <w:rsid w:val="3C5A2D39"/>
    <w:rsid w:val="3C5DBB00"/>
    <w:rsid w:val="3C628731"/>
    <w:rsid w:val="3C62A18E"/>
    <w:rsid w:val="3C635278"/>
    <w:rsid w:val="3C63C3E0"/>
    <w:rsid w:val="3C63C8D4"/>
    <w:rsid w:val="3C6BF4FF"/>
    <w:rsid w:val="3C73510F"/>
    <w:rsid w:val="3C787D41"/>
    <w:rsid w:val="3C7EECD1"/>
    <w:rsid w:val="3C7F127F"/>
    <w:rsid w:val="3C8525B4"/>
    <w:rsid w:val="3C8DF407"/>
    <w:rsid w:val="3C92F8B6"/>
    <w:rsid w:val="3C9659B2"/>
    <w:rsid w:val="3CA2751C"/>
    <w:rsid w:val="3CACDD3F"/>
    <w:rsid w:val="3CB2BE50"/>
    <w:rsid w:val="3CBCCB95"/>
    <w:rsid w:val="3CBF9845"/>
    <w:rsid w:val="3CC67376"/>
    <w:rsid w:val="3CC7DC9A"/>
    <w:rsid w:val="3CCAC697"/>
    <w:rsid w:val="3CDA84D3"/>
    <w:rsid w:val="3CE372A3"/>
    <w:rsid w:val="3CE84FAA"/>
    <w:rsid w:val="3CED5D08"/>
    <w:rsid w:val="3CF68012"/>
    <w:rsid w:val="3CFCDDB8"/>
    <w:rsid w:val="3D01448E"/>
    <w:rsid w:val="3D0531F1"/>
    <w:rsid w:val="3D086873"/>
    <w:rsid w:val="3D090C85"/>
    <w:rsid w:val="3D0E14D1"/>
    <w:rsid w:val="3D1125FF"/>
    <w:rsid w:val="3D126293"/>
    <w:rsid w:val="3D1C559C"/>
    <w:rsid w:val="3D1CAA1F"/>
    <w:rsid w:val="3D26285B"/>
    <w:rsid w:val="3D2740A9"/>
    <w:rsid w:val="3D2773D5"/>
    <w:rsid w:val="3D2928D6"/>
    <w:rsid w:val="3D2977D9"/>
    <w:rsid w:val="3D2E8A88"/>
    <w:rsid w:val="3D38FF75"/>
    <w:rsid w:val="3D3FABA4"/>
    <w:rsid w:val="3D45086E"/>
    <w:rsid w:val="3D4D5F62"/>
    <w:rsid w:val="3D53EFBA"/>
    <w:rsid w:val="3D57A511"/>
    <w:rsid w:val="3D627E79"/>
    <w:rsid w:val="3D641110"/>
    <w:rsid w:val="3D64B868"/>
    <w:rsid w:val="3D6BFB3F"/>
    <w:rsid w:val="3D6E55F6"/>
    <w:rsid w:val="3D7337A2"/>
    <w:rsid w:val="3D75BAB2"/>
    <w:rsid w:val="3D7AD409"/>
    <w:rsid w:val="3D85F523"/>
    <w:rsid w:val="3D894155"/>
    <w:rsid w:val="3D905BAE"/>
    <w:rsid w:val="3D93909F"/>
    <w:rsid w:val="3D966600"/>
    <w:rsid w:val="3D9BAE74"/>
    <w:rsid w:val="3D9E6CF6"/>
    <w:rsid w:val="3D9F836A"/>
    <w:rsid w:val="3DA1A557"/>
    <w:rsid w:val="3DADB34B"/>
    <w:rsid w:val="3DAEF6C7"/>
    <w:rsid w:val="3DB2FCF1"/>
    <w:rsid w:val="3DB52578"/>
    <w:rsid w:val="3DB780AB"/>
    <w:rsid w:val="3DB7A1FA"/>
    <w:rsid w:val="3DBAFB70"/>
    <w:rsid w:val="3DBBC703"/>
    <w:rsid w:val="3DBD0186"/>
    <w:rsid w:val="3DC9BF70"/>
    <w:rsid w:val="3DCAEEB7"/>
    <w:rsid w:val="3DD0964B"/>
    <w:rsid w:val="3DD530E5"/>
    <w:rsid w:val="3DF1541B"/>
    <w:rsid w:val="3DF237C7"/>
    <w:rsid w:val="3DF50A41"/>
    <w:rsid w:val="3DF7E21D"/>
    <w:rsid w:val="3E00A5B8"/>
    <w:rsid w:val="3E09BAF4"/>
    <w:rsid w:val="3E0C726E"/>
    <w:rsid w:val="3E11624C"/>
    <w:rsid w:val="3E15675D"/>
    <w:rsid w:val="3E20A3EA"/>
    <w:rsid w:val="3E2A2CF3"/>
    <w:rsid w:val="3E2EBCD8"/>
    <w:rsid w:val="3E311DC3"/>
    <w:rsid w:val="3E338E4E"/>
    <w:rsid w:val="3E360E77"/>
    <w:rsid w:val="3E411142"/>
    <w:rsid w:val="3E422D91"/>
    <w:rsid w:val="3E577285"/>
    <w:rsid w:val="3E5C2F34"/>
    <w:rsid w:val="3E66BE44"/>
    <w:rsid w:val="3E6C4EFD"/>
    <w:rsid w:val="3E73AF77"/>
    <w:rsid w:val="3E759755"/>
    <w:rsid w:val="3E86649D"/>
    <w:rsid w:val="3E8C4064"/>
    <w:rsid w:val="3E8EE34D"/>
    <w:rsid w:val="3E8F7B12"/>
    <w:rsid w:val="3E92B2B9"/>
    <w:rsid w:val="3E979442"/>
    <w:rsid w:val="3E9AB3A2"/>
    <w:rsid w:val="3E9B116F"/>
    <w:rsid w:val="3EA0FBDC"/>
    <w:rsid w:val="3EA45855"/>
    <w:rsid w:val="3EA8088A"/>
    <w:rsid w:val="3EAAB91F"/>
    <w:rsid w:val="3EAC871D"/>
    <w:rsid w:val="3EB4B6CA"/>
    <w:rsid w:val="3EB702B4"/>
    <w:rsid w:val="3ECA83C5"/>
    <w:rsid w:val="3ECB3957"/>
    <w:rsid w:val="3ED1099B"/>
    <w:rsid w:val="3ED6F7D2"/>
    <w:rsid w:val="3EDDFCBC"/>
    <w:rsid w:val="3EE61A2B"/>
    <w:rsid w:val="3EE9946A"/>
    <w:rsid w:val="3EEBD439"/>
    <w:rsid w:val="3EF0DA50"/>
    <w:rsid w:val="3EF381B5"/>
    <w:rsid w:val="3EF4DB2F"/>
    <w:rsid w:val="3EF6BD0C"/>
    <w:rsid w:val="3EF81214"/>
    <w:rsid w:val="3F0146F9"/>
    <w:rsid w:val="3F05C555"/>
    <w:rsid w:val="3F065758"/>
    <w:rsid w:val="3F0E1E4E"/>
    <w:rsid w:val="3F15D538"/>
    <w:rsid w:val="3F160D99"/>
    <w:rsid w:val="3F1FD097"/>
    <w:rsid w:val="3F30A740"/>
    <w:rsid w:val="3F36133D"/>
    <w:rsid w:val="3F5027CC"/>
    <w:rsid w:val="3F52C552"/>
    <w:rsid w:val="3F5627FB"/>
    <w:rsid w:val="3F5BC80E"/>
    <w:rsid w:val="3F5F7744"/>
    <w:rsid w:val="3F5FCF6E"/>
    <w:rsid w:val="3F6F4002"/>
    <w:rsid w:val="3F73313F"/>
    <w:rsid w:val="3F733F2A"/>
    <w:rsid w:val="3F7376EE"/>
    <w:rsid w:val="3F75620A"/>
    <w:rsid w:val="3F7D046C"/>
    <w:rsid w:val="3F7D1A97"/>
    <w:rsid w:val="3F7F4D89"/>
    <w:rsid w:val="3F8DA2CB"/>
    <w:rsid w:val="3F9DAED4"/>
    <w:rsid w:val="3FA2EE11"/>
    <w:rsid w:val="3FA3A810"/>
    <w:rsid w:val="3FA5D308"/>
    <w:rsid w:val="3FA8505E"/>
    <w:rsid w:val="3FAB60FC"/>
    <w:rsid w:val="3FB9AD53"/>
    <w:rsid w:val="3FCBCE89"/>
    <w:rsid w:val="3FCDBC8A"/>
    <w:rsid w:val="3FCDFDC8"/>
    <w:rsid w:val="3FD7BB83"/>
    <w:rsid w:val="3FDA6205"/>
    <w:rsid w:val="3FE33D67"/>
    <w:rsid w:val="3FE64D9C"/>
    <w:rsid w:val="3FE7DBFD"/>
    <w:rsid w:val="3FEC49CC"/>
    <w:rsid w:val="3FF08682"/>
    <w:rsid w:val="3FF54E11"/>
    <w:rsid w:val="3FF83F05"/>
    <w:rsid w:val="3FFB0AD4"/>
    <w:rsid w:val="4001CA28"/>
    <w:rsid w:val="4011AD1F"/>
    <w:rsid w:val="4011F025"/>
    <w:rsid w:val="40130D06"/>
    <w:rsid w:val="4018DA80"/>
    <w:rsid w:val="40195ED3"/>
    <w:rsid w:val="401B4F13"/>
    <w:rsid w:val="401E12AB"/>
    <w:rsid w:val="40243FF9"/>
    <w:rsid w:val="402D1A5E"/>
    <w:rsid w:val="4030C2BD"/>
    <w:rsid w:val="403EFC91"/>
    <w:rsid w:val="40423B9F"/>
    <w:rsid w:val="40447483"/>
    <w:rsid w:val="404FC31A"/>
    <w:rsid w:val="405239E6"/>
    <w:rsid w:val="405AAAB7"/>
    <w:rsid w:val="405CD199"/>
    <w:rsid w:val="4063F64A"/>
    <w:rsid w:val="4065C7B9"/>
    <w:rsid w:val="406C6F3F"/>
    <w:rsid w:val="406E80A3"/>
    <w:rsid w:val="406E908E"/>
    <w:rsid w:val="406EC2A3"/>
    <w:rsid w:val="40702E6D"/>
    <w:rsid w:val="40744EEA"/>
    <w:rsid w:val="40798079"/>
    <w:rsid w:val="407BE3EA"/>
    <w:rsid w:val="407E39EB"/>
    <w:rsid w:val="4080FAC1"/>
    <w:rsid w:val="40815AE1"/>
    <w:rsid w:val="40849729"/>
    <w:rsid w:val="408AE20F"/>
    <w:rsid w:val="408B2524"/>
    <w:rsid w:val="409E10D3"/>
    <w:rsid w:val="40A00419"/>
    <w:rsid w:val="40A2C9C6"/>
    <w:rsid w:val="40AD3D36"/>
    <w:rsid w:val="40ADFD77"/>
    <w:rsid w:val="40B20904"/>
    <w:rsid w:val="40B668F4"/>
    <w:rsid w:val="40BC8B4B"/>
    <w:rsid w:val="40BED862"/>
    <w:rsid w:val="40C0C564"/>
    <w:rsid w:val="40C333C1"/>
    <w:rsid w:val="40C3AFB2"/>
    <w:rsid w:val="40C515C1"/>
    <w:rsid w:val="40C9CC18"/>
    <w:rsid w:val="40CCC4B5"/>
    <w:rsid w:val="40CE6261"/>
    <w:rsid w:val="40CF9DD4"/>
    <w:rsid w:val="40D18EB8"/>
    <w:rsid w:val="40D50CCE"/>
    <w:rsid w:val="40E49347"/>
    <w:rsid w:val="40E68F65"/>
    <w:rsid w:val="40F33950"/>
    <w:rsid w:val="40F4F536"/>
    <w:rsid w:val="40F6E4E2"/>
    <w:rsid w:val="41085938"/>
    <w:rsid w:val="410AAC61"/>
    <w:rsid w:val="410BC2BE"/>
    <w:rsid w:val="410C26A0"/>
    <w:rsid w:val="410D920F"/>
    <w:rsid w:val="41144A0A"/>
    <w:rsid w:val="411D3D80"/>
    <w:rsid w:val="41273A60"/>
    <w:rsid w:val="412B547C"/>
    <w:rsid w:val="412DA491"/>
    <w:rsid w:val="412FA9F8"/>
    <w:rsid w:val="41452241"/>
    <w:rsid w:val="414D4902"/>
    <w:rsid w:val="4150F364"/>
    <w:rsid w:val="415677E2"/>
    <w:rsid w:val="415D6C47"/>
    <w:rsid w:val="4161B8DB"/>
    <w:rsid w:val="416B9C36"/>
    <w:rsid w:val="416C667A"/>
    <w:rsid w:val="416D8725"/>
    <w:rsid w:val="41739CFB"/>
    <w:rsid w:val="4178304A"/>
    <w:rsid w:val="41825E47"/>
    <w:rsid w:val="4184321C"/>
    <w:rsid w:val="418A3156"/>
    <w:rsid w:val="418B8FF2"/>
    <w:rsid w:val="418F9277"/>
    <w:rsid w:val="419013D2"/>
    <w:rsid w:val="419A40DD"/>
    <w:rsid w:val="419AD539"/>
    <w:rsid w:val="41A300BF"/>
    <w:rsid w:val="41A33388"/>
    <w:rsid w:val="41A3DB1A"/>
    <w:rsid w:val="41A6711D"/>
    <w:rsid w:val="41A9B52D"/>
    <w:rsid w:val="41AB9D76"/>
    <w:rsid w:val="41AC1C54"/>
    <w:rsid w:val="41B0F365"/>
    <w:rsid w:val="41B30E58"/>
    <w:rsid w:val="41B3AACD"/>
    <w:rsid w:val="41B85E38"/>
    <w:rsid w:val="41C02480"/>
    <w:rsid w:val="41CF1145"/>
    <w:rsid w:val="41CF54B9"/>
    <w:rsid w:val="41D406BD"/>
    <w:rsid w:val="41DE1922"/>
    <w:rsid w:val="41DFD7BD"/>
    <w:rsid w:val="41E02EC8"/>
    <w:rsid w:val="41E1366B"/>
    <w:rsid w:val="41E5CD9C"/>
    <w:rsid w:val="41E70006"/>
    <w:rsid w:val="41EB9553"/>
    <w:rsid w:val="41F43881"/>
    <w:rsid w:val="41F48C04"/>
    <w:rsid w:val="41FA4C07"/>
    <w:rsid w:val="41FEC196"/>
    <w:rsid w:val="4206AC09"/>
    <w:rsid w:val="420C3FD6"/>
    <w:rsid w:val="42211042"/>
    <w:rsid w:val="4222EA1F"/>
    <w:rsid w:val="42279983"/>
    <w:rsid w:val="422E413C"/>
    <w:rsid w:val="4232AA8C"/>
    <w:rsid w:val="423305FC"/>
    <w:rsid w:val="4237636A"/>
    <w:rsid w:val="423980AC"/>
    <w:rsid w:val="423C9258"/>
    <w:rsid w:val="423E8313"/>
    <w:rsid w:val="424C1FB5"/>
    <w:rsid w:val="42538040"/>
    <w:rsid w:val="42596E85"/>
    <w:rsid w:val="426199C0"/>
    <w:rsid w:val="4262B4C3"/>
    <w:rsid w:val="426D2DE3"/>
    <w:rsid w:val="426FAC0F"/>
    <w:rsid w:val="4271F2BB"/>
    <w:rsid w:val="4275FF7D"/>
    <w:rsid w:val="428B3D12"/>
    <w:rsid w:val="428B6EEB"/>
    <w:rsid w:val="428E0F14"/>
    <w:rsid w:val="428FDAF5"/>
    <w:rsid w:val="4291D08F"/>
    <w:rsid w:val="4292B543"/>
    <w:rsid w:val="4295FC70"/>
    <w:rsid w:val="429C9393"/>
    <w:rsid w:val="429D0AA5"/>
    <w:rsid w:val="42A73771"/>
    <w:rsid w:val="42A7B098"/>
    <w:rsid w:val="42ABF3D9"/>
    <w:rsid w:val="42ADF2CA"/>
    <w:rsid w:val="42AEF9E7"/>
    <w:rsid w:val="42B31A2D"/>
    <w:rsid w:val="42B5275A"/>
    <w:rsid w:val="42B8459A"/>
    <w:rsid w:val="42BDABFE"/>
    <w:rsid w:val="42C37329"/>
    <w:rsid w:val="42C4D0DF"/>
    <w:rsid w:val="42D4F685"/>
    <w:rsid w:val="42D84013"/>
    <w:rsid w:val="42D9836A"/>
    <w:rsid w:val="42DE64F8"/>
    <w:rsid w:val="42E806B5"/>
    <w:rsid w:val="42EBA471"/>
    <w:rsid w:val="42F2F17F"/>
    <w:rsid w:val="42F3B46C"/>
    <w:rsid w:val="42F5B1EF"/>
    <w:rsid w:val="42F68C14"/>
    <w:rsid w:val="42FCFEC6"/>
    <w:rsid w:val="430323C3"/>
    <w:rsid w:val="43073173"/>
    <w:rsid w:val="4307F512"/>
    <w:rsid w:val="430851EC"/>
    <w:rsid w:val="43098B02"/>
    <w:rsid w:val="430B9911"/>
    <w:rsid w:val="430D7865"/>
    <w:rsid w:val="430FF62E"/>
    <w:rsid w:val="43150967"/>
    <w:rsid w:val="43174D82"/>
    <w:rsid w:val="431D8AEF"/>
    <w:rsid w:val="431F0F98"/>
    <w:rsid w:val="4327D380"/>
    <w:rsid w:val="432946B4"/>
    <w:rsid w:val="432A9119"/>
    <w:rsid w:val="432CCAF2"/>
    <w:rsid w:val="432CFE26"/>
    <w:rsid w:val="432FF9E9"/>
    <w:rsid w:val="4331A3BF"/>
    <w:rsid w:val="43382E42"/>
    <w:rsid w:val="433CBFE6"/>
    <w:rsid w:val="433E3E79"/>
    <w:rsid w:val="43426E87"/>
    <w:rsid w:val="434CD1AD"/>
    <w:rsid w:val="4352B887"/>
    <w:rsid w:val="43578915"/>
    <w:rsid w:val="4358C2BE"/>
    <w:rsid w:val="435943B7"/>
    <w:rsid w:val="43674401"/>
    <w:rsid w:val="436914D4"/>
    <w:rsid w:val="4369422B"/>
    <w:rsid w:val="436AE327"/>
    <w:rsid w:val="436F7CED"/>
    <w:rsid w:val="437086BA"/>
    <w:rsid w:val="43845444"/>
    <w:rsid w:val="43885501"/>
    <w:rsid w:val="4388ADDD"/>
    <w:rsid w:val="438E4542"/>
    <w:rsid w:val="439961B5"/>
    <w:rsid w:val="43A37889"/>
    <w:rsid w:val="43A7E258"/>
    <w:rsid w:val="43A8AE20"/>
    <w:rsid w:val="43B86011"/>
    <w:rsid w:val="43C6C331"/>
    <w:rsid w:val="43CB6AB6"/>
    <w:rsid w:val="43CF46DC"/>
    <w:rsid w:val="43CF857F"/>
    <w:rsid w:val="43D3289E"/>
    <w:rsid w:val="43D7311A"/>
    <w:rsid w:val="43DF3633"/>
    <w:rsid w:val="43E995D2"/>
    <w:rsid w:val="43F2F94E"/>
    <w:rsid w:val="43F38D08"/>
    <w:rsid w:val="43F3D129"/>
    <w:rsid w:val="43FDE2B7"/>
    <w:rsid w:val="43FF852B"/>
    <w:rsid w:val="4415C667"/>
    <w:rsid w:val="4418CCAF"/>
    <w:rsid w:val="4419E10C"/>
    <w:rsid w:val="4428C4CD"/>
    <w:rsid w:val="442B02D0"/>
    <w:rsid w:val="442B6BEA"/>
    <w:rsid w:val="4438AF09"/>
    <w:rsid w:val="444385CA"/>
    <w:rsid w:val="444465CD"/>
    <w:rsid w:val="44485434"/>
    <w:rsid w:val="444A820D"/>
    <w:rsid w:val="444C3B59"/>
    <w:rsid w:val="44519229"/>
    <w:rsid w:val="4457EC18"/>
    <w:rsid w:val="445F9980"/>
    <w:rsid w:val="44600AC0"/>
    <w:rsid w:val="4466D2B0"/>
    <w:rsid w:val="44688E12"/>
    <w:rsid w:val="446BAC55"/>
    <w:rsid w:val="446CA603"/>
    <w:rsid w:val="4481BCD0"/>
    <w:rsid w:val="4486761E"/>
    <w:rsid w:val="448D15C7"/>
    <w:rsid w:val="44947CE2"/>
    <w:rsid w:val="44956F9C"/>
    <w:rsid w:val="449A960E"/>
    <w:rsid w:val="449C8FBB"/>
    <w:rsid w:val="449D4B6D"/>
    <w:rsid w:val="449FB169"/>
    <w:rsid w:val="44A46E2D"/>
    <w:rsid w:val="44A921BF"/>
    <w:rsid w:val="44A9A3C9"/>
    <w:rsid w:val="44AD4182"/>
    <w:rsid w:val="44AFF94D"/>
    <w:rsid w:val="44B6958F"/>
    <w:rsid w:val="44BB6F69"/>
    <w:rsid w:val="44BC4D60"/>
    <w:rsid w:val="44C6707A"/>
    <w:rsid w:val="44D1ECE3"/>
    <w:rsid w:val="44D53E06"/>
    <w:rsid w:val="44DB24D6"/>
    <w:rsid w:val="44E53A54"/>
    <w:rsid w:val="44E66AD4"/>
    <w:rsid w:val="44F39227"/>
    <w:rsid w:val="44F7E84B"/>
    <w:rsid w:val="44F7F96B"/>
    <w:rsid w:val="44FC855A"/>
    <w:rsid w:val="4501B228"/>
    <w:rsid w:val="45053BD4"/>
    <w:rsid w:val="45054FC9"/>
    <w:rsid w:val="4509583B"/>
    <w:rsid w:val="450B6662"/>
    <w:rsid w:val="450D0E67"/>
    <w:rsid w:val="450D9679"/>
    <w:rsid w:val="451071ED"/>
    <w:rsid w:val="451242D2"/>
    <w:rsid w:val="451617A3"/>
    <w:rsid w:val="45185124"/>
    <w:rsid w:val="451A52A6"/>
    <w:rsid w:val="452056F6"/>
    <w:rsid w:val="45315AC0"/>
    <w:rsid w:val="4531A402"/>
    <w:rsid w:val="4534A762"/>
    <w:rsid w:val="453549D6"/>
    <w:rsid w:val="453FE6DA"/>
    <w:rsid w:val="4543B2B9"/>
    <w:rsid w:val="45491601"/>
    <w:rsid w:val="454DC894"/>
    <w:rsid w:val="454EAC30"/>
    <w:rsid w:val="454FFCB9"/>
    <w:rsid w:val="45511B63"/>
    <w:rsid w:val="45512E89"/>
    <w:rsid w:val="455268FE"/>
    <w:rsid w:val="45575177"/>
    <w:rsid w:val="455C1649"/>
    <w:rsid w:val="455E5C32"/>
    <w:rsid w:val="456303B3"/>
    <w:rsid w:val="45635FDA"/>
    <w:rsid w:val="45666F9E"/>
    <w:rsid w:val="456FA676"/>
    <w:rsid w:val="458D62F4"/>
    <w:rsid w:val="458E0154"/>
    <w:rsid w:val="45944279"/>
    <w:rsid w:val="459E99E3"/>
    <w:rsid w:val="459F3F8D"/>
    <w:rsid w:val="45A557C0"/>
    <w:rsid w:val="45A8EE41"/>
    <w:rsid w:val="45AE26A5"/>
    <w:rsid w:val="45B231C3"/>
    <w:rsid w:val="45B25E69"/>
    <w:rsid w:val="45B6B00F"/>
    <w:rsid w:val="45B78CE8"/>
    <w:rsid w:val="45BAF5B0"/>
    <w:rsid w:val="45C28E05"/>
    <w:rsid w:val="45C3B929"/>
    <w:rsid w:val="45CDFDB3"/>
    <w:rsid w:val="45D00EDD"/>
    <w:rsid w:val="45D2A1C0"/>
    <w:rsid w:val="45D778D8"/>
    <w:rsid w:val="45D8BF9A"/>
    <w:rsid w:val="45DEB8B3"/>
    <w:rsid w:val="45DF81DA"/>
    <w:rsid w:val="45DFA90B"/>
    <w:rsid w:val="45E0643A"/>
    <w:rsid w:val="45E27179"/>
    <w:rsid w:val="45E920EE"/>
    <w:rsid w:val="45EE8C5D"/>
    <w:rsid w:val="45EF08D4"/>
    <w:rsid w:val="45FB0959"/>
    <w:rsid w:val="45FB1903"/>
    <w:rsid w:val="45FF36BB"/>
    <w:rsid w:val="46020BAE"/>
    <w:rsid w:val="4603F90C"/>
    <w:rsid w:val="4608CFCC"/>
    <w:rsid w:val="46164485"/>
    <w:rsid w:val="461975ED"/>
    <w:rsid w:val="4620A7B1"/>
    <w:rsid w:val="4624A983"/>
    <w:rsid w:val="462F3914"/>
    <w:rsid w:val="4630C6B6"/>
    <w:rsid w:val="463A32B3"/>
    <w:rsid w:val="463A7B4E"/>
    <w:rsid w:val="4640C577"/>
    <w:rsid w:val="46420CED"/>
    <w:rsid w:val="464A2A79"/>
    <w:rsid w:val="464C8C56"/>
    <w:rsid w:val="464E41A8"/>
    <w:rsid w:val="464F02DC"/>
    <w:rsid w:val="46534534"/>
    <w:rsid w:val="4654DF9D"/>
    <w:rsid w:val="46564C86"/>
    <w:rsid w:val="465D182C"/>
    <w:rsid w:val="465F817B"/>
    <w:rsid w:val="4666C7F5"/>
    <w:rsid w:val="466785C9"/>
    <w:rsid w:val="4679DF2C"/>
    <w:rsid w:val="467A9D6A"/>
    <w:rsid w:val="46843FC0"/>
    <w:rsid w:val="46858800"/>
    <w:rsid w:val="46864946"/>
    <w:rsid w:val="4695263D"/>
    <w:rsid w:val="469B7F58"/>
    <w:rsid w:val="469D3D53"/>
    <w:rsid w:val="46A02E7C"/>
    <w:rsid w:val="46A31464"/>
    <w:rsid w:val="46A6D8FC"/>
    <w:rsid w:val="46A81493"/>
    <w:rsid w:val="46B3531F"/>
    <w:rsid w:val="46BEB621"/>
    <w:rsid w:val="46BFD3B9"/>
    <w:rsid w:val="46CA4691"/>
    <w:rsid w:val="46D89B3C"/>
    <w:rsid w:val="46DB973B"/>
    <w:rsid w:val="46E2E394"/>
    <w:rsid w:val="46E77B7F"/>
    <w:rsid w:val="46E8731A"/>
    <w:rsid w:val="46E9D3AD"/>
    <w:rsid w:val="46EF778F"/>
    <w:rsid w:val="46F0C45F"/>
    <w:rsid w:val="46F11280"/>
    <w:rsid w:val="46F18236"/>
    <w:rsid w:val="46F2E4A6"/>
    <w:rsid w:val="46F40B95"/>
    <w:rsid w:val="46F54B37"/>
    <w:rsid w:val="46FDAF12"/>
    <w:rsid w:val="46FEEE7E"/>
    <w:rsid w:val="470F0752"/>
    <w:rsid w:val="4712AB22"/>
    <w:rsid w:val="471424D4"/>
    <w:rsid w:val="471496DF"/>
    <w:rsid w:val="471D5DD5"/>
    <w:rsid w:val="4723F51F"/>
    <w:rsid w:val="4725E519"/>
    <w:rsid w:val="47268D9A"/>
    <w:rsid w:val="472700A6"/>
    <w:rsid w:val="473517FC"/>
    <w:rsid w:val="4739A9CE"/>
    <w:rsid w:val="473F3A5F"/>
    <w:rsid w:val="47427BAA"/>
    <w:rsid w:val="474A91A3"/>
    <w:rsid w:val="474BDECC"/>
    <w:rsid w:val="474D8E51"/>
    <w:rsid w:val="475606BB"/>
    <w:rsid w:val="4756D1F8"/>
    <w:rsid w:val="475F5FBA"/>
    <w:rsid w:val="47602166"/>
    <w:rsid w:val="47737F79"/>
    <w:rsid w:val="4773EFD6"/>
    <w:rsid w:val="4774E692"/>
    <w:rsid w:val="477C095A"/>
    <w:rsid w:val="477DC528"/>
    <w:rsid w:val="477E067C"/>
    <w:rsid w:val="478A7037"/>
    <w:rsid w:val="4798C559"/>
    <w:rsid w:val="479F1633"/>
    <w:rsid w:val="479FB6AC"/>
    <w:rsid w:val="47A686C0"/>
    <w:rsid w:val="47A86569"/>
    <w:rsid w:val="47B34EDF"/>
    <w:rsid w:val="47B3A5CD"/>
    <w:rsid w:val="47B9C22B"/>
    <w:rsid w:val="47BF81FC"/>
    <w:rsid w:val="47C49CBC"/>
    <w:rsid w:val="47D0A9C7"/>
    <w:rsid w:val="47E2EFAD"/>
    <w:rsid w:val="47EB1100"/>
    <w:rsid w:val="47EFB999"/>
    <w:rsid w:val="47F6DF6E"/>
    <w:rsid w:val="47FA1358"/>
    <w:rsid w:val="4810792E"/>
    <w:rsid w:val="48167FC2"/>
    <w:rsid w:val="4816B0F7"/>
    <w:rsid w:val="48224B7D"/>
    <w:rsid w:val="4827DD17"/>
    <w:rsid w:val="482DA7B7"/>
    <w:rsid w:val="482F7B46"/>
    <w:rsid w:val="483FC320"/>
    <w:rsid w:val="48409541"/>
    <w:rsid w:val="484348A3"/>
    <w:rsid w:val="4844B0C7"/>
    <w:rsid w:val="48483638"/>
    <w:rsid w:val="484A8AA0"/>
    <w:rsid w:val="484A9EC9"/>
    <w:rsid w:val="484C2BB6"/>
    <w:rsid w:val="484EB6B4"/>
    <w:rsid w:val="484F0BD6"/>
    <w:rsid w:val="4858749B"/>
    <w:rsid w:val="486D0F7B"/>
    <w:rsid w:val="4875D034"/>
    <w:rsid w:val="4875E335"/>
    <w:rsid w:val="48767740"/>
    <w:rsid w:val="487AC0DE"/>
    <w:rsid w:val="487E08E8"/>
    <w:rsid w:val="4883CD7B"/>
    <w:rsid w:val="4883FC7A"/>
    <w:rsid w:val="488E430B"/>
    <w:rsid w:val="4895D583"/>
    <w:rsid w:val="489A769B"/>
    <w:rsid w:val="489CA8D1"/>
    <w:rsid w:val="48A24DE2"/>
    <w:rsid w:val="48A31EE4"/>
    <w:rsid w:val="48A6E920"/>
    <w:rsid w:val="48AC121D"/>
    <w:rsid w:val="48B44044"/>
    <w:rsid w:val="48BB61ED"/>
    <w:rsid w:val="48C69D15"/>
    <w:rsid w:val="48C75432"/>
    <w:rsid w:val="48CDC95F"/>
    <w:rsid w:val="48D58A68"/>
    <w:rsid w:val="48D5E871"/>
    <w:rsid w:val="48D6AB36"/>
    <w:rsid w:val="48DC473C"/>
    <w:rsid w:val="48E06F0B"/>
    <w:rsid w:val="48E7C6DB"/>
    <w:rsid w:val="48EB3B9F"/>
    <w:rsid w:val="48F819EE"/>
    <w:rsid w:val="48F932D1"/>
    <w:rsid w:val="4900B4DA"/>
    <w:rsid w:val="4904AAAF"/>
    <w:rsid w:val="49141DFB"/>
    <w:rsid w:val="49155295"/>
    <w:rsid w:val="491C8953"/>
    <w:rsid w:val="491E9FC5"/>
    <w:rsid w:val="49237D46"/>
    <w:rsid w:val="49277382"/>
    <w:rsid w:val="49288923"/>
    <w:rsid w:val="492D7CD2"/>
    <w:rsid w:val="492E442C"/>
    <w:rsid w:val="4938B907"/>
    <w:rsid w:val="493FDA2C"/>
    <w:rsid w:val="4954AB70"/>
    <w:rsid w:val="4955699A"/>
    <w:rsid w:val="495A3B16"/>
    <w:rsid w:val="495B2532"/>
    <w:rsid w:val="4969E425"/>
    <w:rsid w:val="496CA021"/>
    <w:rsid w:val="4975EB72"/>
    <w:rsid w:val="49785BA1"/>
    <w:rsid w:val="497AC4EC"/>
    <w:rsid w:val="497E35FB"/>
    <w:rsid w:val="49823CAB"/>
    <w:rsid w:val="498CAE57"/>
    <w:rsid w:val="49907D0E"/>
    <w:rsid w:val="499420DE"/>
    <w:rsid w:val="49973B32"/>
    <w:rsid w:val="499F074D"/>
    <w:rsid w:val="49A8F703"/>
    <w:rsid w:val="49B111E9"/>
    <w:rsid w:val="49B19665"/>
    <w:rsid w:val="49B2C43C"/>
    <w:rsid w:val="49B39FD9"/>
    <w:rsid w:val="49BA05AC"/>
    <w:rsid w:val="49BDE1E4"/>
    <w:rsid w:val="49C4BD3A"/>
    <w:rsid w:val="49CAF92C"/>
    <w:rsid w:val="49CDBA88"/>
    <w:rsid w:val="49D4DE0F"/>
    <w:rsid w:val="49D60B8A"/>
    <w:rsid w:val="49D9E6D9"/>
    <w:rsid w:val="49DED88C"/>
    <w:rsid w:val="49DFEB5C"/>
    <w:rsid w:val="49E8E56B"/>
    <w:rsid w:val="49F6C01F"/>
    <w:rsid w:val="4A074D77"/>
    <w:rsid w:val="4A107C97"/>
    <w:rsid w:val="4A12BB36"/>
    <w:rsid w:val="4A18AE74"/>
    <w:rsid w:val="4A2209F8"/>
    <w:rsid w:val="4A290DC7"/>
    <w:rsid w:val="4A2E307E"/>
    <w:rsid w:val="4A321BDA"/>
    <w:rsid w:val="4A345AF3"/>
    <w:rsid w:val="4A36E8CA"/>
    <w:rsid w:val="4A38D99D"/>
    <w:rsid w:val="4A3F16CA"/>
    <w:rsid w:val="4A45FBD9"/>
    <w:rsid w:val="4A52AFC7"/>
    <w:rsid w:val="4A58AA66"/>
    <w:rsid w:val="4A5A76CE"/>
    <w:rsid w:val="4A613E86"/>
    <w:rsid w:val="4A66360A"/>
    <w:rsid w:val="4A6AE5D2"/>
    <w:rsid w:val="4A6D949B"/>
    <w:rsid w:val="4A711647"/>
    <w:rsid w:val="4A74B6F5"/>
    <w:rsid w:val="4A7CB902"/>
    <w:rsid w:val="4A7D8B41"/>
    <w:rsid w:val="4A7DA59F"/>
    <w:rsid w:val="4A9069BF"/>
    <w:rsid w:val="4A91318D"/>
    <w:rsid w:val="4A933261"/>
    <w:rsid w:val="4A9560C2"/>
    <w:rsid w:val="4A95B77F"/>
    <w:rsid w:val="4A9880D6"/>
    <w:rsid w:val="4AA162F0"/>
    <w:rsid w:val="4AA49476"/>
    <w:rsid w:val="4AA94BF3"/>
    <w:rsid w:val="4AAD1408"/>
    <w:rsid w:val="4AAF25E8"/>
    <w:rsid w:val="4AC062B4"/>
    <w:rsid w:val="4AC0E6CD"/>
    <w:rsid w:val="4AC0F7F2"/>
    <w:rsid w:val="4AC4D826"/>
    <w:rsid w:val="4AC58885"/>
    <w:rsid w:val="4AC71E07"/>
    <w:rsid w:val="4AC72E61"/>
    <w:rsid w:val="4ACE84FD"/>
    <w:rsid w:val="4AD1B42C"/>
    <w:rsid w:val="4AD7AB51"/>
    <w:rsid w:val="4AE1005C"/>
    <w:rsid w:val="4AE26813"/>
    <w:rsid w:val="4AE3A2CC"/>
    <w:rsid w:val="4AEB5BC3"/>
    <w:rsid w:val="4AECC025"/>
    <w:rsid w:val="4AEE1921"/>
    <w:rsid w:val="4AF06CF7"/>
    <w:rsid w:val="4AF08AC9"/>
    <w:rsid w:val="4AF186A1"/>
    <w:rsid w:val="4AF1FB41"/>
    <w:rsid w:val="4AF294B2"/>
    <w:rsid w:val="4AFBC558"/>
    <w:rsid w:val="4B01B869"/>
    <w:rsid w:val="4B05FF75"/>
    <w:rsid w:val="4B0ABBD3"/>
    <w:rsid w:val="4B12EF37"/>
    <w:rsid w:val="4B2286DB"/>
    <w:rsid w:val="4B24D8B6"/>
    <w:rsid w:val="4B271657"/>
    <w:rsid w:val="4B3A456F"/>
    <w:rsid w:val="4B3CF037"/>
    <w:rsid w:val="4B3D814B"/>
    <w:rsid w:val="4B49B6C4"/>
    <w:rsid w:val="4B4DFEE9"/>
    <w:rsid w:val="4B5AB9DA"/>
    <w:rsid w:val="4B651443"/>
    <w:rsid w:val="4B660027"/>
    <w:rsid w:val="4B682A23"/>
    <w:rsid w:val="4B68FC07"/>
    <w:rsid w:val="4B6D07AD"/>
    <w:rsid w:val="4B6DFA3A"/>
    <w:rsid w:val="4B70497F"/>
    <w:rsid w:val="4B73B421"/>
    <w:rsid w:val="4B77E837"/>
    <w:rsid w:val="4B874D90"/>
    <w:rsid w:val="4B8A3999"/>
    <w:rsid w:val="4B910905"/>
    <w:rsid w:val="4BA3CD81"/>
    <w:rsid w:val="4BA54A89"/>
    <w:rsid w:val="4BA7F0C9"/>
    <w:rsid w:val="4BA8486B"/>
    <w:rsid w:val="4BABA0A9"/>
    <w:rsid w:val="4BB7FB40"/>
    <w:rsid w:val="4BC077C2"/>
    <w:rsid w:val="4BC267BF"/>
    <w:rsid w:val="4BD5374C"/>
    <w:rsid w:val="4BDD28EF"/>
    <w:rsid w:val="4BDECB71"/>
    <w:rsid w:val="4BE275C6"/>
    <w:rsid w:val="4BE53EBD"/>
    <w:rsid w:val="4BF2B80F"/>
    <w:rsid w:val="4BF2C25D"/>
    <w:rsid w:val="4BF5F3BA"/>
    <w:rsid w:val="4BF94AEC"/>
    <w:rsid w:val="4BF9B5D3"/>
    <w:rsid w:val="4BFAB9E3"/>
    <w:rsid w:val="4BFDC28F"/>
    <w:rsid w:val="4BFF7840"/>
    <w:rsid w:val="4C039421"/>
    <w:rsid w:val="4C096DC6"/>
    <w:rsid w:val="4C1AA4F0"/>
    <w:rsid w:val="4C1E8958"/>
    <w:rsid w:val="4C2828F6"/>
    <w:rsid w:val="4C2C5EE3"/>
    <w:rsid w:val="4C310B08"/>
    <w:rsid w:val="4C31EC87"/>
    <w:rsid w:val="4C32A8C0"/>
    <w:rsid w:val="4C34F15A"/>
    <w:rsid w:val="4C35E3C1"/>
    <w:rsid w:val="4C3A7984"/>
    <w:rsid w:val="4C3B23BB"/>
    <w:rsid w:val="4C3E6624"/>
    <w:rsid w:val="4C400C0D"/>
    <w:rsid w:val="4C40C05C"/>
    <w:rsid w:val="4C476F31"/>
    <w:rsid w:val="4C4C0EC2"/>
    <w:rsid w:val="4C4C4FF0"/>
    <w:rsid w:val="4C512F7F"/>
    <w:rsid w:val="4C54A1B6"/>
    <w:rsid w:val="4C571DC7"/>
    <w:rsid w:val="4C5E85C0"/>
    <w:rsid w:val="4C63A308"/>
    <w:rsid w:val="4C6CE36C"/>
    <w:rsid w:val="4C6E4B79"/>
    <w:rsid w:val="4C6E65D2"/>
    <w:rsid w:val="4C7973CD"/>
    <w:rsid w:val="4C79EB60"/>
    <w:rsid w:val="4C7B8A1B"/>
    <w:rsid w:val="4C7BD02A"/>
    <w:rsid w:val="4C7C4CB8"/>
    <w:rsid w:val="4C8B516C"/>
    <w:rsid w:val="4C972572"/>
    <w:rsid w:val="4C99D5B5"/>
    <w:rsid w:val="4C9BA7F0"/>
    <w:rsid w:val="4C9C21BC"/>
    <w:rsid w:val="4CA050F5"/>
    <w:rsid w:val="4CA6259B"/>
    <w:rsid w:val="4CA7DC45"/>
    <w:rsid w:val="4CB554F9"/>
    <w:rsid w:val="4CB9215E"/>
    <w:rsid w:val="4CCD63C8"/>
    <w:rsid w:val="4CD1C1B4"/>
    <w:rsid w:val="4CD3107A"/>
    <w:rsid w:val="4CD3A883"/>
    <w:rsid w:val="4CD68585"/>
    <w:rsid w:val="4CD80ABC"/>
    <w:rsid w:val="4CDB7544"/>
    <w:rsid w:val="4CE35E6C"/>
    <w:rsid w:val="4CE3A3A9"/>
    <w:rsid w:val="4CE45F63"/>
    <w:rsid w:val="4CE6859A"/>
    <w:rsid w:val="4CED5ACD"/>
    <w:rsid w:val="4CF5E946"/>
    <w:rsid w:val="4CFA1D9E"/>
    <w:rsid w:val="4CFB43C6"/>
    <w:rsid w:val="4CFC1A2D"/>
    <w:rsid w:val="4CFF2AFC"/>
    <w:rsid w:val="4D0051A8"/>
    <w:rsid w:val="4D0136B3"/>
    <w:rsid w:val="4D0326EE"/>
    <w:rsid w:val="4D05F625"/>
    <w:rsid w:val="4D0D885B"/>
    <w:rsid w:val="4D15D569"/>
    <w:rsid w:val="4D1EBA5F"/>
    <w:rsid w:val="4D1ECC2C"/>
    <w:rsid w:val="4D2D1A05"/>
    <w:rsid w:val="4D312C4A"/>
    <w:rsid w:val="4D36F2A3"/>
    <w:rsid w:val="4D3BC357"/>
    <w:rsid w:val="4D3FF1DA"/>
    <w:rsid w:val="4D41EBA2"/>
    <w:rsid w:val="4D4D23FA"/>
    <w:rsid w:val="4D5473FB"/>
    <w:rsid w:val="4D5553EB"/>
    <w:rsid w:val="4D57FB64"/>
    <w:rsid w:val="4D63A7A2"/>
    <w:rsid w:val="4D65D1E2"/>
    <w:rsid w:val="4D67B111"/>
    <w:rsid w:val="4D6D09E5"/>
    <w:rsid w:val="4D722DBB"/>
    <w:rsid w:val="4D75BF05"/>
    <w:rsid w:val="4D76EF93"/>
    <w:rsid w:val="4D873ECF"/>
    <w:rsid w:val="4D89AACA"/>
    <w:rsid w:val="4D8ACBCC"/>
    <w:rsid w:val="4D8B8152"/>
    <w:rsid w:val="4D8F1EED"/>
    <w:rsid w:val="4D9069A7"/>
    <w:rsid w:val="4D98B487"/>
    <w:rsid w:val="4DA11CF0"/>
    <w:rsid w:val="4DA8B223"/>
    <w:rsid w:val="4DBC4AF4"/>
    <w:rsid w:val="4DBD1437"/>
    <w:rsid w:val="4DBD53AF"/>
    <w:rsid w:val="4DBD5960"/>
    <w:rsid w:val="4DC83AD7"/>
    <w:rsid w:val="4DCB2659"/>
    <w:rsid w:val="4DCF11E0"/>
    <w:rsid w:val="4DCFE9DE"/>
    <w:rsid w:val="4DD650D7"/>
    <w:rsid w:val="4DDBA6DC"/>
    <w:rsid w:val="4DDFCCA0"/>
    <w:rsid w:val="4DE114F3"/>
    <w:rsid w:val="4DE16037"/>
    <w:rsid w:val="4DE5ED18"/>
    <w:rsid w:val="4DF0ADFC"/>
    <w:rsid w:val="4DF120EB"/>
    <w:rsid w:val="4DF2C715"/>
    <w:rsid w:val="4DFB3CB0"/>
    <w:rsid w:val="4DFC4EDD"/>
    <w:rsid w:val="4DFD57BC"/>
    <w:rsid w:val="4E007EF9"/>
    <w:rsid w:val="4E04EB07"/>
    <w:rsid w:val="4E0563C5"/>
    <w:rsid w:val="4E0B8BDE"/>
    <w:rsid w:val="4E10F746"/>
    <w:rsid w:val="4E15DBB2"/>
    <w:rsid w:val="4E1A9382"/>
    <w:rsid w:val="4E1DE30F"/>
    <w:rsid w:val="4E2E87C0"/>
    <w:rsid w:val="4E310599"/>
    <w:rsid w:val="4E363C95"/>
    <w:rsid w:val="4E374758"/>
    <w:rsid w:val="4E379B41"/>
    <w:rsid w:val="4E3C7198"/>
    <w:rsid w:val="4E3CD179"/>
    <w:rsid w:val="4E3FDB94"/>
    <w:rsid w:val="4E51CBE5"/>
    <w:rsid w:val="4E53C49B"/>
    <w:rsid w:val="4E55B9D8"/>
    <w:rsid w:val="4E56EC9D"/>
    <w:rsid w:val="4E596201"/>
    <w:rsid w:val="4E5DE661"/>
    <w:rsid w:val="4E6FC8F7"/>
    <w:rsid w:val="4E7002B8"/>
    <w:rsid w:val="4E7A0530"/>
    <w:rsid w:val="4E7C2E3E"/>
    <w:rsid w:val="4E7C7727"/>
    <w:rsid w:val="4E7EB948"/>
    <w:rsid w:val="4E811194"/>
    <w:rsid w:val="4E8D1FA6"/>
    <w:rsid w:val="4E989DD3"/>
    <w:rsid w:val="4E9E6F68"/>
    <w:rsid w:val="4EA22CD4"/>
    <w:rsid w:val="4EA4D7BB"/>
    <w:rsid w:val="4EAA6A82"/>
    <w:rsid w:val="4EB5DF42"/>
    <w:rsid w:val="4EB7B7F9"/>
    <w:rsid w:val="4EB8FA51"/>
    <w:rsid w:val="4EB9CA09"/>
    <w:rsid w:val="4EBAFF3A"/>
    <w:rsid w:val="4EC05D9B"/>
    <w:rsid w:val="4ECB8CCF"/>
    <w:rsid w:val="4ECBAE66"/>
    <w:rsid w:val="4ECCD47E"/>
    <w:rsid w:val="4ED3B8D3"/>
    <w:rsid w:val="4EDEAFB9"/>
    <w:rsid w:val="4EE1F88F"/>
    <w:rsid w:val="4EE3AA76"/>
    <w:rsid w:val="4EE8DD60"/>
    <w:rsid w:val="4EE9B3B0"/>
    <w:rsid w:val="4EE9D7DE"/>
    <w:rsid w:val="4EEA0E00"/>
    <w:rsid w:val="4EEFAC4D"/>
    <w:rsid w:val="4EF1C58E"/>
    <w:rsid w:val="4F00C134"/>
    <w:rsid w:val="4F01610E"/>
    <w:rsid w:val="4F02B824"/>
    <w:rsid w:val="4F02EFB0"/>
    <w:rsid w:val="4F034F3D"/>
    <w:rsid w:val="4F0A8B22"/>
    <w:rsid w:val="4F0A9DAD"/>
    <w:rsid w:val="4F1484B6"/>
    <w:rsid w:val="4F23BC76"/>
    <w:rsid w:val="4F249FA0"/>
    <w:rsid w:val="4F2AF559"/>
    <w:rsid w:val="4F387099"/>
    <w:rsid w:val="4F3E03D7"/>
    <w:rsid w:val="4F470DBB"/>
    <w:rsid w:val="4F496C67"/>
    <w:rsid w:val="4F4B9389"/>
    <w:rsid w:val="4F56BEDB"/>
    <w:rsid w:val="4F593299"/>
    <w:rsid w:val="4F5A2104"/>
    <w:rsid w:val="4F5B68CE"/>
    <w:rsid w:val="4F5FB1E4"/>
    <w:rsid w:val="4F63B913"/>
    <w:rsid w:val="4F659594"/>
    <w:rsid w:val="4F6F032F"/>
    <w:rsid w:val="4F7655CB"/>
    <w:rsid w:val="4F79A87A"/>
    <w:rsid w:val="4F79D2BD"/>
    <w:rsid w:val="4F7B9C7B"/>
    <w:rsid w:val="4F7C48BA"/>
    <w:rsid w:val="4F7E540E"/>
    <w:rsid w:val="4F7EE53A"/>
    <w:rsid w:val="4F821E2A"/>
    <w:rsid w:val="4F87C023"/>
    <w:rsid w:val="4F8BE9A4"/>
    <w:rsid w:val="4F8EEEFB"/>
    <w:rsid w:val="4F94BBE1"/>
    <w:rsid w:val="4F97DCD6"/>
    <w:rsid w:val="4F9C8D0B"/>
    <w:rsid w:val="4F9F109E"/>
    <w:rsid w:val="4FA0B8D2"/>
    <w:rsid w:val="4FA3E1C0"/>
    <w:rsid w:val="4FA45634"/>
    <w:rsid w:val="4FA9DD67"/>
    <w:rsid w:val="4FADECC0"/>
    <w:rsid w:val="4FB9F8A6"/>
    <w:rsid w:val="4FBE0F50"/>
    <w:rsid w:val="4FCD7D61"/>
    <w:rsid w:val="4FD49720"/>
    <w:rsid w:val="4FD948E6"/>
    <w:rsid w:val="4FE0211B"/>
    <w:rsid w:val="4FE5A43B"/>
    <w:rsid w:val="4FEF868E"/>
    <w:rsid w:val="4FF8C4FD"/>
    <w:rsid w:val="4FF921E5"/>
    <w:rsid w:val="4FF95D95"/>
    <w:rsid w:val="4FFAB66B"/>
    <w:rsid w:val="4FFB1DEC"/>
    <w:rsid w:val="4FFE4670"/>
    <w:rsid w:val="4FFEA80C"/>
    <w:rsid w:val="5000E020"/>
    <w:rsid w:val="500C3085"/>
    <w:rsid w:val="500D4D28"/>
    <w:rsid w:val="5017BE25"/>
    <w:rsid w:val="502837F1"/>
    <w:rsid w:val="50387954"/>
    <w:rsid w:val="5039FA3D"/>
    <w:rsid w:val="503AF894"/>
    <w:rsid w:val="503B7D64"/>
    <w:rsid w:val="5046B806"/>
    <w:rsid w:val="504B8644"/>
    <w:rsid w:val="504FE9EA"/>
    <w:rsid w:val="505080B3"/>
    <w:rsid w:val="50546492"/>
    <w:rsid w:val="50553537"/>
    <w:rsid w:val="50584E39"/>
    <w:rsid w:val="505FE223"/>
    <w:rsid w:val="5065C047"/>
    <w:rsid w:val="50663737"/>
    <w:rsid w:val="5066C4E6"/>
    <w:rsid w:val="50694698"/>
    <w:rsid w:val="506C470B"/>
    <w:rsid w:val="506CCAB1"/>
    <w:rsid w:val="506DD609"/>
    <w:rsid w:val="506E5D1E"/>
    <w:rsid w:val="506EDCF9"/>
    <w:rsid w:val="506EFA52"/>
    <w:rsid w:val="506FC8DC"/>
    <w:rsid w:val="506FEB41"/>
    <w:rsid w:val="5071D535"/>
    <w:rsid w:val="50761D44"/>
    <w:rsid w:val="50796868"/>
    <w:rsid w:val="507CF4E6"/>
    <w:rsid w:val="507FE746"/>
    <w:rsid w:val="508421E4"/>
    <w:rsid w:val="508789CA"/>
    <w:rsid w:val="508943DA"/>
    <w:rsid w:val="508EE0F3"/>
    <w:rsid w:val="5093A4E9"/>
    <w:rsid w:val="509FCF9D"/>
    <w:rsid w:val="50A35AEA"/>
    <w:rsid w:val="50AA7513"/>
    <w:rsid w:val="50ACB42D"/>
    <w:rsid w:val="50AE6E9F"/>
    <w:rsid w:val="50B19778"/>
    <w:rsid w:val="50B5978B"/>
    <w:rsid w:val="50B5AF13"/>
    <w:rsid w:val="50B68D42"/>
    <w:rsid w:val="50B9EF73"/>
    <w:rsid w:val="50BBDAA7"/>
    <w:rsid w:val="50BCA3BA"/>
    <w:rsid w:val="50CB9CF8"/>
    <w:rsid w:val="50D99968"/>
    <w:rsid w:val="50DC0228"/>
    <w:rsid w:val="50E146E7"/>
    <w:rsid w:val="50E44337"/>
    <w:rsid w:val="50E528BE"/>
    <w:rsid w:val="50E6E1F0"/>
    <w:rsid w:val="50E978E4"/>
    <w:rsid w:val="50F1C1F6"/>
    <w:rsid w:val="50F3BA26"/>
    <w:rsid w:val="50F4EBA0"/>
    <w:rsid w:val="50FD9E39"/>
    <w:rsid w:val="50FE4A8D"/>
    <w:rsid w:val="51014E32"/>
    <w:rsid w:val="5104FB1B"/>
    <w:rsid w:val="51051D45"/>
    <w:rsid w:val="5105F311"/>
    <w:rsid w:val="51071760"/>
    <w:rsid w:val="5108627D"/>
    <w:rsid w:val="510F48E1"/>
    <w:rsid w:val="51187C02"/>
    <w:rsid w:val="511B8E94"/>
    <w:rsid w:val="511BE9DC"/>
    <w:rsid w:val="511F8428"/>
    <w:rsid w:val="511FDEBE"/>
    <w:rsid w:val="511FF816"/>
    <w:rsid w:val="5121DBF3"/>
    <w:rsid w:val="51381F17"/>
    <w:rsid w:val="513AC0B3"/>
    <w:rsid w:val="513E5526"/>
    <w:rsid w:val="5140E8F4"/>
    <w:rsid w:val="514456ED"/>
    <w:rsid w:val="5148E859"/>
    <w:rsid w:val="514D7579"/>
    <w:rsid w:val="514D88E3"/>
    <w:rsid w:val="514E34EB"/>
    <w:rsid w:val="514F2020"/>
    <w:rsid w:val="515C098F"/>
    <w:rsid w:val="515C4FFF"/>
    <w:rsid w:val="515F21E5"/>
    <w:rsid w:val="51637ADA"/>
    <w:rsid w:val="51660CEC"/>
    <w:rsid w:val="516AA0C3"/>
    <w:rsid w:val="516D2353"/>
    <w:rsid w:val="516EC522"/>
    <w:rsid w:val="517018B0"/>
    <w:rsid w:val="5170F9ED"/>
    <w:rsid w:val="5177D34B"/>
    <w:rsid w:val="518AA589"/>
    <w:rsid w:val="5194424B"/>
    <w:rsid w:val="5194C6DC"/>
    <w:rsid w:val="5196226B"/>
    <w:rsid w:val="519628EF"/>
    <w:rsid w:val="5196B112"/>
    <w:rsid w:val="51983E5A"/>
    <w:rsid w:val="519F1D5C"/>
    <w:rsid w:val="51A404F8"/>
    <w:rsid w:val="51B4D917"/>
    <w:rsid w:val="51B55A9F"/>
    <w:rsid w:val="51B85D71"/>
    <w:rsid w:val="51BE9B75"/>
    <w:rsid w:val="51C715E6"/>
    <w:rsid w:val="51C7401D"/>
    <w:rsid w:val="51CFDC64"/>
    <w:rsid w:val="51D1EB01"/>
    <w:rsid w:val="51D51C0E"/>
    <w:rsid w:val="51D59415"/>
    <w:rsid w:val="51D6041F"/>
    <w:rsid w:val="51E3B8FE"/>
    <w:rsid w:val="51EBEC14"/>
    <w:rsid w:val="51EF16C3"/>
    <w:rsid w:val="51F08742"/>
    <w:rsid w:val="51F19C4E"/>
    <w:rsid w:val="520270EB"/>
    <w:rsid w:val="520EC5B6"/>
    <w:rsid w:val="52132B4A"/>
    <w:rsid w:val="52145D3D"/>
    <w:rsid w:val="521A29DC"/>
    <w:rsid w:val="521ED239"/>
    <w:rsid w:val="52246D2F"/>
    <w:rsid w:val="52274389"/>
    <w:rsid w:val="522A0A52"/>
    <w:rsid w:val="522EF4DB"/>
    <w:rsid w:val="5232A5EC"/>
    <w:rsid w:val="5234F0EA"/>
    <w:rsid w:val="5239C16E"/>
    <w:rsid w:val="523C12E1"/>
    <w:rsid w:val="52436EAC"/>
    <w:rsid w:val="5244A070"/>
    <w:rsid w:val="52515305"/>
    <w:rsid w:val="525B7A73"/>
    <w:rsid w:val="525CE876"/>
    <w:rsid w:val="526BB679"/>
    <w:rsid w:val="526C1BEE"/>
    <w:rsid w:val="526EBEB9"/>
    <w:rsid w:val="52706669"/>
    <w:rsid w:val="5270BF46"/>
    <w:rsid w:val="5270EC02"/>
    <w:rsid w:val="527111AB"/>
    <w:rsid w:val="5276A2E6"/>
    <w:rsid w:val="52896A3D"/>
    <w:rsid w:val="528B3907"/>
    <w:rsid w:val="528CA4F6"/>
    <w:rsid w:val="528CCFDB"/>
    <w:rsid w:val="5293EEA6"/>
    <w:rsid w:val="52980838"/>
    <w:rsid w:val="529AA17F"/>
    <w:rsid w:val="529AF240"/>
    <w:rsid w:val="52A05943"/>
    <w:rsid w:val="52A91B19"/>
    <w:rsid w:val="52AB5670"/>
    <w:rsid w:val="52ABC8BE"/>
    <w:rsid w:val="52AE6EF6"/>
    <w:rsid w:val="52B6DB08"/>
    <w:rsid w:val="52BA3AAF"/>
    <w:rsid w:val="52C3C0FF"/>
    <w:rsid w:val="52C8172A"/>
    <w:rsid w:val="52D489D8"/>
    <w:rsid w:val="52D561FD"/>
    <w:rsid w:val="52D79B1F"/>
    <w:rsid w:val="52D954D4"/>
    <w:rsid w:val="52E9397E"/>
    <w:rsid w:val="52E984C9"/>
    <w:rsid w:val="52EABC72"/>
    <w:rsid w:val="52EDA1F9"/>
    <w:rsid w:val="52FC90DE"/>
    <w:rsid w:val="530061B0"/>
    <w:rsid w:val="53018993"/>
    <w:rsid w:val="53047211"/>
    <w:rsid w:val="5304C203"/>
    <w:rsid w:val="5309C509"/>
    <w:rsid w:val="531E9972"/>
    <w:rsid w:val="5322A1FD"/>
    <w:rsid w:val="532693C0"/>
    <w:rsid w:val="53279B5C"/>
    <w:rsid w:val="532B1743"/>
    <w:rsid w:val="532BBBB1"/>
    <w:rsid w:val="532E2A6D"/>
    <w:rsid w:val="53372406"/>
    <w:rsid w:val="533B7DB8"/>
    <w:rsid w:val="533F1218"/>
    <w:rsid w:val="53453084"/>
    <w:rsid w:val="534B5090"/>
    <w:rsid w:val="535286ED"/>
    <w:rsid w:val="535E1998"/>
    <w:rsid w:val="53712C04"/>
    <w:rsid w:val="5371BDF2"/>
    <w:rsid w:val="5374E587"/>
    <w:rsid w:val="537C7368"/>
    <w:rsid w:val="538133B6"/>
    <w:rsid w:val="53841ACE"/>
    <w:rsid w:val="53900639"/>
    <w:rsid w:val="539524C2"/>
    <w:rsid w:val="53987301"/>
    <w:rsid w:val="539CAEFB"/>
    <w:rsid w:val="53A19521"/>
    <w:rsid w:val="53A7E229"/>
    <w:rsid w:val="53A83562"/>
    <w:rsid w:val="53AF348F"/>
    <w:rsid w:val="53B82DB2"/>
    <w:rsid w:val="53B856E6"/>
    <w:rsid w:val="53C3F734"/>
    <w:rsid w:val="53C724D2"/>
    <w:rsid w:val="53C946D2"/>
    <w:rsid w:val="53D5A13B"/>
    <w:rsid w:val="53D89FCB"/>
    <w:rsid w:val="53EB3213"/>
    <w:rsid w:val="53EC2ACC"/>
    <w:rsid w:val="53F002AA"/>
    <w:rsid w:val="53F8C46C"/>
    <w:rsid w:val="53F9202C"/>
    <w:rsid w:val="54000A42"/>
    <w:rsid w:val="5401513E"/>
    <w:rsid w:val="5406781E"/>
    <w:rsid w:val="54096F6F"/>
    <w:rsid w:val="540D421D"/>
    <w:rsid w:val="541E3F09"/>
    <w:rsid w:val="54252F0C"/>
    <w:rsid w:val="542F8E65"/>
    <w:rsid w:val="5434BF68"/>
    <w:rsid w:val="543AF00A"/>
    <w:rsid w:val="543D751E"/>
    <w:rsid w:val="543F1809"/>
    <w:rsid w:val="544095D4"/>
    <w:rsid w:val="544492C2"/>
    <w:rsid w:val="5446C5AC"/>
    <w:rsid w:val="544D3BE6"/>
    <w:rsid w:val="544DE14C"/>
    <w:rsid w:val="54526823"/>
    <w:rsid w:val="545CFB54"/>
    <w:rsid w:val="545F9724"/>
    <w:rsid w:val="54621457"/>
    <w:rsid w:val="54667605"/>
    <w:rsid w:val="54671520"/>
    <w:rsid w:val="5467BE1E"/>
    <w:rsid w:val="547A5B39"/>
    <w:rsid w:val="547A6065"/>
    <w:rsid w:val="547FACBE"/>
    <w:rsid w:val="547FFA1D"/>
    <w:rsid w:val="5481B929"/>
    <w:rsid w:val="5485700E"/>
    <w:rsid w:val="548A4756"/>
    <w:rsid w:val="548ADC93"/>
    <w:rsid w:val="548DD999"/>
    <w:rsid w:val="548F4F34"/>
    <w:rsid w:val="54970EEA"/>
    <w:rsid w:val="549EC585"/>
    <w:rsid w:val="54A89AAF"/>
    <w:rsid w:val="54A97570"/>
    <w:rsid w:val="54BFF40B"/>
    <w:rsid w:val="54C3AA83"/>
    <w:rsid w:val="54C85F18"/>
    <w:rsid w:val="54C90C28"/>
    <w:rsid w:val="54CA80BD"/>
    <w:rsid w:val="54CD49E5"/>
    <w:rsid w:val="54D0C19D"/>
    <w:rsid w:val="54E490BE"/>
    <w:rsid w:val="54E4AAF7"/>
    <w:rsid w:val="54EA1D4F"/>
    <w:rsid w:val="54EEC392"/>
    <w:rsid w:val="54F457CA"/>
    <w:rsid w:val="54F4C8D5"/>
    <w:rsid w:val="54F55804"/>
    <w:rsid w:val="5500509B"/>
    <w:rsid w:val="5510E887"/>
    <w:rsid w:val="5511E3F3"/>
    <w:rsid w:val="5518C7F2"/>
    <w:rsid w:val="551A91A1"/>
    <w:rsid w:val="551AD65B"/>
    <w:rsid w:val="551DFC24"/>
    <w:rsid w:val="551F6024"/>
    <w:rsid w:val="5521FDE8"/>
    <w:rsid w:val="55221E8E"/>
    <w:rsid w:val="55292EA6"/>
    <w:rsid w:val="552B2DCB"/>
    <w:rsid w:val="552CA7F7"/>
    <w:rsid w:val="552FD29F"/>
    <w:rsid w:val="5535936C"/>
    <w:rsid w:val="5535C627"/>
    <w:rsid w:val="553799D7"/>
    <w:rsid w:val="553AD0D0"/>
    <w:rsid w:val="5543AA2B"/>
    <w:rsid w:val="5545FCD9"/>
    <w:rsid w:val="5547EE55"/>
    <w:rsid w:val="554A5F73"/>
    <w:rsid w:val="554A9EDE"/>
    <w:rsid w:val="554AB0D8"/>
    <w:rsid w:val="554ACC0F"/>
    <w:rsid w:val="55537168"/>
    <w:rsid w:val="555974F7"/>
    <w:rsid w:val="555B3114"/>
    <w:rsid w:val="555CE02F"/>
    <w:rsid w:val="555CEC4B"/>
    <w:rsid w:val="555DD1FF"/>
    <w:rsid w:val="555E68C6"/>
    <w:rsid w:val="55634351"/>
    <w:rsid w:val="55648A11"/>
    <w:rsid w:val="556623B6"/>
    <w:rsid w:val="55678D48"/>
    <w:rsid w:val="5568D212"/>
    <w:rsid w:val="556AB923"/>
    <w:rsid w:val="55771CFB"/>
    <w:rsid w:val="557A3816"/>
    <w:rsid w:val="557C2F22"/>
    <w:rsid w:val="558DEDC4"/>
    <w:rsid w:val="558F022D"/>
    <w:rsid w:val="558F4A67"/>
    <w:rsid w:val="5595790A"/>
    <w:rsid w:val="55A1BFFA"/>
    <w:rsid w:val="55A453ED"/>
    <w:rsid w:val="55B07E4B"/>
    <w:rsid w:val="55B1B2B9"/>
    <w:rsid w:val="55BFCE7F"/>
    <w:rsid w:val="55CD93FA"/>
    <w:rsid w:val="55CF9E82"/>
    <w:rsid w:val="55D558C8"/>
    <w:rsid w:val="55D5A748"/>
    <w:rsid w:val="55D621BE"/>
    <w:rsid w:val="55E6ECAE"/>
    <w:rsid w:val="55EEB2ED"/>
    <w:rsid w:val="55EF8A7E"/>
    <w:rsid w:val="55F47354"/>
    <w:rsid w:val="55F53757"/>
    <w:rsid w:val="55F5682E"/>
    <w:rsid w:val="55F63152"/>
    <w:rsid w:val="55F6C968"/>
    <w:rsid w:val="56084F48"/>
    <w:rsid w:val="56093B7E"/>
    <w:rsid w:val="560A4191"/>
    <w:rsid w:val="5619DD86"/>
    <w:rsid w:val="5628E761"/>
    <w:rsid w:val="562B3B9D"/>
    <w:rsid w:val="56304688"/>
    <w:rsid w:val="56361AEC"/>
    <w:rsid w:val="563F0093"/>
    <w:rsid w:val="5643AE88"/>
    <w:rsid w:val="5646EBEA"/>
    <w:rsid w:val="56484F6E"/>
    <w:rsid w:val="56492012"/>
    <w:rsid w:val="564985CB"/>
    <w:rsid w:val="564B5BED"/>
    <w:rsid w:val="564C7286"/>
    <w:rsid w:val="564DCD13"/>
    <w:rsid w:val="56531128"/>
    <w:rsid w:val="565740F5"/>
    <w:rsid w:val="5662D667"/>
    <w:rsid w:val="5667F148"/>
    <w:rsid w:val="56728BEA"/>
    <w:rsid w:val="5674A1E2"/>
    <w:rsid w:val="567BD56C"/>
    <w:rsid w:val="567C06EB"/>
    <w:rsid w:val="567C45A7"/>
    <w:rsid w:val="5687FA29"/>
    <w:rsid w:val="568DAAC0"/>
    <w:rsid w:val="568EF050"/>
    <w:rsid w:val="5696C5E3"/>
    <w:rsid w:val="56970ADF"/>
    <w:rsid w:val="569A1C44"/>
    <w:rsid w:val="569F11F6"/>
    <w:rsid w:val="56A6F9F2"/>
    <w:rsid w:val="56B3C1D6"/>
    <w:rsid w:val="56B6B821"/>
    <w:rsid w:val="56B86DEA"/>
    <w:rsid w:val="56BDF392"/>
    <w:rsid w:val="56C08008"/>
    <w:rsid w:val="56C6D246"/>
    <w:rsid w:val="56C7198B"/>
    <w:rsid w:val="56C9F974"/>
    <w:rsid w:val="56CC854E"/>
    <w:rsid w:val="56CE4B2E"/>
    <w:rsid w:val="56CE5A2A"/>
    <w:rsid w:val="56E30B6E"/>
    <w:rsid w:val="56E5C581"/>
    <w:rsid w:val="56E98FFC"/>
    <w:rsid w:val="56EF6F78"/>
    <w:rsid w:val="56F24F78"/>
    <w:rsid w:val="56F2CDE6"/>
    <w:rsid w:val="56F32E76"/>
    <w:rsid w:val="56F65085"/>
    <w:rsid w:val="56FA1F78"/>
    <w:rsid w:val="56FAC0D3"/>
    <w:rsid w:val="56FF975A"/>
    <w:rsid w:val="5702A95B"/>
    <w:rsid w:val="5707B4AD"/>
    <w:rsid w:val="571189E7"/>
    <w:rsid w:val="5714E691"/>
    <w:rsid w:val="57196778"/>
    <w:rsid w:val="571C7835"/>
    <w:rsid w:val="57231168"/>
    <w:rsid w:val="572757D3"/>
    <w:rsid w:val="5730D213"/>
    <w:rsid w:val="5736C54A"/>
    <w:rsid w:val="5737F82E"/>
    <w:rsid w:val="573B44F0"/>
    <w:rsid w:val="574752FB"/>
    <w:rsid w:val="5747575D"/>
    <w:rsid w:val="5747D67F"/>
    <w:rsid w:val="57483A07"/>
    <w:rsid w:val="5748E519"/>
    <w:rsid w:val="574CC1BC"/>
    <w:rsid w:val="57550D00"/>
    <w:rsid w:val="57596B3E"/>
    <w:rsid w:val="5761E32E"/>
    <w:rsid w:val="5766462D"/>
    <w:rsid w:val="576CA8D7"/>
    <w:rsid w:val="576CD7CE"/>
    <w:rsid w:val="576D56B5"/>
    <w:rsid w:val="57779F1E"/>
    <w:rsid w:val="57794C18"/>
    <w:rsid w:val="577A6FBF"/>
    <w:rsid w:val="57841044"/>
    <w:rsid w:val="57855579"/>
    <w:rsid w:val="57880716"/>
    <w:rsid w:val="579145B0"/>
    <w:rsid w:val="5791B4FD"/>
    <w:rsid w:val="579EA853"/>
    <w:rsid w:val="57A417EB"/>
    <w:rsid w:val="57A5455B"/>
    <w:rsid w:val="57A7A308"/>
    <w:rsid w:val="57A8DFD5"/>
    <w:rsid w:val="57A98050"/>
    <w:rsid w:val="57AA0317"/>
    <w:rsid w:val="57B1121A"/>
    <w:rsid w:val="57B2B8E4"/>
    <w:rsid w:val="57B7CEC9"/>
    <w:rsid w:val="57C78784"/>
    <w:rsid w:val="57C79BB8"/>
    <w:rsid w:val="57CAE6B2"/>
    <w:rsid w:val="57CFD6B7"/>
    <w:rsid w:val="57D2850E"/>
    <w:rsid w:val="57DC99CE"/>
    <w:rsid w:val="57EB344E"/>
    <w:rsid w:val="57ECEC93"/>
    <w:rsid w:val="57F63D48"/>
    <w:rsid w:val="57FC8E9A"/>
    <w:rsid w:val="58000401"/>
    <w:rsid w:val="58001F7D"/>
    <w:rsid w:val="580AC45F"/>
    <w:rsid w:val="580C5A28"/>
    <w:rsid w:val="580FAD1C"/>
    <w:rsid w:val="58105A73"/>
    <w:rsid w:val="5814CDA6"/>
    <w:rsid w:val="581507BA"/>
    <w:rsid w:val="5818FC50"/>
    <w:rsid w:val="581D3716"/>
    <w:rsid w:val="5824B8E2"/>
    <w:rsid w:val="58272BDA"/>
    <w:rsid w:val="582E8A7E"/>
    <w:rsid w:val="5831FFBE"/>
    <w:rsid w:val="5833F7AC"/>
    <w:rsid w:val="58390473"/>
    <w:rsid w:val="583DE8EB"/>
    <w:rsid w:val="583E2A2F"/>
    <w:rsid w:val="5846E8BF"/>
    <w:rsid w:val="5850040D"/>
    <w:rsid w:val="5857B5DA"/>
    <w:rsid w:val="586142A5"/>
    <w:rsid w:val="58637A17"/>
    <w:rsid w:val="586EBC28"/>
    <w:rsid w:val="5875758E"/>
    <w:rsid w:val="5876D4C6"/>
    <w:rsid w:val="587B1636"/>
    <w:rsid w:val="587B8EC9"/>
    <w:rsid w:val="587C9CE8"/>
    <w:rsid w:val="5886B27D"/>
    <w:rsid w:val="5886B8B7"/>
    <w:rsid w:val="588FD6E3"/>
    <w:rsid w:val="58908F9C"/>
    <w:rsid w:val="589D88B1"/>
    <w:rsid w:val="589DAA62"/>
    <w:rsid w:val="589E3A1C"/>
    <w:rsid w:val="58A70316"/>
    <w:rsid w:val="58A9B15B"/>
    <w:rsid w:val="58ABD93E"/>
    <w:rsid w:val="58BE2333"/>
    <w:rsid w:val="58C6FB44"/>
    <w:rsid w:val="58CDFB38"/>
    <w:rsid w:val="58D7CE7E"/>
    <w:rsid w:val="58D8C38E"/>
    <w:rsid w:val="58D915D0"/>
    <w:rsid w:val="58E0E9E6"/>
    <w:rsid w:val="58E69BB6"/>
    <w:rsid w:val="58E74665"/>
    <w:rsid w:val="58EE5E88"/>
    <w:rsid w:val="58F378B4"/>
    <w:rsid w:val="58F4FBDE"/>
    <w:rsid w:val="59005ACC"/>
    <w:rsid w:val="590311E0"/>
    <w:rsid w:val="5906D2D7"/>
    <w:rsid w:val="59084A0F"/>
    <w:rsid w:val="59129571"/>
    <w:rsid w:val="5914F06B"/>
    <w:rsid w:val="5916ADEF"/>
    <w:rsid w:val="59234895"/>
    <w:rsid w:val="592634F0"/>
    <w:rsid w:val="592BB726"/>
    <w:rsid w:val="592BB84A"/>
    <w:rsid w:val="5934EEFF"/>
    <w:rsid w:val="5935A4CB"/>
    <w:rsid w:val="5937218B"/>
    <w:rsid w:val="5938EFB5"/>
    <w:rsid w:val="593A661C"/>
    <w:rsid w:val="593AB22B"/>
    <w:rsid w:val="59424DC7"/>
    <w:rsid w:val="5945FEA9"/>
    <w:rsid w:val="594B82D2"/>
    <w:rsid w:val="594FE170"/>
    <w:rsid w:val="5954E22A"/>
    <w:rsid w:val="59570BA2"/>
    <w:rsid w:val="595C5A8E"/>
    <w:rsid w:val="595CEBBF"/>
    <w:rsid w:val="595D2235"/>
    <w:rsid w:val="59753D85"/>
    <w:rsid w:val="597714E0"/>
    <w:rsid w:val="598013B5"/>
    <w:rsid w:val="5981E226"/>
    <w:rsid w:val="5987522D"/>
    <w:rsid w:val="59887D43"/>
    <w:rsid w:val="5991A66B"/>
    <w:rsid w:val="59920684"/>
    <w:rsid w:val="59955E26"/>
    <w:rsid w:val="59A79969"/>
    <w:rsid w:val="59A8BFE2"/>
    <w:rsid w:val="59B53093"/>
    <w:rsid w:val="59B705C5"/>
    <w:rsid w:val="59BEBAA4"/>
    <w:rsid w:val="59C0A237"/>
    <w:rsid w:val="59C1AF44"/>
    <w:rsid w:val="59C61705"/>
    <w:rsid w:val="59C901CF"/>
    <w:rsid w:val="59CEA5F7"/>
    <w:rsid w:val="59D061B4"/>
    <w:rsid w:val="59D122F4"/>
    <w:rsid w:val="59D4D51D"/>
    <w:rsid w:val="59E2135D"/>
    <w:rsid w:val="59E6EC0B"/>
    <w:rsid w:val="59EC7EBC"/>
    <w:rsid w:val="59EF29B1"/>
    <w:rsid w:val="59F0E5FF"/>
    <w:rsid w:val="59F37798"/>
    <w:rsid w:val="59FC26B0"/>
    <w:rsid w:val="5A00583C"/>
    <w:rsid w:val="5A032939"/>
    <w:rsid w:val="5A091F12"/>
    <w:rsid w:val="5A0DEF9D"/>
    <w:rsid w:val="5A0FD399"/>
    <w:rsid w:val="5A15273E"/>
    <w:rsid w:val="5A15D402"/>
    <w:rsid w:val="5A3895A6"/>
    <w:rsid w:val="5A3CB59B"/>
    <w:rsid w:val="5A3D533C"/>
    <w:rsid w:val="5A3D61DA"/>
    <w:rsid w:val="5A47E80A"/>
    <w:rsid w:val="5A49AD94"/>
    <w:rsid w:val="5A49FEBE"/>
    <w:rsid w:val="5A4D1BEF"/>
    <w:rsid w:val="5A4E475E"/>
    <w:rsid w:val="5A4E4D6A"/>
    <w:rsid w:val="5A4F9080"/>
    <w:rsid w:val="5A534BA3"/>
    <w:rsid w:val="5A539DE2"/>
    <w:rsid w:val="5A5A9EB2"/>
    <w:rsid w:val="5A5E2D86"/>
    <w:rsid w:val="5A605C38"/>
    <w:rsid w:val="5A66061D"/>
    <w:rsid w:val="5A66079B"/>
    <w:rsid w:val="5A668D7B"/>
    <w:rsid w:val="5A6BA9B7"/>
    <w:rsid w:val="5A6EDC44"/>
    <w:rsid w:val="5A74F3F0"/>
    <w:rsid w:val="5A75E138"/>
    <w:rsid w:val="5A773388"/>
    <w:rsid w:val="5A77548B"/>
    <w:rsid w:val="5A7C840A"/>
    <w:rsid w:val="5A7C9677"/>
    <w:rsid w:val="5A7EDFC9"/>
    <w:rsid w:val="5A940F9C"/>
    <w:rsid w:val="5A960B19"/>
    <w:rsid w:val="5A985781"/>
    <w:rsid w:val="5A9BA941"/>
    <w:rsid w:val="5AAFA6F4"/>
    <w:rsid w:val="5AC05379"/>
    <w:rsid w:val="5AC84805"/>
    <w:rsid w:val="5ACE3B46"/>
    <w:rsid w:val="5ACF087F"/>
    <w:rsid w:val="5ADB8A0A"/>
    <w:rsid w:val="5ADCD995"/>
    <w:rsid w:val="5ADF3369"/>
    <w:rsid w:val="5AEB94DA"/>
    <w:rsid w:val="5AF19D90"/>
    <w:rsid w:val="5AF23428"/>
    <w:rsid w:val="5AFA8CD5"/>
    <w:rsid w:val="5B00BA24"/>
    <w:rsid w:val="5B011AC6"/>
    <w:rsid w:val="5B016C18"/>
    <w:rsid w:val="5B0750B8"/>
    <w:rsid w:val="5B07C720"/>
    <w:rsid w:val="5B08A7C9"/>
    <w:rsid w:val="5B0F2499"/>
    <w:rsid w:val="5B100417"/>
    <w:rsid w:val="5B169704"/>
    <w:rsid w:val="5B1A3892"/>
    <w:rsid w:val="5B1D14C7"/>
    <w:rsid w:val="5B20268F"/>
    <w:rsid w:val="5B237153"/>
    <w:rsid w:val="5B2663AC"/>
    <w:rsid w:val="5B29628C"/>
    <w:rsid w:val="5B2A5F63"/>
    <w:rsid w:val="5B3462AA"/>
    <w:rsid w:val="5B3F9728"/>
    <w:rsid w:val="5B436E0E"/>
    <w:rsid w:val="5B4868AD"/>
    <w:rsid w:val="5B4B29CE"/>
    <w:rsid w:val="5B5122DE"/>
    <w:rsid w:val="5B51ADA3"/>
    <w:rsid w:val="5B5261EB"/>
    <w:rsid w:val="5B53E3FB"/>
    <w:rsid w:val="5B5A7004"/>
    <w:rsid w:val="5B657CCB"/>
    <w:rsid w:val="5B66D7C5"/>
    <w:rsid w:val="5B6979D3"/>
    <w:rsid w:val="5B6CC19D"/>
    <w:rsid w:val="5B718918"/>
    <w:rsid w:val="5B7C5890"/>
    <w:rsid w:val="5B8242DF"/>
    <w:rsid w:val="5B853DDB"/>
    <w:rsid w:val="5B89D5A6"/>
    <w:rsid w:val="5B8F17F1"/>
    <w:rsid w:val="5B8F7286"/>
    <w:rsid w:val="5B8F901B"/>
    <w:rsid w:val="5B94F8FF"/>
    <w:rsid w:val="5B959C23"/>
    <w:rsid w:val="5B97B906"/>
    <w:rsid w:val="5B98EF68"/>
    <w:rsid w:val="5B9B66E8"/>
    <w:rsid w:val="5B9D04F5"/>
    <w:rsid w:val="5B9F31A8"/>
    <w:rsid w:val="5BAF522C"/>
    <w:rsid w:val="5BB25FB6"/>
    <w:rsid w:val="5BB3136C"/>
    <w:rsid w:val="5BB9FCDE"/>
    <w:rsid w:val="5BBC7E09"/>
    <w:rsid w:val="5BBD3BC2"/>
    <w:rsid w:val="5BCDA407"/>
    <w:rsid w:val="5BCE5534"/>
    <w:rsid w:val="5BD23E50"/>
    <w:rsid w:val="5BD43C9C"/>
    <w:rsid w:val="5BD7F63C"/>
    <w:rsid w:val="5BDA36A9"/>
    <w:rsid w:val="5BE070E3"/>
    <w:rsid w:val="5BE17299"/>
    <w:rsid w:val="5BE5962D"/>
    <w:rsid w:val="5BE9D1AD"/>
    <w:rsid w:val="5BEB3822"/>
    <w:rsid w:val="5BED1EC1"/>
    <w:rsid w:val="5BF31A15"/>
    <w:rsid w:val="5BF6AF7B"/>
    <w:rsid w:val="5BF7FFF4"/>
    <w:rsid w:val="5BFF42CE"/>
    <w:rsid w:val="5C043F01"/>
    <w:rsid w:val="5C0972AF"/>
    <w:rsid w:val="5C0E28FB"/>
    <w:rsid w:val="5C0E7FFC"/>
    <w:rsid w:val="5C10B52F"/>
    <w:rsid w:val="5C13A136"/>
    <w:rsid w:val="5C20AF0F"/>
    <w:rsid w:val="5C233409"/>
    <w:rsid w:val="5C276010"/>
    <w:rsid w:val="5C27C8AA"/>
    <w:rsid w:val="5C2A50AC"/>
    <w:rsid w:val="5C2EEC4F"/>
    <w:rsid w:val="5C37C144"/>
    <w:rsid w:val="5C38B332"/>
    <w:rsid w:val="5C3DD372"/>
    <w:rsid w:val="5C3EAE4F"/>
    <w:rsid w:val="5C49D97C"/>
    <w:rsid w:val="5C5445D7"/>
    <w:rsid w:val="5C571819"/>
    <w:rsid w:val="5C58E883"/>
    <w:rsid w:val="5C58FF83"/>
    <w:rsid w:val="5C59ED38"/>
    <w:rsid w:val="5C5B8943"/>
    <w:rsid w:val="5C5E9C03"/>
    <w:rsid w:val="5C60C0A3"/>
    <w:rsid w:val="5C642973"/>
    <w:rsid w:val="5C72C29A"/>
    <w:rsid w:val="5C77B72B"/>
    <w:rsid w:val="5C7FF52A"/>
    <w:rsid w:val="5C80F4FA"/>
    <w:rsid w:val="5C86BF5C"/>
    <w:rsid w:val="5C86DDEE"/>
    <w:rsid w:val="5C90516E"/>
    <w:rsid w:val="5C92A035"/>
    <w:rsid w:val="5C968005"/>
    <w:rsid w:val="5C99BC30"/>
    <w:rsid w:val="5CA06F28"/>
    <w:rsid w:val="5CA6ACEE"/>
    <w:rsid w:val="5CA9F8DB"/>
    <w:rsid w:val="5CAA00EB"/>
    <w:rsid w:val="5CB49C55"/>
    <w:rsid w:val="5CBC7507"/>
    <w:rsid w:val="5CC3F412"/>
    <w:rsid w:val="5CCE41CD"/>
    <w:rsid w:val="5CCF1E4F"/>
    <w:rsid w:val="5CD79625"/>
    <w:rsid w:val="5CDAC980"/>
    <w:rsid w:val="5CDBF045"/>
    <w:rsid w:val="5CDE5905"/>
    <w:rsid w:val="5CE2113D"/>
    <w:rsid w:val="5CE6F273"/>
    <w:rsid w:val="5CE95BA5"/>
    <w:rsid w:val="5CF4EC24"/>
    <w:rsid w:val="5D098FDC"/>
    <w:rsid w:val="5D0D57D0"/>
    <w:rsid w:val="5D0E2846"/>
    <w:rsid w:val="5D1134CC"/>
    <w:rsid w:val="5D175C1B"/>
    <w:rsid w:val="5D1BCBCF"/>
    <w:rsid w:val="5D1F337A"/>
    <w:rsid w:val="5D260853"/>
    <w:rsid w:val="5D28EEC3"/>
    <w:rsid w:val="5D2C3457"/>
    <w:rsid w:val="5D2F4794"/>
    <w:rsid w:val="5D3453DF"/>
    <w:rsid w:val="5D35DD7D"/>
    <w:rsid w:val="5D35E034"/>
    <w:rsid w:val="5D35EEB8"/>
    <w:rsid w:val="5D40CE18"/>
    <w:rsid w:val="5D411EEC"/>
    <w:rsid w:val="5D460EA2"/>
    <w:rsid w:val="5D46FEE7"/>
    <w:rsid w:val="5D4CB593"/>
    <w:rsid w:val="5D4F101A"/>
    <w:rsid w:val="5D54E03D"/>
    <w:rsid w:val="5D556B55"/>
    <w:rsid w:val="5D57E271"/>
    <w:rsid w:val="5D5848C3"/>
    <w:rsid w:val="5D5C2FEE"/>
    <w:rsid w:val="5D62341A"/>
    <w:rsid w:val="5D62FA98"/>
    <w:rsid w:val="5D63AD0A"/>
    <w:rsid w:val="5D6DAB9B"/>
    <w:rsid w:val="5D6E6F62"/>
    <w:rsid w:val="5D6FB027"/>
    <w:rsid w:val="5D75D89D"/>
    <w:rsid w:val="5D8965A9"/>
    <w:rsid w:val="5D9D8769"/>
    <w:rsid w:val="5DA0F451"/>
    <w:rsid w:val="5DA5A79E"/>
    <w:rsid w:val="5DA68E4A"/>
    <w:rsid w:val="5DABB676"/>
    <w:rsid w:val="5DADE133"/>
    <w:rsid w:val="5DAE2808"/>
    <w:rsid w:val="5DB62CE7"/>
    <w:rsid w:val="5DB79B76"/>
    <w:rsid w:val="5DB7FE15"/>
    <w:rsid w:val="5DB9D853"/>
    <w:rsid w:val="5DBAA8D2"/>
    <w:rsid w:val="5DBC7F00"/>
    <w:rsid w:val="5DC339E9"/>
    <w:rsid w:val="5DCCFC5D"/>
    <w:rsid w:val="5DE0EA94"/>
    <w:rsid w:val="5DE43FA4"/>
    <w:rsid w:val="5DE4F4E8"/>
    <w:rsid w:val="5DE5392C"/>
    <w:rsid w:val="5DE72010"/>
    <w:rsid w:val="5DE8E31C"/>
    <w:rsid w:val="5DEB8095"/>
    <w:rsid w:val="5DED5246"/>
    <w:rsid w:val="5DEE1218"/>
    <w:rsid w:val="5DF5FF1E"/>
    <w:rsid w:val="5DF7384D"/>
    <w:rsid w:val="5DFCCF76"/>
    <w:rsid w:val="5E0FA828"/>
    <w:rsid w:val="5E1832E1"/>
    <w:rsid w:val="5E32C21D"/>
    <w:rsid w:val="5E33E21D"/>
    <w:rsid w:val="5E34EFBD"/>
    <w:rsid w:val="5E39F51F"/>
    <w:rsid w:val="5E4D70A1"/>
    <w:rsid w:val="5E58A881"/>
    <w:rsid w:val="5E5F2E07"/>
    <w:rsid w:val="5E601765"/>
    <w:rsid w:val="5E61B41B"/>
    <w:rsid w:val="5E62B315"/>
    <w:rsid w:val="5E659C85"/>
    <w:rsid w:val="5E6C2FF7"/>
    <w:rsid w:val="5E6DFF10"/>
    <w:rsid w:val="5E703153"/>
    <w:rsid w:val="5E75E904"/>
    <w:rsid w:val="5E7737EA"/>
    <w:rsid w:val="5E78613E"/>
    <w:rsid w:val="5E78BB0B"/>
    <w:rsid w:val="5E7A2E6A"/>
    <w:rsid w:val="5E80270F"/>
    <w:rsid w:val="5E9148F0"/>
    <w:rsid w:val="5E98046D"/>
    <w:rsid w:val="5E9CA870"/>
    <w:rsid w:val="5E9E3EAF"/>
    <w:rsid w:val="5E9E88F2"/>
    <w:rsid w:val="5E9E9266"/>
    <w:rsid w:val="5EA2F30D"/>
    <w:rsid w:val="5EA97B5F"/>
    <w:rsid w:val="5EADE85F"/>
    <w:rsid w:val="5EB7F681"/>
    <w:rsid w:val="5EB8E9FB"/>
    <w:rsid w:val="5EB95346"/>
    <w:rsid w:val="5EBB24AB"/>
    <w:rsid w:val="5EBEE566"/>
    <w:rsid w:val="5EC190FB"/>
    <w:rsid w:val="5ECB5331"/>
    <w:rsid w:val="5ECBA441"/>
    <w:rsid w:val="5ED27B7F"/>
    <w:rsid w:val="5ED60676"/>
    <w:rsid w:val="5EDEB011"/>
    <w:rsid w:val="5EE0C138"/>
    <w:rsid w:val="5EE2CEAA"/>
    <w:rsid w:val="5EE3948F"/>
    <w:rsid w:val="5EE94FD3"/>
    <w:rsid w:val="5EE974D5"/>
    <w:rsid w:val="5EEEE8A4"/>
    <w:rsid w:val="5EF83C17"/>
    <w:rsid w:val="5EF96B49"/>
    <w:rsid w:val="5EF9CB03"/>
    <w:rsid w:val="5EFC7D04"/>
    <w:rsid w:val="5EFCF430"/>
    <w:rsid w:val="5F051A2F"/>
    <w:rsid w:val="5F07919C"/>
    <w:rsid w:val="5F0914BA"/>
    <w:rsid w:val="5F1987B1"/>
    <w:rsid w:val="5F19A7DA"/>
    <w:rsid w:val="5F235A82"/>
    <w:rsid w:val="5F27C478"/>
    <w:rsid w:val="5F294B3A"/>
    <w:rsid w:val="5F2F67FE"/>
    <w:rsid w:val="5F31B9FE"/>
    <w:rsid w:val="5F387CF0"/>
    <w:rsid w:val="5F3C0DF6"/>
    <w:rsid w:val="5F3E0F1A"/>
    <w:rsid w:val="5F444FBE"/>
    <w:rsid w:val="5F4A3256"/>
    <w:rsid w:val="5F524A2E"/>
    <w:rsid w:val="5F525374"/>
    <w:rsid w:val="5F5F4D84"/>
    <w:rsid w:val="5F69CFF4"/>
    <w:rsid w:val="5F6D5EBB"/>
    <w:rsid w:val="5F70B5C8"/>
    <w:rsid w:val="5F8168DE"/>
    <w:rsid w:val="5F82A745"/>
    <w:rsid w:val="5F89965D"/>
    <w:rsid w:val="5F8BD80F"/>
    <w:rsid w:val="5F93ADFA"/>
    <w:rsid w:val="5F973D46"/>
    <w:rsid w:val="5F9A6075"/>
    <w:rsid w:val="5F9E22D1"/>
    <w:rsid w:val="5FA55335"/>
    <w:rsid w:val="5FA5C842"/>
    <w:rsid w:val="5FA8AF1A"/>
    <w:rsid w:val="5FAB6A19"/>
    <w:rsid w:val="5FB3BBE8"/>
    <w:rsid w:val="5FBD2F72"/>
    <w:rsid w:val="5FC207BE"/>
    <w:rsid w:val="5FC50EAB"/>
    <w:rsid w:val="5FC79A17"/>
    <w:rsid w:val="5FCAA7AD"/>
    <w:rsid w:val="5FD2E2A7"/>
    <w:rsid w:val="5FD4B4F2"/>
    <w:rsid w:val="5FD9412A"/>
    <w:rsid w:val="5FDA5903"/>
    <w:rsid w:val="5FDD0818"/>
    <w:rsid w:val="5FED02AA"/>
    <w:rsid w:val="5FF5C7F3"/>
    <w:rsid w:val="5FFBDC37"/>
    <w:rsid w:val="5FFD35E4"/>
    <w:rsid w:val="60019AA3"/>
    <w:rsid w:val="60084408"/>
    <w:rsid w:val="600AEF01"/>
    <w:rsid w:val="600B7BCC"/>
    <w:rsid w:val="600D749C"/>
    <w:rsid w:val="601B2084"/>
    <w:rsid w:val="601F7E99"/>
    <w:rsid w:val="6023D023"/>
    <w:rsid w:val="6025E045"/>
    <w:rsid w:val="602D81DE"/>
    <w:rsid w:val="602DC036"/>
    <w:rsid w:val="60305B74"/>
    <w:rsid w:val="60365FE1"/>
    <w:rsid w:val="603878D1"/>
    <w:rsid w:val="6039B023"/>
    <w:rsid w:val="604B261C"/>
    <w:rsid w:val="604DA83D"/>
    <w:rsid w:val="604E7DF4"/>
    <w:rsid w:val="606BE565"/>
    <w:rsid w:val="606E5B91"/>
    <w:rsid w:val="60732D2E"/>
    <w:rsid w:val="607484A2"/>
    <w:rsid w:val="6083F485"/>
    <w:rsid w:val="60901BAB"/>
    <w:rsid w:val="60A39098"/>
    <w:rsid w:val="60B0105D"/>
    <w:rsid w:val="60B4C54C"/>
    <w:rsid w:val="60B61256"/>
    <w:rsid w:val="60B6A823"/>
    <w:rsid w:val="60B99205"/>
    <w:rsid w:val="60C31707"/>
    <w:rsid w:val="60C69C30"/>
    <w:rsid w:val="60CB7117"/>
    <w:rsid w:val="60D3665B"/>
    <w:rsid w:val="60D563A3"/>
    <w:rsid w:val="60D74184"/>
    <w:rsid w:val="60D9D1C3"/>
    <w:rsid w:val="60E3E2CD"/>
    <w:rsid w:val="60ECA86E"/>
    <w:rsid w:val="60F4BF16"/>
    <w:rsid w:val="60F7782F"/>
    <w:rsid w:val="60F90BC6"/>
    <w:rsid w:val="60F9BD6A"/>
    <w:rsid w:val="6105C38C"/>
    <w:rsid w:val="610BD95B"/>
    <w:rsid w:val="610DC4D5"/>
    <w:rsid w:val="61113F23"/>
    <w:rsid w:val="6111DB31"/>
    <w:rsid w:val="6112B0CE"/>
    <w:rsid w:val="611985FE"/>
    <w:rsid w:val="611C00A8"/>
    <w:rsid w:val="612FA928"/>
    <w:rsid w:val="6131330D"/>
    <w:rsid w:val="6132AABE"/>
    <w:rsid w:val="6137940F"/>
    <w:rsid w:val="613E6BDC"/>
    <w:rsid w:val="6144E8AF"/>
    <w:rsid w:val="6146CE06"/>
    <w:rsid w:val="6149198F"/>
    <w:rsid w:val="614F6B42"/>
    <w:rsid w:val="6150E653"/>
    <w:rsid w:val="6151101E"/>
    <w:rsid w:val="61562546"/>
    <w:rsid w:val="61704FD3"/>
    <w:rsid w:val="6171C713"/>
    <w:rsid w:val="61725019"/>
    <w:rsid w:val="6172E2F0"/>
    <w:rsid w:val="61742904"/>
    <w:rsid w:val="617583C8"/>
    <w:rsid w:val="617716DA"/>
    <w:rsid w:val="617AFF0C"/>
    <w:rsid w:val="617B1378"/>
    <w:rsid w:val="617C5F3C"/>
    <w:rsid w:val="6184EC5C"/>
    <w:rsid w:val="6186E34C"/>
    <w:rsid w:val="61892F5B"/>
    <w:rsid w:val="61921179"/>
    <w:rsid w:val="619F60CB"/>
    <w:rsid w:val="61A5910F"/>
    <w:rsid w:val="61ACBCD8"/>
    <w:rsid w:val="61AEADD7"/>
    <w:rsid w:val="61B0FB95"/>
    <w:rsid w:val="61B2A9CE"/>
    <w:rsid w:val="61B6876D"/>
    <w:rsid w:val="61B9EDB8"/>
    <w:rsid w:val="61C5572F"/>
    <w:rsid w:val="61CAAC9A"/>
    <w:rsid w:val="61CDB1EA"/>
    <w:rsid w:val="61D5791B"/>
    <w:rsid w:val="61D622AE"/>
    <w:rsid w:val="61EF75EE"/>
    <w:rsid w:val="61EFD8D8"/>
    <w:rsid w:val="61F5518E"/>
    <w:rsid w:val="61F597F4"/>
    <w:rsid w:val="61FBB3CA"/>
    <w:rsid w:val="61FEEC2F"/>
    <w:rsid w:val="62005B05"/>
    <w:rsid w:val="6208C03D"/>
    <w:rsid w:val="62106BE8"/>
    <w:rsid w:val="62128021"/>
    <w:rsid w:val="621C5103"/>
    <w:rsid w:val="6224E7FB"/>
    <w:rsid w:val="62290DD9"/>
    <w:rsid w:val="62319F71"/>
    <w:rsid w:val="6232306F"/>
    <w:rsid w:val="62387AAD"/>
    <w:rsid w:val="623B9EDD"/>
    <w:rsid w:val="623C7682"/>
    <w:rsid w:val="62418795"/>
    <w:rsid w:val="6241F1C6"/>
    <w:rsid w:val="624E0890"/>
    <w:rsid w:val="62543B0F"/>
    <w:rsid w:val="6254F1E3"/>
    <w:rsid w:val="62553A8A"/>
    <w:rsid w:val="625ED723"/>
    <w:rsid w:val="6267CC24"/>
    <w:rsid w:val="626DB576"/>
    <w:rsid w:val="626F0E39"/>
    <w:rsid w:val="627311E5"/>
    <w:rsid w:val="62745C3E"/>
    <w:rsid w:val="627D3F6B"/>
    <w:rsid w:val="6280CFF1"/>
    <w:rsid w:val="62852978"/>
    <w:rsid w:val="6285D88D"/>
    <w:rsid w:val="62866CE8"/>
    <w:rsid w:val="628D2265"/>
    <w:rsid w:val="628F137A"/>
    <w:rsid w:val="62925735"/>
    <w:rsid w:val="6294EDB6"/>
    <w:rsid w:val="6299018C"/>
    <w:rsid w:val="62A193ED"/>
    <w:rsid w:val="62A29820"/>
    <w:rsid w:val="62A5F913"/>
    <w:rsid w:val="62AB4C95"/>
    <w:rsid w:val="62AC2099"/>
    <w:rsid w:val="62ADDA03"/>
    <w:rsid w:val="62AED149"/>
    <w:rsid w:val="62B09EFF"/>
    <w:rsid w:val="62B9F4BC"/>
    <w:rsid w:val="62BA5133"/>
    <w:rsid w:val="62BAB6FA"/>
    <w:rsid w:val="62BD5C93"/>
    <w:rsid w:val="62C81829"/>
    <w:rsid w:val="62CF6C3F"/>
    <w:rsid w:val="62E3494A"/>
    <w:rsid w:val="62EABE9D"/>
    <w:rsid w:val="62EC80D3"/>
    <w:rsid w:val="62F1E4B5"/>
    <w:rsid w:val="62FEB98F"/>
    <w:rsid w:val="630314B5"/>
    <w:rsid w:val="6303F1AB"/>
    <w:rsid w:val="6308F750"/>
    <w:rsid w:val="630A9BD8"/>
    <w:rsid w:val="63161A20"/>
    <w:rsid w:val="631D4106"/>
    <w:rsid w:val="631D9FEE"/>
    <w:rsid w:val="6320377B"/>
    <w:rsid w:val="63260BCE"/>
    <w:rsid w:val="6330093B"/>
    <w:rsid w:val="6332810C"/>
    <w:rsid w:val="633296BC"/>
    <w:rsid w:val="6336CFDF"/>
    <w:rsid w:val="633863A3"/>
    <w:rsid w:val="63462345"/>
    <w:rsid w:val="634D5A5E"/>
    <w:rsid w:val="6354F301"/>
    <w:rsid w:val="63561D0C"/>
    <w:rsid w:val="6356DD3A"/>
    <w:rsid w:val="63574788"/>
    <w:rsid w:val="635E2C33"/>
    <w:rsid w:val="635EA153"/>
    <w:rsid w:val="63630209"/>
    <w:rsid w:val="63729380"/>
    <w:rsid w:val="6376D4B2"/>
    <w:rsid w:val="63780B36"/>
    <w:rsid w:val="637F277E"/>
    <w:rsid w:val="6383D406"/>
    <w:rsid w:val="63943E28"/>
    <w:rsid w:val="63A081A3"/>
    <w:rsid w:val="63A39ED2"/>
    <w:rsid w:val="63A462E4"/>
    <w:rsid w:val="63A812F7"/>
    <w:rsid w:val="63B3B07E"/>
    <w:rsid w:val="63B3C2EA"/>
    <w:rsid w:val="63B50914"/>
    <w:rsid w:val="63B7528C"/>
    <w:rsid w:val="63B9F5C1"/>
    <w:rsid w:val="63CD0AD4"/>
    <w:rsid w:val="63CDE87A"/>
    <w:rsid w:val="63D3F995"/>
    <w:rsid w:val="63D7A50D"/>
    <w:rsid w:val="63DB4628"/>
    <w:rsid w:val="63DBFBE9"/>
    <w:rsid w:val="63E2961E"/>
    <w:rsid w:val="63EB1E21"/>
    <w:rsid w:val="63EF0347"/>
    <w:rsid w:val="63F89B18"/>
    <w:rsid w:val="63F9C683"/>
    <w:rsid w:val="63F9F8A2"/>
    <w:rsid w:val="6400ACE7"/>
    <w:rsid w:val="6402E4BD"/>
    <w:rsid w:val="6408BF69"/>
    <w:rsid w:val="640B61B3"/>
    <w:rsid w:val="640CA409"/>
    <w:rsid w:val="640F548A"/>
    <w:rsid w:val="64109648"/>
    <w:rsid w:val="64181DBB"/>
    <w:rsid w:val="642830D5"/>
    <w:rsid w:val="642AACA4"/>
    <w:rsid w:val="642AE9B2"/>
    <w:rsid w:val="642C05CC"/>
    <w:rsid w:val="642FE23F"/>
    <w:rsid w:val="6433B854"/>
    <w:rsid w:val="6434B7D2"/>
    <w:rsid w:val="64428FE7"/>
    <w:rsid w:val="64499261"/>
    <w:rsid w:val="6454FDCE"/>
    <w:rsid w:val="645D26CA"/>
    <w:rsid w:val="645DE74C"/>
    <w:rsid w:val="64600495"/>
    <w:rsid w:val="6463DC86"/>
    <w:rsid w:val="6478A4B8"/>
    <w:rsid w:val="647D6FFD"/>
    <w:rsid w:val="6482E59B"/>
    <w:rsid w:val="64830CED"/>
    <w:rsid w:val="6483BAB0"/>
    <w:rsid w:val="648744BD"/>
    <w:rsid w:val="64962FD3"/>
    <w:rsid w:val="6498DC08"/>
    <w:rsid w:val="64A27FCE"/>
    <w:rsid w:val="64B220FB"/>
    <w:rsid w:val="64B3E022"/>
    <w:rsid w:val="64B4E2E1"/>
    <w:rsid w:val="64BA63A6"/>
    <w:rsid w:val="64BC389E"/>
    <w:rsid w:val="64C33CA2"/>
    <w:rsid w:val="64C55015"/>
    <w:rsid w:val="64CB18C0"/>
    <w:rsid w:val="64CD2EC3"/>
    <w:rsid w:val="64D5B5AE"/>
    <w:rsid w:val="64D5D13E"/>
    <w:rsid w:val="64D780CA"/>
    <w:rsid w:val="64E08145"/>
    <w:rsid w:val="64E37D85"/>
    <w:rsid w:val="64E57CE8"/>
    <w:rsid w:val="64E82E3B"/>
    <w:rsid w:val="64E96642"/>
    <w:rsid w:val="64E972CD"/>
    <w:rsid w:val="64EA0EF6"/>
    <w:rsid w:val="64F3F925"/>
    <w:rsid w:val="64F945CC"/>
    <w:rsid w:val="6506E668"/>
    <w:rsid w:val="6508C200"/>
    <w:rsid w:val="650FA8EB"/>
    <w:rsid w:val="6512399C"/>
    <w:rsid w:val="6515E8B4"/>
    <w:rsid w:val="65203253"/>
    <w:rsid w:val="65226E53"/>
    <w:rsid w:val="652834F8"/>
    <w:rsid w:val="6531EBAC"/>
    <w:rsid w:val="65323CD9"/>
    <w:rsid w:val="65346A1A"/>
    <w:rsid w:val="653544B0"/>
    <w:rsid w:val="653A7492"/>
    <w:rsid w:val="65418339"/>
    <w:rsid w:val="6546ECC6"/>
    <w:rsid w:val="6548BE94"/>
    <w:rsid w:val="654A1C60"/>
    <w:rsid w:val="654D5044"/>
    <w:rsid w:val="654E5D11"/>
    <w:rsid w:val="655213E1"/>
    <w:rsid w:val="6559054C"/>
    <w:rsid w:val="6562F408"/>
    <w:rsid w:val="6572AEFF"/>
    <w:rsid w:val="6573CCFB"/>
    <w:rsid w:val="6576F939"/>
    <w:rsid w:val="657CBB88"/>
    <w:rsid w:val="658307E2"/>
    <w:rsid w:val="6583D22C"/>
    <w:rsid w:val="6583ED5F"/>
    <w:rsid w:val="6585B9DD"/>
    <w:rsid w:val="658C61C2"/>
    <w:rsid w:val="65979D74"/>
    <w:rsid w:val="659BB87A"/>
    <w:rsid w:val="65A3895C"/>
    <w:rsid w:val="65A975C2"/>
    <w:rsid w:val="65B023B7"/>
    <w:rsid w:val="65B6595F"/>
    <w:rsid w:val="65B7FDCF"/>
    <w:rsid w:val="65B89B0D"/>
    <w:rsid w:val="65C19D24"/>
    <w:rsid w:val="65C52C9A"/>
    <w:rsid w:val="65C5790A"/>
    <w:rsid w:val="65C74E2A"/>
    <w:rsid w:val="65CB8368"/>
    <w:rsid w:val="65CDC456"/>
    <w:rsid w:val="65D951DB"/>
    <w:rsid w:val="65DDC587"/>
    <w:rsid w:val="65E7B669"/>
    <w:rsid w:val="65E816A8"/>
    <w:rsid w:val="65F89486"/>
    <w:rsid w:val="65F9EDC8"/>
    <w:rsid w:val="66053034"/>
    <w:rsid w:val="660D54D4"/>
    <w:rsid w:val="661468FB"/>
    <w:rsid w:val="661777A0"/>
    <w:rsid w:val="6619ACAD"/>
    <w:rsid w:val="662BAE4A"/>
    <w:rsid w:val="663567E3"/>
    <w:rsid w:val="6637C4CF"/>
    <w:rsid w:val="663B5FC9"/>
    <w:rsid w:val="663D4C03"/>
    <w:rsid w:val="66421FB3"/>
    <w:rsid w:val="664434E1"/>
    <w:rsid w:val="664A2723"/>
    <w:rsid w:val="66598A6C"/>
    <w:rsid w:val="6659DE64"/>
    <w:rsid w:val="6659DEC8"/>
    <w:rsid w:val="665E63BF"/>
    <w:rsid w:val="66612E29"/>
    <w:rsid w:val="66680709"/>
    <w:rsid w:val="666CF814"/>
    <w:rsid w:val="667094A8"/>
    <w:rsid w:val="6673D55C"/>
    <w:rsid w:val="667B2289"/>
    <w:rsid w:val="6681C078"/>
    <w:rsid w:val="6682858D"/>
    <w:rsid w:val="6686E09C"/>
    <w:rsid w:val="668ABFC8"/>
    <w:rsid w:val="669B15A9"/>
    <w:rsid w:val="66A026F6"/>
    <w:rsid w:val="66A172EB"/>
    <w:rsid w:val="66A4E388"/>
    <w:rsid w:val="66A8597F"/>
    <w:rsid w:val="66AC12DC"/>
    <w:rsid w:val="66CBF074"/>
    <w:rsid w:val="66CD89E5"/>
    <w:rsid w:val="66CE9298"/>
    <w:rsid w:val="66D4D47D"/>
    <w:rsid w:val="66D8D179"/>
    <w:rsid w:val="66DB83B3"/>
    <w:rsid w:val="66EA928C"/>
    <w:rsid w:val="66ED23D4"/>
    <w:rsid w:val="66EF2537"/>
    <w:rsid w:val="66F470E8"/>
    <w:rsid w:val="66F84432"/>
    <w:rsid w:val="6702F24E"/>
    <w:rsid w:val="6704A5B2"/>
    <w:rsid w:val="670D2356"/>
    <w:rsid w:val="670DB336"/>
    <w:rsid w:val="670E62BA"/>
    <w:rsid w:val="6710AF68"/>
    <w:rsid w:val="671363D7"/>
    <w:rsid w:val="6717E7BF"/>
    <w:rsid w:val="671C54BD"/>
    <w:rsid w:val="671EC05F"/>
    <w:rsid w:val="672A39C2"/>
    <w:rsid w:val="672DAC24"/>
    <w:rsid w:val="6744B208"/>
    <w:rsid w:val="67461C20"/>
    <w:rsid w:val="674895C4"/>
    <w:rsid w:val="674C4677"/>
    <w:rsid w:val="675362AA"/>
    <w:rsid w:val="6759226B"/>
    <w:rsid w:val="6760A9E0"/>
    <w:rsid w:val="676698F8"/>
    <w:rsid w:val="67681B3F"/>
    <w:rsid w:val="676983D4"/>
    <w:rsid w:val="677133EF"/>
    <w:rsid w:val="6782D308"/>
    <w:rsid w:val="67870C85"/>
    <w:rsid w:val="67889A01"/>
    <w:rsid w:val="6788E9FE"/>
    <w:rsid w:val="678BC334"/>
    <w:rsid w:val="678E57E6"/>
    <w:rsid w:val="679040F6"/>
    <w:rsid w:val="6793CFC7"/>
    <w:rsid w:val="6795FB37"/>
    <w:rsid w:val="67974222"/>
    <w:rsid w:val="679A5ED0"/>
    <w:rsid w:val="679C0A28"/>
    <w:rsid w:val="67AFE03A"/>
    <w:rsid w:val="67B511AC"/>
    <w:rsid w:val="67B58552"/>
    <w:rsid w:val="67B8B520"/>
    <w:rsid w:val="67BEB734"/>
    <w:rsid w:val="67C1131C"/>
    <w:rsid w:val="67C4E599"/>
    <w:rsid w:val="67C7D5AC"/>
    <w:rsid w:val="67CA0A70"/>
    <w:rsid w:val="67CAF7A5"/>
    <w:rsid w:val="67CF69BD"/>
    <w:rsid w:val="67CF8A23"/>
    <w:rsid w:val="67DD1D3E"/>
    <w:rsid w:val="67E2CAF7"/>
    <w:rsid w:val="67E68F84"/>
    <w:rsid w:val="67E8D739"/>
    <w:rsid w:val="67ED8AFB"/>
    <w:rsid w:val="67EE39FB"/>
    <w:rsid w:val="67EEB155"/>
    <w:rsid w:val="67F489D0"/>
    <w:rsid w:val="67F6A676"/>
    <w:rsid w:val="67FBBEE7"/>
    <w:rsid w:val="67FE96B7"/>
    <w:rsid w:val="68031F3C"/>
    <w:rsid w:val="68049912"/>
    <w:rsid w:val="68058A32"/>
    <w:rsid w:val="68070223"/>
    <w:rsid w:val="68079E2F"/>
    <w:rsid w:val="68090ED2"/>
    <w:rsid w:val="680BB5CE"/>
    <w:rsid w:val="680C059E"/>
    <w:rsid w:val="681023C0"/>
    <w:rsid w:val="6813FC05"/>
    <w:rsid w:val="6817F003"/>
    <w:rsid w:val="68187A14"/>
    <w:rsid w:val="681E7479"/>
    <w:rsid w:val="68219DDF"/>
    <w:rsid w:val="68234CF1"/>
    <w:rsid w:val="6828FDF1"/>
    <w:rsid w:val="682A5E45"/>
    <w:rsid w:val="682BE4EF"/>
    <w:rsid w:val="682C3B2C"/>
    <w:rsid w:val="682E02E0"/>
    <w:rsid w:val="6831E8C4"/>
    <w:rsid w:val="68327D61"/>
    <w:rsid w:val="6833BB75"/>
    <w:rsid w:val="68362217"/>
    <w:rsid w:val="683FDDDC"/>
    <w:rsid w:val="684094CD"/>
    <w:rsid w:val="6841E979"/>
    <w:rsid w:val="68458403"/>
    <w:rsid w:val="684784FD"/>
    <w:rsid w:val="6848709E"/>
    <w:rsid w:val="6849546A"/>
    <w:rsid w:val="684D5569"/>
    <w:rsid w:val="685D0480"/>
    <w:rsid w:val="68619652"/>
    <w:rsid w:val="68660596"/>
    <w:rsid w:val="68688BD5"/>
    <w:rsid w:val="686AE1BA"/>
    <w:rsid w:val="68759122"/>
    <w:rsid w:val="68840ABE"/>
    <w:rsid w:val="6895BC69"/>
    <w:rsid w:val="689943E1"/>
    <w:rsid w:val="68997BB3"/>
    <w:rsid w:val="689C618E"/>
    <w:rsid w:val="689CC7DC"/>
    <w:rsid w:val="68A0AA6E"/>
    <w:rsid w:val="68A4B5FB"/>
    <w:rsid w:val="68A61B7C"/>
    <w:rsid w:val="68A7D944"/>
    <w:rsid w:val="68AC550A"/>
    <w:rsid w:val="68AD2499"/>
    <w:rsid w:val="68AE501C"/>
    <w:rsid w:val="68B4872D"/>
    <w:rsid w:val="68BC6E89"/>
    <w:rsid w:val="68C02E34"/>
    <w:rsid w:val="68C193EA"/>
    <w:rsid w:val="68C478A2"/>
    <w:rsid w:val="68D82BC3"/>
    <w:rsid w:val="68E2C132"/>
    <w:rsid w:val="68EA5285"/>
    <w:rsid w:val="68F3F856"/>
    <w:rsid w:val="68FA0BED"/>
    <w:rsid w:val="68FBFE4F"/>
    <w:rsid w:val="68FCD953"/>
    <w:rsid w:val="68FE4A04"/>
    <w:rsid w:val="68FEE565"/>
    <w:rsid w:val="68FF0647"/>
    <w:rsid w:val="6905F405"/>
    <w:rsid w:val="690C49B7"/>
    <w:rsid w:val="691414B5"/>
    <w:rsid w:val="691A5A34"/>
    <w:rsid w:val="692554DE"/>
    <w:rsid w:val="692F36B3"/>
    <w:rsid w:val="69363665"/>
    <w:rsid w:val="6939B99D"/>
    <w:rsid w:val="693C06AE"/>
    <w:rsid w:val="6942F9A6"/>
    <w:rsid w:val="69446837"/>
    <w:rsid w:val="694CC9B9"/>
    <w:rsid w:val="69565AD1"/>
    <w:rsid w:val="695A181C"/>
    <w:rsid w:val="695B1C2B"/>
    <w:rsid w:val="695BDF53"/>
    <w:rsid w:val="69639901"/>
    <w:rsid w:val="6969DE01"/>
    <w:rsid w:val="696B278B"/>
    <w:rsid w:val="696D416A"/>
    <w:rsid w:val="6970CDFA"/>
    <w:rsid w:val="69718A77"/>
    <w:rsid w:val="69749E78"/>
    <w:rsid w:val="697B68E9"/>
    <w:rsid w:val="69806921"/>
    <w:rsid w:val="69810854"/>
    <w:rsid w:val="6981C968"/>
    <w:rsid w:val="6982A66E"/>
    <w:rsid w:val="6985B95C"/>
    <w:rsid w:val="6986197F"/>
    <w:rsid w:val="698E1E2B"/>
    <w:rsid w:val="698EC542"/>
    <w:rsid w:val="699627E5"/>
    <w:rsid w:val="69981E67"/>
    <w:rsid w:val="699937A6"/>
    <w:rsid w:val="69A001CA"/>
    <w:rsid w:val="69A34B88"/>
    <w:rsid w:val="69A581FB"/>
    <w:rsid w:val="69A941C2"/>
    <w:rsid w:val="69AAB625"/>
    <w:rsid w:val="69AE805D"/>
    <w:rsid w:val="69B67FD0"/>
    <w:rsid w:val="69B8F279"/>
    <w:rsid w:val="69B9DC52"/>
    <w:rsid w:val="69CB2002"/>
    <w:rsid w:val="69CF42D7"/>
    <w:rsid w:val="69D2E588"/>
    <w:rsid w:val="69D5882D"/>
    <w:rsid w:val="69DB679E"/>
    <w:rsid w:val="69DD839C"/>
    <w:rsid w:val="69E0DF76"/>
    <w:rsid w:val="69E13CFE"/>
    <w:rsid w:val="69E1FAC5"/>
    <w:rsid w:val="69E73C44"/>
    <w:rsid w:val="69EBF806"/>
    <w:rsid w:val="69F9DA41"/>
    <w:rsid w:val="69FAABF9"/>
    <w:rsid w:val="69FAB179"/>
    <w:rsid w:val="69FF124A"/>
    <w:rsid w:val="6A02CD6F"/>
    <w:rsid w:val="6A035D81"/>
    <w:rsid w:val="6A036E44"/>
    <w:rsid w:val="6A05B39B"/>
    <w:rsid w:val="6A0B9726"/>
    <w:rsid w:val="6A177B52"/>
    <w:rsid w:val="6A1A1CAA"/>
    <w:rsid w:val="6A2751F6"/>
    <w:rsid w:val="6A39B257"/>
    <w:rsid w:val="6A3DA079"/>
    <w:rsid w:val="6A3E3A1B"/>
    <w:rsid w:val="6A408168"/>
    <w:rsid w:val="6A538F10"/>
    <w:rsid w:val="6A5702F4"/>
    <w:rsid w:val="6A5CA5BF"/>
    <w:rsid w:val="6A5E0E0D"/>
    <w:rsid w:val="6A61D5FB"/>
    <w:rsid w:val="6A6248AE"/>
    <w:rsid w:val="6A6616AE"/>
    <w:rsid w:val="6A680E71"/>
    <w:rsid w:val="6A69AD9C"/>
    <w:rsid w:val="6A6BA30F"/>
    <w:rsid w:val="6A6D2B20"/>
    <w:rsid w:val="6A71E585"/>
    <w:rsid w:val="6A759D5C"/>
    <w:rsid w:val="6A7A3D07"/>
    <w:rsid w:val="6A7CB02D"/>
    <w:rsid w:val="6A7E92D8"/>
    <w:rsid w:val="6A83D327"/>
    <w:rsid w:val="6A87A7F6"/>
    <w:rsid w:val="6A8D7E90"/>
    <w:rsid w:val="6A8F67FA"/>
    <w:rsid w:val="6A953EFA"/>
    <w:rsid w:val="6A9645B1"/>
    <w:rsid w:val="6AA2B550"/>
    <w:rsid w:val="6AAD17D5"/>
    <w:rsid w:val="6AB013E7"/>
    <w:rsid w:val="6AB03E3E"/>
    <w:rsid w:val="6AB3CE35"/>
    <w:rsid w:val="6AB6E032"/>
    <w:rsid w:val="6ABF6C44"/>
    <w:rsid w:val="6AC59580"/>
    <w:rsid w:val="6ACE2A2A"/>
    <w:rsid w:val="6AD0DD9C"/>
    <w:rsid w:val="6AD45619"/>
    <w:rsid w:val="6AD6312C"/>
    <w:rsid w:val="6AE2B37F"/>
    <w:rsid w:val="6AE5B00D"/>
    <w:rsid w:val="6AE85377"/>
    <w:rsid w:val="6AEA73A6"/>
    <w:rsid w:val="6AED57B6"/>
    <w:rsid w:val="6AEF2DCF"/>
    <w:rsid w:val="6AEFF130"/>
    <w:rsid w:val="6AF30CFC"/>
    <w:rsid w:val="6AF4CBA6"/>
    <w:rsid w:val="6AFA3A7F"/>
    <w:rsid w:val="6AFB0473"/>
    <w:rsid w:val="6AFC538A"/>
    <w:rsid w:val="6AFF6E1C"/>
    <w:rsid w:val="6B0000DA"/>
    <w:rsid w:val="6B02C7AC"/>
    <w:rsid w:val="6B08A27A"/>
    <w:rsid w:val="6B0A4DB2"/>
    <w:rsid w:val="6B1213B2"/>
    <w:rsid w:val="6B13A5E5"/>
    <w:rsid w:val="6B187FD0"/>
    <w:rsid w:val="6B203147"/>
    <w:rsid w:val="6B278DC7"/>
    <w:rsid w:val="6B2F6A95"/>
    <w:rsid w:val="6B301C6B"/>
    <w:rsid w:val="6B371CF9"/>
    <w:rsid w:val="6B38902F"/>
    <w:rsid w:val="6B478B92"/>
    <w:rsid w:val="6B576771"/>
    <w:rsid w:val="6B61D133"/>
    <w:rsid w:val="6B6388C9"/>
    <w:rsid w:val="6B6959FE"/>
    <w:rsid w:val="6B6A9CB9"/>
    <w:rsid w:val="6B6BF040"/>
    <w:rsid w:val="6B6FD40C"/>
    <w:rsid w:val="6B70007A"/>
    <w:rsid w:val="6B712633"/>
    <w:rsid w:val="6B77009C"/>
    <w:rsid w:val="6B7A2558"/>
    <w:rsid w:val="6B7A8D85"/>
    <w:rsid w:val="6B7E1D17"/>
    <w:rsid w:val="6B8481F6"/>
    <w:rsid w:val="6B868D97"/>
    <w:rsid w:val="6B8CD429"/>
    <w:rsid w:val="6B902967"/>
    <w:rsid w:val="6B960118"/>
    <w:rsid w:val="6B96DEC8"/>
    <w:rsid w:val="6B9BCF60"/>
    <w:rsid w:val="6BA29BD3"/>
    <w:rsid w:val="6BA7883C"/>
    <w:rsid w:val="6BA86256"/>
    <w:rsid w:val="6BB1520A"/>
    <w:rsid w:val="6BB1DAC1"/>
    <w:rsid w:val="6BB21747"/>
    <w:rsid w:val="6BB3AC42"/>
    <w:rsid w:val="6BB859E4"/>
    <w:rsid w:val="6BBCB474"/>
    <w:rsid w:val="6BBF2126"/>
    <w:rsid w:val="6BC81811"/>
    <w:rsid w:val="6BC922DE"/>
    <w:rsid w:val="6BCC01A5"/>
    <w:rsid w:val="6BCD2AA4"/>
    <w:rsid w:val="6BD22D39"/>
    <w:rsid w:val="6BD4C331"/>
    <w:rsid w:val="6BD6173D"/>
    <w:rsid w:val="6BDA6F5D"/>
    <w:rsid w:val="6BDED597"/>
    <w:rsid w:val="6BE72245"/>
    <w:rsid w:val="6BEA4C61"/>
    <w:rsid w:val="6BEF38D4"/>
    <w:rsid w:val="6BF74640"/>
    <w:rsid w:val="6BFA6003"/>
    <w:rsid w:val="6BFE2824"/>
    <w:rsid w:val="6BFFAA1E"/>
    <w:rsid w:val="6C24BC2D"/>
    <w:rsid w:val="6C256504"/>
    <w:rsid w:val="6C26A20F"/>
    <w:rsid w:val="6C28626C"/>
    <w:rsid w:val="6C293477"/>
    <w:rsid w:val="6C306000"/>
    <w:rsid w:val="6C335DF9"/>
    <w:rsid w:val="6C37C4E9"/>
    <w:rsid w:val="6C39CCE1"/>
    <w:rsid w:val="6C3C1942"/>
    <w:rsid w:val="6C3C48A2"/>
    <w:rsid w:val="6C3C960A"/>
    <w:rsid w:val="6C4F942D"/>
    <w:rsid w:val="6C53D33D"/>
    <w:rsid w:val="6C5862BC"/>
    <w:rsid w:val="6C5D3340"/>
    <w:rsid w:val="6C5F6D77"/>
    <w:rsid w:val="6C69F4E2"/>
    <w:rsid w:val="6C6E1BFE"/>
    <w:rsid w:val="6C72AE20"/>
    <w:rsid w:val="6C73B24F"/>
    <w:rsid w:val="6C74088B"/>
    <w:rsid w:val="6C7A045B"/>
    <w:rsid w:val="6C82ED05"/>
    <w:rsid w:val="6C84893E"/>
    <w:rsid w:val="6C869A50"/>
    <w:rsid w:val="6C8913F6"/>
    <w:rsid w:val="6C94D1F7"/>
    <w:rsid w:val="6C9B52FC"/>
    <w:rsid w:val="6CA76E67"/>
    <w:rsid w:val="6CBB358C"/>
    <w:rsid w:val="6CC009F0"/>
    <w:rsid w:val="6CC553FB"/>
    <w:rsid w:val="6CC56644"/>
    <w:rsid w:val="6CCAE711"/>
    <w:rsid w:val="6CD0C21C"/>
    <w:rsid w:val="6CD21230"/>
    <w:rsid w:val="6CD3B75E"/>
    <w:rsid w:val="6CD4893B"/>
    <w:rsid w:val="6CD685EB"/>
    <w:rsid w:val="6CD89093"/>
    <w:rsid w:val="6CD9045A"/>
    <w:rsid w:val="6CD94E9F"/>
    <w:rsid w:val="6CD98170"/>
    <w:rsid w:val="6CE06B9B"/>
    <w:rsid w:val="6CE2AA3D"/>
    <w:rsid w:val="6CE4AE69"/>
    <w:rsid w:val="6CE70412"/>
    <w:rsid w:val="6CEDC61C"/>
    <w:rsid w:val="6CF04D7B"/>
    <w:rsid w:val="6CFA20AC"/>
    <w:rsid w:val="6CFA8695"/>
    <w:rsid w:val="6CFB1FE2"/>
    <w:rsid w:val="6D0EBDD7"/>
    <w:rsid w:val="6D0F0E88"/>
    <w:rsid w:val="6D12378B"/>
    <w:rsid w:val="6D1245CA"/>
    <w:rsid w:val="6D15E8AC"/>
    <w:rsid w:val="6D1E659E"/>
    <w:rsid w:val="6D218E56"/>
    <w:rsid w:val="6D27DB28"/>
    <w:rsid w:val="6D2A955C"/>
    <w:rsid w:val="6D324BD5"/>
    <w:rsid w:val="6D33A85D"/>
    <w:rsid w:val="6D429806"/>
    <w:rsid w:val="6D48F8DA"/>
    <w:rsid w:val="6D4FBEED"/>
    <w:rsid w:val="6D5465FA"/>
    <w:rsid w:val="6D551FB9"/>
    <w:rsid w:val="6D5B2151"/>
    <w:rsid w:val="6D5E9CEA"/>
    <w:rsid w:val="6D5F2589"/>
    <w:rsid w:val="6D64C77E"/>
    <w:rsid w:val="6D6EF663"/>
    <w:rsid w:val="6D718CE0"/>
    <w:rsid w:val="6D72B737"/>
    <w:rsid w:val="6D736100"/>
    <w:rsid w:val="6D79FB48"/>
    <w:rsid w:val="6D7A4BC9"/>
    <w:rsid w:val="6D8CBBF0"/>
    <w:rsid w:val="6D8D15CE"/>
    <w:rsid w:val="6D8F2691"/>
    <w:rsid w:val="6D927A86"/>
    <w:rsid w:val="6D943457"/>
    <w:rsid w:val="6D98181D"/>
    <w:rsid w:val="6DA44966"/>
    <w:rsid w:val="6DAB2C0B"/>
    <w:rsid w:val="6DAD2F56"/>
    <w:rsid w:val="6DAEA94B"/>
    <w:rsid w:val="6DB76441"/>
    <w:rsid w:val="6DBAC2A0"/>
    <w:rsid w:val="6DBC0725"/>
    <w:rsid w:val="6DC014F3"/>
    <w:rsid w:val="6DC3414D"/>
    <w:rsid w:val="6DC6604E"/>
    <w:rsid w:val="6DCEF122"/>
    <w:rsid w:val="6DD4A5CF"/>
    <w:rsid w:val="6DD531F4"/>
    <w:rsid w:val="6DE27EFF"/>
    <w:rsid w:val="6DEBF2D5"/>
    <w:rsid w:val="6DF53144"/>
    <w:rsid w:val="6DFA2ED3"/>
    <w:rsid w:val="6DFCAB8A"/>
    <w:rsid w:val="6DFE8CAD"/>
    <w:rsid w:val="6DFEB9DE"/>
    <w:rsid w:val="6E0EBD02"/>
    <w:rsid w:val="6E12AE82"/>
    <w:rsid w:val="6E162C42"/>
    <w:rsid w:val="6E17A5D4"/>
    <w:rsid w:val="6E1A1FB9"/>
    <w:rsid w:val="6E201E42"/>
    <w:rsid w:val="6E23ACDC"/>
    <w:rsid w:val="6E260D4B"/>
    <w:rsid w:val="6E27A40E"/>
    <w:rsid w:val="6E2CCE51"/>
    <w:rsid w:val="6E3272DB"/>
    <w:rsid w:val="6E35A773"/>
    <w:rsid w:val="6E35C19C"/>
    <w:rsid w:val="6E390CAC"/>
    <w:rsid w:val="6E397855"/>
    <w:rsid w:val="6E3F6BF4"/>
    <w:rsid w:val="6E3FD04C"/>
    <w:rsid w:val="6E40BF9B"/>
    <w:rsid w:val="6E436F11"/>
    <w:rsid w:val="6E459803"/>
    <w:rsid w:val="6E484259"/>
    <w:rsid w:val="6E4F921C"/>
    <w:rsid w:val="6E501D1D"/>
    <w:rsid w:val="6E5127CE"/>
    <w:rsid w:val="6E576FAA"/>
    <w:rsid w:val="6E5EC4BD"/>
    <w:rsid w:val="6E5EF528"/>
    <w:rsid w:val="6E60D94C"/>
    <w:rsid w:val="6E640A73"/>
    <w:rsid w:val="6E64F198"/>
    <w:rsid w:val="6E6D7209"/>
    <w:rsid w:val="6E750395"/>
    <w:rsid w:val="6E7E54D9"/>
    <w:rsid w:val="6E878F36"/>
    <w:rsid w:val="6E87F7E3"/>
    <w:rsid w:val="6E888F49"/>
    <w:rsid w:val="6E8A866F"/>
    <w:rsid w:val="6E9016C2"/>
    <w:rsid w:val="6E954FBF"/>
    <w:rsid w:val="6E9A2A4D"/>
    <w:rsid w:val="6EA34BA1"/>
    <w:rsid w:val="6EA76E3C"/>
    <w:rsid w:val="6EAA5924"/>
    <w:rsid w:val="6EB0F4BF"/>
    <w:rsid w:val="6EB19044"/>
    <w:rsid w:val="6EB25D4B"/>
    <w:rsid w:val="6EB46487"/>
    <w:rsid w:val="6EB7FB56"/>
    <w:rsid w:val="6EBA115C"/>
    <w:rsid w:val="6EBAB9C0"/>
    <w:rsid w:val="6ECB6162"/>
    <w:rsid w:val="6ECD6658"/>
    <w:rsid w:val="6ED05181"/>
    <w:rsid w:val="6ED8206B"/>
    <w:rsid w:val="6ED9220B"/>
    <w:rsid w:val="6EE1D48D"/>
    <w:rsid w:val="6EE73DAC"/>
    <w:rsid w:val="6EE85066"/>
    <w:rsid w:val="6EEE09AE"/>
    <w:rsid w:val="6EEE39AB"/>
    <w:rsid w:val="6EEE5250"/>
    <w:rsid w:val="6EEFF1A5"/>
    <w:rsid w:val="6EF338C1"/>
    <w:rsid w:val="6EF4B9D8"/>
    <w:rsid w:val="6F002F03"/>
    <w:rsid w:val="6F08B6BF"/>
    <w:rsid w:val="6F0BBCCC"/>
    <w:rsid w:val="6F12010B"/>
    <w:rsid w:val="6F14D232"/>
    <w:rsid w:val="6F15B01D"/>
    <w:rsid w:val="6F245A7B"/>
    <w:rsid w:val="6F25E82A"/>
    <w:rsid w:val="6F26A4F5"/>
    <w:rsid w:val="6F2B2968"/>
    <w:rsid w:val="6F34F6DE"/>
    <w:rsid w:val="6F39091F"/>
    <w:rsid w:val="6F3C9619"/>
    <w:rsid w:val="6F3D1361"/>
    <w:rsid w:val="6F3E028C"/>
    <w:rsid w:val="6F3FA950"/>
    <w:rsid w:val="6F403B55"/>
    <w:rsid w:val="6F41A2C4"/>
    <w:rsid w:val="6F42D044"/>
    <w:rsid w:val="6F434CF3"/>
    <w:rsid w:val="6F47AAC1"/>
    <w:rsid w:val="6F483145"/>
    <w:rsid w:val="6F4EDDF2"/>
    <w:rsid w:val="6F514592"/>
    <w:rsid w:val="6F5204B5"/>
    <w:rsid w:val="6F530C7C"/>
    <w:rsid w:val="6F536DBC"/>
    <w:rsid w:val="6F5B57FD"/>
    <w:rsid w:val="6F5D9CE9"/>
    <w:rsid w:val="6F63C45C"/>
    <w:rsid w:val="6F63F523"/>
    <w:rsid w:val="6F703BEE"/>
    <w:rsid w:val="6F7CD0AB"/>
    <w:rsid w:val="6F8481E9"/>
    <w:rsid w:val="6F87BFEA"/>
    <w:rsid w:val="6F886217"/>
    <w:rsid w:val="6F8C326C"/>
    <w:rsid w:val="6F8FEC95"/>
    <w:rsid w:val="6F919900"/>
    <w:rsid w:val="6F929056"/>
    <w:rsid w:val="6F9D02B2"/>
    <w:rsid w:val="6F9E6BD3"/>
    <w:rsid w:val="6FA1DB6D"/>
    <w:rsid w:val="6FA2EDE0"/>
    <w:rsid w:val="6FA48CAE"/>
    <w:rsid w:val="6FA7A0AB"/>
    <w:rsid w:val="6FB56BEF"/>
    <w:rsid w:val="6FB65CE5"/>
    <w:rsid w:val="6FBAAF42"/>
    <w:rsid w:val="6FC4048C"/>
    <w:rsid w:val="6FCACE1C"/>
    <w:rsid w:val="6FCC89BC"/>
    <w:rsid w:val="6FD317AF"/>
    <w:rsid w:val="6FD32C3E"/>
    <w:rsid w:val="6FD5400C"/>
    <w:rsid w:val="6FDBF5CA"/>
    <w:rsid w:val="6FE04AAB"/>
    <w:rsid w:val="6FE09CBD"/>
    <w:rsid w:val="6FE2833E"/>
    <w:rsid w:val="6FE8B8FD"/>
    <w:rsid w:val="6FEAD479"/>
    <w:rsid w:val="6FEBEBBC"/>
    <w:rsid w:val="6FF59EC5"/>
    <w:rsid w:val="6FF5E5C9"/>
    <w:rsid w:val="6FF6D37C"/>
    <w:rsid w:val="6FF80E08"/>
    <w:rsid w:val="6FF8E79B"/>
    <w:rsid w:val="70035DFE"/>
    <w:rsid w:val="700DD218"/>
    <w:rsid w:val="7012DD20"/>
    <w:rsid w:val="7012F507"/>
    <w:rsid w:val="701BA277"/>
    <w:rsid w:val="701CA7FA"/>
    <w:rsid w:val="702115B0"/>
    <w:rsid w:val="7028E1E8"/>
    <w:rsid w:val="7029412C"/>
    <w:rsid w:val="702D432C"/>
    <w:rsid w:val="702FFD6B"/>
    <w:rsid w:val="7033684A"/>
    <w:rsid w:val="703418B3"/>
    <w:rsid w:val="70366198"/>
    <w:rsid w:val="7036973D"/>
    <w:rsid w:val="70393CF0"/>
    <w:rsid w:val="703FB50E"/>
    <w:rsid w:val="704EA238"/>
    <w:rsid w:val="70573643"/>
    <w:rsid w:val="705C864B"/>
    <w:rsid w:val="705D098D"/>
    <w:rsid w:val="706B6D3D"/>
    <w:rsid w:val="706D64B3"/>
    <w:rsid w:val="7072E283"/>
    <w:rsid w:val="70731554"/>
    <w:rsid w:val="7074E961"/>
    <w:rsid w:val="707661BB"/>
    <w:rsid w:val="707BDEFC"/>
    <w:rsid w:val="707CBAAF"/>
    <w:rsid w:val="7081A9B7"/>
    <w:rsid w:val="70854AE9"/>
    <w:rsid w:val="708B0EC1"/>
    <w:rsid w:val="708D45A6"/>
    <w:rsid w:val="7091060E"/>
    <w:rsid w:val="70935E71"/>
    <w:rsid w:val="709A58FC"/>
    <w:rsid w:val="70A50A51"/>
    <w:rsid w:val="70A8F56D"/>
    <w:rsid w:val="70A9B1D0"/>
    <w:rsid w:val="70B487FC"/>
    <w:rsid w:val="70B69FB1"/>
    <w:rsid w:val="70BB6A2C"/>
    <w:rsid w:val="70BCB503"/>
    <w:rsid w:val="70BFEC02"/>
    <w:rsid w:val="70C1F207"/>
    <w:rsid w:val="70D37E57"/>
    <w:rsid w:val="70D490A2"/>
    <w:rsid w:val="70DCFF27"/>
    <w:rsid w:val="70DEE7A3"/>
    <w:rsid w:val="70DF4F7D"/>
    <w:rsid w:val="70E2FBEC"/>
    <w:rsid w:val="70E60531"/>
    <w:rsid w:val="70EA9FE0"/>
    <w:rsid w:val="70F1EF43"/>
    <w:rsid w:val="70F60C95"/>
    <w:rsid w:val="70F9CABC"/>
    <w:rsid w:val="7103E6C9"/>
    <w:rsid w:val="7105AABB"/>
    <w:rsid w:val="71093164"/>
    <w:rsid w:val="710F5892"/>
    <w:rsid w:val="7110FD42"/>
    <w:rsid w:val="711199DD"/>
    <w:rsid w:val="71148A70"/>
    <w:rsid w:val="71261078"/>
    <w:rsid w:val="7126A679"/>
    <w:rsid w:val="7129125C"/>
    <w:rsid w:val="712CD66F"/>
    <w:rsid w:val="71313F2C"/>
    <w:rsid w:val="713229B1"/>
    <w:rsid w:val="7140C158"/>
    <w:rsid w:val="71441D59"/>
    <w:rsid w:val="7148B6E4"/>
    <w:rsid w:val="714FF9D9"/>
    <w:rsid w:val="71541BD2"/>
    <w:rsid w:val="7155140B"/>
    <w:rsid w:val="7157FBFA"/>
    <w:rsid w:val="71645D79"/>
    <w:rsid w:val="716E8A66"/>
    <w:rsid w:val="71755E85"/>
    <w:rsid w:val="7175F3D2"/>
    <w:rsid w:val="717AFDCA"/>
    <w:rsid w:val="717D6955"/>
    <w:rsid w:val="7185A99E"/>
    <w:rsid w:val="7190669A"/>
    <w:rsid w:val="7191D835"/>
    <w:rsid w:val="7195FFC8"/>
    <w:rsid w:val="71974A6D"/>
    <w:rsid w:val="71A1C667"/>
    <w:rsid w:val="71A4F18F"/>
    <w:rsid w:val="71A95D43"/>
    <w:rsid w:val="71AACB84"/>
    <w:rsid w:val="71AEDDF1"/>
    <w:rsid w:val="71B5DD13"/>
    <w:rsid w:val="71B737AC"/>
    <w:rsid w:val="71B7A1A5"/>
    <w:rsid w:val="71BC2F77"/>
    <w:rsid w:val="71CC6F9D"/>
    <w:rsid w:val="71D5AD7F"/>
    <w:rsid w:val="71D6FC7E"/>
    <w:rsid w:val="71DAC4F6"/>
    <w:rsid w:val="71DD4A14"/>
    <w:rsid w:val="71E04911"/>
    <w:rsid w:val="71E4F767"/>
    <w:rsid w:val="71ECBA3F"/>
    <w:rsid w:val="71ED5EEF"/>
    <w:rsid w:val="71EF426C"/>
    <w:rsid w:val="71F28B22"/>
    <w:rsid w:val="71F2CDA3"/>
    <w:rsid w:val="71F48986"/>
    <w:rsid w:val="71FB974A"/>
    <w:rsid w:val="71FD9BDB"/>
    <w:rsid w:val="71FDD1CF"/>
    <w:rsid w:val="72017D63"/>
    <w:rsid w:val="7203533E"/>
    <w:rsid w:val="7222B33F"/>
    <w:rsid w:val="72234265"/>
    <w:rsid w:val="72280DB6"/>
    <w:rsid w:val="72286093"/>
    <w:rsid w:val="722CB83B"/>
    <w:rsid w:val="722DEE36"/>
    <w:rsid w:val="72311DFA"/>
    <w:rsid w:val="72340A2F"/>
    <w:rsid w:val="7235318C"/>
    <w:rsid w:val="723C6551"/>
    <w:rsid w:val="72401D16"/>
    <w:rsid w:val="724F3E85"/>
    <w:rsid w:val="724FAD8B"/>
    <w:rsid w:val="7252FA33"/>
    <w:rsid w:val="725B4485"/>
    <w:rsid w:val="725B5F12"/>
    <w:rsid w:val="725EB3BA"/>
    <w:rsid w:val="726086F1"/>
    <w:rsid w:val="7261B0DA"/>
    <w:rsid w:val="72627497"/>
    <w:rsid w:val="72635369"/>
    <w:rsid w:val="7265DEA8"/>
    <w:rsid w:val="72697C4D"/>
    <w:rsid w:val="726AC67E"/>
    <w:rsid w:val="726B51B1"/>
    <w:rsid w:val="726BE7B2"/>
    <w:rsid w:val="726DF51D"/>
    <w:rsid w:val="726EBFD6"/>
    <w:rsid w:val="72705267"/>
    <w:rsid w:val="7270D5C4"/>
    <w:rsid w:val="72714B06"/>
    <w:rsid w:val="72739026"/>
    <w:rsid w:val="727B1D3C"/>
    <w:rsid w:val="72848F34"/>
    <w:rsid w:val="72860822"/>
    <w:rsid w:val="7291AD59"/>
    <w:rsid w:val="72A10254"/>
    <w:rsid w:val="72ACD50F"/>
    <w:rsid w:val="72AFA729"/>
    <w:rsid w:val="72B10013"/>
    <w:rsid w:val="72BBA894"/>
    <w:rsid w:val="72BED5DC"/>
    <w:rsid w:val="72C09B7E"/>
    <w:rsid w:val="72C876F7"/>
    <w:rsid w:val="72C97B1E"/>
    <w:rsid w:val="72CA4855"/>
    <w:rsid w:val="72D03A39"/>
    <w:rsid w:val="72D44403"/>
    <w:rsid w:val="72DBC8B2"/>
    <w:rsid w:val="72DE61FA"/>
    <w:rsid w:val="72E0ED18"/>
    <w:rsid w:val="72E3795B"/>
    <w:rsid w:val="72EBCA02"/>
    <w:rsid w:val="72EF2401"/>
    <w:rsid w:val="72F40A3C"/>
    <w:rsid w:val="72F5858B"/>
    <w:rsid w:val="72F9CCE3"/>
    <w:rsid w:val="72FB9910"/>
    <w:rsid w:val="72FCA61A"/>
    <w:rsid w:val="7302DAE0"/>
    <w:rsid w:val="730380DA"/>
    <w:rsid w:val="7304F662"/>
    <w:rsid w:val="7305A819"/>
    <w:rsid w:val="7305FC5E"/>
    <w:rsid w:val="7309FE47"/>
    <w:rsid w:val="730B5F7C"/>
    <w:rsid w:val="73181B25"/>
    <w:rsid w:val="7318A462"/>
    <w:rsid w:val="731A4382"/>
    <w:rsid w:val="731FA281"/>
    <w:rsid w:val="732059BF"/>
    <w:rsid w:val="73286992"/>
    <w:rsid w:val="7328AD28"/>
    <w:rsid w:val="732EA456"/>
    <w:rsid w:val="732F4FF0"/>
    <w:rsid w:val="7335B91F"/>
    <w:rsid w:val="7335F69E"/>
    <w:rsid w:val="733AB3EB"/>
    <w:rsid w:val="7345E28B"/>
    <w:rsid w:val="73464DEB"/>
    <w:rsid w:val="734EF09D"/>
    <w:rsid w:val="7363607C"/>
    <w:rsid w:val="73688274"/>
    <w:rsid w:val="736A1BB4"/>
    <w:rsid w:val="736ED222"/>
    <w:rsid w:val="73797F1C"/>
    <w:rsid w:val="7381A889"/>
    <w:rsid w:val="7384E12C"/>
    <w:rsid w:val="738A42FE"/>
    <w:rsid w:val="73946ED2"/>
    <w:rsid w:val="73A3222F"/>
    <w:rsid w:val="73AF9B40"/>
    <w:rsid w:val="73BA64D9"/>
    <w:rsid w:val="73BF5D73"/>
    <w:rsid w:val="73C0D8D5"/>
    <w:rsid w:val="73C405B1"/>
    <w:rsid w:val="73CD3B65"/>
    <w:rsid w:val="73D2D507"/>
    <w:rsid w:val="73DD987B"/>
    <w:rsid w:val="73DFC169"/>
    <w:rsid w:val="73E0F970"/>
    <w:rsid w:val="73E9CC51"/>
    <w:rsid w:val="73EDE5E6"/>
    <w:rsid w:val="73F35E13"/>
    <w:rsid w:val="73FCF22F"/>
    <w:rsid w:val="73FD4E86"/>
    <w:rsid w:val="73FF0167"/>
    <w:rsid w:val="73FFA5BE"/>
    <w:rsid w:val="7407C51A"/>
    <w:rsid w:val="7409560B"/>
    <w:rsid w:val="740B5352"/>
    <w:rsid w:val="740C0768"/>
    <w:rsid w:val="7411A5AF"/>
    <w:rsid w:val="74121A33"/>
    <w:rsid w:val="7418E3EE"/>
    <w:rsid w:val="741B626B"/>
    <w:rsid w:val="742768ED"/>
    <w:rsid w:val="743460D6"/>
    <w:rsid w:val="74353829"/>
    <w:rsid w:val="74380A21"/>
    <w:rsid w:val="743C2358"/>
    <w:rsid w:val="7445FB98"/>
    <w:rsid w:val="7449B7F0"/>
    <w:rsid w:val="744A028B"/>
    <w:rsid w:val="744DDE43"/>
    <w:rsid w:val="744FEBCD"/>
    <w:rsid w:val="74567317"/>
    <w:rsid w:val="7462C849"/>
    <w:rsid w:val="746F3180"/>
    <w:rsid w:val="747386B4"/>
    <w:rsid w:val="747C5E44"/>
    <w:rsid w:val="74918513"/>
    <w:rsid w:val="7494E2BC"/>
    <w:rsid w:val="7495B5AF"/>
    <w:rsid w:val="74964B89"/>
    <w:rsid w:val="7499B88F"/>
    <w:rsid w:val="7499E21B"/>
    <w:rsid w:val="74A2A2CB"/>
    <w:rsid w:val="74A52CD2"/>
    <w:rsid w:val="74A5C66E"/>
    <w:rsid w:val="74ABCD2E"/>
    <w:rsid w:val="74AC932A"/>
    <w:rsid w:val="74AF03F5"/>
    <w:rsid w:val="74B083A2"/>
    <w:rsid w:val="74B73E60"/>
    <w:rsid w:val="74C03FE3"/>
    <w:rsid w:val="74D86DA3"/>
    <w:rsid w:val="74E63359"/>
    <w:rsid w:val="74EE1931"/>
    <w:rsid w:val="74F814DB"/>
    <w:rsid w:val="74FE49F7"/>
    <w:rsid w:val="74FE7AC1"/>
    <w:rsid w:val="750CDF77"/>
    <w:rsid w:val="751078F1"/>
    <w:rsid w:val="751103C9"/>
    <w:rsid w:val="75171129"/>
    <w:rsid w:val="75185E45"/>
    <w:rsid w:val="751C93EA"/>
    <w:rsid w:val="751E80A0"/>
    <w:rsid w:val="751F259C"/>
    <w:rsid w:val="7521F7F9"/>
    <w:rsid w:val="752352C5"/>
    <w:rsid w:val="752C248E"/>
    <w:rsid w:val="7531E782"/>
    <w:rsid w:val="753243B6"/>
    <w:rsid w:val="7538BC18"/>
    <w:rsid w:val="753AA7C2"/>
    <w:rsid w:val="75409B86"/>
    <w:rsid w:val="754A34E6"/>
    <w:rsid w:val="754C67DE"/>
    <w:rsid w:val="754E3599"/>
    <w:rsid w:val="754F405F"/>
    <w:rsid w:val="75535600"/>
    <w:rsid w:val="755AABC1"/>
    <w:rsid w:val="755FA8D3"/>
    <w:rsid w:val="7560FA35"/>
    <w:rsid w:val="7563827C"/>
    <w:rsid w:val="756DB6EA"/>
    <w:rsid w:val="756F2973"/>
    <w:rsid w:val="7575A2B5"/>
    <w:rsid w:val="75854C48"/>
    <w:rsid w:val="7585C18C"/>
    <w:rsid w:val="7587F2DC"/>
    <w:rsid w:val="758F6CB2"/>
    <w:rsid w:val="7592A7B2"/>
    <w:rsid w:val="759540FC"/>
    <w:rsid w:val="7597903B"/>
    <w:rsid w:val="75A1BD5C"/>
    <w:rsid w:val="75A3B207"/>
    <w:rsid w:val="75A44CA0"/>
    <w:rsid w:val="75A5CDE6"/>
    <w:rsid w:val="75A811BB"/>
    <w:rsid w:val="75A9B558"/>
    <w:rsid w:val="75AE3657"/>
    <w:rsid w:val="75AEB6C1"/>
    <w:rsid w:val="75AED104"/>
    <w:rsid w:val="75B29566"/>
    <w:rsid w:val="75B90B6A"/>
    <w:rsid w:val="75BB18E8"/>
    <w:rsid w:val="75C32470"/>
    <w:rsid w:val="75CB5916"/>
    <w:rsid w:val="75D0760C"/>
    <w:rsid w:val="75D13D75"/>
    <w:rsid w:val="75E743F6"/>
    <w:rsid w:val="75F443FA"/>
    <w:rsid w:val="75F5FABC"/>
    <w:rsid w:val="75F90290"/>
    <w:rsid w:val="76010B70"/>
    <w:rsid w:val="7604C6EA"/>
    <w:rsid w:val="76060187"/>
    <w:rsid w:val="7606F10D"/>
    <w:rsid w:val="76119AB0"/>
    <w:rsid w:val="7616F389"/>
    <w:rsid w:val="761C3783"/>
    <w:rsid w:val="761D90D1"/>
    <w:rsid w:val="761DDA9C"/>
    <w:rsid w:val="762022A6"/>
    <w:rsid w:val="7626010B"/>
    <w:rsid w:val="76269A88"/>
    <w:rsid w:val="762EF48E"/>
    <w:rsid w:val="7630A8B5"/>
    <w:rsid w:val="76312B69"/>
    <w:rsid w:val="76313315"/>
    <w:rsid w:val="763168B3"/>
    <w:rsid w:val="7631C18A"/>
    <w:rsid w:val="76380EED"/>
    <w:rsid w:val="7638A427"/>
    <w:rsid w:val="7638FA2D"/>
    <w:rsid w:val="763AAE11"/>
    <w:rsid w:val="763BC5B9"/>
    <w:rsid w:val="76440460"/>
    <w:rsid w:val="7644566C"/>
    <w:rsid w:val="764653FB"/>
    <w:rsid w:val="76472453"/>
    <w:rsid w:val="7648C64A"/>
    <w:rsid w:val="764A4AB9"/>
    <w:rsid w:val="764CC723"/>
    <w:rsid w:val="764E33D3"/>
    <w:rsid w:val="7653F944"/>
    <w:rsid w:val="765680C9"/>
    <w:rsid w:val="7657FE53"/>
    <w:rsid w:val="7658B44A"/>
    <w:rsid w:val="765B0E50"/>
    <w:rsid w:val="765F1F67"/>
    <w:rsid w:val="76607F63"/>
    <w:rsid w:val="766B760C"/>
    <w:rsid w:val="766BFBFA"/>
    <w:rsid w:val="766CA5E1"/>
    <w:rsid w:val="766FE307"/>
    <w:rsid w:val="768137AD"/>
    <w:rsid w:val="76854FE6"/>
    <w:rsid w:val="76860805"/>
    <w:rsid w:val="768AD85C"/>
    <w:rsid w:val="76914544"/>
    <w:rsid w:val="76947591"/>
    <w:rsid w:val="769B7F95"/>
    <w:rsid w:val="76A3CE9A"/>
    <w:rsid w:val="76A9839E"/>
    <w:rsid w:val="76AD24BF"/>
    <w:rsid w:val="76B085CB"/>
    <w:rsid w:val="76BFA44D"/>
    <w:rsid w:val="76D29459"/>
    <w:rsid w:val="76D3D259"/>
    <w:rsid w:val="76D630D5"/>
    <w:rsid w:val="76D63BF5"/>
    <w:rsid w:val="76D95A1B"/>
    <w:rsid w:val="76E0014C"/>
    <w:rsid w:val="76F34A74"/>
    <w:rsid w:val="76FC7984"/>
    <w:rsid w:val="7702848C"/>
    <w:rsid w:val="7707E64F"/>
    <w:rsid w:val="77092E23"/>
    <w:rsid w:val="770A2701"/>
    <w:rsid w:val="77179AF4"/>
    <w:rsid w:val="77212CAD"/>
    <w:rsid w:val="772D4D80"/>
    <w:rsid w:val="772F19FA"/>
    <w:rsid w:val="773997DA"/>
    <w:rsid w:val="773C2E4D"/>
    <w:rsid w:val="77412A44"/>
    <w:rsid w:val="774E0BB8"/>
    <w:rsid w:val="7751553E"/>
    <w:rsid w:val="7753A1C5"/>
    <w:rsid w:val="7757187A"/>
    <w:rsid w:val="77571C9B"/>
    <w:rsid w:val="775CE323"/>
    <w:rsid w:val="775F3523"/>
    <w:rsid w:val="775F36AB"/>
    <w:rsid w:val="776E2EB3"/>
    <w:rsid w:val="77710B10"/>
    <w:rsid w:val="77752A91"/>
    <w:rsid w:val="7777DB18"/>
    <w:rsid w:val="77799598"/>
    <w:rsid w:val="777DE6EE"/>
    <w:rsid w:val="77804416"/>
    <w:rsid w:val="7783D775"/>
    <w:rsid w:val="77846724"/>
    <w:rsid w:val="77862C8F"/>
    <w:rsid w:val="7795ACE8"/>
    <w:rsid w:val="7797F5FF"/>
    <w:rsid w:val="779E2C48"/>
    <w:rsid w:val="77A36EA8"/>
    <w:rsid w:val="77A57BDF"/>
    <w:rsid w:val="77AF9173"/>
    <w:rsid w:val="77B11D6F"/>
    <w:rsid w:val="77B2884A"/>
    <w:rsid w:val="77B52996"/>
    <w:rsid w:val="77B8D782"/>
    <w:rsid w:val="77C1C24C"/>
    <w:rsid w:val="77C2640D"/>
    <w:rsid w:val="77C483F1"/>
    <w:rsid w:val="77C670D8"/>
    <w:rsid w:val="77C87672"/>
    <w:rsid w:val="77CD2346"/>
    <w:rsid w:val="77CFC99A"/>
    <w:rsid w:val="77D27BDF"/>
    <w:rsid w:val="77DC8F6B"/>
    <w:rsid w:val="77DE22CF"/>
    <w:rsid w:val="77E7875A"/>
    <w:rsid w:val="77EBE929"/>
    <w:rsid w:val="77F1AB55"/>
    <w:rsid w:val="77F1C446"/>
    <w:rsid w:val="77F353FE"/>
    <w:rsid w:val="78082DBC"/>
    <w:rsid w:val="7810D4DD"/>
    <w:rsid w:val="7815F771"/>
    <w:rsid w:val="7817DBDF"/>
    <w:rsid w:val="781EDA46"/>
    <w:rsid w:val="7821BCC3"/>
    <w:rsid w:val="7823C8B7"/>
    <w:rsid w:val="782D15A5"/>
    <w:rsid w:val="7831D5E9"/>
    <w:rsid w:val="7833D534"/>
    <w:rsid w:val="78361331"/>
    <w:rsid w:val="783BFF2C"/>
    <w:rsid w:val="783D2720"/>
    <w:rsid w:val="783ED19D"/>
    <w:rsid w:val="78410815"/>
    <w:rsid w:val="784142D2"/>
    <w:rsid w:val="78446627"/>
    <w:rsid w:val="784B2BEF"/>
    <w:rsid w:val="78551A4C"/>
    <w:rsid w:val="785F0ED0"/>
    <w:rsid w:val="7866A49A"/>
    <w:rsid w:val="786CEC62"/>
    <w:rsid w:val="786F63A5"/>
    <w:rsid w:val="78717E3B"/>
    <w:rsid w:val="787A3C0B"/>
    <w:rsid w:val="788546C9"/>
    <w:rsid w:val="78879D2C"/>
    <w:rsid w:val="788C210F"/>
    <w:rsid w:val="788C394C"/>
    <w:rsid w:val="7890288D"/>
    <w:rsid w:val="7890B125"/>
    <w:rsid w:val="78989F1C"/>
    <w:rsid w:val="78A0C102"/>
    <w:rsid w:val="78A2212A"/>
    <w:rsid w:val="78A6CFFF"/>
    <w:rsid w:val="78ABBC3B"/>
    <w:rsid w:val="78ABFC03"/>
    <w:rsid w:val="78AF83D7"/>
    <w:rsid w:val="78B46A87"/>
    <w:rsid w:val="78B73AF7"/>
    <w:rsid w:val="78BD199B"/>
    <w:rsid w:val="78CE9207"/>
    <w:rsid w:val="78E3F821"/>
    <w:rsid w:val="78E4A447"/>
    <w:rsid w:val="78F246A2"/>
    <w:rsid w:val="78F404EE"/>
    <w:rsid w:val="78FF4B79"/>
    <w:rsid w:val="790D5B8B"/>
    <w:rsid w:val="790DA079"/>
    <w:rsid w:val="7912ABB6"/>
    <w:rsid w:val="791459C2"/>
    <w:rsid w:val="79217031"/>
    <w:rsid w:val="79266075"/>
    <w:rsid w:val="792ABEB0"/>
    <w:rsid w:val="792E9464"/>
    <w:rsid w:val="7936D5D8"/>
    <w:rsid w:val="7937D61C"/>
    <w:rsid w:val="793AC97D"/>
    <w:rsid w:val="793C9730"/>
    <w:rsid w:val="793CC14B"/>
    <w:rsid w:val="793DCC5A"/>
    <w:rsid w:val="793DD342"/>
    <w:rsid w:val="7942E043"/>
    <w:rsid w:val="794FED35"/>
    <w:rsid w:val="7957CC69"/>
    <w:rsid w:val="7961D2B2"/>
    <w:rsid w:val="796F9163"/>
    <w:rsid w:val="79718F1D"/>
    <w:rsid w:val="79746902"/>
    <w:rsid w:val="7975DE23"/>
    <w:rsid w:val="79775E78"/>
    <w:rsid w:val="797A14AC"/>
    <w:rsid w:val="797A8FCB"/>
    <w:rsid w:val="797B1472"/>
    <w:rsid w:val="797BFD75"/>
    <w:rsid w:val="7980D5E7"/>
    <w:rsid w:val="79815262"/>
    <w:rsid w:val="798702DF"/>
    <w:rsid w:val="79890512"/>
    <w:rsid w:val="799876EE"/>
    <w:rsid w:val="7999B143"/>
    <w:rsid w:val="79A04874"/>
    <w:rsid w:val="79A66533"/>
    <w:rsid w:val="79AB6DF1"/>
    <w:rsid w:val="79AEC408"/>
    <w:rsid w:val="79C4FDFE"/>
    <w:rsid w:val="79C7ABB8"/>
    <w:rsid w:val="79CF5583"/>
    <w:rsid w:val="79D10AE7"/>
    <w:rsid w:val="79D1B669"/>
    <w:rsid w:val="79D962C0"/>
    <w:rsid w:val="79EC2117"/>
    <w:rsid w:val="79EC99AA"/>
    <w:rsid w:val="79EF6C75"/>
    <w:rsid w:val="79F38403"/>
    <w:rsid w:val="79FA624F"/>
    <w:rsid w:val="79FD0FE4"/>
    <w:rsid w:val="79FEDF69"/>
    <w:rsid w:val="7A00922D"/>
    <w:rsid w:val="7A024CA5"/>
    <w:rsid w:val="7A039754"/>
    <w:rsid w:val="7A083F28"/>
    <w:rsid w:val="7A0CA2A7"/>
    <w:rsid w:val="7A0D1A2C"/>
    <w:rsid w:val="7A0E856D"/>
    <w:rsid w:val="7A123CE5"/>
    <w:rsid w:val="7A1553D4"/>
    <w:rsid w:val="7A21A6BC"/>
    <w:rsid w:val="7A22E13F"/>
    <w:rsid w:val="7A285A16"/>
    <w:rsid w:val="7A3D9804"/>
    <w:rsid w:val="7A3DBBB1"/>
    <w:rsid w:val="7A3F5B5A"/>
    <w:rsid w:val="7A40B64D"/>
    <w:rsid w:val="7A4858FF"/>
    <w:rsid w:val="7A4F59B2"/>
    <w:rsid w:val="7A4FB648"/>
    <w:rsid w:val="7A52E484"/>
    <w:rsid w:val="7A55C465"/>
    <w:rsid w:val="7A581780"/>
    <w:rsid w:val="7A5B4725"/>
    <w:rsid w:val="7A5CA9FA"/>
    <w:rsid w:val="7A5DCF76"/>
    <w:rsid w:val="7A63E57C"/>
    <w:rsid w:val="7A657334"/>
    <w:rsid w:val="7A6D4010"/>
    <w:rsid w:val="7A6FDF56"/>
    <w:rsid w:val="7A742BE7"/>
    <w:rsid w:val="7A77D67D"/>
    <w:rsid w:val="7A7A318A"/>
    <w:rsid w:val="7A843156"/>
    <w:rsid w:val="7A8B4F69"/>
    <w:rsid w:val="7A91E78B"/>
    <w:rsid w:val="7AA21B48"/>
    <w:rsid w:val="7AA66E4D"/>
    <w:rsid w:val="7AAEEF76"/>
    <w:rsid w:val="7AB12EE0"/>
    <w:rsid w:val="7AB20330"/>
    <w:rsid w:val="7AB85800"/>
    <w:rsid w:val="7AB98BD1"/>
    <w:rsid w:val="7ABEB04D"/>
    <w:rsid w:val="7AC69247"/>
    <w:rsid w:val="7AC99F60"/>
    <w:rsid w:val="7ADACE8B"/>
    <w:rsid w:val="7ADDF4B4"/>
    <w:rsid w:val="7AE715FF"/>
    <w:rsid w:val="7AE7AD13"/>
    <w:rsid w:val="7AE8DAD7"/>
    <w:rsid w:val="7AEC3FC3"/>
    <w:rsid w:val="7AEC91FF"/>
    <w:rsid w:val="7AEFFE7B"/>
    <w:rsid w:val="7AF57463"/>
    <w:rsid w:val="7AF7758E"/>
    <w:rsid w:val="7AFFF52D"/>
    <w:rsid w:val="7B02F3C2"/>
    <w:rsid w:val="7B081EA2"/>
    <w:rsid w:val="7B0A1481"/>
    <w:rsid w:val="7B158EE0"/>
    <w:rsid w:val="7B204E32"/>
    <w:rsid w:val="7B21ECBE"/>
    <w:rsid w:val="7B23D929"/>
    <w:rsid w:val="7B266F5A"/>
    <w:rsid w:val="7B29A4A5"/>
    <w:rsid w:val="7B2C1208"/>
    <w:rsid w:val="7B31C04C"/>
    <w:rsid w:val="7B33ECAC"/>
    <w:rsid w:val="7B3F562D"/>
    <w:rsid w:val="7B42FC16"/>
    <w:rsid w:val="7B45C01F"/>
    <w:rsid w:val="7B46039D"/>
    <w:rsid w:val="7B47CE5D"/>
    <w:rsid w:val="7B4AB074"/>
    <w:rsid w:val="7B5C42E2"/>
    <w:rsid w:val="7B5EE4A6"/>
    <w:rsid w:val="7B5FC7F4"/>
    <w:rsid w:val="7B64B667"/>
    <w:rsid w:val="7B6835D4"/>
    <w:rsid w:val="7B69CA41"/>
    <w:rsid w:val="7B6F27A1"/>
    <w:rsid w:val="7B717F3A"/>
    <w:rsid w:val="7B7443AD"/>
    <w:rsid w:val="7B7FAFDD"/>
    <w:rsid w:val="7B842DEA"/>
    <w:rsid w:val="7B88ACCF"/>
    <w:rsid w:val="7B890A2B"/>
    <w:rsid w:val="7B8C5EC1"/>
    <w:rsid w:val="7B8F121D"/>
    <w:rsid w:val="7B930D07"/>
    <w:rsid w:val="7BAA553C"/>
    <w:rsid w:val="7BAADF0E"/>
    <w:rsid w:val="7BAF5CF3"/>
    <w:rsid w:val="7BB7E843"/>
    <w:rsid w:val="7BBD7A12"/>
    <w:rsid w:val="7BCF1E58"/>
    <w:rsid w:val="7BCF6405"/>
    <w:rsid w:val="7BD0FF55"/>
    <w:rsid w:val="7BE4B066"/>
    <w:rsid w:val="7BF156B2"/>
    <w:rsid w:val="7BF5066A"/>
    <w:rsid w:val="7BF7A2CE"/>
    <w:rsid w:val="7BFBE568"/>
    <w:rsid w:val="7BFF8394"/>
    <w:rsid w:val="7C032B73"/>
    <w:rsid w:val="7C0864DC"/>
    <w:rsid w:val="7C0CED0C"/>
    <w:rsid w:val="7C0FDD45"/>
    <w:rsid w:val="7C1128E9"/>
    <w:rsid w:val="7C1E351B"/>
    <w:rsid w:val="7C20EDF9"/>
    <w:rsid w:val="7C26B4A9"/>
    <w:rsid w:val="7C3C4CC9"/>
    <w:rsid w:val="7C3F9EBA"/>
    <w:rsid w:val="7C40748F"/>
    <w:rsid w:val="7C450B2F"/>
    <w:rsid w:val="7C45B4A6"/>
    <w:rsid w:val="7C468A06"/>
    <w:rsid w:val="7C52E1CC"/>
    <w:rsid w:val="7C53EA2D"/>
    <w:rsid w:val="7C57EF13"/>
    <w:rsid w:val="7C59397A"/>
    <w:rsid w:val="7C6B880F"/>
    <w:rsid w:val="7C846F14"/>
    <w:rsid w:val="7C9C4845"/>
    <w:rsid w:val="7C9FD64D"/>
    <w:rsid w:val="7CA0597E"/>
    <w:rsid w:val="7CA150F9"/>
    <w:rsid w:val="7CAA3B3D"/>
    <w:rsid w:val="7CAF3C8B"/>
    <w:rsid w:val="7CB07B5A"/>
    <w:rsid w:val="7CB216BF"/>
    <w:rsid w:val="7CB2A69D"/>
    <w:rsid w:val="7CB58694"/>
    <w:rsid w:val="7CB75B95"/>
    <w:rsid w:val="7CB98ADB"/>
    <w:rsid w:val="7CBD4608"/>
    <w:rsid w:val="7CBF5ED1"/>
    <w:rsid w:val="7CC0C3F7"/>
    <w:rsid w:val="7CCC29F2"/>
    <w:rsid w:val="7CD54FBF"/>
    <w:rsid w:val="7CD77F7B"/>
    <w:rsid w:val="7CDA7661"/>
    <w:rsid w:val="7CDC2E90"/>
    <w:rsid w:val="7CDD979A"/>
    <w:rsid w:val="7CDEDE29"/>
    <w:rsid w:val="7CDF4020"/>
    <w:rsid w:val="7CE41C8B"/>
    <w:rsid w:val="7CE532DE"/>
    <w:rsid w:val="7CED2CFA"/>
    <w:rsid w:val="7CFCBCC2"/>
    <w:rsid w:val="7D036884"/>
    <w:rsid w:val="7D040B0D"/>
    <w:rsid w:val="7D0B73E3"/>
    <w:rsid w:val="7D1299B8"/>
    <w:rsid w:val="7D14F39A"/>
    <w:rsid w:val="7D16E140"/>
    <w:rsid w:val="7D184AA1"/>
    <w:rsid w:val="7D186D07"/>
    <w:rsid w:val="7D1B665E"/>
    <w:rsid w:val="7D1BE287"/>
    <w:rsid w:val="7D1BE4CC"/>
    <w:rsid w:val="7D1CC439"/>
    <w:rsid w:val="7D1ECB55"/>
    <w:rsid w:val="7D26AD32"/>
    <w:rsid w:val="7D2D0956"/>
    <w:rsid w:val="7D2F9087"/>
    <w:rsid w:val="7D33C13A"/>
    <w:rsid w:val="7D356347"/>
    <w:rsid w:val="7D356E4F"/>
    <w:rsid w:val="7D36686A"/>
    <w:rsid w:val="7D37CBA7"/>
    <w:rsid w:val="7D3C50BF"/>
    <w:rsid w:val="7D413FB8"/>
    <w:rsid w:val="7D446DD3"/>
    <w:rsid w:val="7D4569C3"/>
    <w:rsid w:val="7D4B7874"/>
    <w:rsid w:val="7D4DF820"/>
    <w:rsid w:val="7D4ECD3F"/>
    <w:rsid w:val="7D503757"/>
    <w:rsid w:val="7D6039AB"/>
    <w:rsid w:val="7D61E0BB"/>
    <w:rsid w:val="7D74C5E9"/>
    <w:rsid w:val="7D7ECA96"/>
    <w:rsid w:val="7D7FCCBA"/>
    <w:rsid w:val="7D94B656"/>
    <w:rsid w:val="7D9EF17B"/>
    <w:rsid w:val="7DA72A6D"/>
    <w:rsid w:val="7DA8073D"/>
    <w:rsid w:val="7DA94CCA"/>
    <w:rsid w:val="7DB2CC24"/>
    <w:rsid w:val="7DB2F91A"/>
    <w:rsid w:val="7DB69DD7"/>
    <w:rsid w:val="7DB8D857"/>
    <w:rsid w:val="7DBB65D0"/>
    <w:rsid w:val="7DBDB444"/>
    <w:rsid w:val="7DBF5FAE"/>
    <w:rsid w:val="7DC5CED1"/>
    <w:rsid w:val="7DCA7C86"/>
    <w:rsid w:val="7DCFC4DE"/>
    <w:rsid w:val="7DD6777D"/>
    <w:rsid w:val="7DDA6B4B"/>
    <w:rsid w:val="7DDA8BAB"/>
    <w:rsid w:val="7DE7DE77"/>
    <w:rsid w:val="7DEAFD88"/>
    <w:rsid w:val="7DED276F"/>
    <w:rsid w:val="7DEE09C3"/>
    <w:rsid w:val="7DEFDCFA"/>
    <w:rsid w:val="7DF5923D"/>
    <w:rsid w:val="7DF5E152"/>
    <w:rsid w:val="7DFA80D5"/>
    <w:rsid w:val="7DFD5F6B"/>
    <w:rsid w:val="7E021F35"/>
    <w:rsid w:val="7E03DA89"/>
    <w:rsid w:val="7E0469FB"/>
    <w:rsid w:val="7E06613F"/>
    <w:rsid w:val="7E1441DF"/>
    <w:rsid w:val="7E14BBCD"/>
    <w:rsid w:val="7E14BC9F"/>
    <w:rsid w:val="7E15EAAA"/>
    <w:rsid w:val="7E1B293E"/>
    <w:rsid w:val="7E1CA47B"/>
    <w:rsid w:val="7E216BB0"/>
    <w:rsid w:val="7E23EF68"/>
    <w:rsid w:val="7E35ECA2"/>
    <w:rsid w:val="7E3D52C1"/>
    <w:rsid w:val="7E3EF082"/>
    <w:rsid w:val="7E3F1E73"/>
    <w:rsid w:val="7E46EEE9"/>
    <w:rsid w:val="7E4A1F2D"/>
    <w:rsid w:val="7E531E45"/>
    <w:rsid w:val="7E55EB80"/>
    <w:rsid w:val="7E5B9A86"/>
    <w:rsid w:val="7E5CDDE1"/>
    <w:rsid w:val="7E5D4D9B"/>
    <w:rsid w:val="7E659246"/>
    <w:rsid w:val="7E71026B"/>
    <w:rsid w:val="7E71CB32"/>
    <w:rsid w:val="7E7E0BB5"/>
    <w:rsid w:val="7E7E0E77"/>
    <w:rsid w:val="7E83E50F"/>
    <w:rsid w:val="7E853398"/>
    <w:rsid w:val="7E8AA9D1"/>
    <w:rsid w:val="7E8EBCD1"/>
    <w:rsid w:val="7E945060"/>
    <w:rsid w:val="7E9772C5"/>
    <w:rsid w:val="7E979B9E"/>
    <w:rsid w:val="7EA0FAF1"/>
    <w:rsid w:val="7EA3C632"/>
    <w:rsid w:val="7EA54209"/>
    <w:rsid w:val="7EAE51B1"/>
    <w:rsid w:val="7EAFB3B3"/>
    <w:rsid w:val="7EB18405"/>
    <w:rsid w:val="7EB7BEB7"/>
    <w:rsid w:val="7EB8663D"/>
    <w:rsid w:val="7EBDBC49"/>
    <w:rsid w:val="7ECF0F34"/>
    <w:rsid w:val="7ED01BB3"/>
    <w:rsid w:val="7ED0A7AB"/>
    <w:rsid w:val="7ED6C7D9"/>
    <w:rsid w:val="7EDA5113"/>
    <w:rsid w:val="7EDC8CD8"/>
    <w:rsid w:val="7EDD1AB2"/>
    <w:rsid w:val="7EF4FA86"/>
    <w:rsid w:val="7EF6E49D"/>
    <w:rsid w:val="7EF7ACB9"/>
    <w:rsid w:val="7EF95DB0"/>
    <w:rsid w:val="7EFAB16A"/>
    <w:rsid w:val="7EFBE250"/>
    <w:rsid w:val="7EFD70AA"/>
    <w:rsid w:val="7F01CC7C"/>
    <w:rsid w:val="7F04799C"/>
    <w:rsid w:val="7F0824D9"/>
    <w:rsid w:val="7F0AC916"/>
    <w:rsid w:val="7F1116B7"/>
    <w:rsid w:val="7F194AF6"/>
    <w:rsid w:val="7F1D8023"/>
    <w:rsid w:val="7F20D207"/>
    <w:rsid w:val="7F25A231"/>
    <w:rsid w:val="7F27245F"/>
    <w:rsid w:val="7F3106A7"/>
    <w:rsid w:val="7F3137E6"/>
    <w:rsid w:val="7F385F6E"/>
    <w:rsid w:val="7F390DE3"/>
    <w:rsid w:val="7F3E0B9A"/>
    <w:rsid w:val="7F45301C"/>
    <w:rsid w:val="7F4A51C6"/>
    <w:rsid w:val="7F5804D8"/>
    <w:rsid w:val="7F582F59"/>
    <w:rsid w:val="7F5A0EB4"/>
    <w:rsid w:val="7F5EC624"/>
    <w:rsid w:val="7F69CA53"/>
    <w:rsid w:val="7F6F17EA"/>
    <w:rsid w:val="7F791C42"/>
    <w:rsid w:val="7F7E2DFB"/>
    <w:rsid w:val="7F7FA9A2"/>
    <w:rsid w:val="7F88615B"/>
    <w:rsid w:val="7F8DEE47"/>
    <w:rsid w:val="7F9B05D1"/>
    <w:rsid w:val="7F9CB2E1"/>
    <w:rsid w:val="7FA220A8"/>
    <w:rsid w:val="7FAE6D8C"/>
    <w:rsid w:val="7FAFEE8F"/>
    <w:rsid w:val="7FB00166"/>
    <w:rsid w:val="7FB13A36"/>
    <w:rsid w:val="7FB17535"/>
    <w:rsid w:val="7FCD12C0"/>
    <w:rsid w:val="7FCF1DFA"/>
    <w:rsid w:val="7FD04C7A"/>
    <w:rsid w:val="7FD72BA1"/>
    <w:rsid w:val="7FDA5024"/>
    <w:rsid w:val="7FE39063"/>
    <w:rsid w:val="7FE59940"/>
    <w:rsid w:val="7FEA4F0F"/>
    <w:rsid w:val="7FF12CFF"/>
    <w:rsid w:val="7FF15A7C"/>
    <w:rsid w:val="7FFB7600"/>
    <w:rsid w:val="7FFC5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E2BF2"/>
  <w15:docId w15:val="{A23B187D-2DB2-4C7C-AAC4-5339D6F8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1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7887"/>
    <w:pPr>
      <w:spacing w:line="276" w:lineRule="auto"/>
    </w:pPr>
    <w:rPr>
      <w:rFonts w:asciiTheme="minorHAnsi" w:eastAsiaTheme="minorHAnsi" w:hAnsiTheme="minorHAnsi" w:cstheme="minorBidi"/>
      <w:sz w:val="22"/>
      <w:szCs w:val="22"/>
    </w:rPr>
  </w:style>
  <w:style w:type="paragraph" w:styleId="Heading1">
    <w:name w:val="heading 1"/>
    <w:aliases w:val="P.Heading 1"/>
    <w:basedOn w:val="Normal"/>
    <w:next w:val="Normal"/>
    <w:link w:val="Heading1Char"/>
    <w:qFormat/>
    <w:rsid w:val="0055077E"/>
    <w:pPr>
      <w:tabs>
        <w:tab w:val="left" w:pos="360"/>
        <w:tab w:val="left" w:pos="720"/>
        <w:tab w:val="left" w:pos="1080"/>
        <w:tab w:val="left" w:pos="1440"/>
        <w:tab w:val="left" w:pos="1800"/>
        <w:tab w:val="left" w:pos="2160"/>
        <w:tab w:val="left" w:pos="2520"/>
        <w:tab w:val="left" w:pos="2880"/>
      </w:tabs>
      <w:ind w:right="3600"/>
      <w:outlineLvl w:val="0"/>
    </w:pPr>
    <w:rPr>
      <w:b/>
      <w:bCs/>
      <w:color w:val="2F5496" w:themeColor="accent5" w:themeShade="BF"/>
      <w:sz w:val="48"/>
      <w:szCs w:val="40"/>
    </w:rPr>
  </w:style>
  <w:style w:type="paragraph" w:styleId="Heading2">
    <w:name w:val="heading 2"/>
    <w:basedOn w:val="Normal"/>
    <w:next w:val="BodyTextposthead"/>
    <w:link w:val="Heading2Char"/>
    <w:uiPriority w:val="4"/>
    <w:unhideWhenUsed/>
    <w:qFormat/>
    <w:rsid w:val="00106691"/>
    <w:pPr>
      <w:keepNext/>
      <w:pageBreakBefore/>
      <w:pBdr>
        <w:bottom w:val="single" w:sz="12" w:space="1" w:color="ED7D31" w:themeColor="accent2"/>
      </w:pBdr>
      <w:spacing w:after="120"/>
      <w:outlineLvl w:val="1"/>
    </w:pPr>
    <w:rPr>
      <w:rFonts w:asciiTheme="majorHAnsi" w:hAnsiTheme="majorHAnsi"/>
      <w:color w:val="2F5496" w:themeColor="accent5" w:themeShade="BF"/>
      <w:sz w:val="32"/>
    </w:rPr>
  </w:style>
  <w:style w:type="paragraph" w:styleId="Heading3">
    <w:name w:val="heading 3"/>
    <w:basedOn w:val="BodyText"/>
    <w:next w:val="BodyTextposthead"/>
    <w:link w:val="Heading3Char"/>
    <w:uiPriority w:val="4"/>
    <w:unhideWhenUsed/>
    <w:qFormat/>
    <w:rsid w:val="004A5568"/>
    <w:pPr>
      <w:keepNext/>
      <w:outlineLvl w:val="2"/>
    </w:pPr>
    <w:rPr>
      <w:rFonts w:asciiTheme="majorHAnsi" w:hAnsiTheme="majorHAnsi"/>
      <w:color w:val="2F5496" w:themeColor="accent5" w:themeShade="BF"/>
      <w:sz w:val="28"/>
    </w:rPr>
  </w:style>
  <w:style w:type="paragraph" w:styleId="Heading4">
    <w:name w:val="heading 4"/>
    <w:basedOn w:val="Heading3"/>
    <w:next w:val="BodyTextposthead"/>
    <w:link w:val="Heading4Char"/>
    <w:uiPriority w:val="4"/>
    <w:unhideWhenUsed/>
    <w:qFormat/>
    <w:rsid w:val="004A5568"/>
    <w:pPr>
      <w:outlineLvl w:val="3"/>
    </w:pPr>
    <w:rPr>
      <w:rFonts w:cstheme="majorBidi"/>
      <w:i/>
      <w:iCs/>
      <w:color w:val="2E74B5" w:themeColor="accent1" w:themeShade="BF"/>
      <w:sz w:val="22"/>
    </w:rPr>
  </w:style>
  <w:style w:type="paragraph" w:styleId="Heading5">
    <w:name w:val="heading 5"/>
    <w:basedOn w:val="Heading4"/>
    <w:next w:val="BodyTextposthead"/>
    <w:link w:val="Heading5Char"/>
    <w:uiPriority w:val="4"/>
    <w:unhideWhenUsed/>
    <w:qFormat/>
    <w:rsid w:val="004A5568"/>
    <w:pPr>
      <w:outlineLvl w:val="4"/>
    </w:pPr>
    <w:rPr>
      <w:rFonts w:eastAsia="Times New Roman" w:cs="Times New Roman"/>
      <w:bCs/>
      <w:i w:val="0"/>
      <w:iCs w:val="0"/>
      <w:color w:val="auto"/>
      <w:szCs w:val="26"/>
    </w:rPr>
  </w:style>
  <w:style w:type="paragraph" w:styleId="Heading6">
    <w:name w:val="heading 6"/>
    <w:basedOn w:val="Normal"/>
    <w:next w:val="Normal"/>
    <w:link w:val="Heading6Char"/>
    <w:semiHidden/>
    <w:unhideWhenUsed/>
    <w:qFormat/>
    <w:rsid w:val="00DC652A"/>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DC652A"/>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DC652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C652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Normal"/>
    <w:link w:val="SectionChar"/>
    <w:qFormat/>
    <w:rsid w:val="008E314D"/>
    <w:pPr>
      <w:keepNext/>
      <w:pageBreakBefore/>
      <w:pBdr>
        <w:bottom w:val="single" w:sz="4" w:space="1" w:color="auto"/>
      </w:pBdr>
    </w:pPr>
    <w:rPr>
      <w:sz w:val="36"/>
    </w:rPr>
  </w:style>
  <w:style w:type="character" w:customStyle="1" w:styleId="SectionChar">
    <w:name w:val="Section Char"/>
    <w:basedOn w:val="DefaultParagraphFont"/>
    <w:link w:val="Section"/>
    <w:rsid w:val="008E314D"/>
    <w:rPr>
      <w:rFonts w:asciiTheme="minorHAnsi" w:eastAsiaTheme="minorHAnsi" w:hAnsiTheme="minorHAnsi" w:cstheme="minorBidi"/>
      <w:sz w:val="36"/>
      <w:szCs w:val="22"/>
    </w:rPr>
  </w:style>
  <w:style w:type="paragraph" w:customStyle="1" w:styleId="Subsection">
    <w:name w:val="Subsection"/>
    <w:basedOn w:val="Normal"/>
    <w:next w:val="Normal"/>
    <w:link w:val="SubsectionChar"/>
    <w:qFormat/>
    <w:rsid w:val="008E314D"/>
    <w:pPr>
      <w:keepNext/>
      <w:spacing w:before="200"/>
    </w:pPr>
    <w:rPr>
      <w:b/>
      <w:sz w:val="28"/>
    </w:rPr>
  </w:style>
  <w:style w:type="character" w:customStyle="1" w:styleId="SubsectionChar">
    <w:name w:val="Subsection Char"/>
    <w:basedOn w:val="DefaultParagraphFont"/>
    <w:link w:val="Subsection"/>
    <w:rsid w:val="008E314D"/>
    <w:rPr>
      <w:rFonts w:asciiTheme="minorHAnsi" w:eastAsiaTheme="minorHAnsi" w:hAnsiTheme="minorHAnsi" w:cstheme="minorBidi"/>
      <w:b/>
      <w:sz w:val="28"/>
      <w:szCs w:val="22"/>
    </w:rPr>
  </w:style>
  <w:style w:type="paragraph" w:customStyle="1" w:styleId="Standard">
    <w:name w:val="Standard"/>
    <w:basedOn w:val="Normal"/>
    <w:link w:val="StandardChar"/>
    <w:qFormat/>
    <w:rsid w:val="008E314D"/>
    <w:pPr>
      <w:widowControl w:val="0"/>
      <w:spacing w:before="240"/>
      <w:contextualSpacing/>
    </w:pPr>
    <w:rPr>
      <w:rFonts w:eastAsia="Cambria" w:cstheme="minorHAnsi"/>
      <w:b/>
      <w:bCs/>
      <w:i/>
      <w:iCs/>
      <w:sz w:val="24"/>
      <w:szCs w:val="24"/>
    </w:rPr>
  </w:style>
  <w:style w:type="character" w:customStyle="1" w:styleId="StandardChar">
    <w:name w:val="Standard Char"/>
    <w:basedOn w:val="DefaultParagraphFont"/>
    <w:link w:val="Standard"/>
    <w:rsid w:val="008E314D"/>
    <w:rPr>
      <w:rFonts w:asciiTheme="minorHAnsi" w:eastAsia="Cambria" w:hAnsiTheme="minorHAnsi" w:cstheme="minorHAnsi"/>
      <w:b/>
      <w:bCs/>
      <w:i/>
      <w:iCs/>
      <w:sz w:val="24"/>
      <w:szCs w:val="24"/>
    </w:rPr>
  </w:style>
  <w:style w:type="paragraph" w:styleId="TOC1">
    <w:name w:val="toc 1"/>
    <w:basedOn w:val="Normal"/>
    <w:next w:val="Normal"/>
    <w:autoRedefine/>
    <w:uiPriority w:val="39"/>
    <w:unhideWhenUsed/>
    <w:rsid w:val="0055077E"/>
    <w:pPr>
      <w:spacing w:after="100"/>
    </w:pPr>
  </w:style>
  <w:style w:type="paragraph" w:customStyle="1" w:styleId="Subsection2">
    <w:name w:val="Subsection2"/>
    <w:basedOn w:val="Normal"/>
    <w:link w:val="Subsection2Char"/>
    <w:qFormat/>
    <w:rsid w:val="008E314D"/>
    <w:rPr>
      <w:b/>
    </w:rPr>
  </w:style>
  <w:style w:type="character" w:customStyle="1" w:styleId="Subsection2Char">
    <w:name w:val="Subsection2 Char"/>
    <w:basedOn w:val="DefaultParagraphFont"/>
    <w:link w:val="Subsection2"/>
    <w:rsid w:val="008E314D"/>
    <w:rPr>
      <w:rFonts w:asciiTheme="minorHAnsi" w:eastAsiaTheme="minorHAnsi" w:hAnsiTheme="minorHAnsi" w:cstheme="minorBidi"/>
      <w:b/>
      <w:sz w:val="22"/>
      <w:szCs w:val="22"/>
    </w:rPr>
  </w:style>
  <w:style w:type="character" w:customStyle="1" w:styleId="FooterChar">
    <w:name w:val="Footer Char"/>
    <w:basedOn w:val="DefaultParagraphFont"/>
    <w:link w:val="Footer"/>
    <w:uiPriority w:val="99"/>
    <w:rsid w:val="004A5568"/>
    <w:rPr>
      <w:rFonts w:asciiTheme="minorHAnsi" w:eastAsiaTheme="minorHAnsi" w:hAnsiTheme="minorHAnsi" w:cstheme="minorBidi"/>
      <w:szCs w:val="22"/>
    </w:rPr>
  </w:style>
  <w:style w:type="paragraph" w:styleId="Footer">
    <w:name w:val="footer"/>
    <w:basedOn w:val="Normal"/>
    <w:link w:val="FooterChar"/>
    <w:uiPriority w:val="99"/>
    <w:unhideWhenUsed/>
    <w:qFormat/>
    <w:rsid w:val="004A5568"/>
    <w:pPr>
      <w:pBdr>
        <w:top w:val="single" w:sz="12" w:space="3" w:color="ED7D31" w:themeColor="accent2"/>
      </w:pBdr>
      <w:tabs>
        <w:tab w:val="right" w:pos="12870"/>
      </w:tabs>
      <w:spacing w:line="240" w:lineRule="auto"/>
      <w:ind w:right="54"/>
    </w:pPr>
    <w:rPr>
      <w:sz w:val="20"/>
    </w:rPr>
  </w:style>
  <w:style w:type="character" w:customStyle="1" w:styleId="FooterChar1">
    <w:name w:val="Footer Char1"/>
    <w:basedOn w:val="DefaultParagraphFont"/>
    <w:rsid w:val="008E314D"/>
    <w:rPr>
      <w:rFonts w:asciiTheme="minorHAnsi" w:eastAsiaTheme="minorHAnsi" w:hAnsiTheme="minorHAnsi" w:cstheme="minorBidi"/>
      <w:sz w:val="22"/>
      <w:szCs w:val="22"/>
    </w:rPr>
  </w:style>
  <w:style w:type="character" w:styleId="Hyperlink">
    <w:name w:val="Hyperlink"/>
    <w:basedOn w:val="DefaultParagraphFont"/>
    <w:uiPriority w:val="99"/>
    <w:unhideWhenUsed/>
    <w:qFormat/>
    <w:rsid w:val="004A5568"/>
    <w:rPr>
      <w:color w:val="0563C1" w:themeColor="hyperlink"/>
      <w:u w:val="single"/>
    </w:rPr>
  </w:style>
  <w:style w:type="paragraph" w:styleId="BalloonText">
    <w:name w:val="Balloon Text"/>
    <w:basedOn w:val="Normal"/>
    <w:link w:val="BalloonTextChar"/>
    <w:uiPriority w:val="99"/>
    <w:unhideWhenUsed/>
    <w:rsid w:val="004A55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A5568"/>
    <w:rPr>
      <w:rFonts w:ascii="Segoe UI" w:eastAsiaTheme="minorHAnsi" w:hAnsi="Segoe UI" w:cs="Segoe UI"/>
      <w:sz w:val="18"/>
      <w:szCs w:val="18"/>
    </w:rPr>
  </w:style>
  <w:style w:type="table" w:styleId="TableGrid">
    <w:name w:val="Table Grid"/>
    <w:basedOn w:val="TableNormal"/>
    <w:uiPriority w:val="39"/>
    <w:rsid w:val="002F1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link w:val="TableTitleChar"/>
    <w:qFormat/>
    <w:rsid w:val="002F1EBE"/>
    <w:pPr>
      <w:jc w:val="center"/>
    </w:pPr>
    <w:rPr>
      <w:b/>
      <w:sz w:val="20"/>
    </w:rPr>
  </w:style>
  <w:style w:type="character" w:customStyle="1" w:styleId="TableTitleChar">
    <w:name w:val="TableTitle Char"/>
    <w:basedOn w:val="DefaultParagraphFont"/>
    <w:link w:val="TableTitle"/>
    <w:rsid w:val="002F1EBE"/>
    <w:rPr>
      <w:rFonts w:asciiTheme="minorHAnsi" w:eastAsiaTheme="minorHAnsi" w:hAnsiTheme="minorHAnsi" w:cstheme="minorBidi"/>
      <w:b/>
      <w:szCs w:val="22"/>
    </w:rPr>
  </w:style>
  <w:style w:type="table" w:customStyle="1" w:styleId="TableGrid1">
    <w:name w:val="Table Grid1"/>
    <w:basedOn w:val="TableNormal"/>
    <w:next w:val="TableGrid"/>
    <w:uiPriority w:val="59"/>
    <w:rsid w:val="002F1E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4A5568"/>
    <w:pPr>
      <w:tabs>
        <w:tab w:val="center" w:pos="4680"/>
        <w:tab w:val="right" w:pos="9360"/>
      </w:tabs>
      <w:spacing w:line="240" w:lineRule="auto"/>
    </w:pPr>
  </w:style>
  <w:style w:type="character" w:customStyle="1" w:styleId="HeaderChar">
    <w:name w:val="Header Char"/>
    <w:basedOn w:val="DefaultParagraphFont"/>
    <w:link w:val="Header"/>
    <w:uiPriority w:val="99"/>
    <w:rsid w:val="004A5568"/>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350132"/>
    <w:pPr>
      <w:ind w:left="720"/>
      <w:contextualSpacing/>
    </w:pPr>
  </w:style>
  <w:style w:type="character" w:styleId="CommentReference">
    <w:name w:val="annotation reference"/>
    <w:basedOn w:val="DefaultParagraphFont"/>
    <w:uiPriority w:val="99"/>
    <w:unhideWhenUsed/>
    <w:rsid w:val="004A5568"/>
    <w:rPr>
      <w:sz w:val="16"/>
      <w:szCs w:val="16"/>
    </w:rPr>
  </w:style>
  <w:style w:type="paragraph" w:styleId="CommentText">
    <w:name w:val="annotation text"/>
    <w:basedOn w:val="Normal"/>
    <w:link w:val="CommentTextChar"/>
    <w:uiPriority w:val="99"/>
    <w:unhideWhenUsed/>
    <w:rsid w:val="004A5568"/>
    <w:pPr>
      <w:spacing w:line="240" w:lineRule="auto"/>
    </w:pPr>
    <w:rPr>
      <w:sz w:val="20"/>
      <w:szCs w:val="20"/>
    </w:rPr>
  </w:style>
  <w:style w:type="character" w:customStyle="1" w:styleId="CommentTextChar">
    <w:name w:val="Comment Text Char"/>
    <w:basedOn w:val="DefaultParagraphFont"/>
    <w:link w:val="CommentText"/>
    <w:uiPriority w:val="99"/>
    <w:rsid w:val="004A556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4A5568"/>
    <w:rPr>
      <w:b/>
      <w:bCs/>
    </w:rPr>
  </w:style>
  <w:style w:type="character" w:customStyle="1" w:styleId="CommentSubjectChar">
    <w:name w:val="Comment Subject Char"/>
    <w:basedOn w:val="CommentTextChar"/>
    <w:link w:val="CommentSubject"/>
    <w:uiPriority w:val="99"/>
    <w:rsid w:val="004A5568"/>
    <w:rPr>
      <w:rFonts w:asciiTheme="minorHAnsi" w:eastAsiaTheme="minorHAnsi" w:hAnsiTheme="minorHAnsi" w:cstheme="minorBidi"/>
      <w:b/>
      <w:bCs/>
    </w:rPr>
  </w:style>
  <w:style w:type="table" w:customStyle="1" w:styleId="TableGrid2">
    <w:name w:val="Table Grid2"/>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21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4A5568"/>
    <w:rPr>
      <w:color w:val="954F72" w:themeColor="followedHyperlink"/>
      <w:u w:val="single"/>
    </w:rPr>
  </w:style>
  <w:style w:type="character" w:customStyle="1" w:styleId="ListParagraphChar">
    <w:name w:val="List Paragraph Char"/>
    <w:link w:val="ListParagraph"/>
    <w:uiPriority w:val="34"/>
    <w:locked/>
    <w:rsid w:val="000A6E79"/>
    <w:rPr>
      <w:rFonts w:asciiTheme="minorHAnsi" w:eastAsiaTheme="minorHAnsi" w:hAnsiTheme="minorHAnsi" w:cstheme="minorBidi"/>
      <w:sz w:val="22"/>
      <w:szCs w:val="22"/>
    </w:rPr>
  </w:style>
  <w:style w:type="paragraph" w:styleId="FootnoteText">
    <w:name w:val="footnote text"/>
    <w:link w:val="FootnoteTextChar"/>
    <w:uiPriority w:val="99"/>
    <w:qFormat/>
    <w:rsid w:val="004A5568"/>
    <w:pPr>
      <w:spacing w:line="276" w:lineRule="auto"/>
    </w:pPr>
    <w:rPr>
      <w:rFonts w:asciiTheme="minorHAnsi" w:eastAsiaTheme="minorEastAsia" w:hAnsiTheme="minorHAnsi" w:cstheme="minorBidi"/>
      <w:sz w:val="18"/>
      <w:szCs w:val="22"/>
    </w:rPr>
  </w:style>
  <w:style w:type="character" w:customStyle="1" w:styleId="FootnoteTextChar">
    <w:name w:val="Footnote Text Char"/>
    <w:basedOn w:val="DefaultParagraphFont"/>
    <w:link w:val="FootnoteText"/>
    <w:uiPriority w:val="99"/>
    <w:rsid w:val="004A5568"/>
    <w:rPr>
      <w:rFonts w:asciiTheme="minorHAnsi" w:eastAsiaTheme="minorEastAsia" w:hAnsiTheme="minorHAnsi" w:cstheme="minorBidi"/>
      <w:sz w:val="18"/>
      <w:szCs w:val="22"/>
    </w:rPr>
  </w:style>
  <w:style w:type="character" w:styleId="FootnoteReference">
    <w:name w:val="footnote reference"/>
    <w:uiPriority w:val="99"/>
    <w:qFormat/>
    <w:rsid w:val="00172CC9"/>
    <w:rPr>
      <w:rFonts w:ascii="Franklin Gothic Book" w:hAnsi="Franklin Gothic Book" w:cstheme="minorHAnsi"/>
      <w:sz w:val="20"/>
      <w:szCs w:val="20"/>
      <w:vertAlign w:val="superscript"/>
    </w:rPr>
  </w:style>
  <w:style w:type="character" w:customStyle="1" w:styleId="yiv6513263065">
    <w:name w:val="yiv6513263065"/>
    <w:basedOn w:val="DefaultParagraphFont"/>
    <w:rsid w:val="004608DC"/>
  </w:style>
  <w:style w:type="character" w:styleId="Emphasis">
    <w:name w:val="Emphasis"/>
    <w:basedOn w:val="DefaultParagraphFont"/>
    <w:uiPriority w:val="20"/>
    <w:qFormat/>
    <w:rsid w:val="00B6382C"/>
    <w:rPr>
      <w:i/>
      <w:iCs/>
    </w:rPr>
  </w:style>
  <w:style w:type="paragraph" w:styleId="BodyTextIndent">
    <w:name w:val="Body Text Indent"/>
    <w:basedOn w:val="Normal"/>
    <w:link w:val="BodyTextIndentChar"/>
    <w:rsid w:val="002E0450"/>
    <w:pPr>
      <w:spacing w:after="120"/>
      <w:ind w:left="720" w:right="720"/>
    </w:pPr>
    <w:rPr>
      <w:rFonts w:ascii="Franklin Gothic Book" w:hAnsi="Franklin Gothic Book"/>
    </w:rPr>
  </w:style>
  <w:style w:type="character" w:customStyle="1" w:styleId="BodyTextIndentChar">
    <w:name w:val="Body Text Indent Char"/>
    <w:basedOn w:val="DefaultParagraphFont"/>
    <w:link w:val="BodyTextIndent"/>
    <w:rsid w:val="002E0450"/>
    <w:rPr>
      <w:rFonts w:ascii="Franklin Gothic Book" w:eastAsiaTheme="minorHAnsi" w:hAnsi="Franklin Gothic Book" w:cstheme="minorBidi"/>
      <w:sz w:val="22"/>
      <w:szCs w:val="22"/>
    </w:rPr>
  </w:style>
  <w:style w:type="paragraph" w:styleId="Revision">
    <w:name w:val="Revision"/>
    <w:hidden/>
    <w:uiPriority w:val="99"/>
    <w:semiHidden/>
    <w:rsid w:val="00B6382C"/>
    <w:rPr>
      <w:sz w:val="24"/>
      <w:szCs w:val="24"/>
    </w:rPr>
  </w:style>
  <w:style w:type="character" w:styleId="UnresolvedMention">
    <w:name w:val="Unresolved Mention"/>
    <w:basedOn w:val="DefaultParagraphFont"/>
    <w:uiPriority w:val="99"/>
    <w:unhideWhenUsed/>
    <w:rsid w:val="00B6382C"/>
    <w:rPr>
      <w:color w:val="605E5C"/>
      <w:shd w:val="clear" w:color="auto" w:fill="E1DFDD"/>
    </w:rPr>
  </w:style>
  <w:style w:type="paragraph" w:customStyle="1" w:styleId="paragraph">
    <w:name w:val="paragraph"/>
    <w:basedOn w:val="Normal"/>
    <w:rsid w:val="00B638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B6382C"/>
  </w:style>
  <w:style w:type="character" w:customStyle="1" w:styleId="normaltextrun">
    <w:name w:val="normaltextrun"/>
    <w:basedOn w:val="DefaultParagraphFont"/>
    <w:rsid w:val="00B6382C"/>
  </w:style>
  <w:style w:type="character" w:customStyle="1" w:styleId="eop">
    <w:name w:val="eop"/>
    <w:basedOn w:val="DefaultParagraphFont"/>
    <w:rsid w:val="00B6382C"/>
  </w:style>
  <w:style w:type="character" w:styleId="Strong">
    <w:name w:val="Strong"/>
    <w:basedOn w:val="DefaultParagraphFont"/>
    <w:uiPriority w:val="22"/>
    <w:qFormat/>
    <w:rsid w:val="00B6382C"/>
    <w:rPr>
      <w:b/>
      <w:bCs/>
    </w:rPr>
  </w:style>
  <w:style w:type="character" w:customStyle="1" w:styleId="apple-converted-space">
    <w:name w:val="apple-converted-space"/>
    <w:basedOn w:val="DefaultParagraphFont"/>
    <w:rsid w:val="00B555F8"/>
  </w:style>
  <w:style w:type="table" w:customStyle="1" w:styleId="TableGrid11">
    <w:name w:val="Table Grid11"/>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E6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19"/>
    <w:rsid w:val="004A5568"/>
  </w:style>
  <w:style w:type="table" w:customStyle="1" w:styleId="TableGrid17">
    <w:name w:val="Table Grid17"/>
    <w:basedOn w:val="TableNormal"/>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CE6B35"/>
    <w:rPr>
      <w:color w:val="0000FF"/>
      <w:u w:val="single"/>
    </w:rPr>
  </w:style>
  <w:style w:type="character" w:customStyle="1" w:styleId="FollowedHyperlink1">
    <w:name w:val="FollowedHyperlink1"/>
    <w:basedOn w:val="DefaultParagraphFont"/>
    <w:uiPriority w:val="99"/>
    <w:semiHidden/>
    <w:unhideWhenUsed/>
    <w:rsid w:val="00CE6B35"/>
    <w:rPr>
      <w:color w:val="800080"/>
      <w:u w:val="single"/>
    </w:rPr>
  </w:style>
  <w:style w:type="paragraph" w:styleId="NoSpacing">
    <w:name w:val="No Spacing"/>
    <w:uiPriority w:val="1"/>
    <w:qFormat/>
    <w:rsid w:val="002B7972"/>
    <w:rPr>
      <w:rFonts w:asciiTheme="minorHAnsi" w:eastAsiaTheme="minorEastAsia" w:hAnsiTheme="minorHAnsi" w:cstheme="minorBidi"/>
    </w:rPr>
  </w:style>
  <w:style w:type="paragraph" w:styleId="NormalWeb">
    <w:name w:val="Normal (Web)"/>
    <w:basedOn w:val="Normal"/>
    <w:uiPriority w:val="99"/>
    <w:unhideWhenUsed/>
    <w:rsid w:val="00B72EEE"/>
    <w:pPr>
      <w:spacing w:line="240" w:lineRule="auto"/>
    </w:pPr>
    <w:rPr>
      <w:rFonts w:ascii="Calibri" w:hAnsi="Calibri" w:cs="Calibri"/>
    </w:rPr>
  </w:style>
  <w:style w:type="paragraph" w:customStyle="1" w:styleId="xmsonormal">
    <w:name w:val="x_msonormal"/>
    <w:basedOn w:val="Normal"/>
    <w:rsid w:val="008D2F8D"/>
    <w:pPr>
      <w:spacing w:line="240" w:lineRule="auto"/>
    </w:pPr>
    <w:rPr>
      <w:rFonts w:ascii="Calibri" w:hAnsi="Calibri" w:cs="Calibri"/>
    </w:rPr>
  </w:style>
  <w:style w:type="character" w:customStyle="1" w:styleId="pagebreaktextspan">
    <w:name w:val="pagebreaktextspan"/>
    <w:basedOn w:val="DefaultParagraphFont"/>
    <w:rsid w:val="000E3136"/>
  </w:style>
  <w:style w:type="paragraph" w:styleId="BodyText">
    <w:name w:val="Body Text"/>
    <w:link w:val="BodyTextChar"/>
    <w:uiPriority w:val="99"/>
    <w:unhideWhenUsed/>
    <w:qFormat/>
    <w:rsid w:val="004A5568"/>
    <w:pPr>
      <w:spacing w:before="240"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4A5568"/>
    <w:rPr>
      <w:rFonts w:asciiTheme="minorHAnsi" w:eastAsiaTheme="minorHAnsi" w:hAnsiTheme="minorHAnsi" w:cstheme="minorBidi"/>
      <w:sz w:val="22"/>
      <w:szCs w:val="22"/>
    </w:rPr>
  </w:style>
  <w:style w:type="paragraph" w:customStyle="1" w:styleId="TableText">
    <w:name w:val="Table Text"/>
    <w:link w:val="TableTextChar"/>
    <w:uiPriority w:val="6"/>
    <w:qFormat/>
    <w:rsid w:val="004A5568"/>
    <w:pPr>
      <w:spacing w:before="40" w:after="40"/>
    </w:pPr>
    <w:rPr>
      <w:rFonts w:asciiTheme="minorHAnsi" w:hAnsiTheme="minorHAnsi"/>
    </w:rPr>
  </w:style>
  <w:style w:type="paragraph" w:customStyle="1" w:styleId="TableColHeadingCenter">
    <w:name w:val="Table Col Heading Center"/>
    <w:uiPriority w:val="9"/>
    <w:qFormat/>
    <w:rsid w:val="004A5568"/>
    <w:pPr>
      <w:spacing w:before="40" w:after="40" w:line="276" w:lineRule="auto"/>
      <w:jc w:val="center"/>
    </w:pPr>
    <w:rPr>
      <w:rFonts w:ascii="Franklin Gothic Demi" w:eastAsiaTheme="minorEastAsia" w:hAnsi="Franklin Gothic Demi"/>
      <w:color w:val="FFFFFF" w:themeColor="background1"/>
    </w:rPr>
  </w:style>
  <w:style w:type="character" w:customStyle="1" w:styleId="TableTextChar">
    <w:name w:val="Table Text Char"/>
    <w:basedOn w:val="DefaultParagraphFont"/>
    <w:link w:val="TableText"/>
    <w:uiPriority w:val="6"/>
    <w:rsid w:val="004A5568"/>
    <w:rPr>
      <w:rFonts w:asciiTheme="minorHAnsi" w:hAnsiTheme="minorHAnsi"/>
    </w:rPr>
  </w:style>
  <w:style w:type="paragraph" w:customStyle="1" w:styleId="TableTitle0">
    <w:name w:val="Table Title"/>
    <w:basedOn w:val="BodyText"/>
    <w:uiPriority w:val="5"/>
    <w:qFormat/>
    <w:rsid w:val="00CD7273"/>
    <w:pPr>
      <w:keepNext/>
      <w:spacing w:after="60"/>
    </w:pPr>
    <w:rPr>
      <w:rFonts w:ascii="Franklin Gothic Demi" w:hAnsi="Franklin Gothic Demi"/>
    </w:rPr>
  </w:style>
  <w:style w:type="paragraph" w:customStyle="1" w:styleId="TableTextCentered">
    <w:name w:val="Table Text Centered"/>
    <w:basedOn w:val="TableText"/>
    <w:link w:val="TableTextCenteredChar"/>
    <w:uiPriority w:val="9"/>
    <w:qFormat/>
    <w:rsid w:val="004A5568"/>
    <w:pPr>
      <w:jc w:val="center"/>
    </w:pPr>
    <w:rPr>
      <w:rFonts w:eastAsiaTheme="minorEastAsia" w:cstheme="minorHAnsi"/>
    </w:rPr>
  </w:style>
  <w:style w:type="paragraph" w:customStyle="1" w:styleId="TableColHeadingLeft">
    <w:name w:val="Table Col Heading Left"/>
    <w:basedOn w:val="TableText"/>
    <w:uiPriority w:val="9"/>
    <w:qFormat/>
    <w:rsid w:val="004A5568"/>
    <w:rPr>
      <w:rFonts w:ascii="Franklin Gothic Demi" w:eastAsiaTheme="minorEastAsia" w:hAnsi="Franklin Gothic Demi" w:cstheme="minorHAnsi"/>
      <w:bCs/>
      <w:color w:val="FFFFFF" w:themeColor="background1"/>
    </w:rPr>
  </w:style>
  <w:style w:type="paragraph" w:customStyle="1" w:styleId="TableNote">
    <w:name w:val="Table Note"/>
    <w:basedOn w:val="BodyText"/>
    <w:uiPriority w:val="8"/>
    <w:qFormat/>
    <w:rsid w:val="004A5568"/>
    <w:pPr>
      <w:spacing w:before="120" w:after="0"/>
    </w:pPr>
    <w:rPr>
      <w:rFonts w:eastAsia="Times New Roman" w:cs="Times New Roman"/>
      <w:sz w:val="20"/>
      <w:szCs w:val="24"/>
    </w:rPr>
  </w:style>
  <w:style w:type="paragraph" w:customStyle="1" w:styleId="TableSubheading">
    <w:name w:val="Table Subheading"/>
    <w:basedOn w:val="TableText"/>
    <w:link w:val="TableSubheadingChar"/>
    <w:uiPriority w:val="6"/>
    <w:qFormat/>
    <w:rsid w:val="004A5568"/>
    <w:rPr>
      <w:rFonts w:ascii="Franklin Gothic Demi" w:eastAsia="MS Mincho" w:hAnsi="Franklin Gothic Demi" w:cs="Calibri"/>
      <w:szCs w:val="24"/>
    </w:rPr>
  </w:style>
  <w:style w:type="table" w:customStyle="1" w:styleId="MSVTable1">
    <w:name w:val="MSV Table 1"/>
    <w:basedOn w:val="TableNormal"/>
    <w:uiPriority w:val="99"/>
    <w:rsid w:val="009F50AA"/>
    <w:pPr>
      <w:spacing w:before="40" w:after="40" w:line="259" w:lineRule="auto"/>
    </w:pPr>
    <w:rPr>
      <w:rFonts w:asciiTheme="minorHAnsi" w:eastAsiaTheme="minorHAnsi" w:hAnsiTheme="minorHAnsi" w:cstheme="minorBidi"/>
      <w:szCs w:val="22"/>
    </w:rPr>
    <w:tblPr>
      <w:tblStyleRowBandSize w:val="1"/>
      <w:tblBorders>
        <w:top w:val="single" w:sz="6" w:space="0" w:color="2F5496" w:themeColor="accent5" w:themeShade="BF"/>
        <w:left w:val="single" w:sz="6" w:space="0" w:color="2F5496" w:themeColor="accent5" w:themeShade="BF"/>
        <w:bottom w:val="single" w:sz="6" w:space="0" w:color="2F5496" w:themeColor="accent5" w:themeShade="BF"/>
        <w:right w:val="single" w:sz="6" w:space="0" w:color="2F5496" w:themeColor="accent5" w:themeShade="BF"/>
        <w:insideH w:val="single" w:sz="6" w:space="0" w:color="2F5496" w:themeColor="accent5" w:themeShade="BF"/>
        <w:insideV w:val="single" w:sz="6" w:space="0" w:color="2F5496" w:themeColor="accent5" w:themeShade="BF"/>
      </w:tblBorders>
      <w:tblCellMar>
        <w:left w:w="58" w:type="dxa"/>
        <w:right w:w="58" w:type="dxa"/>
      </w:tblCellMar>
    </w:tblPr>
    <w:tblStylePr w:type="firstRow">
      <w:rPr>
        <w:color w:val="FFFFFF" w:themeColor="background1"/>
      </w:rPr>
      <w:tblPr/>
      <w:tcPr>
        <w:tcBorders>
          <w:insideH w:val="single" w:sz="4" w:space="0" w:color="FFFFFF" w:themeColor="background1"/>
          <w:insideV w:val="single" w:sz="4" w:space="0" w:color="FFFFFF" w:themeColor="background1"/>
        </w:tcBorders>
        <w:shd w:val="clear" w:color="auto" w:fill="2F5496"/>
      </w:tcPr>
    </w:tblStylePr>
    <w:tblStylePr w:type="band1Horz">
      <w:tblPr/>
      <w:tcPr>
        <w:shd w:val="clear" w:color="auto" w:fill="D9E2F3" w:themeFill="accent5" w:themeFillTint="33"/>
      </w:tcPr>
    </w:tblStylePr>
  </w:style>
  <w:style w:type="paragraph" w:customStyle="1" w:styleId="TableTextCenteredDemi">
    <w:name w:val="Table Text Centered Demi"/>
    <w:basedOn w:val="TableTextCentered"/>
    <w:link w:val="TableTextCenteredDemiChar"/>
    <w:qFormat/>
    <w:rsid w:val="004A5568"/>
    <w:rPr>
      <w:rFonts w:ascii="Franklin Gothic Demi" w:hAnsi="Franklin Gothic Demi"/>
    </w:rPr>
  </w:style>
  <w:style w:type="character" w:customStyle="1" w:styleId="TableTextCenteredChar">
    <w:name w:val="Table Text Centered Char"/>
    <w:basedOn w:val="DefaultParagraphFont"/>
    <w:link w:val="TableTextCentered"/>
    <w:uiPriority w:val="9"/>
    <w:rsid w:val="004A5568"/>
    <w:rPr>
      <w:rFonts w:asciiTheme="minorHAnsi" w:eastAsiaTheme="minorEastAsia" w:hAnsiTheme="minorHAnsi" w:cstheme="minorHAnsi"/>
    </w:rPr>
  </w:style>
  <w:style w:type="character" w:customStyle="1" w:styleId="TableTextCenteredDemiChar">
    <w:name w:val="Table Text Centered Demi Char"/>
    <w:basedOn w:val="TableTextCenteredChar"/>
    <w:link w:val="TableTextCenteredDemi"/>
    <w:rsid w:val="004A5568"/>
    <w:rPr>
      <w:rFonts w:ascii="Franklin Gothic Demi" w:eastAsiaTheme="minorEastAsia" w:hAnsi="Franklin Gothic Demi" w:cstheme="minorHAnsi"/>
    </w:rPr>
  </w:style>
  <w:style w:type="character" w:customStyle="1" w:styleId="TableSubheadingChar">
    <w:name w:val="Table Subheading Char"/>
    <w:basedOn w:val="TableTextChar"/>
    <w:link w:val="TableSubheading"/>
    <w:uiPriority w:val="6"/>
    <w:rsid w:val="004A5568"/>
    <w:rPr>
      <w:rFonts w:ascii="Franklin Gothic Demi" w:eastAsia="MS Mincho" w:hAnsi="Franklin Gothic Demi" w:cs="Calibri"/>
      <w:szCs w:val="24"/>
    </w:r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4"/>
    <w:rsid w:val="00106691"/>
    <w:rPr>
      <w:rFonts w:asciiTheme="majorHAnsi" w:eastAsiaTheme="minorHAnsi" w:hAnsiTheme="majorHAnsi" w:cstheme="minorBidi"/>
      <w:color w:val="2F5496" w:themeColor="accent5" w:themeShade="BF"/>
      <w:sz w:val="32"/>
      <w:szCs w:val="22"/>
    </w:rPr>
  </w:style>
  <w:style w:type="paragraph" w:customStyle="1" w:styleId="Heading2-SIOR">
    <w:name w:val="Heading 2 - SIOR"/>
    <w:basedOn w:val="Heading2"/>
    <w:qFormat/>
    <w:rsid w:val="004A5568"/>
  </w:style>
  <w:style w:type="character" w:customStyle="1" w:styleId="superscript">
    <w:name w:val="superscript"/>
    <w:basedOn w:val="DefaultParagraphFont"/>
    <w:rsid w:val="00CB6E16"/>
  </w:style>
  <w:style w:type="paragraph" w:customStyle="1" w:styleId="Default">
    <w:name w:val="Default"/>
    <w:rsid w:val="005D15DF"/>
    <w:pPr>
      <w:autoSpaceDE w:val="0"/>
      <w:autoSpaceDN w:val="0"/>
      <w:adjustRightInd w:val="0"/>
    </w:pPr>
    <w:rPr>
      <w:rFonts w:ascii="Calibri" w:hAnsi="Calibri" w:cs="Calibri"/>
      <w:color w:val="000000"/>
      <w:sz w:val="24"/>
      <w:szCs w:val="24"/>
    </w:rPr>
  </w:style>
  <w:style w:type="character" w:customStyle="1" w:styleId="Heading1Char">
    <w:name w:val="Heading 1 Char"/>
    <w:aliases w:val="P.Heading 1 Char"/>
    <w:basedOn w:val="DefaultParagraphFont"/>
    <w:link w:val="Heading1"/>
    <w:rsid w:val="0055077E"/>
    <w:rPr>
      <w:rFonts w:asciiTheme="minorHAnsi" w:eastAsiaTheme="minorHAnsi" w:hAnsiTheme="minorHAnsi" w:cstheme="minorBidi"/>
      <w:b/>
      <w:bCs/>
      <w:color w:val="2F5496" w:themeColor="accent5" w:themeShade="BF"/>
      <w:sz w:val="48"/>
      <w:szCs w:val="40"/>
    </w:rPr>
  </w:style>
  <w:style w:type="paragraph" w:styleId="TOCHeading">
    <w:name w:val="TOC Heading"/>
    <w:basedOn w:val="Heading2"/>
    <w:next w:val="BodyTextposthead"/>
    <w:uiPriority w:val="39"/>
    <w:unhideWhenUsed/>
    <w:qFormat/>
    <w:rsid w:val="004A5568"/>
    <w:pPr>
      <w:pBdr>
        <w:bottom w:val="none" w:sz="0" w:space="0" w:color="auto"/>
      </w:pBdr>
      <w:spacing w:after="240"/>
      <w:outlineLvl w:val="9"/>
    </w:pPr>
  </w:style>
  <w:style w:type="character" w:customStyle="1" w:styleId="Heading3Char">
    <w:name w:val="Heading 3 Char"/>
    <w:basedOn w:val="DefaultParagraphFont"/>
    <w:link w:val="Heading3"/>
    <w:uiPriority w:val="4"/>
    <w:rsid w:val="004A5568"/>
    <w:rPr>
      <w:rFonts w:asciiTheme="majorHAnsi" w:eastAsiaTheme="minorHAnsi" w:hAnsiTheme="majorHAnsi" w:cstheme="minorBidi"/>
      <w:color w:val="2F5496" w:themeColor="accent5" w:themeShade="BF"/>
      <w:sz w:val="28"/>
      <w:szCs w:val="22"/>
    </w:rPr>
  </w:style>
  <w:style w:type="character" w:customStyle="1" w:styleId="Heading4Char">
    <w:name w:val="Heading 4 Char"/>
    <w:basedOn w:val="DefaultParagraphFont"/>
    <w:link w:val="Heading4"/>
    <w:uiPriority w:val="4"/>
    <w:rsid w:val="004A5568"/>
    <w:rPr>
      <w:rFonts w:asciiTheme="majorHAnsi" w:eastAsiaTheme="minorHAnsi"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4"/>
    <w:rsid w:val="004A5568"/>
    <w:rPr>
      <w:rFonts w:asciiTheme="majorHAnsi" w:hAnsiTheme="majorHAnsi"/>
      <w:bCs/>
      <w:sz w:val="22"/>
      <w:szCs w:val="26"/>
    </w:rPr>
  </w:style>
  <w:style w:type="paragraph" w:customStyle="1" w:styleId="Heading2NoTOC">
    <w:name w:val="Heading 2 No TOC"/>
    <w:basedOn w:val="Heading2"/>
    <w:next w:val="BodyTextposthead"/>
    <w:qFormat/>
    <w:rsid w:val="004A5568"/>
    <w:pPr>
      <w:outlineLvl w:val="9"/>
    </w:pPr>
  </w:style>
  <w:style w:type="numbering" w:customStyle="1" w:styleId="MSVBulletList">
    <w:name w:val="MSV Bullet List"/>
    <w:uiPriority w:val="99"/>
    <w:rsid w:val="004A5568"/>
    <w:pPr>
      <w:numPr>
        <w:numId w:val="4"/>
      </w:numPr>
    </w:pPr>
  </w:style>
  <w:style w:type="paragraph" w:customStyle="1" w:styleId="Bullet1">
    <w:name w:val="Bullet 1"/>
    <w:basedOn w:val="BodyText"/>
    <w:uiPriority w:val="2"/>
    <w:qFormat/>
    <w:rsid w:val="007D69BA"/>
    <w:pPr>
      <w:numPr>
        <w:numId w:val="4"/>
      </w:numPr>
      <w:spacing w:before="60" w:after="60"/>
    </w:pPr>
  </w:style>
  <w:style w:type="paragraph" w:customStyle="1" w:styleId="BodyText-Rating">
    <w:name w:val="Body Text-Rating"/>
    <w:qFormat/>
    <w:rsid w:val="004A5568"/>
    <w:pPr>
      <w:spacing w:before="60" w:after="60"/>
      <w:jc w:val="center"/>
    </w:pPr>
    <w:rPr>
      <w:rFonts w:asciiTheme="minorHAnsi" w:eastAsiaTheme="minorHAnsi" w:hAnsiTheme="minorHAnsi" w:cstheme="minorBidi"/>
      <w:sz w:val="22"/>
      <w:szCs w:val="22"/>
    </w:rPr>
  </w:style>
  <w:style w:type="character" w:customStyle="1" w:styleId="FranklinGothicDemi">
    <w:name w:val="Franklin Gothic Demi"/>
    <w:basedOn w:val="DefaultParagraphFont"/>
    <w:uiPriority w:val="1"/>
    <w:qFormat/>
    <w:rsid w:val="004A5568"/>
    <w:rPr>
      <w:rFonts w:ascii="Franklin Gothic Demi" w:hAnsi="Franklin Gothic Demi"/>
    </w:rPr>
  </w:style>
  <w:style w:type="paragraph" w:customStyle="1" w:styleId="CoverSubtitle">
    <w:name w:val="Cover Subtitle"/>
    <w:link w:val="CoverSubtitleChar"/>
    <w:qFormat/>
    <w:rsid w:val="004A5568"/>
    <w:pPr>
      <w:spacing w:line="264" w:lineRule="auto"/>
      <w:ind w:left="720"/>
    </w:pPr>
    <w:rPr>
      <w:rFonts w:asciiTheme="majorHAnsi" w:eastAsiaTheme="minorHAnsi" w:hAnsiTheme="majorHAnsi" w:cstheme="minorBidi"/>
      <w:i/>
      <w:color w:val="2F5496" w:themeColor="accent5" w:themeShade="BF"/>
      <w:sz w:val="40"/>
      <w:szCs w:val="40"/>
    </w:rPr>
  </w:style>
  <w:style w:type="paragraph" w:customStyle="1" w:styleId="CoverSubtitle2">
    <w:name w:val="Cover Subtitle 2"/>
    <w:qFormat/>
    <w:rsid w:val="004A5568"/>
    <w:pPr>
      <w:spacing w:before="480" w:after="160" w:line="259" w:lineRule="auto"/>
    </w:pPr>
    <w:rPr>
      <w:rFonts w:ascii="Franklin Gothic Medium" w:eastAsiaTheme="minorHAnsi" w:hAnsi="Franklin Gothic Medium" w:cstheme="minorBidi"/>
      <w:color w:val="FFFFFF" w:themeColor="background1"/>
      <w:sz w:val="36"/>
      <w:szCs w:val="40"/>
    </w:rPr>
  </w:style>
  <w:style w:type="paragraph" w:customStyle="1" w:styleId="CoverDate">
    <w:name w:val="Cover Date"/>
    <w:basedOn w:val="CoverSubtitle"/>
    <w:qFormat/>
    <w:rsid w:val="008B1426"/>
    <w:pPr>
      <w:spacing w:before="960"/>
      <w:ind w:left="4032"/>
    </w:pPr>
    <w:rPr>
      <w:i w:val="0"/>
      <w:color w:val="000000" w:themeColor="text1"/>
      <w:sz w:val="32"/>
    </w:rPr>
  </w:style>
  <w:style w:type="paragraph" w:customStyle="1" w:styleId="CoverReportNumber">
    <w:name w:val="Cover Report Number"/>
    <w:link w:val="CoverReportNumberChar"/>
    <w:qFormat/>
    <w:rsid w:val="004A5568"/>
    <w:pPr>
      <w:spacing w:before="120" w:line="259" w:lineRule="auto"/>
      <w:ind w:left="720"/>
    </w:pPr>
    <w:rPr>
      <w:rFonts w:asciiTheme="majorHAnsi" w:eastAsiaTheme="minorHAnsi" w:hAnsiTheme="majorHAnsi" w:cstheme="minorBidi"/>
      <w:color w:val="000000" w:themeColor="text1"/>
      <w:szCs w:val="22"/>
    </w:rPr>
  </w:style>
  <w:style w:type="character" w:customStyle="1" w:styleId="CoverReportNumberChar">
    <w:name w:val="Cover Report Number Char"/>
    <w:basedOn w:val="DefaultParagraphFont"/>
    <w:link w:val="CoverReportNumber"/>
    <w:rsid w:val="004A5568"/>
    <w:rPr>
      <w:rFonts w:asciiTheme="majorHAnsi" w:eastAsiaTheme="minorHAnsi" w:hAnsiTheme="majorHAnsi" w:cstheme="minorBidi"/>
      <w:color w:val="000000" w:themeColor="text1"/>
      <w:szCs w:val="22"/>
    </w:rPr>
  </w:style>
  <w:style w:type="paragraph" w:customStyle="1" w:styleId="Cover-AIRaddress">
    <w:name w:val="Cover - AIR address"/>
    <w:qFormat/>
    <w:rsid w:val="004A5568"/>
    <w:pPr>
      <w:tabs>
        <w:tab w:val="right" w:pos="10170"/>
      </w:tabs>
      <w:spacing w:before="5880" w:line="300" w:lineRule="auto"/>
      <w:ind w:left="3398"/>
      <w:contextualSpacing/>
    </w:pPr>
    <w:rPr>
      <w:rFonts w:asciiTheme="majorHAnsi" w:eastAsia="Calibri" w:hAnsiTheme="majorHAnsi" w:cs="Calibri"/>
      <w:szCs w:val="22"/>
    </w:rPr>
  </w:style>
  <w:style w:type="paragraph" w:customStyle="1" w:styleId="TIHeading1">
    <w:name w:val="TI Heading 1"/>
    <w:qFormat/>
    <w:rsid w:val="004A5568"/>
    <w:pPr>
      <w:spacing w:line="259" w:lineRule="auto"/>
      <w:ind w:left="346"/>
    </w:pPr>
    <w:rPr>
      <w:rFonts w:asciiTheme="majorHAnsi" w:eastAsiaTheme="minorHAnsi" w:hAnsiTheme="majorHAnsi" w:cstheme="minorBidi"/>
      <w:color w:val="FFFFFF" w:themeColor="background1"/>
      <w:sz w:val="36"/>
      <w:szCs w:val="30"/>
    </w:rPr>
  </w:style>
  <w:style w:type="paragraph" w:customStyle="1" w:styleId="TIHeading2">
    <w:name w:val="TI Heading 2"/>
    <w:qFormat/>
    <w:rsid w:val="004A5568"/>
    <w:pPr>
      <w:ind w:left="342"/>
    </w:pPr>
    <w:rPr>
      <w:rFonts w:asciiTheme="minorHAnsi" w:eastAsiaTheme="minorHAnsi" w:hAnsiTheme="minorHAnsi" w:cstheme="minorBidi"/>
      <w:color w:val="FFFFFF" w:themeColor="background1"/>
      <w:sz w:val="28"/>
      <w:szCs w:val="22"/>
    </w:rPr>
  </w:style>
  <w:style w:type="paragraph" w:customStyle="1" w:styleId="TableBullet1">
    <w:name w:val="Table Bullet 1"/>
    <w:basedOn w:val="Bullet1"/>
    <w:uiPriority w:val="7"/>
    <w:qFormat/>
    <w:rsid w:val="007D69BA"/>
    <w:pPr>
      <w:numPr>
        <w:numId w:val="10"/>
      </w:numPr>
      <w:spacing w:before="40" w:after="40"/>
    </w:pPr>
    <w:rPr>
      <w:sz w:val="20"/>
    </w:rPr>
  </w:style>
  <w:style w:type="paragraph" w:customStyle="1" w:styleId="TableNumbering">
    <w:name w:val="Table Numbering"/>
    <w:basedOn w:val="TableText"/>
    <w:uiPriority w:val="7"/>
    <w:qFormat/>
    <w:rsid w:val="004A5568"/>
    <w:pPr>
      <w:numPr>
        <w:numId w:val="6"/>
      </w:numPr>
    </w:pPr>
  </w:style>
  <w:style w:type="paragraph" w:customStyle="1" w:styleId="BodyTextDemi">
    <w:name w:val="Body Text Demi"/>
    <w:basedOn w:val="BodyText"/>
    <w:link w:val="BodyTextDemiChar"/>
    <w:qFormat/>
    <w:rsid w:val="004A5568"/>
    <w:rPr>
      <w:rFonts w:ascii="Franklin Gothic Demi" w:hAnsi="Franklin Gothic Demi"/>
    </w:rPr>
  </w:style>
  <w:style w:type="paragraph" w:customStyle="1" w:styleId="BodyTextposthead">
    <w:name w:val="Body Text post head"/>
    <w:basedOn w:val="BodyText"/>
    <w:link w:val="BodyTextpostheadChar"/>
    <w:qFormat/>
    <w:rsid w:val="004A5568"/>
    <w:pPr>
      <w:spacing w:before="0"/>
    </w:pPr>
  </w:style>
  <w:style w:type="paragraph" w:styleId="TOC2">
    <w:name w:val="toc 2"/>
    <w:basedOn w:val="Normal"/>
    <w:next w:val="Normal"/>
    <w:autoRedefine/>
    <w:uiPriority w:val="39"/>
    <w:unhideWhenUsed/>
    <w:rsid w:val="004A5568"/>
    <w:pPr>
      <w:tabs>
        <w:tab w:val="right" w:leader="dot" w:pos="9350"/>
      </w:tabs>
      <w:spacing w:after="100"/>
    </w:pPr>
    <w:rPr>
      <w:rFonts w:eastAsia="Times New Roman" w:cs="Calibri"/>
      <w:bCs/>
      <w:szCs w:val="24"/>
    </w:rPr>
  </w:style>
  <w:style w:type="paragraph" w:customStyle="1" w:styleId="TableColHeadingCtr-rev">
    <w:name w:val="Table Col Heading Ctr - rev"/>
    <w:basedOn w:val="TableColHeadingCenter"/>
    <w:qFormat/>
    <w:rsid w:val="004A5568"/>
  </w:style>
  <w:style w:type="paragraph" w:customStyle="1" w:styleId="TableColHeadingLeft-rev">
    <w:name w:val="Table Col Heading Left - rev"/>
    <w:basedOn w:val="TableColHeadingLeft"/>
    <w:qFormat/>
    <w:rsid w:val="004A5568"/>
  </w:style>
  <w:style w:type="paragraph" w:customStyle="1" w:styleId="TSVH1">
    <w:name w:val="TSV H1"/>
    <w:basedOn w:val="BodyText"/>
    <w:next w:val="Normal"/>
    <w:qFormat/>
    <w:rsid w:val="004A5568"/>
    <w:pPr>
      <w:spacing w:before="0" w:after="0" w:line="240" w:lineRule="auto"/>
      <w:ind w:left="162"/>
      <w:outlineLvl w:val="1"/>
    </w:pPr>
    <w:rPr>
      <w:rFonts w:asciiTheme="majorHAnsi" w:hAnsiTheme="majorHAnsi"/>
      <w:color w:val="FFFFFF" w:themeColor="background1"/>
      <w:sz w:val="36"/>
      <w:szCs w:val="36"/>
    </w:rPr>
  </w:style>
  <w:style w:type="paragraph" w:customStyle="1" w:styleId="TSVH2">
    <w:name w:val="TSV H2"/>
    <w:basedOn w:val="BodyText"/>
    <w:next w:val="BodyText"/>
    <w:qFormat/>
    <w:rsid w:val="004A5568"/>
    <w:pPr>
      <w:spacing w:before="0" w:after="0" w:line="240" w:lineRule="auto"/>
      <w:ind w:left="162"/>
      <w:outlineLvl w:val="2"/>
    </w:pPr>
    <w:rPr>
      <w:color w:val="FFFFFF" w:themeColor="background1"/>
      <w:sz w:val="28"/>
      <w:szCs w:val="28"/>
    </w:rPr>
  </w:style>
  <w:style w:type="paragraph" w:customStyle="1" w:styleId="TSVH3">
    <w:name w:val="TSV H3"/>
    <w:basedOn w:val="BodyText"/>
    <w:next w:val="BodyText"/>
    <w:qFormat/>
    <w:rsid w:val="004A5568"/>
    <w:pPr>
      <w:spacing w:line="259" w:lineRule="auto"/>
      <w:outlineLvl w:val="3"/>
    </w:pPr>
    <w:rPr>
      <w:rFonts w:ascii="Franklin Gothic Demi" w:hAnsi="Franklin Gothic Demi"/>
    </w:rPr>
  </w:style>
  <w:style w:type="paragraph" w:customStyle="1" w:styleId="TPHeading1">
    <w:name w:val="TP Heading 1"/>
    <w:basedOn w:val="TSVH2"/>
    <w:rsid w:val="004A5568"/>
    <w:rPr>
      <w:rFonts w:asciiTheme="majorHAnsi" w:hAnsiTheme="majorHAnsi"/>
      <w:sz w:val="36"/>
      <w:szCs w:val="36"/>
    </w:rPr>
  </w:style>
  <w:style w:type="paragraph" w:customStyle="1" w:styleId="Bullet2">
    <w:name w:val="Bullet 2"/>
    <w:basedOn w:val="BodyText"/>
    <w:uiPriority w:val="2"/>
    <w:qFormat/>
    <w:rsid w:val="004A5568"/>
    <w:pPr>
      <w:numPr>
        <w:ilvl w:val="1"/>
        <w:numId w:val="4"/>
      </w:numPr>
      <w:spacing w:before="60" w:after="60"/>
    </w:pPr>
    <w:rPr>
      <w:rFonts w:eastAsia="Times New Roman" w:cs="Times New Roman"/>
      <w:szCs w:val="24"/>
    </w:rPr>
  </w:style>
  <w:style w:type="paragraph" w:customStyle="1" w:styleId="Bullet3">
    <w:name w:val="Bullet 3"/>
    <w:basedOn w:val="BodyText"/>
    <w:uiPriority w:val="2"/>
    <w:qFormat/>
    <w:rsid w:val="004A5568"/>
    <w:pPr>
      <w:numPr>
        <w:ilvl w:val="2"/>
        <w:numId w:val="4"/>
      </w:numPr>
      <w:spacing w:before="60" w:after="60"/>
    </w:pPr>
    <w:rPr>
      <w:rFonts w:eastAsia="MS Mincho"/>
      <w:sz w:val="24"/>
    </w:rPr>
  </w:style>
  <w:style w:type="paragraph" w:styleId="Caption">
    <w:name w:val="caption"/>
    <w:basedOn w:val="TableTitle0"/>
    <w:next w:val="Normal"/>
    <w:uiPriority w:val="5"/>
    <w:unhideWhenUsed/>
    <w:qFormat/>
    <w:rsid w:val="004A5568"/>
    <w:rPr>
      <w:rFonts w:ascii="Calibri" w:eastAsia="Times New Roman" w:hAnsi="Calibri" w:cs="Calibri"/>
      <w:b/>
      <w:sz w:val="24"/>
      <w:szCs w:val="24"/>
    </w:rPr>
  </w:style>
  <w:style w:type="paragraph" w:customStyle="1" w:styleId="NumberedList">
    <w:name w:val="Numbered List"/>
    <w:basedOn w:val="Normal"/>
    <w:uiPriority w:val="2"/>
    <w:qFormat/>
    <w:rsid w:val="004A5568"/>
    <w:pPr>
      <w:numPr>
        <w:numId w:val="5"/>
      </w:numPr>
      <w:spacing w:before="120" w:line="240" w:lineRule="auto"/>
    </w:pPr>
    <w:rPr>
      <w:rFonts w:eastAsia="Times New Roman" w:cs="Times New Roman"/>
      <w:sz w:val="24"/>
      <w:szCs w:val="24"/>
    </w:rPr>
  </w:style>
  <w:style w:type="paragraph" w:customStyle="1" w:styleId="TableBullet2">
    <w:name w:val="Table Bullet 2"/>
    <w:basedOn w:val="TableText"/>
    <w:uiPriority w:val="7"/>
    <w:qFormat/>
    <w:rsid w:val="004A5568"/>
    <w:pPr>
      <w:numPr>
        <w:ilvl w:val="1"/>
        <w:numId w:val="10"/>
      </w:numPr>
      <w:ind w:left="576" w:hanging="288"/>
    </w:pPr>
    <w:rPr>
      <w:rFonts w:ascii="Calibri" w:eastAsia="MS Mincho" w:hAnsi="Calibri" w:cs="Calibri"/>
      <w:sz w:val="22"/>
      <w:szCs w:val="24"/>
    </w:rPr>
  </w:style>
  <w:style w:type="character" w:customStyle="1" w:styleId="CoverSubtitleChar">
    <w:name w:val="Cover Subtitle Char"/>
    <w:basedOn w:val="DefaultParagraphFont"/>
    <w:link w:val="CoverSubtitle"/>
    <w:rsid w:val="004A5568"/>
    <w:rPr>
      <w:rFonts w:asciiTheme="majorHAnsi" w:eastAsiaTheme="minorHAnsi" w:hAnsiTheme="majorHAnsi" w:cstheme="minorBidi"/>
      <w:i/>
      <w:color w:val="2F5496" w:themeColor="accent5" w:themeShade="BF"/>
      <w:sz w:val="40"/>
      <w:szCs w:val="40"/>
    </w:rPr>
  </w:style>
  <w:style w:type="paragraph" w:styleId="TOC4">
    <w:name w:val="toc 4"/>
    <w:basedOn w:val="Normal"/>
    <w:next w:val="Normal"/>
    <w:autoRedefine/>
    <w:uiPriority w:val="39"/>
    <w:rsid w:val="004A5568"/>
    <w:pPr>
      <w:tabs>
        <w:tab w:val="right" w:leader="dot" w:pos="9350"/>
      </w:tabs>
      <w:spacing w:before="120" w:line="240" w:lineRule="auto"/>
      <w:ind w:left="1166" w:right="720" w:hanging="86"/>
    </w:pPr>
    <w:rPr>
      <w:rFonts w:ascii="Calibri" w:eastAsia="Times New Roman" w:hAnsi="Calibri" w:cs="Times"/>
      <w:sz w:val="24"/>
    </w:rPr>
  </w:style>
  <w:style w:type="paragraph" w:styleId="TOC3">
    <w:name w:val="toc 3"/>
    <w:basedOn w:val="Normal"/>
    <w:next w:val="Normal"/>
    <w:autoRedefine/>
    <w:uiPriority w:val="39"/>
    <w:unhideWhenUsed/>
    <w:rsid w:val="004A5568"/>
    <w:pPr>
      <w:tabs>
        <w:tab w:val="right" w:leader="dot" w:pos="9360"/>
      </w:tabs>
      <w:spacing w:after="100" w:line="240" w:lineRule="auto"/>
      <w:ind w:left="720" w:right="270" w:hanging="356"/>
    </w:pPr>
    <w:rPr>
      <w:rFonts w:eastAsia="MS Mincho"/>
      <w:noProof/>
    </w:rPr>
  </w:style>
  <w:style w:type="numbering" w:customStyle="1" w:styleId="Level1Bullet">
    <w:name w:val="Level 1 Bullet"/>
    <w:basedOn w:val="NoList"/>
    <w:rsid w:val="004A5568"/>
    <w:pPr>
      <w:numPr>
        <w:numId w:val="2"/>
      </w:numPr>
    </w:pPr>
  </w:style>
  <w:style w:type="numbering" w:customStyle="1" w:styleId="Level2Bullet">
    <w:name w:val="Level 2 Bullet"/>
    <w:basedOn w:val="NoList"/>
    <w:rsid w:val="004A5568"/>
    <w:pPr>
      <w:numPr>
        <w:numId w:val="3"/>
      </w:numPr>
    </w:pPr>
  </w:style>
  <w:style w:type="paragraph" w:customStyle="1" w:styleId="BlockQuote">
    <w:name w:val="Block Quote"/>
    <w:basedOn w:val="Normal"/>
    <w:uiPriority w:val="1"/>
    <w:qFormat/>
    <w:rsid w:val="00A747ED"/>
    <w:pPr>
      <w:ind w:left="720"/>
    </w:pPr>
    <w:rPr>
      <w:iCs/>
    </w:rPr>
  </w:style>
  <w:style w:type="paragraph" w:styleId="ListNumber4">
    <w:name w:val="List Number 4"/>
    <w:basedOn w:val="Normal"/>
    <w:uiPriority w:val="99"/>
    <w:semiHidden/>
    <w:unhideWhenUsed/>
    <w:rsid w:val="004A5568"/>
    <w:pPr>
      <w:tabs>
        <w:tab w:val="num" w:pos="1440"/>
      </w:tabs>
      <w:spacing w:before="120" w:line="240" w:lineRule="auto"/>
      <w:ind w:left="1440" w:hanging="360"/>
    </w:pPr>
    <w:rPr>
      <w:rFonts w:eastAsia="MS Mincho"/>
      <w:sz w:val="24"/>
    </w:rPr>
  </w:style>
  <w:style w:type="paragraph" w:styleId="ListNumber5">
    <w:name w:val="List Number 5"/>
    <w:basedOn w:val="Normal"/>
    <w:uiPriority w:val="99"/>
    <w:semiHidden/>
    <w:unhideWhenUsed/>
    <w:rsid w:val="004A5568"/>
    <w:pPr>
      <w:tabs>
        <w:tab w:val="num" w:pos="1800"/>
      </w:tabs>
      <w:spacing w:before="120" w:line="240" w:lineRule="auto"/>
      <w:ind w:left="1800" w:hanging="360"/>
    </w:pPr>
    <w:rPr>
      <w:rFonts w:eastAsia="MS Mincho"/>
      <w:sz w:val="24"/>
    </w:rPr>
  </w:style>
  <w:style w:type="paragraph" w:customStyle="1" w:styleId="Reference">
    <w:name w:val="Reference"/>
    <w:basedOn w:val="BodyText"/>
    <w:link w:val="ReferenceChar"/>
    <w:uiPriority w:val="19"/>
    <w:qFormat/>
    <w:rsid w:val="004A5568"/>
    <w:pPr>
      <w:keepLines/>
      <w:ind w:left="720" w:hanging="720"/>
    </w:pPr>
    <w:rPr>
      <w:rFonts w:eastAsia="Times New Roman" w:cs="Calibri"/>
    </w:rPr>
  </w:style>
  <w:style w:type="character" w:customStyle="1" w:styleId="ReferenceChar">
    <w:name w:val="Reference Char"/>
    <w:basedOn w:val="DefaultParagraphFont"/>
    <w:link w:val="Reference"/>
    <w:uiPriority w:val="19"/>
    <w:rsid w:val="004A5568"/>
    <w:rPr>
      <w:rFonts w:asciiTheme="minorHAnsi" w:hAnsiTheme="minorHAnsi" w:cs="Calibri"/>
      <w:sz w:val="22"/>
      <w:szCs w:val="22"/>
    </w:rPr>
  </w:style>
  <w:style w:type="character" w:customStyle="1" w:styleId="ReferenceItalics">
    <w:name w:val="Reference Italics"/>
    <w:basedOn w:val="DefaultParagraphFont"/>
    <w:uiPriority w:val="19"/>
    <w:qFormat/>
    <w:rsid w:val="004A5568"/>
    <w:rPr>
      <w:i/>
    </w:rPr>
  </w:style>
  <w:style w:type="paragraph" w:customStyle="1" w:styleId="CoverSubtitle3">
    <w:name w:val="Cover Subtitle 3"/>
    <w:basedOn w:val="CoverSubtitle"/>
    <w:qFormat/>
    <w:rsid w:val="008B1426"/>
    <w:pPr>
      <w:spacing w:before="120"/>
      <w:ind w:left="4032"/>
    </w:pPr>
    <w:rPr>
      <w:i w:val="0"/>
      <w:color w:val="000000" w:themeColor="text1"/>
      <w:sz w:val="28"/>
    </w:rPr>
  </w:style>
  <w:style w:type="paragraph" w:customStyle="1" w:styleId="CoverSubtitle2-SIOR">
    <w:name w:val="Cover Subtitle 2-SIOR"/>
    <w:basedOn w:val="CoverSubtitle2"/>
    <w:qFormat/>
    <w:rsid w:val="008B1426"/>
    <w:pPr>
      <w:spacing w:before="1200"/>
      <w:ind w:left="4032"/>
    </w:pPr>
    <w:rPr>
      <w:spacing w:val="-2"/>
      <w:sz w:val="32"/>
      <w:szCs w:val="32"/>
    </w:rPr>
  </w:style>
  <w:style w:type="paragraph" w:customStyle="1" w:styleId="Disclaimer">
    <w:name w:val="Disclaimer"/>
    <w:basedOn w:val="Normal"/>
    <w:uiPriority w:val="4"/>
    <w:rsid w:val="004A5568"/>
    <w:pPr>
      <w:spacing w:line="240" w:lineRule="auto"/>
    </w:pPr>
    <w:rPr>
      <w:rFonts w:eastAsiaTheme="minorEastAsia"/>
      <w:i/>
      <w:spacing w:val="-2"/>
      <w:sz w:val="18"/>
      <w:szCs w:val="18"/>
    </w:rPr>
  </w:style>
  <w:style w:type="paragraph" w:customStyle="1" w:styleId="Heading3NoTOC">
    <w:name w:val="Heading 3 No TOC"/>
    <w:basedOn w:val="Heading3"/>
    <w:qFormat/>
    <w:rsid w:val="004A5568"/>
    <w:pPr>
      <w:outlineLvl w:val="9"/>
    </w:pPr>
  </w:style>
  <w:style w:type="paragraph" w:customStyle="1" w:styleId="TableSubheadingCentered">
    <w:name w:val="Table Subheading Centered"/>
    <w:basedOn w:val="TableSubheading"/>
    <w:link w:val="TableSubheadingCenteredChar"/>
    <w:qFormat/>
    <w:rsid w:val="004A5568"/>
    <w:pPr>
      <w:jc w:val="center"/>
    </w:pPr>
  </w:style>
  <w:style w:type="character" w:customStyle="1" w:styleId="TableSubheadingCenteredChar">
    <w:name w:val="Table Subheading Centered Char"/>
    <w:basedOn w:val="TableSubheadingChar"/>
    <w:link w:val="TableSubheadingCentered"/>
    <w:rsid w:val="004A5568"/>
    <w:rPr>
      <w:rFonts w:ascii="Franklin Gothic Demi" w:eastAsia="MS Mincho" w:hAnsi="Franklin Gothic Demi" w:cs="Calibri"/>
      <w:szCs w:val="24"/>
    </w:rPr>
  </w:style>
  <w:style w:type="paragraph" w:customStyle="1" w:styleId="BodyTextDomain">
    <w:name w:val="Body Text Domain"/>
    <w:basedOn w:val="BodyTextposthead"/>
    <w:next w:val="BodyText"/>
    <w:link w:val="BodyTextDomainChar"/>
    <w:qFormat/>
    <w:rsid w:val="004A5568"/>
    <w:rPr>
      <w:i/>
    </w:rPr>
  </w:style>
  <w:style w:type="character" w:customStyle="1" w:styleId="BodyTextDemiChar">
    <w:name w:val="Body Text Demi Char"/>
    <w:basedOn w:val="DefaultParagraphFont"/>
    <w:link w:val="BodyTextDemi"/>
    <w:rsid w:val="004A5568"/>
    <w:rPr>
      <w:rFonts w:ascii="Franklin Gothic Demi" w:eastAsiaTheme="minorHAnsi" w:hAnsi="Franklin Gothic Demi" w:cstheme="minorBidi"/>
      <w:sz w:val="22"/>
      <w:szCs w:val="22"/>
    </w:rPr>
  </w:style>
  <w:style w:type="character" w:customStyle="1" w:styleId="BodyTextpostheadChar">
    <w:name w:val="Body Text post head Char"/>
    <w:basedOn w:val="BodyTextChar"/>
    <w:link w:val="BodyTextposthead"/>
    <w:rsid w:val="004A5568"/>
    <w:rPr>
      <w:rFonts w:asciiTheme="minorHAnsi" w:eastAsiaTheme="minorHAnsi" w:hAnsiTheme="minorHAnsi" w:cstheme="minorBidi"/>
      <w:sz w:val="22"/>
      <w:szCs w:val="22"/>
    </w:rPr>
  </w:style>
  <w:style w:type="character" w:customStyle="1" w:styleId="BodyTextDomainChar">
    <w:name w:val="Body Text Domain Char"/>
    <w:basedOn w:val="BodyTextpostheadChar"/>
    <w:link w:val="BodyTextDomain"/>
    <w:rsid w:val="004A5568"/>
    <w:rPr>
      <w:rFonts w:asciiTheme="minorHAnsi" w:eastAsiaTheme="minorHAnsi" w:hAnsiTheme="minorHAnsi" w:cstheme="minorBidi"/>
      <w:i/>
      <w:sz w:val="22"/>
      <w:szCs w:val="22"/>
    </w:rPr>
  </w:style>
  <w:style w:type="paragraph" w:customStyle="1" w:styleId="Heading1-SIOR">
    <w:name w:val="Heading 1 - SIOR"/>
    <w:basedOn w:val="Heading1"/>
    <w:qFormat/>
    <w:rsid w:val="00E315A4"/>
    <w:pPr>
      <w:spacing w:before="2720"/>
      <w:ind w:right="144"/>
    </w:pPr>
    <w:rPr>
      <w:sz w:val="40"/>
    </w:rPr>
  </w:style>
  <w:style w:type="paragraph" w:customStyle="1" w:styleId="TPHeading">
    <w:name w:val="TP Heading"/>
    <w:basedOn w:val="Heading3"/>
    <w:qFormat/>
    <w:rsid w:val="004A5568"/>
    <w:pPr>
      <w:spacing w:before="120"/>
      <w:ind w:left="72"/>
      <w:outlineLvl w:val="9"/>
    </w:pPr>
    <w:rPr>
      <w:color w:val="FFFFFF" w:themeColor="background1"/>
    </w:rPr>
  </w:style>
  <w:style w:type="character" w:customStyle="1" w:styleId="cf01">
    <w:name w:val="cf01"/>
    <w:basedOn w:val="DefaultParagraphFont"/>
    <w:rsid w:val="00156560"/>
    <w:rPr>
      <w:rFonts w:ascii="Segoe UI" w:hAnsi="Segoe UI" w:cs="Segoe UI" w:hint="default"/>
      <w:sz w:val="18"/>
      <w:szCs w:val="18"/>
    </w:rPr>
  </w:style>
  <w:style w:type="table" w:customStyle="1" w:styleId="TableGrid18">
    <w:name w:val="Table Grid18"/>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F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06691"/>
    <w:rPr>
      <w:rFonts w:ascii="Franklin Gothic Demi" w:hAnsi="Franklin Gothic Demi"/>
    </w:rPr>
  </w:style>
  <w:style w:type="paragraph" w:styleId="Quote">
    <w:name w:val="Quote"/>
    <w:basedOn w:val="Normal"/>
    <w:next w:val="Normal"/>
    <w:link w:val="QuoteChar"/>
    <w:uiPriority w:val="29"/>
    <w:qFormat/>
    <w:rsid w:val="006A45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A45C3"/>
    <w:rPr>
      <w:rFonts w:asciiTheme="minorHAnsi" w:eastAsiaTheme="minorHAnsi" w:hAnsiTheme="minorHAnsi" w:cstheme="minorBidi"/>
      <w:i/>
      <w:iCs/>
      <w:color w:val="404040" w:themeColor="text1" w:themeTint="BF"/>
      <w:sz w:val="22"/>
      <w:szCs w:val="22"/>
    </w:rPr>
  </w:style>
  <w:style w:type="table" w:customStyle="1" w:styleId="TableGrid7">
    <w:name w:val="Table Grid7"/>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A51F4"/>
    <w:pPr>
      <w:spacing w:line="240" w:lineRule="auto"/>
    </w:pPr>
    <w:rPr>
      <w:sz w:val="20"/>
      <w:szCs w:val="20"/>
    </w:rPr>
  </w:style>
  <w:style w:type="character" w:customStyle="1" w:styleId="EndnoteTextChar">
    <w:name w:val="Endnote Text Char"/>
    <w:basedOn w:val="DefaultParagraphFont"/>
    <w:link w:val="EndnoteText"/>
    <w:uiPriority w:val="99"/>
    <w:rsid w:val="003A51F4"/>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3A51F4"/>
    <w:rPr>
      <w:vertAlign w:val="superscript"/>
    </w:rPr>
  </w:style>
  <w:style w:type="table" w:customStyle="1" w:styleId="TableGrid22">
    <w:name w:val="Table Grid22"/>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emi0">
    <w:name w:val="Body text demi"/>
    <w:basedOn w:val="DefaultParagraphFont"/>
    <w:uiPriority w:val="1"/>
    <w:qFormat/>
    <w:rsid w:val="00FF48CB"/>
    <w:rPr>
      <w:rFonts w:ascii="Franklin Gothic Demi" w:hAnsi="Franklin Gothic Demi"/>
      <w:b w:val="0"/>
      <w:bCs/>
    </w:rPr>
  </w:style>
  <w:style w:type="character" w:customStyle="1" w:styleId="spellingerrorsuperscript">
    <w:name w:val="spellingerrorsuperscript"/>
    <w:basedOn w:val="DefaultParagraphFont"/>
    <w:rsid w:val="005E3913"/>
  </w:style>
  <w:style w:type="table" w:customStyle="1" w:styleId="MSVTable11">
    <w:name w:val="MSV Table 11"/>
    <w:basedOn w:val="TableNormal"/>
    <w:uiPriority w:val="99"/>
    <w:rsid w:val="005E3913"/>
    <w:pPr>
      <w:spacing w:before="40" w:after="40" w:line="259" w:lineRule="auto"/>
    </w:pPr>
    <w:rPr>
      <w:rFonts w:ascii="Franklin Gothic Book" w:eastAsia="Franklin Gothic Book" w:hAnsi="Franklin Gothic Book" w:cs="Tahoma"/>
      <w:szCs w:val="22"/>
    </w:rPr>
    <w:tblPr>
      <w:tblStyleRowBandSize w:val="1"/>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tblStylePr w:type="band1Horz">
      <w:tblPr/>
      <w:tcPr>
        <w:shd w:val="clear" w:color="auto" w:fill="D9E2F3"/>
      </w:tcPr>
    </w:tblStylePr>
  </w:style>
  <w:style w:type="character" w:styleId="SmartLink">
    <w:name w:val="Smart Link"/>
    <w:basedOn w:val="DefaultParagraphFont"/>
    <w:uiPriority w:val="99"/>
    <w:unhideWhenUsed/>
    <w:rsid w:val="00E1588F"/>
    <w:rPr>
      <w:color w:val="0000FF"/>
      <w:u w:val="single"/>
      <w:shd w:val="clear" w:color="auto" w:fill="F3F2F1"/>
    </w:rPr>
  </w:style>
  <w:style w:type="character" w:styleId="SmartHyperlink">
    <w:name w:val="Smart Hyperlink"/>
    <w:basedOn w:val="DefaultParagraphFont"/>
    <w:uiPriority w:val="99"/>
    <w:unhideWhenUsed/>
    <w:rsid w:val="00E1588F"/>
    <w:rPr>
      <w:u w:val="dotted"/>
    </w:rPr>
  </w:style>
  <w:style w:type="paragraph" w:customStyle="1" w:styleId="xmsolistparagraph">
    <w:name w:val="x_msolistparagraph"/>
    <w:basedOn w:val="Normal"/>
    <w:rsid w:val="008D6102"/>
    <w:pPr>
      <w:spacing w:line="240" w:lineRule="auto"/>
      <w:ind w:left="720"/>
    </w:pPr>
    <w:rPr>
      <w:rFonts w:ascii="Calibri" w:hAnsi="Calibri" w:cs="Calibri"/>
      <w:sz w:val="20"/>
      <w:szCs w:val="20"/>
    </w:rPr>
  </w:style>
  <w:style w:type="paragraph" w:styleId="NormalIndent">
    <w:name w:val="Normal Indent"/>
    <w:basedOn w:val="Normal"/>
    <w:unhideWhenUsed/>
    <w:rsid w:val="008D6102"/>
    <w:pPr>
      <w:ind w:left="720"/>
    </w:pPr>
  </w:style>
  <w:style w:type="paragraph" w:styleId="PlainText">
    <w:name w:val="Plain Text"/>
    <w:basedOn w:val="Normal"/>
    <w:link w:val="PlainTextChar"/>
    <w:unhideWhenUsed/>
    <w:rsid w:val="0075189F"/>
    <w:pPr>
      <w:spacing w:line="240" w:lineRule="auto"/>
    </w:pPr>
    <w:rPr>
      <w:rFonts w:ascii="Consolas" w:hAnsi="Consolas"/>
      <w:sz w:val="21"/>
      <w:szCs w:val="21"/>
    </w:rPr>
  </w:style>
  <w:style w:type="character" w:customStyle="1" w:styleId="PlainTextChar">
    <w:name w:val="Plain Text Char"/>
    <w:basedOn w:val="DefaultParagraphFont"/>
    <w:link w:val="PlainText"/>
    <w:rsid w:val="0075189F"/>
    <w:rPr>
      <w:rFonts w:ascii="Consolas" w:eastAsiaTheme="minorHAnsi" w:hAnsi="Consolas" w:cstheme="minorBidi"/>
      <w:sz w:val="21"/>
      <w:szCs w:val="21"/>
    </w:rPr>
  </w:style>
  <w:style w:type="paragraph" w:styleId="BlockText">
    <w:name w:val="Block Text"/>
    <w:basedOn w:val="Normal"/>
    <w:unhideWhenUsed/>
    <w:rsid w:val="0085077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customStyle="1" w:styleId="msonormal0">
    <w:name w:val="msonormal"/>
    <w:basedOn w:val="Normal"/>
    <w:rsid w:val="00D77209"/>
    <w:pPr>
      <w:spacing w:before="100" w:beforeAutospacing="1" w:after="100" w:afterAutospacing="1" w:line="24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rsid w:val="00473308"/>
  </w:style>
  <w:style w:type="character" w:customStyle="1" w:styleId="SalutationChar">
    <w:name w:val="Salutation Char"/>
    <w:basedOn w:val="DefaultParagraphFont"/>
    <w:link w:val="Salutation"/>
    <w:rsid w:val="00473308"/>
    <w:rPr>
      <w:rFonts w:asciiTheme="minorHAnsi" w:eastAsiaTheme="minorHAnsi" w:hAnsiTheme="minorHAnsi" w:cstheme="minorBidi"/>
      <w:sz w:val="22"/>
      <w:szCs w:val="22"/>
    </w:rPr>
  </w:style>
  <w:style w:type="numbering" w:customStyle="1" w:styleId="MSVBulletList1">
    <w:name w:val="MSV Bullet List1"/>
    <w:uiPriority w:val="99"/>
    <w:rsid w:val="00626272"/>
    <w:pPr>
      <w:numPr>
        <w:numId w:val="8"/>
      </w:numPr>
    </w:pPr>
  </w:style>
  <w:style w:type="numbering" w:customStyle="1" w:styleId="TableBulletList1">
    <w:name w:val="Table Bullet List1"/>
    <w:uiPriority w:val="99"/>
    <w:rsid w:val="00626272"/>
    <w:pPr>
      <w:numPr>
        <w:numId w:val="9"/>
      </w:numPr>
    </w:pPr>
  </w:style>
  <w:style w:type="numbering" w:customStyle="1" w:styleId="Level1Bullet1">
    <w:name w:val="Level 1 Bullet1"/>
    <w:basedOn w:val="NoList"/>
    <w:rsid w:val="00626272"/>
    <w:pPr>
      <w:numPr>
        <w:numId w:val="5"/>
      </w:numPr>
    </w:pPr>
  </w:style>
  <w:style w:type="numbering" w:customStyle="1" w:styleId="Level2Bullet1">
    <w:name w:val="Level 2 Bullet1"/>
    <w:basedOn w:val="NoList"/>
    <w:rsid w:val="00626272"/>
    <w:pPr>
      <w:numPr>
        <w:numId w:val="7"/>
      </w:numPr>
    </w:pPr>
  </w:style>
  <w:style w:type="table" w:customStyle="1" w:styleId="MSVTable12">
    <w:name w:val="MSV Table 12"/>
    <w:basedOn w:val="TableNormal"/>
    <w:uiPriority w:val="99"/>
    <w:rsid w:val="00626272"/>
    <w:rPr>
      <w:rFonts w:ascii="Franklin Gothic Book" w:eastAsia="Franklin Gothic Book" w:hAnsi="Franklin Gothic Book"/>
      <w:szCs w:val="22"/>
    </w:rPr>
    <w:tblPr>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style>
  <w:style w:type="table" w:customStyle="1" w:styleId="TableGrid10">
    <w:name w:val="Table Grid10"/>
    <w:basedOn w:val="TableNormal"/>
    <w:next w:val="TableGrid"/>
    <w:uiPriority w:val="59"/>
    <w:rsid w:val="00626272"/>
    <w:rPr>
      <w:rFonts w:ascii="Franklin Gothic Book" w:hAnsi="Franklin Gothic Book"/>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subheading">
    <w:name w:val="Title page subheading"/>
    <w:basedOn w:val="Normal"/>
    <w:qFormat/>
    <w:rsid w:val="00457876"/>
    <w:pPr>
      <w:tabs>
        <w:tab w:val="left" w:pos="360"/>
        <w:tab w:val="left" w:pos="720"/>
        <w:tab w:val="left" w:pos="1080"/>
        <w:tab w:val="left" w:pos="1440"/>
        <w:tab w:val="left" w:pos="1800"/>
        <w:tab w:val="left" w:pos="2160"/>
        <w:tab w:val="left" w:pos="2520"/>
        <w:tab w:val="left" w:pos="2880"/>
      </w:tabs>
      <w:ind w:right="180"/>
    </w:pPr>
    <w:rPr>
      <w:sz w:val="44"/>
      <w:szCs w:val="44"/>
    </w:rPr>
  </w:style>
  <w:style w:type="paragraph" w:customStyle="1" w:styleId="Titlepagedate">
    <w:name w:val="Title page date"/>
    <w:basedOn w:val="Normal"/>
    <w:qFormat/>
    <w:rsid w:val="00457876"/>
    <w:pPr>
      <w:pBdr>
        <w:bottom w:val="single" w:sz="4" w:space="1" w:color="auto"/>
      </w:pBdr>
      <w:tabs>
        <w:tab w:val="left" w:pos="360"/>
        <w:tab w:val="left" w:pos="720"/>
        <w:tab w:val="left" w:pos="1080"/>
        <w:tab w:val="left" w:pos="1440"/>
        <w:tab w:val="left" w:pos="1800"/>
        <w:tab w:val="left" w:pos="2160"/>
        <w:tab w:val="left" w:pos="2520"/>
        <w:tab w:val="left" w:pos="2880"/>
      </w:tabs>
      <w:spacing w:before="120"/>
      <w:ind w:right="3600"/>
    </w:pPr>
    <w:rPr>
      <w:sz w:val="32"/>
      <w:szCs w:val="40"/>
    </w:rPr>
  </w:style>
  <w:style w:type="paragraph" w:customStyle="1" w:styleId="Titlepagetext10pt">
    <w:name w:val="Title page text_10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2160"/>
    </w:pPr>
    <w:rPr>
      <w:sz w:val="20"/>
      <w:szCs w:val="20"/>
    </w:rPr>
  </w:style>
  <w:style w:type="paragraph" w:customStyle="1" w:styleId="Titlepageorganization">
    <w:name w:val="Title page organization"/>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990"/>
    </w:pPr>
    <w:rPr>
      <w:rFonts w:ascii="Franklin Gothic Demi" w:hAnsi="Franklin Gothic Demi"/>
      <w:sz w:val="28"/>
      <w:szCs w:val="28"/>
    </w:rPr>
  </w:style>
  <w:style w:type="paragraph" w:customStyle="1" w:styleId="Titlepagetext14pt">
    <w:name w:val="Title page text_14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3600"/>
    </w:pPr>
    <w:rPr>
      <w:sz w:val="28"/>
      <w:szCs w:val="28"/>
    </w:rPr>
  </w:style>
  <w:style w:type="character" w:customStyle="1" w:styleId="font151">
    <w:name w:val="font151"/>
    <w:basedOn w:val="DefaultParagraphFont"/>
    <w:rsid w:val="00AD41DD"/>
    <w:rPr>
      <w:rFonts w:ascii="Calibri" w:hAnsi="Calibri" w:cs="Calibri" w:hint="default"/>
      <w:b w:val="0"/>
      <w:bCs w:val="0"/>
      <w:i w:val="0"/>
      <w:iCs w:val="0"/>
      <w:strike w:val="0"/>
      <w:dstrike w:val="0"/>
      <w:color w:val="000000"/>
      <w:sz w:val="18"/>
      <w:szCs w:val="18"/>
      <w:u w:val="none"/>
      <w:effect w:val="none"/>
    </w:rPr>
  </w:style>
  <w:style w:type="table" w:styleId="GridTable4-Accent1">
    <w:name w:val="Grid Table 4 Accent 1"/>
    <w:basedOn w:val="TableNormal"/>
    <w:uiPriority w:val="49"/>
    <w:rsid w:val="008C45A3"/>
    <w:rPr>
      <w:rFonts w:ascii="Arial" w:eastAsiaTheme="minorHAnsi" w:hAnsi="Arial" w:cs="Arial"/>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TableBulletList">
    <w:name w:val="Table Bullet List"/>
    <w:uiPriority w:val="99"/>
    <w:rsid w:val="00B678B5"/>
    <w:pPr>
      <w:numPr>
        <w:numId w:val="11"/>
      </w:numPr>
    </w:pPr>
  </w:style>
  <w:style w:type="paragraph" w:customStyle="1" w:styleId="CoverTopLogo">
    <w:name w:val="Cover Top Logo"/>
    <w:basedOn w:val="CoverSubtitle"/>
    <w:qFormat/>
    <w:rsid w:val="00B678B5"/>
    <w:pPr>
      <w:spacing w:before="480"/>
      <w:ind w:left="-86"/>
    </w:pPr>
    <w:rPr>
      <w:i w:val="0"/>
      <w:iCs/>
    </w:rPr>
  </w:style>
  <w:style w:type="paragraph" w:customStyle="1" w:styleId="CoverDistrictName">
    <w:name w:val="Cover District Name"/>
    <w:basedOn w:val="CoverSubtitle"/>
    <w:qFormat/>
    <w:rsid w:val="008B1426"/>
    <w:pPr>
      <w:spacing w:before="1680"/>
      <w:ind w:left="4032"/>
    </w:pPr>
  </w:style>
  <w:style w:type="paragraph" w:customStyle="1" w:styleId="CoverBottomLogo">
    <w:name w:val="Cover Bottom Logo"/>
    <w:basedOn w:val="CoverDate"/>
    <w:qFormat/>
    <w:rsid w:val="00B678B5"/>
  </w:style>
  <w:style w:type="paragraph" w:styleId="TableofFigures">
    <w:name w:val="table of figures"/>
    <w:basedOn w:val="Normal"/>
    <w:next w:val="Normal"/>
    <w:uiPriority w:val="99"/>
    <w:unhideWhenUsed/>
    <w:rsid w:val="000A1B38"/>
  </w:style>
  <w:style w:type="paragraph" w:customStyle="1" w:styleId="xxmsonormal">
    <w:name w:val="x_xmsonormal"/>
    <w:basedOn w:val="Normal"/>
    <w:rsid w:val="000A1B38"/>
    <w:pPr>
      <w:spacing w:line="240" w:lineRule="auto"/>
    </w:pPr>
    <w:rPr>
      <w:rFonts w:ascii="Aptos" w:hAnsi="Aptos" w:cs="Aptos"/>
      <w:sz w:val="24"/>
      <w:szCs w:val="24"/>
    </w:rPr>
  </w:style>
  <w:style w:type="paragraph" w:customStyle="1" w:styleId="TableETitle">
    <w:name w:val="Table E Title"/>
    <w:basedOn w:val="TableTitle0"/>
    <w:qFormat/>
    <w:rsid w:val="0082637F"/>
  </w:style>
  <w:style w:type="paragraph" w:customStyle="1" w:styleId="DIOR">
    <w:name w:val="DIOR"/>
    <w:basedOn w:val="Heading3"/>
    <w:link w:val="DIORChar"/>
    <w:qFormat/>
    <w:rsid w:val="00814B3F"/>
    <w:pPr>
      <w:pBdr>
        <w:bottom w:val="single" w:sz="12" w:space="1" w:color="ED7D31" w:themeColor="accent2"/>
      </w:pBdr>
    </w:pPr>
    <w:rPr>
      <w:sz w:val="32"/>
    </w:rPr>
  </w:style>
  <w:style w:type="character" w:customStyle="1" w:styleId="DIORChar">
    <w:name w:val="DIOR Char"/>
    <w:basedOn w:val="Heading3Char"/>
    <w:link w:val="DIOR"/>
    <w:rsid w:val="00814B3F"/>
    <w:rPr>
      <w:rFonts w:asciiTheme="majorHAnsi" w:eastAsiaTheme="minorHAnsi" w:hAnsiTheme="majorHAnsi" w:cstheme="minorBidi"/>
      <w:color w:val="2F5496" w:themeColor="accent5" w:themeShade="BF"/>
      <w:sz w:val="32"/>
      <w:szCs w:val="22"/>
    </w:rPr>
  </w:style>
  <w:style w:type="paragraph" w:customStyle="1" w:styleId="font-claude-response-body">
    <w:name w:val="font-claude-response-body"/>
    <w:basedOn w:val="Normal"/>
    <w:rsid w:val="00EF2874"/>
    <w:pPr>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DC652A"/>
    <w:rPr>
      <w:b/>
      <w:bCs/>
      <w:i/>
      <w:iCs/>
      <w:spacing w:val="5"/>
    </w:rPr>
  </w:style>
  <w:style w:type="character" w:customStyle="1" w:styleId="Heading6Char">
    <w:name w:val="Heading 6 Char"/>
    <w:basedOn w:val="DefaultParagraphFont"/>
    <w:link w:val="Heading6"/>
    <w:semiHidden/>
    <w:rsid w:val="00DC652A"/>
    <w:rPr>
      <w:rFonts w:asciiTheme="majorHAnsi" w:eastAsiaTheme="majorEastAsia" w:hAnsiTheme="majorHAnsi" w:cstheme="majorBidi"/>
      <w:color w:val="1F4D78" w:themeColor="accent1" w:themeShade="7F"/>
      <w:sz w:val="22"/>
      <w:szCs w:val="22"/>
    </w:rPr>
  </w:style>
  <w:style w:type="character" w:customStyle="1" w:styleId="Heading7Char">
    <w:name w:val="Heading 7 Char"/>
    <w:basedOn w:val="DefaultParagraphFont"/>
    <w:link w:val="Heading7"/>
    <w:semiHidden/>
    <w:rsid w:val="00DC652A"/>
    <w:rPr>
      <w:rFonts w:asciiTheme="majorHAnsi" w:eastAsiaTheme="majorEastAsia" w:hAnsiTheme="majorHAnsi" w:cstheme="majorBidi"/>
      <w:i/>
      <w:iCs/>
      <w:color w:val="1F4D78" w:themeColor="accent1" w:themeShade="7F"/>
      <w:sz w:val="22"/>
      <w:szCs w:val="22"/>
    </w:rPr>
  </w:style>
  <w:style w:type="character" w:customStyle="1" w:styleId="Heading8Char">
    <w:name w:val="Heading 8 Char"/>
    <w:basedOn w:val="DefaultParagraphFont"/>
    <w:link w:val="Heading8"/>
    <w:semiHidden/>
    <w:rsid w:val="00DC65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C652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DC652A"/>
    <w:rPr>
      <w:i/>
      <w:iCs/>
      <w:color w:val="5B9BD5" w:themeColor="accent1"/>
    </w:rPr>
  </w:style>
  <w:style w:type="paragraph" w:styleId="IntenseQuote">
    <w:name w:val="Intense Quote"/>
    <w:basedOn w:val="Normal"/>
    <w:next w:val="Normal"/>
    <w:link w:val="IntenseQuoteChar"/>
    <w:uiPriority w:val="30"/>
    <w:qFormat/>
    <w:rsid w:val="00DC652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C652A"/>
    <w:rPr>
      <w:rFonts w:asciiTheme="minorHAnsi" w:eastAsiaTheme="minorHAnsi" w:hAnsiTheme="minorHAnsi" w:cstheme="minorBidi"/>
      <w:i/>
      <w:iCs/>
      <w:color w:val="5B9BD5" w:themeColor="accent1"/>
      <w:sz w:val="22"/>
      <w:szCs w:val="22"/>
    </w:rPr>
  </w:style>
  <w:style w:type="character" w:styleId="IntenseReference">
    <w:name w:val="Intense Reference"/>
    <w:basedOn w:val="DefaultParagraphFont"/>
    <w:uiPriority w:val="32"/>
    <w:qFormat/>
    <w:rsid w:val="00DC652A"/>
    <w:rPr>
      <w:b/>
      <w:bCs/>
      <w:smallCaps/>
      <w:color w:val="5B9BD5" w:themeColor="accent1"/>
      <w:spacing w:val="5"/>
    </w:rPr>
  </w:style>
  <w:style w:type="paragraph" w:styleId="Subtitle">
    <w:name w:val="Subtitle"/>
    <w:basedOn w:val="Normal"/>
    <w:next w:val="Normal"/>
    <w:link w:val="SubtitleChar"/>
    <w:qFormat/>
    <w:rsid w:val="00DC652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rsid w:val="00DC652A"/>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DC652A"/>
    <w:rPr>
      <w:i/>
      <w:iCs/>
      <w:color w:val="404040" w:themeColor="text1" w:themeTint="BF"/>
    </w:rPr>
  </w:style>
  <w:style w:type="character" w:styleId="SubtleReference">
    <w:name w:val="Subtle Reference"/>
    <w:basedOn w:val="DefaultParagraphFont"/>
    <w:uiPriority w:val="31"/>
    <w:qFormat/>
    <w:rsid w:val="00DC652A"/>
    <w:rPr>
      <w:smallCaps/>
      <w:color w:val="5A5A5A" w:themeColor="text1" w:themeTint="A5"/>
    </w:rPr>
  </w:style>
  <w:style w:type="paragraph" w:styleId="Title">
    <w:name w:val="Title"/>
    <w:basedOn w:val="Normal"/>
    <w:next w:val="Normal"/>
    <w:link w:val="TitleChar"/>
    <w:qFormat/>
    <w:rsid w:val="00DC652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C652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608">
      <w:bodyDiv w:val="1"/>
      <w:marLeft w:val="0"/>
      <w:marRight w:val="0"/>
      <w:marTop w:val="0"/>
      <w:marBottom w:val="0"/>
      <w:divBdr>
        <w:top w:val="none" w:sz="0" w:space="0" w:color="auto"/>
        <w:left w:val="none" w:sz="0" w:space="0" w:color="auto"/>
        <w:bottom w:val="none" w:sz="0" w:space="0" w:color="auto"/>
        <w:right w:val="none" w:sz="0" w:space="0" w:color="auto"/>
      </w:divBdr>
    </w:div>
    <w:div w:id="7222111">
      <w:bodyDiv w:val="1"/>
      <w:marLeft w:val="0"/>
      <w:marRight w:val="0"/>
      <w:marTop w:val="0"/>
      <w:marBottom w:val="0"/>
      <w:divBdr>
        <w:top w:val="none" w:sz="0" w:space="0" w:color="auto"/>
        <w:left w:val="none" w:sz="0" w:space="0" w:color="auto"/>
        <w:bottom w:val="none" w:sz="0" w:space="0" w:color="auto"/>
        <w:right w:val="none" w:sz="0" w:space="0" w:color="auto"/>
      </w:divBdr>
    </w:div>
    <w:div w:id="13265748">
      <w:bodyDiv w:val="1"/>
      <w:marLeft w:val="0"/>
      <w:marRight w:val="0"/>
      <w:marTop w:val="0"/>
      <w:marBottom w:val="0"/>
      <w:divBdr>
        <w:top w:val="none" w:sz="0" w:space="0" w:color="auto"/>
        <w:left w:val="none" w:sz="0" w:space="0" w:color="auto"/>
        <w:bottom w:val="none" w:sz="0" w:space="0" w:color="auto"/>
        <w:right w:val="none" w:sz="0" w:space="0" w:color="auto"/>
      </w:divBdr>
    </w:div>
    <w:div w:id="15159278">
      <w:bodyDiv w:val="1"/>
      <w:marLeft w:val="0"/>
      <w:marRight w:val="0"/>
      <w:marTop w:val="0"/>
      <w:marBottom w:val="0"/>
      <w:divBdr>
        <w:top w:val="none" w:sz="0" w:space="0" w:color="auto"/>
        <w:left w:val="none" w:sz="0" w:space="0" w:color="auto"/>
        <w:bottom w:val="none" w:sz="0" w:space="0" w:color="auto"/>
        <w:right w:val="none" w:sz="0" w:space="0" w:color="auto"/>
      </w:divBdr>
      <w:divsChild>
        <w:div w:id="1201091127">
          <w:marLeft w:val="0"/>
          <w:marRight w:val="0"/>
          <w:marTop w:val="0"/>
          <w:marBottom w:val="0"/>
          <w:divBdr>
            <w:top w:val="none" w:sz="0" w:space="0" w:color="auto"/>
            <w:left w:val="none" w:sz="0" w:space="0" w:color="auto"/>
            <w:bottom w:val="none" w:sz="0" w:space="0" w:color="auto"/>
            <w:right w:val="none" w:sz="0" w:space="0" w:color="auto"/>
          </w:divBdr>
        </w:div>
      </w:divsChild>
    </w:div>
    <w:div w:id="41903607">
      <w:bodyDiv w:val="1"/>
      <w:marLeft w:val="0"/>
      <w:marRight w:val="0"/>
      <w:marTop w:val="0"/>
      <w:marBottom w:val="0"/>
      <w:divBdr>
        <w:top w:val="none" w:sz="0" w:space="0" w:color="auto"/>
        <w:left w:val="none" w:sz="0" w:space="0" w:color="auto"/>
        <w:bottom w:val="none" w:sz="0" w:space="0" w:color="auto"/>
        <w:right w:val="none" w:sz="0" w:space="0" w:color="auto"/>
      </w:divBdr>
      <w:divsChild>
        <w:div w:id="99882893">
          <w:marLeft w:val="0"/>
          <w:marRight w:val="0"/>
          <w:marTop w:val="0"/>
          <w:marBottom w:val="0"/>
          <w:divBdr>
            <w:top w:val="none" w:sz="0" w:space="0" w:color="auto"/>
            <w:left w:val="none" w:sz="0" w:space="0" w:color="auto"/>
            <w:bottom w:val="none" w:sz="0" w:space="0" w:color="auto"/>
            <w:right w:val="none" w:sz="0" w:space="0" w:color="auto"/>
          </w:divBdr>
        </w:div>
      </w:divsChild>
    </w:div>
    <w:div w:id="69692269">
      <w:bodyDiv w:val="1"/>
      <w:marLeft w:val="0"/>
      <w:marRight w:val="0"/>
      <w:marTop w:val="0"/>
      <w:marBottom w:val="0"/>
      <w:divBdr>
        <w:top w:val="none" w:sz="0" w:space="0" w:color="auto"/>
        <w:left w:val="none" w:sz="0" w:space="0" w:color="auto"/>
        <w:bottom w:val="none" w:sz="0" w:space="0" w:color="auto"/>
        <w:right w:val="none" w:sz="0" w:space="0" w:color="auto"/>
      </w:divBdr>
      <w:divsChild>
        <w:div w:id="1043991209">
          <w:marLeft w:val="0"/>
          <w:marRight w:val="0"/>
          <w:marTop w:val="0"/>
          <w:marBottom w:val="0"/>
          <w:divBdr>
            <w:top w:val="none" w:sz="0" w:space="0" w:color="auto"/>
            <w:left w:val="none" w:sz="0" w:space="0" w:color="auto"/>
            <w:bottom w:val="none" w:sz="0" w:space="0" w:color="auto"/>
            <w:right w:val="none" w:sz="0" w:space="0" w:color="auto"/>
          </w:divBdr>
        </w:div>
      </w:divsChild>
    </w:div>
    <w:div w:id="71124735">
      <w:bodyDiv w:val="1"/>
      <w:marLeft w:val="0"/>
      <w:marRight w:val="0"/>
      <w:marTop w:val="0"/>
      <w:marBottom w:val="0"/>
      <w:divBdr>
        <w:top w:val="none" w:sz="0" w:space="0" w:color="auto"/>
        <w:left w:val="none" w:sz="0" w:space="0" w:color="auto"/>
        <w:bottom w:val="none" w:sz="0" w:space="0" w:color="auto"/>
        <w:right w:val="none" w:sz="0" w:space="0" w:color="auto"/>
      </w:divBdr>
      <w:divsChild>
        <w:div w:id="2143769813">
          <w:marLeft w:val="0"/>
          <w:marRight w:val="0"/>
          <w:marTop w:val="0"/>
          <w:marBottom w:val="0"/>
          <w:divBdr>
            <w:top w:val="none" w:sz="0" w:space="0" w:color="auto"/>
            <w:left w:val="none" w:sz="0" w:space="0" w:color="auto"/>
            <w:bottom w:val="none" w:sz="0" w:space="0" w:color="auto"/>
            <w:right w:val="none" w:sz="0" w:space="0" w:color="auto"/>
          </w:divBdr>
        </w:div>
      </w:divsChild>
    </w:div>
    <w:div w:id="92482100">
      <w:bodyDiv w:val="1"/>
      <w:marLeft w:val="0"/>
      <w:marRight w:val="0"/>
      <w:marTop w:val="0"/>
      <w:marBottom w:val="0"/>
      <w:divBdr>
        <w:top w:val="none" w:sz="0" w:space="0" w:color="auto"/>
        <w:left w:val="none" w:sz="0" w:space="0" w:color="auto"/>
        <w:bottom w:val="none" w:sz="0" w:space="0" w:color="auto"/>
        <w:right w:val="none" w:sz="0" w:space="0" w:color="auto"/>
      </w:divBdr>
    </w:div>
    <w:div w:id="105931559">
      <w:bodyDiv w:val="1"/>
      <w:marLeft w:val="0"/>
      <w:marRight w:val="0"/>
      <w:marTop w:val="0"/>
      <w:marBottom w:val="0"/>
      <w:divBdr>
        <w:top w:val="none" w:sz="0" w:space="0" w:color="auto"/>
        <w:left w:val="none" w:sz="0" w:space="0" w:color="auto"/>
        <w:bottom w:val="none" w:sz="0" w:space="0" w:color="auto"/>
        <w:right w:val="none" w:sz="0" w:space="0" w:color="auto"/>
      </w:divBdr>
    </w:div>
    <w:div w:id="112408823">
      <w:bodyDiv w:val="1"/>
      <w:marLeft w:val="0"/>
      <w:marRight w:val="0"/>
      <w:marTop w:val="0"/>
      <w:marBottom w:val="0"/>
      <w:divBdr>
        <w:top w:val="none" w:sz="0" w:space="0" w:color="auto"/>
        <w:left w:val="none" w:sz="0" w:space="0" w:color="auto"/>
        <w:bottom w:val="none" w:sz="0" w:space="0" w:color="auto"/>
        <w:right w:val="none" w:sz="0" w:space="0" w:color="auto"/>
      </w:divBdr>
      <w:divsChild>
        <w:div w:id="691498912">
          <w:marLeft w:val="0"/>
          <w:marRight w:val="0"/>
          <w:marTop w:val="0"/>
          <w:marBottom w:val="0"/>
          <w:divBdr>
            <w:top w:val="none" w:sz="0" w:space="0" w:color="auto"/>
            <w:left w:val="none" w:sz="0" w:space="0" w:color="auto"/>
            <w:bottom w:val="none" w:sz="0" w:space="0" w:color="auto"/>
            <w:right w:val="none" w:sz="0" w:space="0" w:color="auto"/>
          </w:divBdr>
        </w:div>
      </w:divsChild>
    </w:div>
    <w:div w:id="140733573">
      <w:bodyDiv w:val="1"/>
      <w:marLeft w:val="0"/>
      <w:marRight w:val="0"/>
      <w:marTop w:val="0"/>
      <w:marBottom w:val="0"/>
      <w:divBdr>
        <w:top w:val="none" w:sz="0" w:space="0" w:color="auto"/>
        <w:left w:val="none" w:sz="0" w:space="0" w:color="auto"/>
        <w:bottom w:val="none" w:sz="0" w:space="0" w:color="auto"/>
        <w:right w:val="none" w:sz="0" w:space="0" w:color="auto"/>
      </w:divBdr>
      <w:divsChild>
        <w:div w:id="922224347">
          <w:marLeft w:val="0"/>
          <w:marRight w:val="0"/>
          <w:marTop w:val="0"/>
          <w:marBottom w:val="0"/>
          <w:divBdr>
            <w:top w:val="none" w:sz="0" w:space="0" w:color="auto"/>
            <w:left w:val="none" w:sz="0" w:space="0" w:color="auto"/>
            <w:bottom w:val="none" w:sz="0" w:space="0" w:color="auto"/>
            <w:right w:val="none" w:sz="0" w:space="0" w:color="auto"/>
          </w:divBdr>
        </w:div>
      </w:divsChild>
    </w:div>
    <w:div w:id="155540682">
      <w:bodyDiv w:val="1"/>
      <w:marLeft w:val="0"/>
      <w:marRight w:val="0"/>
      <w:marTop w:val="0"/>
      <w:marBottom w:val="0"/>
      <w:divBdr>
        <w:top w:val="none" w:sz="0" w:space="0" w:color="auto"/>
        <w:left w:val="none" w:sz="0" w:space="0" w:color="auto"/>
        <w:bottom w:val="none" w:sz="0" w:space="0" w:color="auto"/>
        <w:right w:val="none" w:sz="0" w:space="0" w:color="auto"/>
      </w:divBdr>
      <w:divsChild>
        <w:div w:id="610741495">
          <w:marLeft w:val="0"/>
          <w:marRight w:val="0"/>
          <w:marTop w:val="0"/>
          <w:marBottom w:val="0"/>
          <w:divBdr>
            <w:top w:val="none" w:sz="0" w:space="0" w:color="auto"/>
            <w:left w:val="none" w:sz="0" w:space="0" w:color="auto"/>
            <w:bottom w:val="none" w:sz="0" w:space="0" w:color="auto"/>
            <w:right w:val="none" w:sz="0" w:space="0" w:color="auto"/>
          </w:divBdr>
        </w:div>
      </w:divsChild>
    </w:div>
    <w:div w:id="189952487">
      <w:bodyDiv w:val="1"/>
      <w:marLeft w:val="0"/>
      <w:marRight w:val="0"/>
      <w:marTop w:val="0"/>
      <w:marBottom w:val="0"/>
      <w:divBdr>
        <w:top w:val="none" w:sz="0" w:space="0" w:color="auto"/>
        <w:left w:val="none" w:sz="0" w:space="0" w:color="auto"/>
        <w:bottom w:val="none" w:sz="0" w:space="0" w:color="auto"/>
        <w:right w:val="none" w:sz="0" w:space="0" w:color="auto"/>
      </w:divBdr>
      <w:divsChild>
        <w:div w:id="866214902">
          <w:marLeft w:val="0"/>
          <w:marRight w:val="0"/>
          <w:marTop w:val="0"/>
          <w:marBottom w:val="0"/>
          <w:divBdr>
            <w:top w:val="none" w:sz="0" w:space="0" w:color="auto"/>
            <w:left w:val="none" w:sz="0" w:space="0" w:color="auto"/>
            <w:bottom w:val="none" w:sz="0" w:space="0" w:color="auto"/>
            <w:right w:val="none" w:sz="0" w:space="0" w:color="auto"/>
          </w:divBdr>
        </w:div>
      </w:divsChild>
    </w:div>
    <w:div w:id="195969642">
      <w:bodyDiv w:val="1"/>
      <w:marLeft w:val="0"/>
      <w:marRight w:val="0"/>
      <w:marTop w:val="0"/>
      <w:marBottom w:val="0"/>
      <w:divBdr>
        <w:top w:val="none" w:sz="0" w:space="0" w:color="auto"/>
        <w:left w:val="none" w:sz="0" w:space="0" w:color="auto"/>
        <w:bottom w:val="none" w:sz="0" w:space="0" w:color="auto"/>
        <w:right w:val="none" w:sz="0" w:space="0" w:color="auto"/>
      </w:divBdr>
    </w:div>
    <w:div w:id="208957456">
      <w:bodyDiv w:val="1"/>
      <w:marLeft w:val="0"/>
      <w:marRight w:val="0"/>
      <w:marTop w:val="0"/>
      <w:marBottom w:val="0"/>
      <w:divBdr>
        <w:top w:val="none" w:sz="0" w:space="0" w:color="auto"/>
        <w:left w:val="none" w:sz="0" w:space="0" w:color="auto"/>
        <w:bottom w:val="none" w:sz="0" w:space="0" w:color="auto"/>
        <w:right w:val="none" w:sz="0" w:space="0" w:color="auto"/>
      </w:divBdr>
      <w:divsChild>
        <w:div w:id="1158692842">
          <w:marLeft w:val="0"/>
          <w:marRight w:val="0"/>
          <w:marTop w:val="0"/>
          <w:marBottom w:val="0"/>
          <w:divBdr>
            <w:top w:val="none" w:sz="0" w:space="0" w:color="auto"/>
            <w:left w:val="none" w:sz="0" w:space="0" w:color="auto"/>
            <w:bottom w:val="none" w:sz="0" w:space="0" w:color="auto"/>
            <w:right w:val="none" w:sz="0" w:space="0" w:color="auto"/>
          </w:divBdr>
        </w:div>
      </w:divsChild>
    </w:div>
    <w:div w:id="227300724">
      <w:bodyDiv w:val="1"/>
      <w:marLeft w:val="0"/>
      <w:marRight w:val="0"/>
      <w:marTop w:val="0"/>
      <w:marBottom w:val="0"/>
      <w:divBdr>
        <w:top w:val="none" w:sz="0" w:space="0" w:color="auto"/>
        <w:left w:val="none" w:sz="0" w:space="0" w:color="auto"/>
        <w:bottom w:val="none" w:sz="0" w:space="0" w:color="auto"/>
        <w:right w:val="none" w:sz="0" w:space="0" w:color="auto"/>
      </w:divBdr>
      <w:divsChild>
        <w:div w:id="509874204">
          <w:marLeft w:val="0"/>
          <w:marRight w:val="0"/>
          <w:marTop w:val="0"/>
          <w:marBottom w:val="0"/>
          <w:divBdr>
            <w:top w:val="none" w:sz="0" w:space="0" w:color="auto"/>
            <w:left w:val="none" w:sz="0" w:space="0" w:color="auto"/>
            <w:bottom w:val="none" w:sz="0" w:space="0" w:color="auto"/>
            <w:right w:val="none" w:sz="0" w:space="0" w:color="auto"/>
          </w:divBdr>
        </w:div>
      </w:divsChild>
    </w:div>
    <w:div w:id="239993231">
      <w:bodyDiv w:val="1"/>
      <w:marLeft w:val="0"/>
      <w:marRight w:val="0"/>
      <w:marTop w:val="0"/>
      <w:marBottom w:val="0"/>
      <w:divBdr>
        <w:top w:val="none" w:sz="0" w:space="0" w:color="auto"/>
        <w:left w:val="none" w:sz="0" w:space="0" w:color="auto"/>
        <w:bottom w:val="none" w:sz="0" w:space="0" w:color="auto"/>
        <w:right w:val="none" w:sz="0" w:space="0" w:color="auto"/>
      </w:divBdr>
      <w:divsChild>
        <w:div w:id="2137143554">
          <w:marLeft w:val="0"/>
          <w:marRight w:val="0"/>
          <w:marTop w:val="0"/>
          <w:marBottom w:val="0"/>
          <w:divBdr>
            <w:top w:val="none" w:sz="0" w:space="0" w:color="auto"/>
            <w:left w:val="none" w:sz="0" w:space="0" w:color="auto"/>
            <w:bottom w:val="none" w:sz="0" w:space="0" w:color="auto"/>
            <w:right w:val="none" w:sz="0" w:space="0" w:color="auto"/>
          </w:divBdr>
        </w:div>
      </w:divsChild>
    </w:div>
    <w:div w:id="243413519">
      <w:bodyDiv w:val="1"/>
      <w:marLeft w:val="0"/>
      <w:marRight w:val="0"/>
      <w:marTop w:val="0"/>
      <w:marBottom w:val="0"/>
      <w:divBdr>
        <w:top w:val="none" w:sz="0" w:space="0" w:color="auto"/>
        <w:left w:val="none" w:sz="0" w:space="0" w:color="auto"/>
        <w:bottom w:val="none" w:sz="0" w:space="0" w:color="auto"/>
        <w:right w:val="none" w:sz="0" w:space="0" w:color="auto"/>
      </w:divBdr>
      <w:divsChild>
        <w:div w:id="522329095">
          <w:marLeft w:val="0"/>
          <w:marRight w:val="0"/>
          <w:marTop w:val="0"/>
          <w:marBottom w:val="0"/>
          <w:divBdr>
            <w:top w:val="none" w:sz="0" w:space="0" w:color="auto"/>
            <w:left w:val="none" w:sz="0" w:space="0" w:color="auto"/>
            <w:bottom w:val="none" w:sz="0" w:space="0" w:color="auto"/>
            <w:right w:val="none" w:sz="0" w:space="0" w:color="auto"/>
          </w:divBdr>
        </w:div>
        <w:div w:id="946160782">
          <w:marLeft w:val="0"/>
          <w:marRight w:val="0"/>
          <w:marTop w:val="0"/>
          <w:marBottom w:val="0"/>
          <w:divBdr>
            <w:top w:val="none" w:sz="0" w:space="0" w:color="auto"/>
            <w:left w:val="none" w:sz="0" w:space="0" w:color="auto"/>
            <w:bottom w:val="none" w:sz="0" w:space="0" w:color="auto"/>
            <w:right w:val="none" w:sz="0" w:space="0" w:color="auto"/>
          </w:divBdr>
          <w:divsChild>
            <w:div w:id="59602790">
              <w:marLeft w:val="0"/>
              <w:marRight w:val="0"/>
              <w:marTop w:val="30"/>
              <w:marBottom w:val="30"/>
              <w:divBdr>
                <w:top w:val="none" w:sz="0" w:space="0" w:color="auto"/>
                <w:left w:val="none" w:sz="0" w:space="0" w:color="auto"/>
                <w:bottom w:val="none" w:sz="0" w:space="0" w:color="auto"/>
                <w:right w:val="none" w:sz="0" w:space="0" w:color="auto"/>
              </w:divBdr>
              <w:divsChild>
                <w:div w:id="46953574">
                  <w:marLeft w:val="0"/>
                  <w:marRight w:val="0"/>
                  <w:marTop w:val="0"/>
                  <w:marBottom w:val="0"/>
                  <w:divBdr>
                    <w:top w:val="none" w:sz="0" w:space="0" w:color="auto"/>
                    <w:left w:val="none" w:sz="0" w:space="0" w:color="auto"/>
                    <w:bottom w:val="none" w:sz="0" w:space="0" w:color="auto"/>
                    <w:right w:val="none" w:sz="0" w:space="0" w:color="auto"/>
                  </w:divBdr>
                  <w:divsChild>
                    <w:div w:id="169372403">
                      <w:marLeft w:val="0"/>
                      <w:marRight w:val="0"/>
                      <w:marTop w:val="0"/>
                      <w:marBottom w:val="0"/>
                      <w:divBdr>
                        <w:top w:val="none" w:sz="0" w:space="0" w:color="auto"/>
                        <w:left w:val="none" w:sz="0" w:space="0" w:color="auto"/>
                        <w:bottom w:val="none" w:sz="0" w:space="0" w:color="auto"/>
                        <w:right w:val="none" w:sz="0" w:space="0" w:color="auto"/>
                      </w:divBdr>
                    </w:div>
                  </w:divsChild>
                </w:div>
                <w:div w:id="248733213">
                  <w:marLeft w:val="0"/>
                  <w:marRight w:val="0"/>
                  <w:marTop w:val="0"/>
                  <w:marBottom w:val="0"/>
                  <w:divBdr>
                    <w:top w:val="none" w:sz="0" w:space="0" w:color="auto"/>
                    <w:left w:val="none" w:sz="0" w:space="0" w:color="auto"/>
                    <w:bottom w:val="none" w:sz="0" w:space="0" w:color="auto"/>
                    <w:right w:val="none" w:sz="0" w:space="0" w:color="auto"/>
                  </w:divBdr>
                  <w:divsChild>
                    <w:div w:id="104430070">
                      <w:marLeft w:val="0"/>
                      <w:marRight w:val="0"/>
                      <w:marTop w:val="0"/>
                      <w:marBottom w:val="0"/>
                      <w:divBdr>
                        <w:top w:val="none" w:sz="0" w:space="0" w:color="auto"/>
                        <w:left w:val="none" w:sz="0" w:space="0" w:color="auto"/>
                        <w:bottom w:val="none" w:sz="0" w:space="0" w:color="auto"/>
                        <w:right w:val="none" w:sz="0" w:space="0" w:color="auto"/>
                      </w:divBdr>
                    </w:div>
                  </w:divsChild>
                </w:div>
                <w:div w:id="493883196">
                  <w:marLeft w:val="0"/>
                  <w:marRight w:val="0"/>
                  <w:marTop w:val="0"/>
                  <w:marBottom w:val="0"/>
                  <w:divBdr>
                    <w:top w:val="none" w:sz="0" w:space="0" w:color="auto"/>
                    <w:left w:val="none" w:sz="0" w:space="0" w:color="auto"/>
                    <w:bottom w:val="none" w:sz="0" w:space="0" w:color="auto"/>
                    <w:right w:val="none" w:sz="0" w:space="0" w:color="auto"/>
                  </w:divBdr>
                  <w:divsChild>
                    <w:div w:id="1109277324">
                      <w:marLeft w:val="0"/>
                      <w:marRight w:val="0"/>
                      <w:marTop w:val="0"/>
                      <w:marBottom w:val="0"/>
                      <w:divBdr>
                        <w:top w:val="none" w:sz="0" w:space="0" w:color="auto"/>
                        <w:left w:val="none" w:sz="0" w:space="0" w:color="auto"/>
                        <w:bottom w:val="none" w:sz="0" w:space="0" w:color="auto"/>
                        <w:right w:val="none" w:sz="0" w:space="0" w:color="auto"/>
                      </w:divBdr>
                    </w:div>
                  </w:divsChild>
                </w:div>
                <w:div w:id="510606765">
                  <w:marLeft w:val="0"/>
                  <w:marRight w:val="0"/>
                  <w:marTop w:val="0"/>
                  <w:marBottom w:val="0"/>
                  <w:divBdr>
                    <w:top w:val="none" w:sz="0" w:space="0" w:color="auto"/>
                    <w:left w:val="none" w:sz="0" w:space="0" w:color="auto"/>
                    <w:bottom w:val="none" w:sz="0" w:space="0" w:color="auto"/>
                    <w:right w:val="none" w:sz="0" w:space="0" w:color="auto"/>
                  </w:divBdr>
                  <w:divsChild>
                    <w:div w:id="1646736275">
                      <w:marLeft w:val="0"/>
                      <w:marRight w:val="0"/>
                      <w:marTop w:val="0"/>
                      <w:marBottom w:val="0"/>
                      <w:divBdr>
                        <w:top w:val="none" w:sz="0" w:space="0" w:color="auto"/>
                        <w:left w:val="none" w:sz="0" w:space="0" w:color="auto"/>
                        <w:bottom w:val="none" w:sz="0" w:space="0" w:color="auto"/>
                        <w:right w:val="none" w:sz="0" w:space="0" w:color="auto"/>
                      </w:divBdr>
                    </w:div>
                  </w:divsChild>
                </w:div>
                <w:div w:id="547569647">
                  <w:marLeft w:val="0"/>
                  <w:marRight w:val="0"/>
                  <w:marTop w:val="0"/>
                  <w:marBottom w:val="0"/>
                  <w:divBdr>
                    <w:top w:val="none" w:sz="0" w:space="0" w:color="auto"/>
                    <w:left w:val="none" w:sz="0" w:space="0" w:color="auto"/>
                    <w:bottom w:val="none" w:sz="0" w:space="0" w:color="auto"/>
                    <w:right w:val="none" w:sz="0" w:space="0" w:color="auto"/>
                  </w:divBdr>
                  <w:divsChild>
                    <w:div w:id="2089879643">
                      <w:marLeft w:val="0"/>
                      <w:marRight w:val="0"/>
                      <w:marTop w:val="0"/>
                      <w:marBottom w:val="0"/>
                      <w:divBdr>
                        <w:top w:val="none" w:sz="0" w:space="0" w:color="auto"/>
                        <w:left w:val="none" w:sz="0" w:space="0" w:color="auto"/>
                        <w:bottom w:val="none" w:sz="0" w:space="0" w:color="auto"/>
                        <w:right w:val="none" w:sz="0" w:space="0" w:color="auto"/>
                      </w:divBdr>
                    </w:div>
                  </w:divsChild>
                </w:div>
                <w:div w:id="643392261">
                  <w:marLeft w:val="0"/>
                  <w:marRight w:val="0"/>
                  <w:marTop w:val="0"/>
                  <w:marBottom w:val="0"/>
                  <w:divBdr>
                    <w:top w:val="none" w:sz="0" w:space="0" w:color="auto"/>
                    <w:left w:val="none" w:sz="0" w:space="0" w:color="auto"/>
                    <w:bottom w:val="none" w:sz="0" w:space="0" w:color="auto"/>
                    <w:right w:val="none" w:sz="0" w:space="0" w:color="auto"/>
                  </w:divBdr>
                  <w:divsChild>
                    <w:div w:id="1064183531">
                      <w:marLeft w:val="0"/>
                      <w:marRight w:val="0"/>
                      <w:marTop w:val="0"/>
                      <w:marBottom w:val="0"/>
                      <w:divBdr>
                        <w:top w:val="none" w:sz="0" w:space="0" w:color="auto"/>
                        <w:left w:val="none" w:sz="0" w:space="0" w:color="auto"/>
                        <w:bottom w:val="none" w:sz="0" w:space="0" w:color="auto"/>
                        <w:right w:val="none" w:sz="0" w:space="0" w:color="auto"/>
                      </w:divBdr>
                    </w:div>
                  </w:divsChild>
                </w:div>
                <w:div w:id="658113519">
                  <w:marLeft w:val="0"/>
                  <w:marRight w:val="0"/>
                  <w:marTop w:val="0"/>
                  <w:marBottom w:val="0"/>
                  <w:divBdr>
                    <w:top w:val="none" w:sz="0" w:space="0" w:color="auto"/>
                    <w:left w:val="none" w:sz="0" w:space="0" w:color="auto"/>
                    <w:bottom w:val="none" w:sz="0" w:space="0" w:color="auto"/>
                    <w:right w:val="none" w:sz="0" w:space="0" w:color="auto"/>
                  </w:divBdr>
                  <w:divsChild>
                    <w:div w:id="635259710">
                      <w:marLeft w:val="0"/>
                      <w:marRight w:val="0"/>
                      <w:marTop w:val="0"/>
                      <w:marBottom w:val="0"/>
                      <w:divBdr>
                        <w:top w:val="none" w:sz="0" w:space="0" w:color="auto"/>
                        <w:left w:val="none" w:sz="0" w:space="0" w:color="auto"/>
                        <w:bottom w:val="none" w:sz="0" w:space="0" w:color="auto"/>
                        <w:right w:val="none" w:sz="0" w:space="0" w:color="auto"/>
                      </w:divBdr>
                    </w:div>
                  </w:divsChild>
                </w:div>
                <w:div w:id="970793431">
                  <w:marLeft w:val="0"/>
                  <w:marRight w:val="0"/>
                  <w:marTop w:val="0"/>
                  <w:marBottom w:val="0"/>
                  <w:divBdr>
                    <w:top w:val="none" w:sz="0" w:space="0" w:color="auto"/>
                    <w:left w:val="none" w:sz="0" w:space="0" w:color="auto"/>
                    <w:bottom w:val="none" w:sz="0" w:space="0" w:color="auto"/>
                    <w:right w:val="none" w:sz="0" w:space="0" w:color="auto"/>
                  </w:divBdr>
                  <w:divsChild>
                    <w:div w:id="1022127553">
                      <w:marLeft w:val="0"/>
                      <w:marRight w:val="0"/>
                      <w:marTop w:val="0"/>
                      <w:marBottom w:val="0"/>
                      <w:divBdr>
                        <w:top w:val="none" w:sz="0" w:space="0" w:color="auto"/>
                        <w:left w:val="none" w:sz="0" w:space="0" w:color="auto"/>
                        <w:bottom w:val="none" w:sz="0" w:space="0" w:color="auto"/>
                        <w:right w:val="none" w:sz="0" w:space="0" w:color="auto"/>
                      </w:divBdr>
                    </w:div>
                  </w:divsChild>
                </w:div>
                <w:div w:id="1025131569">
                  <w:marLeft w:val="0"/>
                  <w:marRight w:val="0"/>
                  <w:marTop w:val="0"/>
                  <w:marBottom w:val="0"/>
                  <w:divBdr>
                    <w:top w:val="none" w:sz="0" w:space="0" w:color="auto"/>
                    <w:left w:val="none" w:sz="0" w:space="0" w:color="auto"/>
                    <w:bottom w:val="none" w:sz="0" w:space="0" w:color="auto"/>
                    <w:right w:val="none" w:sz="0" w:space="0" w:color="auto"/>
                  </w:divBdr>
                  <w:divsChild>
                    <w:div w:id="37516281">
                      <w:marLeft w:val="0"/>
                      <w:marRight w:val="0"/>
                      <w:marTop w:val="0"/>
                      <w:marBottom w:val="0"/>
                      <w:divBdr>
                        <w:top w:val="none" w:sz="0" w:space="0" w:color="auto"/>
                        <w:left w:val="none" w:sz="0" w:space="0" w:color="auto"/>
                        <w:bottom w:val="none" w:sz="0" w:space="0" w:color="auto"/>
                        <w:right w:val="none" w:sz="0" w:space="0" w:color="auto"/>
                      </w:divBdr>
                    </w:div>
                  </w:divsChild>
                </w:div>
                <w:div w:id="1136869665">
                  <w:marLeft w:val="0"/>
                  <w:marRight w:val="0"/>
                  <w:marTop w:val="0"/>
                  <w:marBottom w:val="0"/>
                  <w:divBdr>
                    <w:top w:val="none" w:sz="0" w:space="0" w:color="auto"/>
                    <w:left w:val="none" w:sz="0" w:space="0" w:color="auto"/>
                    <w:bottom w:val="none" w:sz="0" w:space="0" w:color="auto"/>
                    <w:right w:val="none" w:sz="0" w:space="0" w:color="auto"/>
                  </w:divBdr>
                  <w:divsChild>
                    <w:div w:id="385225037">
                      <w:marLeft w:val="0"/>
                      <w:marRight w:val="0"/>
                      <w:marTop w:val="0"/>
                      <w:marBottom w:val="0"/>
                      <w:divBdr>
                        <w:top w:val="none" w:sz="0" w:space="0" w:color="auto"/>
                        <w:left w:val="none" w:sz="0" w:space="0" w:color="auto"/>
                        <w:bottom w:val="none" w:sz="0" w:space="0" w:color="auto"/>
                        <w:right w:val="none" w:sz="0" w:space="0" w:color="auto"/>
                      </w:divBdr>
                    </w:div>
                  </w:divsChild>
                </w:div>
                <w:div w:id="1182431577">
                  <w:marLeft w:val="0"/>
                  <w:marRight w:val="0"/>
                  <w:marTop w:val="0"/>
                  <w:marBottom w:val="0"/>
                  <w:divBdr>
                    <w:top w:val="none" w:sz="0" w:space="0" w:color="auto"/>
                    <w:left w:val="none" w:sz="0" w:space="0" w:color="auto"/>
                    <w:bottom w:val="none" w:sz="0" w:space="0" w:color="auto"/>
                    <w:right w:val="none" w:sz="0" w:space="0" w:color="auto"/>
                  </w:divBdr>
                  <w:divsChild>
                    <w:div w:id="1488126487">
                      <w:marLeft w:val="0"/>
                      <w:marRight w:val="0"/>
                      <w:marTop w:val="0"/>
                      <w:marBottom w:val="0"/>
                      <w:divBdr>
                        <w:top w:val="none" w:sz="0" w:space="0" w:color="auto"/>
                        <w:left w:val="none" w:sz="0" w:space="0" w:color="auto"/>
                        <w:bottom w:val="none" w:sz="0" w:space="0" w:color="auto"/>
                        <w:right w:val="none" w:sz="0" w:space="0" w:color="auto"/>
                      </w:divBdr>
                    </w:div>
                  </w:divsChild>
                </w:div>
                <w:div w:id="1187447496">
                  <w:marLeft w:val="0"/>
                  <w:marRight w:val="0"/>
                  <w:marTop w:val="0"/>
                  <w:marBottom w:val="0"/>
                  <w:divBdr>
                    <w:top w:val="none" w:sz="0" w:space="0" w:color="auto"/>
                    <w:left w:val="none" w:sz="0" w:space="0" w:color="auto"/>
                    <w:bottom w:val="none" w:sz="0" w:space="0" w:color="auto"/>
                    <w:right w:val="none" w:sz="0" w:space="0" w:color="auto"/>
                  </w:divBdr>
                  <w:divsChild>
                    <w:div w:id="246767828">
                      <w:marLeft w:val="0"/>
                      <w:marRight w:val="0"/>
                      <w:marTop w:val="0"/>
                      <w:marBottom w:val="0"/>
                      <w:divBdr>
                        <w:top w:val="none" w:sz="0" w:space="0" w:color="auto"/>
                        <w:left w:val="none" w:sz="0" w:space="0" w:color="auto"/>
                        <w:bottom w:val="none" w:sz="0" w:space="0" w:color="auto"/>
                        <w:right w:val="none" w:sz="0" w:space="0" w:color="auto"/>
                      </w:divBdr>
                    </w:div>
                  </w:divsChild>
                </w:div>
                <w:div w:id="1552233259">
                  <w:marLeft w:val="0"/>
                  <w:marRight w:val="0"/>
                  <w:marTop w:val="0"/>
                  <w:marBottom w:val="0"/>
                  <w:divBdr>
                    <w:top w:val="none" w:sz="0" w:space="0" w:color="auto"/>
                    <w:left w:val="none" w:sz="0" w:space="0" w:color="auto"/>
                    <w:bottom w:val="none" w:sz="0" w:space="0" w:color="auto"/>
                    <w:right w:val="none" w:sz="0" w:space="0" w:color="auto"/>
                  </w:divBdr>
                  <w:divsChild>
                    <w:div w:id="798304571">
                      <w:marLeft w:val="0"/>
                      <w:marRight w:val="0"/>
                      <w:marTop w:val="0"/>
                      <w:marBottom w:val="0"/>
                      <w:divBdr>
                        <w:top w:val="none" w:sz="0" w:space="0" w:color="auto"/>
                        <w:left w:val="none" w:sz="0" w:space="0" w:color="auto"/>
                        <w:bottom w:val="none" w:sz="0" w:space="0" w:color="auto"/>
                        <w:right w:val="none" w:sz="0" w:space="0" w:color="auto"/>
                      </w:divBdr>
                    </w:div>
                  </w:divsChild>
                </w:div>
                <w:div w:id="1564952962">
                  <w:marLeft w:val="0"/>
                  <w:marRight w:val="0"/>
                  <w:marTop w:val="0"/>
                  <w:marBottom w:val="0"/>
                  <w:divBdr>
                    <w:top w:val="none" w:sz="0" w:space="0" w:color="auto"/>
                    <w:left w:val="none" w:sz="0" w:space="0" w:color="auto"/>
                    <w:bottom w:val="none" w:sz="0" w:space="0" w:color="auto"/>
                    <w:right w:val="none" w:sz="0" w:space="0" w:color="auto"/>
                  </w:divBdr>
                  <w:divsChild>
                    <w:div w:id="784932969">
                      <w:marLeft w:val="0"/>
                      <w:marRight w:val="0"/>
                      <w:marTop w:val="0"/>
                      <w:marBottom w:val="0"/>
                      <w:divBdr>
                        <w:top w:val="none" w:sz="0" w:space="0" w:color="auto"/>
                        <w:left w:val="none" w:sz="0" w:space="0" w:color="auto"/>
                        <w:bottom w:val="none" w:sz="0" w:space="0" w:color="auto"/>
                        <w:right w:val="none" w:sz="0" w:space="0" w:color="auto"/>
                      </w:divBdr>
                    </w:div>
                  </w:divsChild>
                </w:div>
                <w:div w:id="1704748736">
                  <w:marLeft w:val="0"/>
                  <w:marRight w:val="0"/>
                  <w:marTop w:val="0"/>
                  <w:marBottom w:val="0"/>
                  <w:divBdr>
                    <w:top w:val="none" w:sz="0" w:space="0" w:color="auto"/>
                    <w:left w:val="none" w:sz="0" w:space="0" w:color="auto"/>
                    <w:bottom w:val="none" w:sz="0" w:space="0" w:color="auto"/>
                    <w:right w:val="none" w:sz="0" w:space="0" w:color="auto"/>
                  </w:divBdr>
                  <w:divsChild>
                    <w:div w:id="1189445123">
                      <w:marLeft w:val="0"/>
                      <w:marRight w:val="0"/>
                      <w:marTop w:val="0"/>
                      <w:marBottom w:val="0"/>
                      <w:divBdr>
                        <w:top w:val="none" w:sz="0" w:space="0" w:color="auto"/>
                        <w:left w:val="none" w:sz="0" w:space="0" w:color="auto"/>
                        <w:bottom w:val="none" w:sz="0" w:space="0" w:color="auto"/>
                        <w:right w:val="none" w:sz="0" w:space="0" w:color="auto"/>
                      </w:divBdr>
                    </w:div>
                  </w:divsChild>
                </w:div>
                <w:div w:id="1754886942">
                  <w:marLeft w:val="0"/>
                  <w:marRight w:val="0"/>
                  <w:marTop w:val="0"/>
                  <w:marBottom w:val="0"/>
                  <w:divBdr>
                    <w:top w:val="none" w:sz="0" w:space="0" w:color="auto"/>
                    <w:left w:val="none" w:sz="0" w:space="0" w:color="auto"/>
                    <w:bottom w:val="none" w:sz="0" w:space="0" w:color="auto"/>
                    <w:right w:val="none" w:sz="0" w:space="0" w:color="auto"/>
                  </w:divBdr>
                  <w:divsChild>
                    <w:div w:id="686757932">
                      <w:marLeft w:val="0"/>
                      <w:marRight w:val="0"/>
                      <w:marTop w:val="0"/>
                      <w:marBottom w:val="0"/>
                      <w:divBdr>
                        <w:top w:val="none" w:sz="0" w:space="0" w:color="auto"/>
                        <w:left w:val="none" w:sz="0" w:space="0" w:color="auto"/>
                        <w:bottom w:val="none" w:sz="0" w:space="0" w:color="auto"/>
                        <w:right w:val="none" w:sz="0" w:space="0" w:color="auto"/>
                      </w:divBdr>
                    </w:div>
                  </w:divsChild>
                </w:div>
                <w:div w:id="1760373444">
                  <w:marLeft w:val="0"/>
                  <w:marRight w:val="0"/>
                  <w:marTop w:val="0"/>
                  <w:marBottom w:val="0"/>
                  <w:divBdr>
                    <w:top w:val="none" w:sz="0" w:space="0" w:color="auto"/>
                    <w:left w:val="none" w:sz="0" w:space="0" w:color="auto"/>
                    <w:bottom w:val="none" w:sz="0" w:space="0" w:color="auto"/>
                    <w:right w:val="none" w:sz="0" w:space="0" w:color="auto"/>
                  </w:divBdr>
                  <w:divsChild>
                    <w:div w:id="1273787142">
                      <w:marLeft w:val="0"/>
                      <w:marRight w:val="0"/>
                      <w:marTop w:val="0"/>
                      <w:marBottom w:val="0"/>
                      <w:divBdr>
                        <w:top w:val="none" w:sz="0" w:space="0" w:color="auto"/>
                        <w:left w:val="none" w:sz="0" w:space="0" w:color="auto"/>
                        <w:bottom w:val="none" w:sz="0" w:space="0" w:color="auto"/>
                        <w:right w:val="none" w:sz="0" w:space="0" w:color="auto"/>
                      </w:divBdr>
                    </w:div>
                  </w:divsChild>
                </w:div>
                <w:div w:id="1943804895">
                  <w:marLeft w:val="0"/>
                  <w:marRight w:val="0"/>
                  <w:marTop w:val="0"/>
                  <w:marBottom w:val="0"/>
                  <w:divBdr>
                    <w:top w:val="none" w:sz="0" w:space="0" w:color="auto"/>
                    <w:left w:val="none" w:sz="0" w:space="0" w:color="auto"/>
                    <w:bottom w:val="none" w:sz="0" w:space="0" w:color="auto"/>
                    <w:right w:val="none" w:sz="0" w:space="0" w:color="auto"/>
                  </w:divBdr>
                  <w:divsChild>
                    <w:div w:id="1924140136">
                      <w:marLeft w:val="0"/>
                      <w:marRight w:val="0"/>
                      <w:marTop w:val="0"/>
                      <w:marBottom w:val="0"/>
                      <w:divBdr>
                        <w:top w:val="none" w:sz="0" w:space="0" w:color="auto"/>
                        <w:left w:val="none" w:sz="0" w:space="0" w:color="auto"/>
                        <w:bottom w:val="none" w:sz="0" w:space="0" w:color="auto"/>
                        <w:right w:val="none" w:sz="0" w:space="0" w:color="auto"/>
                      </w:divBdr>
                    </w:div>
                  </w:divsChild>
                </w:div>
                <w:div w:id="1978147700">
                  <w:marLeft w:val="0"/>
                  <w:marRight w:val="0"/>
                  <w:marTop w:val="0"/>
                  <w:marBottom w:val="0"/>
                  <w:divBdr>
                    <w:top w:val="none" w:sz="0" w:space="0" w:color="auto"/>
                    <w:left w:val="none" w:sz="0" w:space="0" w:color="auto"/>
                    <w:bottom w:val="none" w:sz="0" w:space="0" w:color="auto"/>
                    <w:right w:val="none" w:sz="0" w:space="0" w:color="auto"/>
                  </w:divBdr>
                  <w:divsChild>
                    <w:div w:id="1840391891">
                      <w:marLeft w:val="0"/>
                      <w:marRight w:val="0"/>
                      <w:marTop w:val="0"/>
                      <w:marBottom w:val="0"/>
                      <w:divBdr>
                        <w:top w:val="none" w:sz="0" w:space="0" w:color="auto"/>
                        <w:left w:val="none" w:sz="0" w:space="0" w:color="auto"/>
                        <w:bottom w:val="none" w:sz="0" w:space="0" w:color="auto"/>
                        <w:right w:val="none" w:sz="0" w:space="0" w:color="auto"/>
                      </w:divBdr>
                    </w:div>
                  </w:divsChild>
                </w:div>
                <w:div w:id="2100517816">
                  <w:marLeft w:val="0"/>
                  <w:marRight w:val="0"/>
                  <w:marTop w:val="0"/>
                  <w:marBottom w:val="0"/>
                  <w:divBdr>
                    <w:top w:val="none" w:sz="0" w:space="0" w:color="auto"/>
                    <w:left w:val="none" w:sz="0" w:space="0" w:color="auto"/>
                    <w:bottom w:val="none" w:sz="0" w:space="0" w:color="auto"/>
                    <w:right w:val="none" w:sz="0" w:space="0" w:color="auto"/>
                  </w:divBdr>
                  <w:divsChild>
                    <w:div w:id="6726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140056">
          <w:marLeft w:val="0"/>
          <w:marRight w:val="0"/>
          <w:marTop w:val="0"/>
          <w:marBottom w:val="0"/>
          <w:divBdr>
            <w:top w:val="none" w:sz="0" w:space="0" w:color="auto"/>
            <w:left w:val="none" w:sz="0" w:space="0" w:color="auto"/>
            <w:bottom w:val="none" w:sz="0" w:space="0" w:color="auto"/>
            <w:right w:val="none" w:sz="0" w:space="0" w:color="auto"/>
          </w:divBdr>
        </w:div>
      </w:divsChild>
    </w:div>
    <w:div w:id="244341958">
      <w:bodyDiv w:val="1"/>
      <w:marLeft w:val="0"/>
      <w:marRight w:val="0"/>
      <w:marTop w:val="0"/>
      <w:marBottom w:val="0"/>
      <w:divBdr>
        <w:top w:val="none" w:sz="0" w:space="0" w:color="auto"/>
        <w:left w:val="none" w:sz="0" w:space="0" w:color="auto"/>
        <w:bottom w:val="none" w:sz="0" w:space="0" w:color="auto"/>
        <w:right w:val="none" w:sz="0" w:space="0" w:color="auto"/>
      </w:divBdr>
    </w:div>
    <w:div w:id="271865793">
      <w:bodyDiv w:val="1"/>
      <w:marLeft w:val="0"/>
      <w:marRight w:val="0"/>
      <w:marTop w:val="0"/>
      <w:marBottom w:val="0"/>
      <w:divBdr>
        <w:top w:val="none" w:sz="0" w:space="0" w:color="auto"/>
        <w:left w:val="none" w:sz="0" w:space="0" w:color="auto"/>
        <w:bottom w:val="none" w:sz="0" w:space="0" w:color="auto"/>
        <w:right w:val="none" w:sz="0" w:space="0" w:color="auto"/>
      </w:divBdr>
      <w:divsChild>
        <w:div w:id="227348581">
          <w:marLeft w:val="0"/>
          <w:marRight w:val="0"/>
          <w:marTop w:val="0"/>
          <w:marBottom w:val="0"/>
          <w:divBdr>
            <w:top w:val="none" w:sz="0" w:space="0" w:color="auto"/>
            <w:left w:val="none" w:sz="0" w:space="0" w:color="auto"/>
            <w:bottom w:val="none" w:sz="0" w:space="0" w:color="auto"/>
            <w:right w:val="none" w:sz="0" w:space="0" w:color="auto"/>
          </w:divBdr>
        </w:div>
      </w:divsChild>
    </w:div>
    <w:div w:id="286279493">
      <w:bodyDiv w:val="1"/>
      <w:marLeft w:val="0"/>
      <w:marRight w:val="0"/>
      <w:marTop w:val="0"/>
      <w:marBottom w:val="0"/>
      <w:divBdr>
        <w:top w:val="none" w:sz="0" w:space="0" w:color="auto"/>
        <w:left w:val="none" w:sz="0" w:space="0" w:color="auto"/>
        <w:bottom w:val="none" w:sz="0" w:space="0" w:color="auto"/>
        <w:right w:val="none" w:sz="0" w:space="0" w:color="auto"/>
      </w:divBdr>
      <w:divsChild>
        <w:div w:id="483281115">
          <w:marLeft w:val="0"/>
          <w:marRight w:val="0"/>
          <w:marTop w:val="0"/>
          <w:marBottom w:val="0"/>
          <w:divBdr>
            <w:top w:val="none" w:sz="0" w:space="0" w:color="auto"/>
            <w:left w:val="none" w:sz="0" w:space="0" w:color="auto"/>
            <w:bottom w:val="none" w:sz="0" w:space="0" w:color="auto"/>
            <w:right w:val="none" w:sz="0" w:space="0" w:color="auto"/>
          </w:divBdr>
        </w:div>
      </w:divsChild>
    </w:div>
    <w:div w:id="318382555">
      <w:bodyDiv w:val="1"/>
      <w:marLeft w:val="0"/>
      <w:marRight w:val="0"/>
      <w:marTop w:val="0"/>
      <w:marBottom w:val="0"/>
      <w:divBdr>
        <w:top w:val="none" w:sz="0" w:space="0" w:color="auto"/>
        <w:left w:val="none" w:sz="0" w:space="0" w:color="auto"/>
        <w:bottom w:val="none" w:sz="0" w:space="0" w:color="auto"/>
        <w:right w:val="none" w:sz="0" w:space="0" w:color="auto"/>
      </w:divBdr>
    </w:div>
    <w:div w:id="325282569">
      <w:bodyDiv w:val="1"/>
      <w:marLeft w:val="0"/>
      <w:marRight w:val="0"/>
      <w:marTop w:val="0"/>
      <w:marBottom w:val="0"/>
      <w:divBdr>
        <w:top w:val="none" w:sz="0" w:space="0" w:color="auto"/>
        <w:left w:val="none" w:sz="0" w:space="0" w:color="auto"/>
        <w:bottom w:val="none" w:sz="0" w:space="0" w:color="auto"/>
        <w:right w:val="none" w:sz="0" w:space="0" w:color="auto"/>
      </w:divBdr>
    </w:div>
    <w:div w:id="339357504">
      <w:bodyDiv w:val="1"/>
      <w:marLeft w:val="0"/>
      <w:marRight w:val="0"/>
      <w:marTop w:val="0"/>
      <w:marBottom w:val="0"/>
      <w:divBdr>
        <w:top w:val="none" w:sz="0" w:space="0" w:color="auto"/>
        <w:left w:val="none" w:sz="0" w:space="0" w:color="auto"/>
        <w:bottom w:val="none" w:sz="0" w:space="0" w:color="auto"/>
        <w:right w:val="none" w:sz="0" w:space="0" w:color="auto"/>
      </w:divBdr>
    </w:div>
    <w:div w:id="352192769">
      <w:bodyDiv w:val="1"/>
      <w:marLeft w:val="0"/>
      <w:marRight w:val="0"/>
      <w:marTop w:val="0"/>
      <w:marBottom w:val="0"/>
      <w:divBdr>
        <w:top w:val="none" w:sz="0" w:space="0" w:color="auto"/>
        <w:left w:val="none" w:sz="0" w:space="0" w:color="auto"/>
        <w:bottom w:val="none" w:sz="0" w:space="0" w:color="auto"/>
        <w:right w:val="none" w:sz="0" w:space="0" w:color="auto"/>
      </w:divBdr>
    </w:div>
    <w:div w:id="356199243">
      <w:bodyDiv w:val="1"/>
      <w:marLeft w:val="0"/>
      <w:marRight w:val="0"/>
      <w:marTop w:val="0"/>
      <w:marBottom w:val="0"/>
      <w:divBdr>
        <w:top w:val="none" w:sz="0" w:space="0" w:color="auto"/>
        <w:left w:val="none" w:sz="0" w:space="0" w:color="auto"/>
        <w:bottom w:val="none" w:sz="0" w:space="0" w:color="auto"/>
        <w:right w:val="none" w:sz="0" w:space="0" w:color="auto"/>
      </w:divBdr>
      <w:divsChild>
        <w:div w:id="264189742">
          <w:marLeft w:val="0"/>
          <w:marRight w:val="0"/>
          <w:marTop w:val="0"/>
          <w:marBottom w:val="0"/>
          <w:divBdr>
            <w:top w:val="none" w:sz="0" w:space="0" w:color="auto"/>
            <w:left w:val="none" w:sz="0" w:space="0" w:color="auto"/>
            <w:bottom w:val="none" w:sz="0" w:space="0" w:color="auto"/>
            <w:right w:val="none" w:sz="0" w:space="0" w:color="auto"/>
          </w:divBdr>
        </w:div>
        <w:div w:id="316571377">
          <w:marLeft w:val="0"/>
          <w:marRight w:val="0"/>
          <w:marTop w:val="0"/>
          <w:marBottom w:val="0"/>
          <w:divBdr>
            <w:top w:val="none" w:sz="0" w:space="0" w:color="auto"/>
            <w:left w:val="none" w:sz="0" w:space="0" w:color="auto"/>
            <w:bottom w:val="none" w:sz="0" w:space="0" w:color="auto"/>
            <w:right w:val="none" w:sz="0" w:space="0" w:color="auto"/>
          </w:divBdr>
        </w:div>
        <w:div w:id="571281231">
          <w:marLeft w:val="0"/>
          <w:marRight w:val="0"/>
          <w:marTop w:val="0"/>
          <w:marBottom w:val="0"/>
          <w:divBdr>
            <w:top w:val="none" w:sz="0" w:space="0" w:color="auto"/>
            <w:left w:val="none" w:sz="0" w:space="0" w:color="auto"/>
            <w:bottom w:val="none" w:sz="0" w:space="0" w:color="auto"/>
            <w:right w:val="none" w:sz="0" w:space="0" w:color="auto"/>
          </w:divBdr>
        </w:div>
        <w:div w:id="602691327">
          <w:marLeft w:val="0"/>
          <w:marRight w:val="0"/>
          <w:marTop w:val="0"/>
          <w:marBottom w:val="0"/>
          <w:divBdr>
            <w:top w:val="none" w:sz="0" w:space="0" w:color="auto"/>
            <w:left w:val="none" w:sz="0" w:space="0" w:color="auto"/>
            <w:bottom w:val="none" w:sz="0" w:space="0" w:color="auto"/>
            <w:right w:val="none" w:sz="0" w:space="0" w:color="auto"/>
          </w:divBdr>
        </w:div>
        <w:div w:id="603540105">
          <w:marLeft w:val="0"/>
          <w:marRight w:val="0"/>
          <w:marTop w:val="0"/>
          <w:marBottom w:val="0"/>
          <w:divBdr>
            <w:top w:val="none" w:sz="0" w:space="0" w:color="auto"/>
            <w:left w:val="none" w:sz="0" w:space="0" w:color="auto"/>
            <w:bottom w:val="none" w:sz="0" w:space="0" w:color="auto"/>
            <w:right w:val="none" w:sz="0" w:space="0" w:color="auto"/>
          </w:divBdr>
        </w:div>
        <w:div w:id="1108619905">
          <w:marLeft w:val="0"/>
          <w:marRight w:val="0"/>
          <w:marTop w:val="0"/>
          <w:marBottom w:val="0"/>
          <w:divBdr>
            <w:top w:val="none" w:sz="0" w:space="0" w:color="auto"/>
            <w:left w:val="none" w:sz="0" w:space="0" w:color="auto"/>
            <w:bottom w:val="none" w:sz="0" w:space="0" w:color="auto"/>
            <w:right w:val="none" w:sz="0" w:space="0" w:color="auto"/>
          </w:divBdr>
          <w:divsChild>
            <w:div w:id="483010828">
              <w:marLeft w:val="-75"/>
              <w:marRight w:val="0"/>
              <w:marTop w:val="30"/>
              <w:marBottom w:val="30"/>
              <w:divBdr>
                <w:top w:val="none" w:sz="0" w:space="0" w:color="auto"/>
                <w:left w:val="none" w:sz="0" w:space="0" w:color="auto"/>
                <w:bottom w:val="none" w:sz="0" w:space="0" w:color="auto"/>
                <w:right w:val="none" w:sz="0" w:space="0" w:color="auto"/>
              </w:divBdr>
              <w:divsChild>
                <w:div w:id="17512983">
                  <w:marLeft w:val="0"/>
                  <w:marRight w:val="0"/>
                  <w:marTop w:val="0"/>
                  <w:marBottom w:val="0"/>
                  <w:divBdr>
                    <w:top w:val="none" w:sz="0" w:space="0" w:color="auto"/>
                    <w:left w:val="none" w:sz="0" w:space="0" w:color="auto"/>
                    <w:bottom w:val="none" w:sz="0" w:space="0" w:color="auto"/>
                    <w:right w:val="none" w:sz="0" w:space="0" w:color="auto"/>
                  </w:divBdr>
                  <w:divsChild>
                    <w:div w:id="742482874">
                      <w:marLeft w:val="0"/>
                      <w:marRight w:val="0"/>
                      <w:marTop w:val="0"/>
                      <w:marBottom w:val="0"/>
                      <w:divBdr>
                        <w:top w:val="none" w:sz="0" w:space="0" w:color="auto"/>
                        <w:left w:val="none" w:sz="0" w:space="0" w:color="auto"/>
                        <w:bottom w:val="none" w:sz="0" w:space="0" w:color="auto"/>
                        <w:right w:val="none" w:sz="0" w:space="0" w:color="auto"/>
                      </w:divBdr>
                    </w:div>
                  </w:divsChild>
                </w:div>
                <w:div w:id="24409160">
                  <w:marLeft w:val="0"/>
                  <w:marRight w:val="0"/>
                  <w:marTop w:val="0"/>
                  <w:marBottom w:val="0"/>
                  <w:divBdr>
                    <w:top w:val="none" w:sz="0" w:space="0" w:color="auto"/>
                    <w:left w:val="none" w:sz="0" w:space="0" w:color="auto"/>
                    <w:bottom w:val="none" w:sz="0" w:space="0" w:color="auto"/>
                    <w:right w:val="none" w:sz="0" w:space="0" w:color="auto"/>
                  </w:divBdr>
                  <w:divsChild>
                    <w:div w:id="378624750">
                      <w:marLeft w:val="0"/>
                      <w:marRight w:val="0"/>
                      <w:marTop w:val="0"/>
                      <w:marBottom w:val="0"/>
                      <w:divBdr>
                        <w:top w:val="none" w:sz="0" w:space="0" w:color="auto"/>
                        <w:left w:val="none" w:sz="0" w:space="0" w:color="auto"/>
                        <w:bottom w:val="none" w:sz="0" w:space="0" w:color="auto"/>
                        <w:right w:val="none" w:sz="0" w:space="0" w:color="auto"/>
                      </w:divBdr>
                    </w:div>
                  </w:divsChild>
                </w:div>
                <w:div w:id="41634699">
                  <w:marLeft w:val="0"/>
                  <w:marRight w:val="0"/>
                  <w:marTop w:val="0"/>
                  <w:marBottom w:val="0"/>
                  <w:divBdr>
                    <w:top w:val="none" w:sz="0" w:space="0" w:color="auto"/>
                    <w:left w:val="none" w:sz="0" w:space="0" w:color="auto"/>
                    <w:bottom w:val="none" w:sz="0" w:space="0" w:color="auto"/>
                    <w:right w:val="none" w:sz="0" w:space="0" w:color="auto"/>
                  </w:divBdr>
                  <w:divsChild>
                    <w:div w:id="1357151681">
                      <w:marLeft w:val="0"/>
                      <w:marRight w:val="0"/>
                      <w:marTop w:val="0"/>
                      <w:marBottom w:val="0"/>
                      <w:divBdr>
                        <w:top w:val="none" w:sz="0" w:space="0" w:color="auto"/>
                        <w:left w:val="none" w:sz="0" w:space="0" w:color="auto"/>
                        <w:bottom w:val="none" w:sz="0" w:space="0" w:color="auto"/>
                        <w:right w:val="none" w:sz="0" w:space="0" w:color="auto"/>
                      </w:divBdr>
                    </w:div>
                  </w:divsChild>
                </w:div>
                <w:div w:id="57098869">
                  <w:marLeft w:val="0"/>
                  <w:marRight w:val="0"/>
                  <w:marTop w:val="0"/>
                  <w:marBottom w:val="0"/>
                  <w:divBdr>
                    <w:top w:val="none" w:sz="0" w:space="0" w:color="auto"/>
                    <w:left w:val="none" w:sz="0" w:space="0" w:color="auto"/>
                    <w:bottom w:val="none" w:sz="0" w:space="0" w:color="auto"/>
                    <w:right w:val="none" w:sz="0" w:space="0" w:color="auto"/>
                  </w:divBdr>
                  <w:divsChild>
                    <w:div w:id="955016302">
                      <w:marLeft w:val="0"/>
                      <w:marRight w:val="0"/>
                      <w:marTop w:val="0"/>
                      <w:marBottom w:val="0"/>
                      <w:divBdr>
                        <w:top w:val="none" w:sz="0" w:space="0" w:color="auto"/>
                        <w:left w:val="none" w:sz="0" w:space="0" w:color="auto"/>
                        <w:bottom w:val="none" w:sz="0" w:space="0" w:color="auto"/>
                        <w:right w:val="none" w:sz="0" w:space="0" w:color="auto"/>
                      </w:divBdr>
                    </w:div>
                  </w:divsChild>
                </w:div>
                <w:div w:id="90660164">
                  <w:marLeft w:val="0"/>
                  <w:marRight w:val="0"/>
                  <w:marTop w:val="0"/>
                  <w:marBottom w:val="0"/>
                  <w:divBdr>
                    <w:top w:val="none" w:sz="0" w:space="0" w:color="auto"/>
                    <w:left w:val="none" w:sz="0" w:space="0" w:color="auto"/>
                    <w:bottom w:val="none" w:sz="0" w:space="0" w:color="auto"/>
                    <w:right w:val="none" w:sz="0" w:space="0" w:color="auto"/>
                  </w:divBdr>
                  <w:divsChild>
                    <w:div w:id="1760709210">
                      <w:marLeft w:val="0"/>
                      <w:marRight w:val="0"/>
                      <w:marTop w:val="0"/>
                      <w:marBottom w:val="0"/>
                      <w:divBdr>
                        <w:top w:val="none" w:sz="0" w:space="0" w:color="auto"/>
                        <w:left w:val="none" w:sz="0" w:space="0" w:color="auto"/>
                        <w:bottom w:val="none" w:sz="0" w:space="0" w:color="auto"/>
                        <w:right w:val="none" w:sz="0" w:space="0" w:color="auto"/>
                      </w:divBdr>
                    </w:div>
                  </w:divsChild>
                </w:div>
                <w:div w:id="113210031">
                  <w:marLeft w:val="0"/>
                  <w:marRight w:val="0"/>
                  <w:marTop w:val="0"/>
                  <w:marBottom w:val="0"/>
                  <w:divBdr>
                    <w:top w:val="none" w:sz="0" w:space="0" w:color="auto"/>
                    <w:left w:val="none" w:sz="0" w:space="0" w:color="auto"/>
                    <w:bottom w:val="none" w:sz="0" w:space="0" w:color="auto"/>
                    <w:right w:val="none" w:sz="0" w:space="0" w:color="auto"/>
                  </w:divBdr>
                  <w:divsChild>
                    <w:div w:id="1419642694">
                      <w:marLeft w:val="0"/>
                      <w:marRight w:val="0"/>
                      <w:marTop w:val="0"/>
                      <w:marBottom w:val="0"/>
                      <w:divBdr>
                        <w:top w:val="none" w:sz="0" w:space="0" w:color="auto"/>
                        <w:left w:val="none" w:sz="0" w:space="0" w:color="auto"/>
                        <w:bottom w:val="none" w:sz="0" w:space="0" w:color="auto"/>
                        <w:right w:val="none" w:sz="0" w:space="0" w:color="auto"/>
                      </w:divBdr>
                    </w:div>
                  </w:divsChild>
                </w:div>
                <w:div w:id="121970064">
                  <w:marLeft w:val="0"/>
                  <w:marRight w:val="0"/>
                  <w:marTop w:val="0"/>
                  <w:marBottom w:val="0"/>
                  <w:divBdr>
                    <w:top w:val="none" w:sz="0" w:space="0" w:color="auto"/>
                    <w:left w:val="none" w:sz="0" w:space="0" w:color="auto"/>
                    <w:bottom w:val="none" w:sz="0" w:space="0" w:color="auto"/>
                    <w:right w:val="none" w:sz="0" w:space="0" w:color="auto"/>
                  </w:divBdr>
                  <w:divsChild>
                    <w:div w:id="1549341354">
                      <w:marLeft w:val="0"/>
                      <w:marRight w:val="0"/>
                      <w:marTop w:val="0"/>
                      <w:marBottom w:val="0"/>
                      <w:divBdr>
                        <w:top w:val="none" w:sz="0" w:space="0" w:color="auto"/>
                        <w:left w:val="none" w:sz="0" w:space="0" w:color="auto"/>
                        <w:bottom w:val="none" w:sz="0" w:space="0" w:color="auto"/>
                        <w:right w:val="none" w:sz="0" w:space="0" w:color="auto"/>
                      </w:divBdr>
                    </w:div>
                  </w:divsChild>
                </w:div>
                <w:div w:id="133569888">
                  <w:marLeft w:val="0"/>
                  <w:marRight w:val="0"/>
                  <w:marTop w:val="0"/>
                  <w:marBottom w:val="0"/>
                  <w:divBdr>
                    <w:top w:val="none" w:sz="0" w:space="0" w:color="auto"/>
                    <w:left w:val="none" w:sz="0" w:space="0" w:color="auto"/>
                    <w:bottom w:val="none" w:sz="0" w:space="0" w:color="auto"/>
                    <w:right w:val="none" w:sz="0" w:space="0" w:color="auto"/>
                  </w:divBdr>
                  <w:divsChild>
                    <w:div w:id="1874224602">
                      <w:marLeft w:val="0"/>
                      <w:marRight w:val="0"/>
                      <w:marTop w:val="0"/>
                      <w:marBottom w:val="0"/>
                      <w:divBdr>
                        <w:top w:val="none" w:sz="0" w:space="0" w:color="auto"/>
                        <w:left w:val="none" w:sz="0" w:space="0" w:color="auto"/>
                        <w:bottom w:val="none" w:sz="0" w:space="0" w:color="auto"/>
                        <w:right w:val="none" w:sz="0" w:space="0" w:color="auto"/>
                      </w:divBdr>
                    </w:div>
                  </w:divsChild>
                </w:div>
                <w:div w:id="142158534">
                  <w:marLeft w:val="0"/>
                  <w:marRight w:val="0"/>
                  <w:marTop w:val="0"/>
                  <w:marBottom w:val="0"/>
                  <w:divBdr>
                    <w:top w:val="none" w:sz="0" w:space="0" w:color="auto"/>
                    <w:left w:val="none" w:sz="0" w:space="0" w:color="auto"/>
                    <w:bottom w:val="none" w:sz="0" w:space="0" w:color="auto"/>
                    <w:right w:val="none" w:sz="0" w:space="0" w:color="auto"/>
                  </w:divBdr>
                  <w:divsChild>
                    <w:div w:id="667094958">
                      <w:marLeft w:val="0"/>
                      <w:marRight w:val="0"/>
                      <w:marTop w:val="0"/>
                      <w:marBottom w:val="0"/>
                      <w:divBdr>
                        <w:top w:val="none" w:sz="0" w:space="0" w:color="auto"/>
                        <w:left w:val="none" w:sz="0" w:space="0" w:color="auto"/>
                        <w:bottom w:val="none" w:sz="0" w:space="0" w:color="auto"/>
                        <w:right w:val="none" w:sz="0" w:space="0" w:color="auto"/>
                      </w:divBdr>
                    </w:div>
                  </w:divsChild>
                </w:div>
                <w:div w:id="144975672">
                  <w:marLeft w:val="0"/>
                  <w:marRight w:val="0"/>
                  <w:marTop w:val="0"/>
                  <w:marBottom w:val="0"/>
                  <w:divBdr>
                    <w:top w:val="none" w:sz="0" w:space="0" w:color="auto"/>
                    <w:left w:val="none" w:sz="0" w:space="0" w:color="auto"/>
                    <w:bottom w:val="none" w:sz="0" w:space="0" w:color="auto"/>
                    <w:right w:val="none" w:sz="0" w:space="0" w:color="auto"/>
                  </w:divBdr>
                  <w:divsChild>
                    <w:div w:id="1661078639">
                      <w:marLeft w:val="0"/>
                      <w:marRight w:val="0"/>
                      <w:marTop w:val="0"/>
                      <w:marBottom w:val="0"/>
                      <w:divBdr>
                        <w:top w:val="none" w:sz="0" w:space="0" w:color="auto"/>
                        <w:left w:val="none" w:sz="0" w:space="0" w:color="auto"/>
                        <w:bottom w:val="none" w:sz="0" w:space="0" w:color="auto"/>
                        <w:right w:val="none" w:sz="0" w:space="0" w:color="auto"/>
                      </w:divBdr>
                    </w:div>
                  </w:divsChild>
                </w:div>
                <w:div w:id="185020901">
                  <w:marLeft w:val="0"/>
                  <w:marRight w:val="0"/>
                  <w:marTop w:val="0"/>
                  <w:marBottom w:val="0"/>
                  <w:divBdr>
                    <w:top w:val="none" w:sz="0" w:space="0" w:color="auto"/>
                    <w:left w:val="none" w:sz="0" w:space="0" w:color="auto"/>
                    <w:bottom w:val="none" w:sz="0" w:space="0" w:color="auto"/>
                    <w:right w:val="none" w:sz="0" w:space="0" w:color="auto"/>
                  </w:divBdr>
                  <w:divsChild>
                    <w:div w:id="778841228">
                      <w:marLeft w:val="0"/>
                      <w:marRight w:val="0"/>
                      <w:marTop w:val="0"/>
                      <w:marBottom w:val="0"/>
                      <w:divBdr>
                        <w:top w:val="none" w:sz="0" w:space="0" w:color="auto"/>
                        <w:left w:val="none" w:sz="0" w:space="0" w:color="auto"/>
                        <w:bottom w:val="none" w:sz="0" w:space="0" w:color="auto"/>
                        <w:right w:val="none" w:sz="0" w:space="0" w:color="auto"/>
                      </w:divBdr>
                    </w:div>
                  </w:divsChild>
                </w:div>
                <w:div w:id="187573242">
                  <w:marLeft w:val="0"/>
                  <w:marRight w:val="0"/>
                  <w:marTop w:val="0"/>
                  <w:marBottom w:val="0"/>
                  <w:divBdr>
                    <w:top w:val="none" w:sz="0" w:space="0" w:color="auto"/>
                    <w:left w:val="none" w:sz="0" w:space="0" w:color="auto"/>
                    <w:bottom w:val="none" w:sz="0" w:space="0" w:color="auto"/>
                    <w:right w:val="none" w:sz="0" w:space="0" w:color="auto"/>
                  </w:divBdr>
                  <w:divsChild>
                    <w:div w:id="1848135088">
                      <w:marLeft w:val="0"/>
                      <w:marRight w:val="0"/>
                      <w:marTop w:val="0"/>
                      <w:marBottom w:val="0"/>
                      <w:divBdr>
                        <w:top w:val="none" w:sz="0" w:space="0" w:color="auto"/>
                        <w:left w:val="none" w:sz="0" w:space="0" w:color="auto"/>
                        <w:bottom w:val="none" w:sz="0" w:space="0" w:color="auto"/>
                        <w:right w:val="none" w:sz="0" w:space="0" w:color="auto"/>
                      </w:divBdr>
                    </w:div>
                  </w:divsChild>
                </w:div>
                <w:div w:id="200870639">
                  <w:marLeft w:val="0"/>
                  <w:marRight w:val="0"/>
                  <w:marTop w:val="0"/>
                  <w:marBottom w:val="0"/>
                  <w:divBdr>
                    <w:top w:val="none" w:sz="0" w:space="0" w:color="auto"/>
                    <w:left w:val="none" w:sz="0" w:space="0" w:color="auto"/>
                    <w:bottom w:val="none" w:sz="0" w:space="0" w:color="auto"/>
                    <w:right w:val="none" w:sz="0" w:space="0" w:color="auto"/>
                  </w:divBdr>
                  <w:divsChild>
                    <w:div w:id="1981569828">
                      <w:marLeft w:val="0"/>
                      <w:marRight w:val="0"/>
                      <w:marTop w:val="0"/>
                      <w:marBottom w:val="0"/>
                      <w:divBdr>
                        <w:top w:val="none" w:sz="0" w:space="0" w:color="auto"/>
                        <w:left w:val="none" w:sz="0" w:space="0" w:color="auto"/>
                        <w:bottom w:val="none" w:sz="0" w:space="0" w:color="auto"/>
                        <w:right w:val="none" w:sz="0" w:space="0" w:color="auto"/>
                      </w:divBdr>
                    </w:div>
                  </w:divsChild>
                </w:div>
                <w:div w:id="201210760">
                  <w:marLeft w:val="0"/>
                  <w:marRight w:val="0"/>
                  <w:marTop w:val="0"/>
                  <w:marBottom w:val="0"/>
                  <w:divBdr>
                    <w:top w:val="none" w:sz="0" w:space="0" w:color="auto"/>
                    <w:left w:val="none" w:sz="0" w:space="0" w:color="auto"/>
                    <w:bottom w:val="none" w:sz="0" w:space="0" w:color="auto"/>
                    <w:right w:val="none" w:sz="0" w:space="0" w:color="auto"/>
                  </w:divBdr>
                  <w:divsChild>
                    <w:div w:id="805389223">
                      <w:marLeft w:val="0"/>
                      <w:marRight w:val="0"/>
                      <w:marTop w:val="0"/>
                      <w:marBottom w:val="0"/>
                      <w:divBdr>
                        <w:top w:val="none" w:sz="0" w:space="0" w:color="auto"/>
                        <w:left w:val="none" w:sz="0" w:space="0" w:color="auto"/>
                        <w:bottom w:val="none" w:sz="0" w:space="0" w:color="auto"/>
                        <w:right w:val="none" w:sz="0" w:space="0" w:color="auto"/>
                      </w:divBdr>
                    </w:div>
                  </w:divsChild>
                </w:div>
                <w:div w:id="206570771">
                  <w:marLeft w:val="0"/>
                  <w:marRight w:val="0"/>
                  <w:marTop w:val="0"/>
                  <w:marBottom w:val="0"/>
                  <w:divBdr>
                    <w:top w:val="none" w:sz="0" w:space="0" w:color="auto"/>
                    <w:left w:val="none" w:sz="0" w:space="0" w:color="auto"/>
                    <w:bottom w:val="none" w:sz="0" w:space="0" w:color="auto"/>
                    <w:right w:val="none" w:sz="0" w:space="0" w:color="auto"/>
                  </w:divBdr>
                  <w:divsChild>
                    <w:div w:id="993797586">
                      <w:marLeft w:val="0"/>
                      <w:marRight w:val="0"/>
                      <w:marTop w:val="0"/>
                      <w:marBottom w:val="0"/>
                      <w:divBdr>
                        <w:top w:val="none" w:sz="0" w:space="0" w:color="auto"/>
                        <w:left w:val="none" w:sz="0" w:space="0" w:color="auto"/>
                        <w:bottom w:val="none" w:sz="0" w:space="0" w:color="auto"/>
                        <w:right w:val="none" w:sz="0" w:space="0" w:color="auto"/>
                      </w:divBdr>
                    </w:div>
                  </w:divsChild>
                </w:div>
                <w:div w:id="222369789">
                  <w:marLeft w:val="0"/>
                  <w:marRight w:val="0"/>
                  <w:marTop w:val="0"/>
                  <w:marBottom w:val="0"/>
                  <w:divBdr>
                    <w:top w:val="none" w:sz="0" w:space="0" w:color="auto"/>
                    <w:left w:val="none" w:sz="0" w:space="0" w:color="auto"/>
                    <w:bottom w:val="none" w:sz="0" w:space="0" w:color="auto"/>
                    <w:right w:val="none" w:sz="0" w:space="0" w:color="auto"/>
                  </w:divBdr>
                  <w:divsChild>
                    <w:div w:id="1684433321">
                      <w:marLeft w:val="0"/>
                      <w:marRight w:val="0"/>
                      <w:marTop w:val="0"/>
                      <w:marBottom w:val="0"/>
                      <w:divBdr>
                        <w:top w:val="none" w:sz="0" w:space="0" w:color="auto"/>
                        <w:left w:val="none" w:sz="0" w:space="0" w:color="auto"/>
                        <w:bottom w:val="none" w:sz="0" w:space="0" w:color="auto"/>
                        <w:right w:val="none" w:sz="0" w:space="0" w:color="auto"/>
                      </w:divBdr>
                    </w:div>
                  </w:divsChild>
                </w:div>
                <w:div w:id="234559830">
                  <w:marLeft w:val="0"/>
                  <w:marRight w:val="0"/>
                  <w:marTop w:val="0"/>
                  <w:marBottom w:val="0"/>
                  <w:divBdr>
                    <w:top w:val="none" w:sz="0" w:space="0" w:color="auto"/>
                    <w:left w:val="none" w:sz="0" w:space="0" w:color="auto"/>
                    <w:bottom w:val="none" w:sz="0" w:space="0" w:color="auto"/>
                    <w:right w:val="none" w:sz="0" w:space="0" w:color="auto"/>
                  </w:divBdr>
                  <w:divsChild>
                    <w:div w:id="20280035">
                      <w:marLeft w:val="0"/>
                      <w:marRight w:val="0"/>
                      <w:marTop w:val="0"/>
                      <w:marBottom w:val="0"/>
                      <w:divBdr>
                        <w:top w:val="none" w:sz="0" w:space="0" w:color="auto"/>
                        <w:left w:val="none" w:sz="0" w:space="0" w:color="auto"/>
                        <w:bottom w:val="none" w:sz="0" w:space="0" w:color="auto"/>
                        <w:right w:val="none" w:sz="0" w:space="0" w:color="auto"/>
                      </w:divBdr>
                    </w:div>
                  </w:divsChild>
                </w:div>
                <w:div w:id="247883766">
                  <w:marLeft w:val="0"/>
                  <w:marRight w:val="0"/>
                  <w:marTop w:val="0"/>
                  <w:marBottom w:val="0"/>
                  <w:divBdr>
                    <w:top w:val="none" w:sz="0" w:space="0" w:color="auto"/>
                    <w:left w:val="none" w:sz="0" w:space="0" w:color="auto"/>
                    <w:bottom w:val="none" w:sz="0" w:space="0" w:color="auto"/>
                    <w:right w:val="none" w:sz="0" w:space="0" w:color="auto"/>
                  </w:divBdr>
                  <w:divsChild>
                    <w:div w:id="633481953">
                      <w:marLeft w:val="0"/>
                      <w:marRight w:val="0"/>
                      <w:marTop w:val="0"/>
                      <w:marBottom w:val="0"/>
                      <w:divBdr>
                        <w:top w:val="none" w:sz="0" w:space="0" w:color="auto"/>
                        <w:left w:val="none" w:sz="0" w:space="0" w:color="auto"/>
                        <w:bottom w:val="none" w:sz="0" w:space="0" w:color="auto"/>
                        <w:right w:val="none" w:sz="0" w:space="0" w:color="auto"/>
                      </w:divBdr>
                    </w:div>
                  </w:divsChild>
                </w:div>
                <w:div w:id="254944384">
                  <w:marLeft w:val="0"/>
                  <w:marRight w:val="0"/>
                  <w:marTop w:val="0"/>
                  <w:marBottom w:val="0"/>
                  <w:divBdr>
                    <w:top w:val="none" w:sz="0" w:space="0" w:color="auto"/>
                    <w:left w:val="none" w:sz="0" w:space="0" w:color="auto"/>
                    <w:bottom w:val="none" w:sz="0" w:space="0" w:color="auto"/>
                    <w:right w:val="none" w:sz="0" w:space="0" w:color="auto"/>
                  </w:divBdr>
                  <w:divsChild>
                    <w:div w:id="475923423">
                      <w:marLeft w:val="0"/>
                      <w:marRight w:val="0"/>
                      <w:marTop w:val="0"/>
                      <w:marBottom w:val="0"/>
                      <w:divBdr>
                        <w:top w:val="none" w:sz="0" w:space="0" w:color="auto"/>
                        <w:left w:val="none" w:sz="0" w:space="0" w:color="auto"/>
                        <w:bottom w:val="none" w:sz="0" w:space="0" w:color="auto"/>
                        <w:right w:val="none" w:sz="0" w:space="0" w:color="auto"/>
                      </w:divBdr>
                    </w:div>
                  </w:divsChild>
                </w:div>
                <w:div w:id="264191033">
                  <w:marLeft w:val="0"/>
                  <w:marRight w:val="0"/>
                  <w:marTop w:val="0"/>
                  <w:marBottom w:val="0"/>
                  <w:divBdr>
                    <w:top w:val="none" w:sz="0" w:space="0" w:color="auto"/>
                    <w:left w:val="none" w:sz="0" w:space="0" w:color="auto"/>
                    <w:bottom w:val="none" w:sz="0" w:space="0" w:color="auto"/>
                    <w:right w:val="none" w:sz="0" w:space="0" w:color="auto"/>
                  </w:divBdr>
                  <w:divsChild>
                    <w:div w:id="871528076">
                      <w:marLeft w:val="0"/>
                      <w:marRight w:val="0"/>
                      <w:marTop w:val="0"/>
                      <w:marBottom w:val="0"/>
                      <w:divBdr>
                        <w:top w:val="none" w:sz="0" w:space="0" w:color="auto"/>
                        <w:left w:val="none" w:sz="0" w:space="0" w:color="auto"/>
                        <w:bottom w:val="none" w:sz="0" w:space="0" w:color="auto"/>
                        <w:right w:val="none" w:sz="0" w:space="0" w:color="auto"/>
                      </w:divBdr>
                    </w:div>
                  </w:divsChild>
                </w:div>
                <w:div w:id="264504013">
                  <w:marLeft w:val="0"/>
                  <w:marRight w:val="0"/>
                  <w:marTop w:val="0"/>
                  <w:marBottom w:val="0"/>
                  <w:divBdr>
                    <w:top w:val="none" w:sz="0" w:space="0" w:color="auto"/>
                    <w:left w:val="none" w:sz="0" w:space="0" w:color="auto"/>
                    <w:bottom w:val="none" w:sz="0" w:space="0" w:color="auto"/>
                    <w:right w:val="none" w:sz="0" w:space="0" w:color="auto"/>
                  </w:divBdr>
                  <w:divsChild>
                    <w:div w:id="1991054541">
                      <w:marLeft w:val="0"/>
                      <w:marRight w:val="0"/>
                      <w:marTop w:val="0"/>
                      <w:marBottom w:val="0"/>
                      <w:divBdr>
                        <w:top w:val="none" w:sz="0" w:space="0" w:color="auto"/>
                        <w:left w:val="none" w:sz="0" w:space="0" w:color="auto"/>
                        <w:bottom w:val="none" w:sz="0" w:space="0" w:color="auto"/>
                        <w:right w:val="none" w:sz="0" w:space="0" w:color="auto"/>
                      </w:divBdr>
                    </w:div>
                  </w:divsChild>
                </w:div>
                <w:div w:id="264970927">
                  <w:marLeft w:val="0"/>
                  <w:marRight w:val="0"/>
                  <w:marTop w:val="0"/>
                  <w:marBottom w:val="0"/>
                  <w:divBdr>
                    <w:top w:val="none" w:sz="0" w:space="0" w:color="auto"/>
                    <w:left w:val="none" w:sz="0" w:space="0" w:color="auto"/>
                    <w:bottom w:val="none" w:sz="0" w:space="0" w:color="auto"/>
                    <w:right w:val="none" w:sz="0" w:space="0" w:color="auto"/>
                  </w:divBdr>
                  <w:divsChild>
                    <w:div w:id="228620013">
                      <w:marLeft w:val="0"/>
                      <w:marRight w:val="0"/>
                      <w:marTop w:val="0"/>
                      <w:marBottom w:val="0"/>
                      <w:divBdr>
                        <w:top w:val="none" w:sz="0" w:space="0" w:color="auto"/>
                        <w:left w:val="none" w:sz="0" w:space="0" w:color="auto"/>
                        <w:bottom w:val="none" w:sz="0" w:space="0" w:color="auto"/>
                        <w:right w:val="none" w:sz="0" w:space="0" w:color="auto"/>
                      </w:divBdr>
                    </w:div>
                  </w:divsChild>
                </w:div>
                <w:div w:id="268239341">
                  <w:marLeft w:val="0"/>
                  <w:marRight w:val="0"/>
                  <w:marTop w:val="0"/>
                  <w:marBottom w:val="0"/>
                  <w:divBdr>
                    <w:top w:val="none" w:sz="0" w:space="0" w:color="auto"/>
                    <w:left w:val="none" w:sz="0" w:space="0" w:color="auto"/>
                    <w:bottom w:val="none" w:sz="0" w:space="0" w:color="auto"/>
                    <w:right w:val="none" w:sz="0" w:space="0" w:color="auto"/>
                  </w:divBdr>
                  <w:divsChild>
                    <w:div w:id="1419249732">
                      <w:marLeft w:val="0"/>
                      <w:marRight w:val="0"/>
                      <w:marTop w:val="0"/>
                      <w:marBottom w:val="0"/>
                      <w:divBdr>
                        <w:top w:val="none" w:sz="0" w:space="0" w:color="auto"/>
                        <w:left w:val="none" w:sz="0" w:space="0" w:color="auto"/>
                        <w:bottom w:val="none" w:sz="0" w:space="0" w:color="auto"/>
                        <w:right w:val="none" w:sz="0" w:space="0" w:color="auto"/>
                      </w:divBdr>
                    </w:div>
                  </w:divsChild>
                </w:div>
                <w:div w:id="290328732">
                  <w:marLeft w:val="0"/>
                  <w:marRight w:val="0"/>
                  <w:marTop w:val="0"/>
                  <w:marBottom w:val="0"/>
                  <w:divBdr>
                    <w:top w:val="none" w:sz="0" w:space="0" w:color="auto"/>
                    <w:left w:val="none" w:sz="0" w:space="0" w:color="auto"/>
                    <w:bottom w:val="none" w:sz="0" w:space="0" w:color="auto"/>
                    <w:right w:val="none" w:sz="0" w:space="0" w:color="auto"/>
                  </w:divBdr>
                  <w:divsChild>
                    <w:div w:id="811219285">
                      <w:marLeft w:val="0"/>
                      <w:marRight w:val="0"/>
                      <w:marTop w:val="0"/>
                      <w:marBottom w:val="0"/>
                      <w:divBdr>
                        <w:top w:val="none" w:sz="0" w:space="0" w:color="auto"/>
                        <w:left w:val="none" w:sz="0" w:space="0" w:color="auto"/>
                        <w:bottom w:val="none" w:sz="0" w:space="0" w:color="auto"/>
                        <w:right w:val="none" w:sz="0" w:space="0" w:color="auto"/>
                      </w:divBdr>
                    </w:div>
                  </w:divsChild>
                </w:div>
                <w:div w:id="312023554">
                  <w:marLeft w:val="0"/>
                  <w:marRight w:val="0"/>
                  <w:marTop w:val="0"/>
                  <w:marBottom w:val="0"/>
                  <w:divBdr>
                    <w:top w:val="none" w:sz="0" w:space="0" w:color="auto"/>
                    <w:left w:val="none" w:sz="0" w:space="0" w:color="auto"/>
                    <w:bottom w:val="none" w:sz="0" w:space="0" w:color="auto"/>
                    <w:right w:val="none" w:sz="0" w:space="0" w:color="auto"/>
                  </w:divBdr>
                  <w:divsChild>
                    <w:div w:id="153958761">
                      <w:marLeft w:val="0"/>
                      <w:marRight w:val="0"/>
                      <w:marTop w:val="0"/>
                      <w:marBottom w:val="0"/>
                      <w:divBdr>
                        <w:top w:val="none" w:sz="0" w:space="0" w:color="auto"/>
                        <w:left w:val="none" w:sz="0" w:space="0" w:color="auto"/>
                        <w:bottom w:val="none" w:sz="0" w:space="0" w:color="auto"/>
                        <w:right w:val="none" w:sz="0" w:space="0" w:color="auto"/>
                      </w:divBdr>
                    </w:div>
                  </w:divsChild>
                </w:div>
                <w:div w:id="315185729">
                  <w:marLeft w:val="0"/>
                  <w:marRight w:val="0"/>
                  <w:marTop w:val="0"/>
                  <w:marBottom w:val="0"/>
                  <w:divBdr>
                    <w:top w:val="none" w:sz="0" w:space="0" w:color="auto"/>
                    <w:left w:val="none" w:sz="0" w:space="0" w:color="auto"/>
                    <w:bottom w:val="none" w:sz="0" w:space="0" w:color="auto"/>
                    <w:right w:val="none" w:sz="0" w:space="0" w:color="auto"/>
                  </w:divBdr>
                  <w:divsChild>
                    <w:div w:id="475344946">
                      <w:marLeft w:val="0"/>
                      <w:marRight w:val="0"/>
                      <w:marTop w:val="0"/>
                      <w:marBottom w:val="0"/>
                      <w:divBdr>
                        <w:top w:val="none" w:sz="0" w:space="0" w:color="auto"/>
                        <w:left w:val="none" w:sz="0" w:space="0" w:color="auto"/>
                        <w:bottom w:val="none" w:sz="0" w:space="0" w:color="auto"/>
                        <w:right w:val="none" w:sz="0" w:space="0" w:color="auto"/>
                      </w:divBdr>
                    </w:div>
                  </w:divsChild>
                </w:div>
                <w:div w:id="323708800">
                  <w:marLeft w:val="0"/>
                  <w:marRight w:val="0"/>
                  <w:marTop w:val="0"/>
                  <w:marBottom w:val="0"/>
                  <w:divBdr>
                    <w:top w:val="none" w:sz="0" w:space="0" w:color="auto"/>
                    <w:left w:val="none" w:sz="0" w:space="0" w:color="auto"/>
                    <w:bottom w:val="none" w:sz="0" w:space="0" w:color="auto"/>
                    <w:right w:val="none" w:sz="0" w:space="0" w:color="auto"/>
                  </w:divBdr>
                  <w:divsChild>
                    <w:div w:id="1116367563">
                      <w:marLeft w:val="0"/>
                      <w:marRight w:val="0"/>
                      <w:marTop w:val="0"/>
                      <w:marBottom w:val="0"/>
                      <w:divBdr>
                        <w:top w:val="none" w:sz="0" w:space="0" w:color="auto"/>
                        <w:left w:val="none" w:sz="0" w:space="0" w:color="auto"/>
                        <w:bottom w:val="none" w:sz="0" w:space="0" w:color="auto"/>
                        <w:right w:val="none" w:sz="0" w:space="0" w:color="auto"/>
                      </w:divBdr>
                    </w:div>
                  </w:divsChild>
                </w:div>
                <w:div w:id="329144171">
                  <w:marLeft w:val="0"/>
                  <w:marRight w:val="0"/>
                  <w:marTop w:val="0"/>
                  <w:marBottom w:val="0"/>
                  <w:divBdr>
                    <w:top w:val="none" w:sz="0" w:space="0" w:color="auto"/>
                    <w:left w:val="none" w:sz="0" w:space="0" w:color="auto"/>
                    <w:bottom w:val="none" w:sz="0" w:space="0" w:color="auto"/>
                    <w:right w:val="none" w:sz="0" w:space="0" w:color="auto"/>
                  </w:divBdr>
                  <w:divsChild>
                    <w:div w:id="318509438">
                      <w:marLeft w:val="0"/>
                      <w:marRight w:val="0"/>
                      <w:marTop w:val="0"/>
                      <w:marBottom w:val="0"/>
                      <w:divBdr>
                        <w:top w:val="none" w:sz="0" w:space="0" w:color="auto"/>
                        <w:left w:val="none" w:sz="0" w:space="0" w:color="auto"/>
                        <w:bottom w:val="none" w:sz="0" w:space="0" w:color="auto"/>
                        <w:right w:val="none" w:sz="0" w:space="0" w:color="auto"/>
                      </w:divBdr>
                    </w:div>
                  </w:divsChild>
                </w:div>
                <w:div w:id="339359412">
                  <w:marLeft w:val="0"/>
                  <w:marRight w:val="0"/>
                  <w:marTop w:val="0"/>
                  <w:marBottom w:val="0"/>
                  <w:divBdr>
                    <w:top w:val="none" w:sz="0" w:space="0" w:color="auto"/>
                    <w:left w:val="none" w:sz="0" w:space="0" w:color="auto"/>
                    <w:bottom w:val="none" w:sz="0" w:space="0" w:color="auto"/>
                    <w:right w:val="none" w:sz="0" w:space="0" w:color="auto"/>
                  </w:divBdr>
                  <w:divsChild>
                    <w:div w:id="1296988506">
                      <w:marLeft w:val="0"/>
                      <w:marRight w:val="0"/>
                      <w:marTop w:val="0"/>
                      <w:marBottom w:val="0"/>
                      <w:divBdr>
                        <w:top w:val="none" w:sz="0" w:space="0" w:color="auto"/>
                        <w:left w:val="none" w:sz="0" w:space="0" w:color="auto"/>
                        <w:bottom w:val="none" w:sz="0" w:space="0" w:color="auto"/>
                        <w:right w:val="none" w:sz="0" w:space="0" w:color="auto"/>
                      </w:divBdr>
                    </w:div>
                  </w:divsChild>
                </w:div>
                <w:div w:id="354229074">
                  <w:marLeft w:val="0"/>
                  <w:marRight w:val="0"/>
                  <w:marTop w:val="0"/>
                  <w:marBottom w:val="0"/>
                  <w:divBdr>
                    <w:top w:val="none" w:sz="0" w:space="0" w:color="auto"/>
                    <w:left w:val="none" w:sz="0" w:space="0" w:color="auto"/>
                    <w:bottom w:val="none" w:sz="0" w:space="0" w:color="auto"/>
                    <w:right w:val="none" w:sz="0" w:space="0" w:color="auto"/>
                  </w:divBdr>
                  <w:divsChild>
                    <w:div w:id="909854212">
                      <w:marLeft w:val="0"/>
                      <w:marRight w:val="0"/>
                      <w:marTop w:val="0"/>
                      <w:marBottom w:val="0"/>
                      <w:divBdr>
                        <w:top w:val="none" w:sz="0" w:space="0" w:color="auto"/>
                        <w:left w:val="none" w:sz="0" w:space="0" w:color="auto"/>
                        <w:bottom w:val="none" w:sz="0" w:space="0" w:color="auto"/>
                        <w:right w:val="none" w:sz="0" w:space="0" w:color="auto"/>
                      </w:divBdr>
                    </w:div>
                  </w:divsChild>
                </w:div>
                <w:div w:id="399015849">
                  <w:marLeft w:val="0"/>
                  <w:marRight w:val="0"/>
                  <w:marTop w:val="0"/>
                  <w:marBottom w:val="0"/>
                  <w:divBdr>
                    <w:top w:val="none" w:sz="0" w:space="0" w:color="auto"/>
                    <w:left w:val="none" w:sz="0" w:space="0" w:color="auto"/>
                    <w:bottom w:val="none" w:sz="0" w:space="0" w:color="auto"/>
                    <w:right w:val="none" w:sz="0" w:space="0" w:color="auto"/>
                  </w:divBdr>
                  <w:divsChild>
                    <w:div w:id="31854113">
                      <w:marLeft w:val="0"/>
                      <w:marRight w:val="0"/>
                      <w:marTop w:val="0"/>
                      <w:marBottom w:val="0"/>
                      <w:divBdr>
                        <w:top w:val="none" w:sz="0" w:space="0" w:color="auto"/>
                        <w:left w:val="none" w:sz="0" w:space="0" w:color="auto"/>
                        <w:bottom w:val="none" w:sz="0" w:space="0" w:color="auto"/>
                        <w:right w:val="none" w:sz="0" w:space="0" w:color="auto"/>
                      </w:divBdr>
                    </w:div>
                  </w:divsChild>
                </w:div>
                <w:div w:id="399837940">
                  <w:marLeft w:val="0"/>
                  <w:marRight w:val="0"/>
                  <w:marTop w:val="0"/>
                  <w:marBottom w:val="0"/>
                  <w:divBdr>
                    <w:top w:val="none" w:sz="0" w:space="0" w:color="auto"/>
                    <w:left w:val="none" w:sz="0" w:space="0" w:color="auto"/>
                    <w:bottom w:val="none" w:sz="0" w:space="0" w:color="auto"/>
                    <w:right w:val="none" w:sz="0" w:space="0" w:color="auto"/>
                  </w:divBdr>
                  <w:divsChild>
                    <w:div w:id="394665443">
                      <w:marLeft w:val="0"/>
                      <w:marRight w:val="0"/>
                      <w:marTop w:val="0"/>
                      <w:marBottom w:val="0"/>
                      <w:divBdr>
                        <w:top w:val="none" w:sz="0" w:space="0" w:color="auto"/>
                        <w:left w:val="none" w:sz="0" w:space="0" w:color="auto"/>
                        <w:bottom w:val="none" w:sz="0" w:space="0" w:color="auto"/>
                        <w:right w:val="none" w:sz="0" w:space="0" w:color="auto"/>
                      </w:divBdr>
                    </w:div>
                  </w:divsChild>
                </w:div>
                <w:div w:id="401828145">
                  <w:marLeft w:val="0"/>
                  <w:marRight w:val="0"/>
                  <w:marTop w:val="0"/>
                  <w:marBottom w:val="0"/>
                  <w:divBdr>
                    <w:top w:val="none" w:sz="0" w:space="0" w:color="auto"/>
                    <w:left w:val="none" w:sz="0" w:space="0" w:color="auto"/>
                    <w:bottom w:val="none" w:sz="0" w:space="0" w:color="auto"/>
                    <w:right w:val="none" w:sz="0" w:space="0" w:color="auto"/>
                  </w:divBdr>
                  <w:divsChild>
                    <w:div w:id="1143931361">
                      <w:marLeft w:val="0"/>
                      <w:marRight w:val="0"/>
                      <w:marTop w:val="0"/>
                      <w:marBottom w:val="0"/>
                      <w:divBdr>
                        <w:top w:val="none" w:sz="0" w:space="0" w:color="auto"/>
                        <w:left w:val="none" w:sz="0" w:space="0" w:color="auto"/>
                        <w:bottom w:val="none" w:sz="0" w:space="0" w:color="auto"/>
                        <w:right w:val="none" w:sz="0" w:space="0" w:color="auto"/>
                      </w:divBdr>
                    </w:div>
                  </w:divsChild>
                </w:div>
                <w:div w:id="408387056">
                  <w:marLeft w:val="0"/>
                  <w:marRight w:val="0"/>
                  <w:marTop w:val="0"/>
                  <w:marBottom w:val="0"/>
                  <w:divBdr>
                    <w:top w:val="none" w:sz="0" w:space="0" w:color="auto"/>
                    <w:left w:val="none" w:sz="0" w:space="0" w:color="auto"/>
                    <w:bottom w:val="none" w:sz="0" w:space="0" w:color="auto"/>
                    <w:right w:val="none" w:sz="0" w:space="0" w:color="auto"/>
                  </w:divBdr>
                  <w:divsChild>
                    <w:div w:id="2014411301">
                      <w:marLeft w:val="0"/>
                      <w:marRight w:val="0"/>
                      <w:marTop w:val="0"/>
                      <w:marBottom w:val="0"/>
                      <w:divBdr>
                        <w:top w:val="none" w:sz="0" w:space="0" w:color="auto"/>
                        <w:left w:val="none" w:sz="0" w:space="0" w:color="auto"/>
                        <w:bottom w:val="none" w:sz="0" w:space="0" w:color="auto"/>
                        <w:right w:val="none" w:sz="0" w:space="0" w:color="auto"/>
                      </w:divBdr>
                    </w:div>
                  </w:divsChild>
                </w:div>
                <w:div w:id="408622460">
                  <w:marLeft w:val="0"/>
                  <w:marRight w:val="0"/>
                  <w:marTop w:val="0"/>
                  <w:marBottom w:val="0"/>
                  <w:divBdr>
                    <w:top w:val="none" w:sz="0" w:space="0" w:color="auto"/>
                    <w:left w:val="none" w:sz="0" w:space="0" w:color="auto"/>
                    <w:bottom w:val="none" w:sz="0" w:space="0" w:color="auto"/>
                    <w:right w:val="none" w:sz="0" w:space="0" w:color="auto"/>
                  </w:divBdr>
                  <w:divsChild>
                    <w:div w:id="118842469">
                      <w:marLeft w:val="0"/>
                      <w:marRight w:val="0"/>
                      <w:marTop w:val="0"/>
                      <w:marBottom w:val="0"/>
                      <w:divBdr>
                        <w:top w:val="none" w:sz="0" w:space="0" w:color="auto"/>
                        <w:left w:val="none" w:sz="0" w:space="0" w:color="auto"/>
                        <w:bottom w:val="none" w:sz="0" w:space="0" w:color="auto"/>
                        <w:right w:val="none" w:sz="0" w:space="0" w:color="auto"/>
                      </w:divBdr>
                    </w:div>
                  </w:divsChild>
                </w:div>
                <w:div w:id="433719076">
                  <w:marLeft w:val="0"/>
                  <w:marRight w:val="0"/>
                  <w:marTop w:val="0"/>
                  <w:marBottom w:val="0"/>
                  <w:divBdr>
                    <w:top w:val="none" w:sz="0" w:space="0" w:color="auto"/>
                    <w:left w:val="none" w:sz="0" w:space="0" w:color="auto"/>
                    <w:bottom w:val="none" w:sz="0" w:space="0" w:color="auto"/>
                    <w:right w:val="none" w:sz="0" w:space="0" w:color="auto"/>
                  </w:divBdr>
                  <w:divsChild>
                    <w:div w:id="1916863389">
                      <w:marLeft w:val="0"/>
                      <w:marRight w:val="0"/>
                      <w:marTop w:val="0"/>
                      <w:marBottom w:val="0"/>
                      <w:divBdr>
                        <w:top w:val="none" w:sz="0" w:space="0" w:color="auto"/>
                        <w:left w:val="none" w:sz="0" w:space="0" w:color="auto"/>
                        <w:bottom w:val="none" w:sz="0" w:space="0" w:color="auto"/>
                        <w:right w:val="none" w:sz="0" w:space="0" w:color="auto"/>
                      </w:divBdr>
                    </w:div>
                  </w:divsChild>
                </w:div>
                <w:div w:id="460270998">
                  <w:marLeft w:val="0"/>
                  <w:marRight w:val="0"/>
                  <w:marTop w:val="0"/>
                  <w:marBottom w:val="0"/>
                  <w:divBdr>
                    <w:top w:val="none" w:sz="0" w:space="0" w:color="auto"/>
                    <w:left w:val="none" w:sz="0" w:space="0" w:color="auto"/>
                    <w:bottom w:val="none" w:sz="0" w:space="0" w:color="auto"/>
                    <w:right w:val="none" w:sz="0" w:space="0" w:color="auto"/>
                  </w:divBdr>
                  <w:divsChild>
                    <w:div w:id="372275005">
                      <w:marLeft w:val="0"/>
                      <w:marRight w:val="0"/>
                      <w:marTop w:val="0"/>
                      <w:marBottom w:val="0"/>
                      <w:divBdr>
                        <w:top w:val="none" w:sz="0" w:space="0" w:color="auto"/>
                        <w:left w:val="none" w:sz="0" w:space="0" w:color="auto"/>
                        <w:bottom w:val="none" w:sz="0" w:space="0" w:color="auto"/>
                        <w:right w:val="none" w:sz="0" w:space="0" w:color="auto"/>
                      </w:divBdr>
                    </w:div>
                  </w:divsChild>
                </w:div>
                <w:div w:id="466171157">
                  <w:marLeft w:val="0"/>
                  <w:marRight w:val="0"/>
                  <w:marTop w:val="0"/>
                  <w:marBottom w:val="0"/>
                  <w:divBdr>
                    <w:top w:val="none" w:sz="0" w:space="0" w:color="auto"/>
                    <w:left w:val="none" w:sz="0" w:space="0" w:color="auto"/>
                    <w:bottom w:val="none" w:sz="0" w:space="0" w:color="auto"/>
                    <w:right w:val="none" w:sz="0" w:space="0" w:color="auto"/>
                  </w:divBdr>
                  <w:divsChild>
                    <w:div w:id="712310858">
                      <w:marLeft w:val="0"/>
                      <w:marRight w:val="0"/>
                      <w:marTop w:val="0"/>
                      <w:marBottom w:val="0"/>
                      <w:divBdr>
                        <w:top w:val="none" w:sz="0" w:space="0" w:color="auto"/>
                        <w:left w:val="none" w:sz="0" w:space="0" w:color="auto"/>
                        <w:bottom w:val="none" w:sz="0" w:space="0" w:color="auto"/>
                        <w:right w:val="none" w:sz="0" w:space="0" w:color="auto"/>
                      </w:divBdr>
                    </w:div>
                  </w:divsChild>
                </w:div>
                <w:div w:id="476342120">
                  <w:marLeft w:val="0"/>
                  <w:marRight w:val="0"/>
                  <w:marTop w:val="0"/>
                  <w:marBottom w:val="0"/>
                  <w:divBdr>
                    <w:top w:val="none" w:sz="0" w:space="0" w:color="auto"/>
                    <w:left w:val="none" w:sz="0" w:space="0" w:color="auto"/>
                    <w:bottom w:val="none" w:sz="0" w:space="0" w:color="auto"/>
                    <w:right w:val="none" w:sz="0" w:space="0" w:color="auto"/>
                  </w:divBdr>
                  <w:divsChild>
                    <w:div w:id="2125078574">
                      <w:marLeft w:val="0"/>
                      <w:marRight w:val="0"/>
                      <w:marTop w:val="0"/>
                      <w:marBottom w:val="0"/>
                      <w:divBdr>
                        <w:top w:val="none" w:sz="0" w:space="0" w:color="auto"/>
                        <w:left w:val="none" w:sz="0" w:space="0" w:color="auto"/>
                        <w:bottom w:val="none" w:sz="0" w:space="0" w:color="auto"/>
                        <w:right w:val="none" w:sz="0" w:space="0" w:color="auto"/>
                      </w:divBdr>
                    </w:div>
                  </w:divsChild>
                </w:div>
                <w:div w:id="508451626">
                  <w:marLeft w:val="0"/>
                  <w:marRight w:val="0"/>
                  <w:marTop w:val="0"/>
                  <w:marBottom w:val="0"/>
                  <w:divBdr>
                    <w:top w:val="none" w:sz="0" w:space="0" w:color="auto"/>
                    <w:left w:val="none" w:sz="0" w:space="0" w:color="auto"/>
                    <w:bottom w:val="none" w:sz="0" w:space="0" w:color="auto"/>
                    <w:right w:val="none" w:sz="0" w:space="0" w:color="auto"/>
                  </w:divBdr>
                  <w:divsChild>
                    <w:div w:id="2112041167">
                      <w:marLeft w:val="0"/>
                      <w:marRight w:val="0"/>
                      <w:marTop w:val="0"/>
                      <w:marBottom w:val="0"/>
                      <w:divBdr>
                        <w:top w:val="none" w:sz="0" w:space="0" w:color="auto"/>
                        <w:left w:val="none" w:sz="0" w:space="0" w:color="auto"/>
                        <w:bottom w:val="none" w:sz="0" w:space="0" w:color="auto"/>
                        <w:right w:val="none" w:sz="0" w:space="0" w:color="auto"/>
                      </w:divBdr>
                    </w:div>
                  </w:divsChild>
                </w:div>
                <w:div w:id="509878351">
                  <w:marLeft w:val="0"/>
                  <w:marRight w:val="0"/>
                  <w:marTop w:val="0"/>
                  <w:marBottom w:val="0"/>
                  <w:divBdr>
                    <w:top w:val="none" w:sz="0" w:space="0" w:color="auto"/>
                    <w:left w:val="none" w:sz="0" w:space="0" w:color="auto"/>
                    <w:bottom w:val="none" w:sz="0" w:space="0" w:color="auto"/>
                    <w:right w:val="none" w:sz="0" w:space="0" w:color="auto"/>
                  </w:divBdr>
                  <w:divsChild>
                    <w:div w:id="520779104">
                      <w:marLeft w:val="0"/>
                      <w:marRight w:val="0"/>
                      <w:marTop w:val="0"/>
                      <w:marBottom w:val="0"/>
                      <w:divBdr>
                        <w:top w:val="none" w:sz="0" w:space="0" w:color="auto"/>
                        <w:left w:val="none" w:sz="0" w:space="0" w:color="auto"/>
                        <w:bottom w:val="none" w:sz="0" w:space="0" w:color="auto"/>
                        <w:right w:val="none" w:sz="0" w:space="0" w:color="auto"/>
                      </w:divBdr>
                    </w:div>
                  </w:divsChild>
                </w:div>
                <w:div w:id="521822087">
                  <w:marLeft w:val="0"/>
                  <w:marRight w:val="0"/>
                  <w:marTop w:val="0"/>
                  <w:marBottom w:val="0"/>
                  <w:divBdr>
                    <w:top w:val="none" w:sz="0" w:space="0" w:color="auto"/>
                    <w:left w:val="none" w:sz="0" w:space="0" w:color="auto"/>
                    <w:bottom w:val="none" w:sz="0" w:space="0" w:color="auto"/>
                    <w:right w:val="none" w:sz="0" w:space="0" w:color="auto"/>
                  </w:divBdr>
                  <w:divsChild>
                    <w:div w:id="814683675">
                      <w:marLeft w:val="0"/>
                      <w:marRight w:val="0"/>
                      <w:marTop w:val="0"/>
                      <w:marBottom w:val="0"/>
                      <w:divBdr>
                        <w:top w:val="none" w:sz="0" w:space="0" w:color="auto"/>
                        <w:left w:val="none" w:sz="0" w:space="0" w:color="auto"/>
                        <w:bottom w:val="none" w:sz="0" w:space="0" w:color="auto"/>
                        <w:right w:val="none" w:sz="0" w:space="0" w:color="auto"/>
                      </w:divBdr>
                    </w:div>
                  </w:divsChild>
                </w:div>
                <w:div w:id="536549655">
                  <w:marLeft w:val="0"/>
                  <w:marRight w:val="0"/>
                  <w:marTop w:val="0"/>
                  <w:marBottom w:val="0"/>
                  <w:divBdr>
                    <w:top w:val="none" w:sz="0" w:space="0" w:color="auto"/>
                    <w:left w:val="none" w:sz="0" w:space="0" w:color="auto"/>
                    <w:bottom w:val="none" w:sz="0" w:space="0" w:color="auto"/>
                    <w:right w:val="none" w:sz="0" w:space="0" w:color="auto"/>
                  </w:divBdr>
                  <w:divsChild>
                    <w:div w:id="435752548">
                      <w:marLeft w:val="0"/>
                      <w:marRight w:val="0"/>
                      <w:marTop w:val="0"/>
                      <w:marBottom w:val="0"/>
                      <w:divBdr>
                        <w:top w:val="none" w:sz="0" w:space="0" w:color="auto"/>
                        <w:left w:val="none" w:sz="0" w:space="0" w:color="auto"/>
                        <w:bottom w:val="none" w:sz="0" w:space="0" w:color="auto"/>
                        <w:right w:val="none" w:sz="0" w:space="0" w:color="auto"/>
                      </w:divBdr>
                    </w:div>
                  </w:divsChild>
                </w:div>
                <w:div w:id="546991415">
                  <w:marLeft w:val="0"/>
                  <w:marRight w:val="0"/>
                  <w:marTop w:val="0"/>
                  <w:marBottom w:val="0"/>
                  <w:divBdr>
                    <w:top w:val="none" w:sz="0" w:space="0" w:color="auto"/>
                    <w:left w:val="none" w:sz="0" w:space="0" w:color="auto"/>
                    <w:bottom w:val="none" w:sz="0" w:space="0" w:color="auto"/>
                    <w:right w:val="none" w:sz="0" w:space="0" w:color="auto"/>
                  </w:divBdr>
                  <w:divsChild>
                    <w:div w:id="1210067675">
                      <w:marLeft w:val="0"/>
                      <w:marRight w:val="0"/>
                      <w:marTop w:val="0"/>
                      <w:marBottom w:val="0"/>
                      <w:divBdr>
                        <w:top w:val="none" w:sz="0" w:space="0" w:color="auto"/>
                        <w:left w:val="none" w:sz="0" w:space="0" w:color="auto"/>
                        <w:bottom w:val="none" w:sz="0" w:space="0" w:color="auto"/>
                        <w:right w:val="none" w:sz="0" w:space="0" w:color="auto"/>
                      </w:divBdr>
                    </w:div>
                  </w:divsChild>
                </w:div>
                <w:div w:id="555043799">
                  <w:marLeft w:val="0"/>
                  <w:marRight w:val="0"/>
                  <w:marTop w:val="0"/>
                  <w:marBottom w:val="0"/>
                  <w:divBdr>
                    <w:top w:val="none" w:sz="0" w:space="0" w:color="auto"/>
                    <w:left w:val="none" w:sz="0" w:space="0" w:color="auto"/>
                    <w:bottom w:val="none" w:sz="0" w:space="0" w:color="auto"/>
                    <w:right w:val="none" w:sz="0" w:space="0" w:color="auto"/>
                  </w:divBdr>
                  <w:divsChild>
                    <w:div w:id="453183072">
                      <w:marLeft w:val="0"/>
                      <w:marRight w:val="0"/>
                      <w:marTop w:val="0"/>
                      <w:marBottom w:val="0"/>
                      <w:divBdr>
                        <w:top w:val="none" w:sz="0" w:space="0" w:color="auto"/>
                        <w:left w:val="none" w:sz="0" w:space="0" w:color="auto"/>
                        <w:bottom w:val="none" w:sz="0" w:space="0" w:color="auto"/>
                        <w:right w:val="none" w:sz="0" w:space="0" w:color="auto"/>
                      </w:divBdr>
                    </w:div>
                  </w:divsChild>
                </w:div>
                <w:div w:id="570585285">
                  <w:marLeft w:val="0"/>
                  <w:marRight w:val="0"/>
                  <w:marTop w:val="0"/>
                  <w:marBottom w:val="0"/>
                  <w:divBdr>
                    <w:top w:val="none" w:sz="0" w:space="0" w:color="auto"/>
                    <w:left w:val="none" w:sz="0" w:space="0" w:color="auto"/>
                    <w:bottom w:val="none" w:sz="0" w:space="0" w:color="auto"/>
                    <w:right w:val="none" w:sz="0" w:space="0" w:color="auto"/>
                  </w:divBdr>
                  <w:divsChild>
                    <w:div w:id="1854951634">
                      <w:marLeft w:val="0"/>
                      <w:marRight w:val="0"/>
                      <w:marTop w:val="0"/>
                      <w:marBottom w:val="0"/>
                      <w:divBdr>
                        <w:top w:val="none" w:sz="0" w:space="0" w:color="auto"/>
                        <w:left w:val="none" w:sz="0" w:space="0" w:color="auto"/>
                        <w:bottom w:val="none" w:sz="0" w:space="0" w:color="auto"/>
                        <w:right w:val="none" w:sz="0" w:space="0" w:color="auto"/>
                      </w:divBdr>
                    </w:div>
                  </w:divsChild>
                </w:div>
                <w:div w:id="575674544">
                  <w:marLeft w:val="0"/>
                  <w:marRight w:val="0"/>
                  <w:marTop w:val="0"/>
                  <w:marBottom w:val="0"/>
                  <w:divBdr>
                    <w:top w:val="none" w:sz="0" w:space="0" w:color="auto"/>
                    <w:left w:val="none" w:sz="0" w:space="0" w:color="auto"/>
                    <w:bottom w:val="none" w:sz="0" w:space="0" w:color="auto"/>
                    <w:right w:val="none" w:sz="0" w:space="0" w:color="auto"/>
                  </w:divBdr>
                  <w:divsChild>
                    <w:div w:id="1842088051">
                      <w:marLeft w:val="0"/>
                      <w:marRight w:val="0"/>
                      <w:marTop w:val="0"/>
                      <w:marBottom w:val="0"/>
                      <w:divBdr>
                        <w:top w:val="none" w:sz="0" w:space="0" w:color="auto"/>
                        <w:left w:val="none" w:sz="0" w:space="0" w:color="auto"/>
                        <w:bottom w:val="none" w:sz="0" w:space="0" w:color="auto"/>
                        <w:right w:val="none" w:sz="0" w:space="0" w:color="auto"/>
                      </w:divBdr>
                    </w:div>
                  </w:divsChild>
                </w:div>
                <w:div w:id="583415957">
                  <w:marLeft w:val="0"/>
                  <w:marRight w:val="0"/>
                  <w:marTop w:val="0"/>
                  <w:marBottom w:val="0"/>
                  <w:divBdr>
                    <w:top w:val="none" w:sz="0" w:space="0" w:color="auto"/>
                    <w:left w:val="none" w:sz="0" w:space="0" w:color="auto"/>
                    <w:bottom w:val="none" w:sz="0" w:space="0" w:color="auto"/>
                    <w:right w:val="none" w:sz="0" w:space="0" w:color="auto"/>
                  </w:divBdr>
                  <w:divsChild>
                    <w:div w:id="576594076">
                      <w:marLeft w:val="0"/>
                      <w:marRight w:val="0"/>
                      <w:marTop w:val="0"/>
                      <w:marBottom w:val="0"/>
                      <w:divBdr>
                        <w:top w:val="none" w:sz="0" w:space="0" w:color="auto"/>
                        <w:left w:val="none" w:sz="0" w:space="0" w:color="auto"/>
                        <w:bottom w:val="none" w:sz="0" w:space="0" w:color="auto"/>
                        <w:right w:val="none" w:sz="0" w:space="0" w:color="auto"/>
                      </w:divBdr>
                    </w:div>
                  </w:divsChild>
                </w:div>
                <w:div w:id="602342087">
                  <w:marLeft w:val="0"/>
                  <w:marRight w:val="0"/>
                  <w:marTop w:val="0"/>
                  <w:marBottom w:val="0"/>
                  <w:divBdr>
                    <w:top w:val="none" w:sz="0" w:space="0" w:color="auto"/>
                    <w:left w:val="none" w:sz="0" w:space="0" w:color="auto"/>
                    <w:bottom w:val="none" w:sz="0" w:space="0" w:color="auto"/>
                    <w:right w:val="none" w:sz="0" w:space="0" w:color="auto"/>
                  </w:divBdr>
                  <w:divsChild>
                    <w:div w:id="335695461">
                      <w:marLeft w:val="0"/>
                      <w:marRight w:val="0"/>
                      <w:marTop w:val="0"/>
                      <w:marBottom w:val="0"/>
                      <w:divBdr>
                        <w:top w:val="none" w:sz="0" w:space="0" w:color="auto"/>
                        <w:left w:val="none" w:sz="0" w:space="0" w:color="auto"/>
                        <w:bottom w:val="none" w:sz="0" w:space="0" w:color="auto"/>
                        <w:right w:val="none" w:sz="0" w:space="0" w:color="auto"/>
                      </w:divBdr>
                    </w:div>
                  </w:divsChild>
                </w:div>
                <w:div w:id="613024377">
                  <w:marLeft w:val="0"/>
                  <w:marRight w:val="0"/>
                  <w:marTop w:val="0"/>
                  <w:marBottom w:val="0"/>
                  <w:divBdr>
                    <w:top w:val="none" w:sz="0" w:space="0" w:color="auto"/>
                    <w:left w:val="none" w:sz="0" w:space="0" w:color="auto"/>
                    <w:bottom w:val="none" w:sz="0" w:space="0" w:color="auto"/>
                    <w:right w:val="none" w:sz="0" w:space="0" w:color="auto"/>
                  </w:divBdr>
                  <w:divsChild>
                    <w:div w:id="133834502">
                      <w:marLeft w:val="0"/>
                      <w:marRight w:val="0"/>
                      <w:marTop w:val="0"/>
                      <w:marBottom w:val="0"/>
                      <w:divBdr>
                        <w:top w:val="none" w:sz="0" w:space="0" w:color="auto"/>
                        <w:left w:val="none" w:sz="0" w:space="0" w:color="auto"/>
                        <w:bottom w:val="none" w:sz="0" w:space="0" w:color="auto"/>
                        <w:right w:val="none" w:sz="0" w:space="0" w:color="auto"/>
                      </w:divBdr>
                    </w:div>
                  </w:divsChild>
                </w:div>
                <w:div w:id="620114348">
                  <w:marLeft w:val="0"/>
                  <w:marRight w:val="0"/>
                  <w:marTop w:val="0"/>
                  <w:marBottom w:val="0"/>
                  <w:divBdr>
                    <w:top w:val="none" w:sz="0" w:space="0" w:color="auto"/>
                    <w:left w:val="none" w:sz="0" w:space="0" w:color="auto"/>
                    <w:bottom w:val="none" w:sz="0" w:space="0" w:color="auto"/>
                    <w:right w:val="none" w:sz="0" w:space="0" w:color="auto"/>
                  </w:divBdr>
                  <w:divsChild>
                    <w:div w:id="522597160">
                      <w:marLeft w:val="0"/>
                      <w:marRight w:val="0"/>
                      <w:marTop w:val="0"/>
                      <w:marBottom w:val="0"/>
                      <w:divBdr>
                        <w:top w:val="none" w:sz="0" w:space="0" w:color="auto"/>
                        <w:left w:val="none" w:sz="0" w:space="0" w:color="auto"/>
                        <w:bottom w:val="none" w:sz="0" w:space="0" w:color="auto"/>
                        <w:right w:val="none" w:sz="0" w:space="0" w:color="auto"/>
                      </w:divBdr>
                    </w:div>
                  </w:divsChild>
                </w:div>
                <w:div w:id="661546962">
                  <w:marLeft w:val="0"/>
                  <w:marRight w:val="0"/>
                  <w:marTop w:val="0"/>
                  <w:marBottom w:val="0"/>
                  <w:divBdr>
                    <w:top w:val="none" w:sz="0" w:space="0" w:color="auto"/>
                    <w:left w:val="none" w:sz="0" w:space="0" w:color="auto"/>
                    <w:bottom w:val="none" w:sz="0" w:space="0" w:color="auto"/>
                    <w:right w:val="none" w:sz="0" w:space="0" w:color="auto"/>
                  </w:divBdr>
                  <w:divsChild>
                    <w:div w:id="1187520905">
                      <w:marLeft w:val="0"/>
                      <w:marRight w:val="0"/>
                      <w:marTop w:val="0"/>
                      <w:marBottom w:val="0"/>
                      <w:divBdr>
                        <w:top w:val="none" w:sz="0" w:space="0" w:color="auto"/>
                        <w:left w:val="none" w:sz="0" w:space="0" w:color="auto"/>
                        <w:bottom w:val="none" w:sz="0" w:space="0" w:color="auto"/>
                        <w:right w:val="none" w:sz="0" w:space="0" w:color="auto"/>
                      </w:divBdr>
                    </w:div>
                  </w:divsChild>
                </w:div>
                <w:div w:id="662124774">
                  <w:marLeft w:val="0"/>
                  <w:marRight w:val="0"/>
                  <w:marTop w:val="0"/>
                  <w:marBottom w:val="0"/>
                  <w:divBdr>
                    <w:top w:val="none" w:sz="0" w:space="0" w:color="auto"/>
                    <w:left w:val="none" w:sz="0" w:space="0" w:color="auto"/>
                    <w:bottom w:val="none" w:sz="0" w:space="0" w:color="auto"/>
                    <w:right w:val="none" w:sz="0" w:space="0" w:color="auto"/>
                  </w:divBdr>
                  <w:divsChild>
                    <w:div w:id="564485171">
                      <w:marLeft w:val="0"/>
                      <w:marRight w:val="0"/>
                      <w:marTop w:val="0"/>
                      <w:marBottom w:val="0"/>
                      <w:divBdr>
                        <w:top w:val="none" w:sz="0" w:space="0" w:color="auto"/>
                        <w:left w:val="none" w:sz="0" w:space="0" w:color="auto"/>
                        <w:bottom w:val="none" w:sz="0" w:space="0" w:color="auto"/>
                        <w:right w:val="none" w:sz="0" w:space="0" w:color="auto"/>
                      </w:divBdr>
                    </w:div>
                  </w:divsChild>
                </w:div>
                <w:div w:id="690228501">
                  <w:marLeft w:val="0"/>
                  <w:marRight w:val="0"/>
                  <w:marTop w:val="0"/>
                  <w:marBottom w:val="0"/>
                  <w:divBdr>
                    <w:top w:val="none" w:sz="0" w:space="0" w:color="auto"/>
                    <w:left w:val="none" w:sz="0" w:space="0" w:color="auto"/>
                    <w:bottom w:val="none" w:sz="0" w:space="0" w:color="auto"/>
                    <w:right w:val="none" w:sz="0" w:space="0" w:color="auto"/>
                  </w:divBdr>
                  <w:divsChild>
                    <w:div w:id="430584760">
                      <w:marLeft w:val="0"/>
                      <w:marRight w:val="0"/>
                      <w:marTop w:val="0"/>
                      <w:marBottom w:val="0"/>
                      <w:divBdr>
                        <w:top w:val="none" w:sz="0" w:space="0" w:color="auto"/>
                        <w:left w:val="none" w:sz="0" w:space="0" w:color="auto"/>
                        <w:bottom w:val="none" w:sz="0" w:space="0" w:color="auto"/>
                        <w:right w:val="none" w:sz="0" w:space="0" w:color="auto"/>
                      </w:divBdr>
                    </w:div>
                  </w:divsChild>
                </w:div>
                <w:div w:id="691415230">
                  <w:marLeft w:val="0"/>
                  <w:marRight w:val="0"/>
                  <w:marTop w:val="0"/>
                  <w:marBottom w:val="0"/>
                  <w:divBdr>
                    <w:top w:val="none" w:sz="0" w:space="0" w:color="auto"/>
                    <w:left w:val="none" w:sz="0" w:space="0" w:color="auto"/>
                    <w:bottom w:val="none" w:sz="0" w:space="0" w:color="auto"/>
                    <w:right w:val="none" w:sz="0" w:space="0" w:color="auto"/>
                  </w:divBdr>
                  <w:divsChild>
                    <w:div w:id="1147554936">
                      <w:marLeft w:val="0"/>
                      <w:marRight w:val="0"/>
                      <w:marTop w:val="0"/>
                      <w:marBottom w:val="0"/>
                      <w:divBdr>
                        <w:top w:val="none" w:sz="0" w:space="0" w:color="auto"/>
                        <w:left w:val="none" w:sz="0" w:space="0" w:color="auto"/>
                        <w:bottom w:val="none" w:sz="0" w:space="0" w:color="auto"/>
                        <w:right w:val="none" w:sz="0" w:space="0" w:color="auto"/>
                      </w:divBdr>
                    </w:div>
                  </w:divsChild>
                </w:div>
                <w:div w:id="702874589">
                  <w:marLeft w:val="0"/>
                  <w:marRight w:val="0"/>
                  <w:marTop w:val="0"/>
                  <w:marBottom w:val="0"/>
                  <w:divBdr>
                    <w:top w:val="none" w:sz="0" w:space="0" w:color="auto"/>
                    <w:left w:val="none" w:sz="0" w:space="0" w:color="auto"/>
                    <w:bottom w:val="none" w:sz="0" w:space="0" w:color="auto"/>
                    <w:right w:val="none" w:sz="0" w:space="0" w:color="auto"/>
                  </w:divBdr>
                  <w:divsChild>
                    <w:div w:id="1978021739">
                      <w:marLeft w:val="0"/>
                      <w:marRight w:val="0"/>
                      <w:marTop w:val="0"/>
                      <w:marBottom w:val="0"/>
                      <w:divBdr>
                        <w:top w:val="none" w:sz="0" w:space="0" w:color="auto"/>
                        <w:left w:val="none" w:sz="0" w:space="0" w:color="auto"/>
                        <w:bottom w:val="none" w:sz="0" w:space="0" w:color="auto"/>
                        <w:right w:val="none" w:sz="0" w:space="0" w:color="auto"/>
                      </w:divBdr>
                    </w:div>
                  </w:divsChild>
                </w:div>
                <w:div w:id="731579779">
                  <w:marLeft w:val="0"/>
                  <w:marRight w:val="0"/>
                  <w:marTop w:val="0"/>
                  <w:marBottom w:val="0"/>
                  <w:divBdr>
                    <w:top w:val="none" w:sz="0" w:space="0" w:color="auto"/>
                    <w:left w:val="none" w:sz="0" w:space="0" w:color="auto"/>
                    <w:bottom w:val="none" w:sz="0" w:space="0" w:color="auto"/>
                    <w:right w:val="none" w:sz="0" w:space="0" w:color="auto"/>
                  </w:divBdr>
                  <w:divsChild>
                    <w:div w:id="1688166815">
                      <w:marLeft w:val="0"/>
                      <w:marRight w:val="0"/>
                      <w:marTop w:val="0"/>
                      <w:marBottom w:val="0"/>
                      <w:divBdr>
                        <w:top w:val="none" w:sz="0" w:space="0" w:color="auto"/>
                        <w:left w:val="none" w:sz="0" w:space="0" w:color="auto"/>
                        <w:bottom w:val="none" w:sz="0" w:space="0" w:color="auto"/>
                        <w:right w:val="none" w:sz="0" w:space="0" w:color="auto"/>
                      </w:divBdr>
                    </w:div>
                  </w:divsChild>
                </w:div>
                <w:div w:id="745152007">
                  <w:marLeft w:val="0"/>
                  <w:marRight w:val="0"/>
                  <w:marTop w:val="0"/>
                  <w:marBottom w:val="0"/>
                  <w:divBdr>
                    <w:top w:val="none" w:sz="0" w:space="0" w:color="auto"/>
                    <w:left w:val="none" w:sz="0" w:space="0" w:color="auto"/>
                    <w:bottom w:val="none" w:sz="0" w:space="0" w:color="auto"/>
                    <w:right w:val="none" w:sz="0" w:space="0" w:color="auto"/>
                  </w:divBdr>
                  <w:divsChild>
                    <w:div w:id="178012169">
                      <w:marLeft w:val="0"/>
                      <w:marRight w:val="0"/>
                      <w:marTop w:val="0"/>
                      <w:marBottom w:val="0"/>
                      <w:divBdr>
                        <w:top w:val="none" w:sz="0" w:space="0" w:color="auto"/>
                        <w:left w:val="none" w:sz="0" w:space="0" w:color="auto"/>
                        <w:bottom w:val="none" w:sz="0" w:space="0" w:color="auto"/>
                        <w:right w:val="none" w:sz="0" w:space="0" w:color="auto"/>
                      </w:divBdr>
                    </w:div>
                  </w:divsChild>
                </w:div>
                <w:div w:id="766387154">
                  <w:marLeft w:val="0"/>
                  <w:marRight w:val="0"/>
                  <w:marTop w:val="0"/>
                  <w:marBottom w:val="0"/>
                  <w:divBdr>
                    <w:top w:val="none" w:sz="0" w:space="0" w:color="auto"/>
                    <w:left w:val="none" w:sz="0" w:space="0" w:color="auto"/>
                    <w:bottom w:val="none" w:sz="0" w:space="0" w:color="auto"/>
                    <w:right w:val="none" w:sz="0" w:space="0" w:color="auto"/>
                  </w:divBdr>
                  <w:divsChild>
                    <w:div w:id="622885761">
                      <w:marLeft w:val="0"/>
                      <w:marRight w:val="0"/>
                      <w:marTop w:val="0"/>
                      <w:marBottom w:val="0"/>
                      <w:divBdr>
                        <w:top w:val="none" w:sz="0" w:space="0" w:color="auto"/>
                        <w:left w:val="none" w:sz="0" w:space="0" w:color="auto"/>
                        <w:bottom w:val="none" w:sz="0" w:space="0" w:color="auto"/>
                        <w:right w:val="none" w:sz="0" w:space="0" w:color="auto"/>
                      </w:divBdr>
                    </w:div>
                  </w:divsChild>
                </w:div>
                <w:div w:id="772670644">
                  <w:marLeft w:val="0"/>
                  <w:marRight w:val="0"/>
                  <w:marTop w:val="0"/>
                  <w:marBottom w:val="0"/>
                  <w:divBdr>
                    <w:top w:val="none" w:sz="0" w:space="0" w:color="auto"/>
                    <w:left w:val="none" w:sz="0" w:space="0" w:color="auto"/>
                    <w:bottom w:val="none" w:sz="0" w:space="0" w:color="auto"/>
                    <w:right w:val="none" w:sz="0" w:space="0" w:color="auto"/>
                  </w:divBdr>
                  <w:divsChild>
                    <w:div w:id="2069959929">
                      <w:marLeft w:val="0"/>
                      <w:marRight w:val="0"/>
                      <w:marTop w:val="0"/>
                      <w:marBottom w:val="0"/>
                      <w:divBdr>
                        <w:top w:val="none" w:sz="0" w:space="0" w:color="auto"/>
                        <w:left w:val="none" w:sz="0" w:space="0" w:color="auto"/>
                        <w:bottom w:val="none" w:sz="0" w:space="0" w:color="auto"/>
                        <w:right w:val="none" w:sz="0" w:space="0" w:color="auto"/>
                      </w:divBdr>
                    </w:div>
                  </w:divsChild>
                </w:div>
                <w:div w:id="791900737">
                  <w:marLeft w:val="0"/>
                  <w:marRight w:val="0"/>
                  <w:marTop w:val="0"/>
                  <w:marBottom w:val="0"/>
                  <w:divBdr>
                    <w:top w:val="none" w:sz="0" w:space="0" w:color="auto"/>
                    <w:left w:val="none" w:sz="0" w:space="0" w:color="auto"/>
                    <w:bottom w:val="none" w:sz="0" w:space="0" w:color="auto"/>
                    <w:right w:val="none" w:sz="0" w:space="0" w:color="auto"/>
                  </w:divBdr>
                  <w:divsChild>
                    <w:div w:id="1128746151">
                      <w:marLeft w:val="0"/>
                      <w:marRight w:val="0"/>
                      <w:marTop w:val="0"/>
                      <w:marBottom w:val="0"/>
                      <w:divBdr>
                        <w:top w:val="none" w:sz="0" w:space="0" w:color="auto"/>
                        <w:left w:val="none" w:sz="0" w:space="0" w:color="auto"/>
                        <w:bottom w:val="none" w:sz="0" w:space="0" w:color="auto"/>
                        <w:right w:val="none" w:sz="0" w:space="0" w:color="auto"/>
                      </w:divBdr>
                    </w:div>
                  </w:divsChild>
                </w:div>
                <w:div w:id="792871690">
                  <w:marLeft w:val="0"/>
                  <w:marRight w:val="0"/>
                  <w:marTop w:val="0"/>
                  <w:marBottom w:val="0"/>
                  <w:divBdr>
                    <w:top w:val="none" w:sz="0" w:space="0" w:color="auto"/>
                    <w:left w:val="none" w:sz="0" w:space="0" w:color="auto"/>
                    <w:bottom w:val="none" w:sz="0" w:space="0" w:color="auto"/>
                    <w:right w:val="none" w:sz="0" w:space="0" w:color="auto"/>
                  </w:divBdr>
                  <w:divsChild>
                    <w:div w:id="599333477">
                      <w:marLeft w:val="0"/>
                      <w:marRight w:val="0"/>
                      <w:marTop w:val="0"/>
                      <w:marBottom w:val="0"/>
                      <w:divBdr>
                        <w:top w:val="none" w:sz="0" w:space="0" w:color="auto"/>
                        <w:left w:val="none" w:sz="0" w:space="0" w:color="auto"/>
                        <w:bottom w:val="none" w:sz="0" w:space="0" w:color="auto"/>
                        <w:right w:val="none" w:sz="0" w:space="0" w:color="auto"/>
                      </w:divBdr>
                    </w:div>
                  </w:divsChild>
                </w:div>
                <w:div w:id="819006098">
                  <w:marLeft w:val="0"/>
                  <w:marRight w:val="0"/>
                  <w:marTop w:val="0"/>
                  <w:marBottom w:val="0"/>
                  <w:divBdr>
                    <w:top w:val="none" w:sz="0" w:space="0" w:color="auto"/>
                    <w:left w:val="none" w:sz="0" w:space="0" w:color="auto"/>
                    <w:bottom w:val="none" w:sz="0" w:space="0" w:color="auto"/>
                    <w:right w:val="none" w:sz="0" w:space="0" w:color="auto"/>
                  </w:divBdr>
                  <w:divsChild>
                    <w:div w:id="523520039">
                      <w:marLeft w:val="0"/>
                      <w:marRight w:val="0"/>
                      <w:marTop w:val="0"/>
                      <w:marBottom w:val="0"/>
                      <w:divBdr>
                        <w:top w:val="none" w:sz="0" w:space="0" w:color="auto"/>
                        <w:left w:val="none" w:sz="0" w:space="0" w:color="auto"/>
                        <w:bottom w:val="none" w:sz="0" w:space="0" w:color="auto"/>
                        <w:right w:val="none" w:sz="0" w:space="0" w:color="auto"/>
                      </w:divBdr>
                    </w:div>
                  </w:divsChild>
                </w:div>
                <w:div w:id="834221750">
                  <w:marLeft w:val="0"/>
                  <w:marRight w:val="0"/>
                  <w:marTop w:val="0"/>
                  <w:marBottom w:val="0"/>
                  <w:divBdr>
                    <w:top w:val="none" w:sz="0" w:space="0" w:color="auto"/>
                    <w:left w:val="none" w:sz="0" w:space="0" w:color="auto"/>
                    <w:bottom w:val="none" w:sz="0" w:space="0" w:color="auto"/>
                    <w:right w:val="none" w:sz="0" w:space="0" w:color="auto"/>
                  </w:divBdr>
                  <w:divsChild>
                    <w:div w:id="481850774">
                      <w:marLeft w:val="0"/>
                      <w:marRight w:val="0"/>
                      <w:marTop w:val="0"/>
                      <w:marBottom w:val="0"/>
                      <w:divBdr>
                        <w:top w:val="none" w:sz="0" w:space="0" w:color="auto"/>
                        <w:left w:val="none" w:sz="0" w:space="0" w:color="auto"/>
                        <w:bottom w:val="none" w:sz="0" w:space="0" w:color="auto"/>
                        <w:right w:val="none" w:sz="0" w:space="0" w:color="auto"/>
                      </w:divBdr>
                    </w:div>
                  </w:divsChild>
                </w:div>
                <w:div w:id="842672858">
                  <w:marLeft w:val="0"/>
                  <w:marRight w:val="0"/>
                  <w:marTop w:val="0"/>
                  <w:marBottom w:val="0"/>
                  <w:divBdr>
                    <w:top w:val="none" w:sz="0" w:space="0" w:color="auto"/>
                    <w:left w:val="none" w:sz="0" w:space="0" w:color="auto"/>
                    <w:bottom w:val="none" w:sz="0" w:space="0" w:color="auto"/>
                    <w:right w:val="none" w:sz="0" w:space="0" w:color="auto"/>
                  </w:divBdr>
                  <w:divsChild>
                    <w:div w:id="2039315199">
                      <w:marLeft w:val="0"/>
                      <w:marRight w:val="0"/>
                      <w:marTop w:val="0"/>
                      <w:marBottom w:val="0"/>
                      <w:divBdr>
                        <w:top w:val="none" w:sz="0" w:space="0" w:color="auto"/>
                        <w:left w:val="none" w:sz="0" w:space="0" w:color="auto"/>
                        <w:bottom w:val="none" w:sz="0" w:space="0" w:color="auto"/>
                        <w:right w:val="none" w:sz="0" w:space="0" w:color="auto"/>
                      </w:divBdr>
                    </w:div>
                  </w:divsChild>
                </w:div>
                <w:div w:id="845098572">
                  <w:marLeft w:val="0"/>
                  <w:marRight w:val="0"/>
                  <w:marTop w:val="0"/>
                  <w:marBottom w:val="0"/>
                  <w:divBdr>
                    <w:top w:val="none" w:sz="0" w:space="0" w:color="auto"/>
                    <w:left w:val="none" w:sz="0" w:space="0" w:color="auto"/>
                    <w:bottom w:val="none" w:sz="0" w:space="0" w:color="auto"/>
                    <w:right w:val="none" w:sz="0" w:space="0" w:color="auto"/>
                  </w:divBdr>
                  <w:divsChild>
                    <w:div w:id="1167400536">
                      <w:marLeft w:val="0"/>
                      <w:marRight w:val="0"/>
                      <w:marTop w:val="0"/>
                      <w:marBottom w:val="0"/>
                      <w:divBdr>
                        <w:top w:val="none" w:sz="0" w:space="0" w:color="auto"/>
                        <w:left w:val="none" w:sz="0" w:space="0" w:color="auto"/>
                        <w:bottom w:val="none" w:sz="0" w:space="0" w:color="auto"/>
                        <w:right w:val="none" w:sz="0" w:space="0" w:color="auto"/>
                      </w:divBdr>
                    </w:div>
                  </w:divsChild>
                </w:div>
                <w:div w:id="880090040">
                  <w:marLeft w:val="0"/>
                  <w:marRight w:val="0"/>
                  <w:marTop w:val="0"/>
                  <w:marBottom w:val="0"/>
                  <w:divBdr>
                    <w:top w:val="none" w:sz="0" w:space="0" w:color="auto"/>
                    <w:left w:val="none" w:sz="0" w:space="0" w:color="auto"/>
                    <w:bottom w:val="none" w:sz="0" w:space="0" w:color="auto"/>
                    <w:right w:val="none" w:sz="0" w:space="0" w:color="auto"/>
                  </w:divBdr>
                  <w:divsChild>
                    <w:div w:id="193812524">
                      <w:marLeft w:val="0"/>
                      <w:marRight w:val="0"/>
                      <w:marTop w:val="0"/>
                      <w:marBottom w:val="0"/>
                      <w:divBdr>
                        <w:top w:val="none" w:sz="0" w:space="0" w:color="auto"/>
                        <w:left w:val="none" w:sz="0" w:space="0" w:color="auto"/>
                        <w:bottom w:val="none" w:sz="0" w:space="0" w:color="auto"/>
                        <w:right w:val="none" w:sz="0" w:space="0" w:color="auto"/>
                      </w:divBdr>
                    </w:div>
                  </w:divsChild>
                </w:div>
                <w:div w:id="880090279">
                  <w:marLeft w:val="0"/>
                  <w:marRight w:val="0"/>
                  <w:marTop w:val="0"/>
                  <w:marBottom w:val="0"/>
                  <w:divBdr>
                    <w:top w:val="none" w:sz="0" w:space="0" w:color="auto"/>
                    <w:left w:val="none" w:sz="0" w:space="0" w:color="auto"/>
                    <w:bottom w:val="none" w:sz="0" w:space="0" w:color="auto"/>
                    <w:right w:val="none" w:sz="0" w:space="0" w:color="auto"/>
                  </w:divBdr>
                  <w:divsChild>
                    <w:div w:id="1715961302">
                      <w:marLeft w:val="0"/>
                      <w:marRight w:val="0"/>
                      <w:marTop w:val="0"/>
                      <w:marBottom w:val="0"/>
                      <w:divBdr>
                        <w:top w:val="none" w:sz="0" w:space="0" w:color="auto"/>
                        <w:left w:val="none" w:sz="0" w:space="0" w:color="auto"/>
                        <w:bottom w:val="none" w:sz="0" w:space="0" w:color="auto"/>
                        <w:right w:val="none" w:sz="0" w:space="0" w:color="auto"/>
                      </w:divBdr>
                    </w:div>
                  </w:divsChild>
                </w:div>
                <w:div w:id="884412852">
                  <w:marLeft w:val="0"/>
                  <w:marRight w:val="0"/>
                  <w:marTop w:val="0"/>
                  <w:marBottom w:val="0"/>
                  <w:divBdr>
                    <w:top w:val="none" w:sz="0" w:space="0" w:color="auto"/>
                    <w:left w:val="none" w:sz="0" w:space="0" w:color="auto"/>
                    <w:bottom w:val="none" w:sz="0" w:space="0" w:color="auto"/>
                    <w:right w:val="none" w:sz="0" w:space="0" w:color="auto"/>
                  </w:divBdr>
                  <w:divsChild>
                    <w:div w:id="1354066576">
                      <w:marLeft w:val="0"/>
                      <w:marRight w:val="0"/>
                      <w:marTop w:val="0"/>
                      <w:marBottom w:val="0"/>
                      <w:divBdr>
                        <w:top w:val="none" w:sz="0" w:space="0" w:color="auto"/>
                        <w:left w:val="none" w:sz="0" w:space="0" w:color="auto"/>
                        <w:bottom w:val="none" w:sz="0" w:space="0" w:color="auto"/>
                        <w:right w:val="none" w:sz="0" w:space="0" w:color="auto"/>
                      </w:divBdr>
                    </w:div>
                  </w:divsChild>
                </w:div>
                <w:div w:id="884636267">
                  <w:marLeft w:val="0"/>
                  <w:marRight w:val="0"/>
                  <w:marTop w:val="0"/>
                  <w:marBottom w:val="0"/>
                  <w:divBdr>
                    <w:top w:val="none" w:sz="0" w:space="0" w:color="auto"/>
                    <w:left w:val="none" w:sz="0" w:space="0" w:color="auto"/>
                    <w:bottom w:val="none" w:sz="0" w:space="0" w:color="auto"/>
                    <w:right w:val="none" w:sz="0" w:space="0" w:color="auto"/>
                  </w:divBdr>
                  <w:divsChild>
                    <w:div w:id="546836639">
                      <w:marLeft w:val="0"/>
                      <w:marRight w:val="0"/>
                      <w:marTop w:val="0"/>
                      <w:marBottom w:val="0"/>
                      <w:divBdr>
                        <w:top w:val="none" w:sz="0" w:space="0" w:color="auto"/>
                        <w:left w:val="none" w:sz="0" w:space="0" w:color="auto"/>
                        <w:bottom w:val="none" w:sz="0" w:space="0" w:color="auto"/>
                        <w:right w:val="none" w:sz="0" w:space="0" w:color="auto"/>
                      </w:divBdr>
                    </w:div>
                  </w:divsChild>
                </w:div>
                <w:div w:id="911963100">
                  <w:marLeft w:val="0"/>
                  <w:marRight w:val="0"/>
                  <w:marTop w:val="0"/>
                  <w:marBottom w:val="0"/>
                  <w:divBdr>
                    <w:top w:val="none" w:sz="0" w:space="0" w:color="auto"/>
                    <w:left w:val="none" w:sz="0" w:space="0" w:color="auto"/>
                    <w:bottom w:val="none" w:sz="0" w:space="0" w:color="auto"/>
                    <w:right w:val="none" w:sz="0" w:space="0" w:color="auto"/>
                  </w:divBdr>
                  <w:divsChild>
                    <w:div w:id="454060344">
                      <w:marLeft w:val="0"/>
                      <w:marRight w:val="0"/>
                      <w:marTop w:val="0"/>
                      <w:marBottom w:val="0"/>
                      <w:divBdr>
                        <w:top w:val="none" w:sz="0" w:space="0" w:color="auto"/>
                        <w:left w:val="none" w:sz="0" w:space="0" w:color="auto"/>
                        <w:bottom w:val="none" w:sz="0" w:space="0" w:color="auto"/>
                        <w:right w:val="none" w:sz="0" w:space="0" w:color="auto"/>
                      </w:divBdr>
                    </w:div>
                  </w:divsChild>
                </w:div>
                <w:div w:id="923298934">
                  <w:marLeft w:val="0"/>
                  <w:marRight w:val="0"/>
                  <w:marTop w:val="0"/>
                  <w:marBottom w:val="0"/>
                  <w:divBdr>
                    <w:top w:val="none" w:sz="0" w:space="0" w:color="auto"/>
                    <w:left w:val="none" w:sz="0" w:space="0" w:color="auto"/>
                    <w:bottom w:val="none" w:sz="0" w:space="0" w:color="auto"/>
                    <w:right w:val="none" w:sz="0" w:space="0" w:color="auto"/>
                  </w:divBdr>
                  <w:divsChild>
                    <w:div w:id="1176117278">
                      <w:marLeft w:val="0"/>
                      <w:marRight w:val="0"/>
                      <w:marTop w:val="0"/>
                      <w:marBottom w:val="0"/>
                      <w:divBdr>
                        <w:top w:val="none" w:sz="0" w:space="0" w:color="auto"/>
                        <w:left w:val="none" w:sz="0" w:space="0" w:color="auto"/>
                        <w:bottom w:val="none" w:sz="0" w:space="0" w:color="auto"/>
                        <w:right w:val="none" w:sz="0" w:space="0" w:color="auto"/>
                      </w:divBdr>
                    </w:div>
                  </w:divsChild>
                </w:div>
                <w:div w:id="924268917">
                  <w:marLeft w:val="0"/>
                  <w:marRight w:val="0"/>
                  <w:marTop w:val="0"/>
                  <w:marBottom w:val="0"/>
                  <w:divBdr>
                    <w:top w:val="none" w:sz="0" w:space="0" w:color="auto"/>
                    <w:left w:val="none" w:sz="0" w:space="0" w:color="auto"/>
                    <w:bottom w:val="none" w:sz="0" w:space="0" w:color="auto"/>
                    <w:right w:val="none" w:sz="0" w:space="0" w:color="auto"/>
                  </w:divBdr>
                  <w:divsChild>
                    <w:div w:id="411200955">
                      <w:marLeft w:val="0"/>
                      <w:marRight w:val="0"/>
                      <w:marTop w:val="0"/>
                      <w:marBottom w:val="0"/>
                      <w:divBdr>
                        <w:top w:val="none" w:sz="0" w:space="0" w:color="auto"/>
                        <w:left w:val="none" w:sz="0" w:space="0" w:color="auto"/>
                        <w:bottom w:val="none" w:sz="0" w:space="0" w:color="auto"/>
                        <w:right w:val="none" w:sz="0" w:space="0" w:color="auto"/>
                      </w:divBdr>
                    </w:div>
                  </w:divsChild>
                </w:div>
                <w:div w:id="953250048">
                  <w:marLeft w:val="0"/>
                  <w:marRight w:val="0"/>
                  <w:marTop w:val="0"/>
                  <w:marBottom w:val="0"/>
                  <w:divBdr>
                    <w:top w:val="none" w:sz="0" w:space="0" w:color="auto"/>
                    <w:left w:val="none" w:sz="0" w:space="0" w:color="auto"/>
                    <w:bottom w:val="none" w:sz="0" w:space="0" w:color="auto"/>
                    <w:right w:val="none" w:sz="0" w:space="0" w:color="auto"/>
                  </w:divBdr>
                  <w:divsChild>
                    <w:div w:id="1766727173">
                      <w:marLeft w:val="0"/>
                      <w:marRight w:val="0"/>
                      <w:marTop w:val="0"/>
                      <w:marBottom w:val="0"/>
                      <w:divBdr>
                        <w:top w:val="none" w:sz="0" w:space="0" w:color="auto"/>
                        <w:left w:val="none" w:sz="0" w:space="0" w:color="auto"/>
                        <w:bottom w:val="none" w:sz="0" w:space="0" w:color="auto"/>
                        <w:right w:val="none" w:sz="0" w:space="0" w:color="auto"/>
                      </w:divBdr>
                    </w:div>
                  </w:divsChild>
                </w:div>
                <w:div w:id="957492791">
                  <w:marLeft w:val="0"/>
                  <w:marRight w:val="0"/>
                  <w:marTop w:val="0"/>
                  <w:marBottom w:val="0"/>
                  <w:divBdr>
                    <w:top w:val="none" w:sz="0" w:space="0" w:color="auto"/>
                    <w:left w:val="none" w:sz="0" w:space="0" w:color="auto"/>
                    <w:bottom w:val="none" w:sz="0" w:space="0" w:color="auto"/>
                    <w:right w:val="none" w:sz="0" w:space="0" w:color="auto"/>
                  </w:divBdr>
                  <w:divsChild>
                    <w:div w:id="57021549">
                      <w:marLeft w:val="0"/>
                      <w:marRight w:val="0"/>
                      <w:marTop w:val="0"/>
                      <w:marBottom w:val="0"/>
                      <w:divBdr>
                        <w:top w:val="none" w:sz="0" w:space="0" w:color="auto"/>
                        <w:left w:val="none" w:sz="0" w:space="0" w:color="auto"/>
                        <w:bottom w:val="none" w:sz="0" w:space="0" w:color="auto"/>
                        <w:right w:val="none" w:sz="0" w:space="0" w:color="auto"/>
                      </w:divBdr>
                    </w:div>
                  </w:divsChild>
                </w:div>
                <w:div w:id="961348953">
                  <w:marLeft w:val="0"/>
                  <w:marRight w:val="0"/>
                  <w:marTop w:val="0"/>
                  <w:marBottom w:val="0"/>
                  <w:divBdr>
                    <w:top w:val="none" w:sz="0" w:space="0" w:color="auto"/>
                    <w:left w:val="none" w:sz="0" w:space="0" w:color="auto"/>
                    <w:bottom w:val="none" w:sz="0" w:space="0" w:color="auto"/>
                    <w:right w:val="none" w:sz="0" w:space="0" w:color="auto"/>
                  </w:divBdr>
                  <w:divsChild>
                    <w:div w:id="1623338899">
                      <w:marLeft w:val="0"/>
                      <w:marRight w:val="0"/>
                      <w:marTop w:val="0"/>
                      <w:marBottom w:val="0"/>
                      <w:divBdr>
                        <w:top w:val="none" w:sz="0" w:space="0" w:color="auto"/>
                        <w:left w:val="none" w:sz="0" w:space="0" w:color="auto"/>
                        <w:bottom w:val="none" w:sz="0" w:space="0" w:color="auto"/>
                        <w:right w:val="none" w:sz="0" w:space="0" w:color="auto"/>
                      </w:divBdr>
                    </w:div>
                  </w:divsChild>
                </w:div>
                <w:div w:id="987788817">
                  <w:marLeft w:val="0"/>
                  <w:marRight w:val="0"/>
                  <w:marTop w:val="0"/>
                  <w:marBottom w:val="0"/>
                  <w:divBdr>
                    <w:top w:val="none" w:sz="0" w:space="0" w:color="auto"/>
                    <w:left w:val="none" w:sz="0" w:space="0" w:color="auto"/>
                    <w:bottom w:val="none" w:sz="0" w:space="0" w:color="auto"/>
                    <w:right w:val="none" w:sz="0" w:space="0" w:color="auto"/>
                  </w:divBdr>
                  <w:divsChild>
                    <w:div w:id="1792505452">
                      <w:marLeft w:val="0"/>
                      <w:marRight w:val="0"/>
                      <w:marTop w:val="0"/>
                      <w:marBottom w:val="0"/>
                      <w:divBdr>
                        <w:top w:val="none" w:sz="0" w:space="0" w:color="auto"/>
                        <w:left w:val="none" w:sz="0" w:space="0" w:color="auto"/>
                        <w:bottom w:val="none" w:sz="0" w:space="0" w:color="auto"/>
                        <w:right w:val="none" w:sz="0" w:space="0" w:color="auto"/>
                      </w:divBdr>
                    </w:div>
                  </w:divsChild>
                </w:div>
                <w:div w:id="1016077129">
                  <w:marLeft w:val="0"/>
                  <w:marRight w:val="0"/>
                  <w:marTop w:val="0"/>
                  <w:marBottom w:val="0"/>
                  <w:divBdr>
                    <w:top w:val="none" w:sz="0" w:space="0" w:color="auto"/>
                    <w:left w:val="none" w:sz="0" w:space="0" w:color="auto"/>
                    <w:bottom w:val="none" w:sz="0" w:space="0" w:color="auto"/>
                    <w:right w:val="none" w:sz="0" w:space="0" w:color="auto"/>
                  </w:divBdr>
                  <w:divsChild>
                    <w:div w:id="1629235341">
                      <w:marLeft w:val="0"/>
                      <w:marRight w:val="0"/>
                      <w:marTop w:val="0"/>
                      <w:marBottom w:val="0"/>
                      <w:divBdr>
                        <w:top w:val="none" w:sz="0" w:space="0" w:color="auto"/>
                        <w:left w:val="none" w:sz="0" w:space="0" w:color="auto"/>
                        <w:bottom w:val="none" w:sz="0" w:space="0" w:color="auto"/>
                        <w:right w:val="none" w:sz="0" w:space="0" w:color="auto"/>
                      </w:divBdr>
                    </w:div>
                  </w:divsChild>
                </w:div>
                <w:div w:id="1027873428">
                  <w:marLeft w:val="0"/>
                  <w:marRight w:val="0"/>
                  <w:marTop w:val="0"/>
                  <w:marBottom w:val="0"/>
                  <w:divBdr>
                    <w:top w:val="none" w:sz="0" w:space="0" w:color="auto"/>
                    <w:left w:val="none" w:sz="0" w:space="0" w:color="auto"/>
                    <w:bottom w:val="none" w:sz="0" w:space="0" w:color="auto"/>
                    <w:right w:val="none" w:sz="0" w:space="0" w:color="auto"/>
                  </w:divBdr>
                  <w:divsChild>
                    <w:div w:id="1335524419">
                      <w:marLeft w:val="0"/>
                      <w:marRight w:val="0"/>
                      <w:marTop w:val="0"/>
                      <w:marBottom w:val="0"/>
                      <w:divBdr>
                        <w:top w:val="none" w:sz="0" w:space="0" w:color="auto"/>
                        <w:left w:val="none" w:sz="0" w:space="0" w:color="auto"/>
                        <w:bottom w:val="none" w:sz="0" w:space="0" w:color="auto"/>
                        <w:right w:val="none" w:sz="0" w:space="0" w:color="auto"/>
                      </w:divBdr>
                    </w:div>
                  </w:divsChild>
                </w:div>
                <w:div w:id="1043673866">
                  <w:marLeft w:val="0"/>
                  <w:marRight w:val="0"/>
                  <w:marTop w:val="0"/>
                  <w:marBottom w:val="0"/>
                  <w:divBdr>
                    <w:top w:val="none" w:sz="0" w:space="0" w:color="auto"/>
                    <w:left w:val="none" w:sz="0" w:space="0" w:color="auto"/>
                    <w:bottom w:val="none" w:sz="0" w:space="0" w:color="auto"/>
                    <w:right w:val="none" w:sz="0" w:space="0" w:color="auto"/>
                  </w:divBdr>
                  <w:divsChild>
                    <w:div w:id="441188710">
                      <w:marLeft w:val="0"/>
                      <w:marRight w:val="0"/>
                      <w:marTop w:val="0"/>
                      <w:marBottom w:val="0"/>
                      <w:divBdr>
                        <w:top w:val="none" w:sz="0" w:space="0" w:color="auto"/>
                        <w:left w:val="none" w:sz="0" w:space="0" w:color="auto"/>
                        <w:bottom w:val="none" w:sz="0" w:space="0" w:color="auto"/>
                        <w:right w:val="none" w:sz="0" w:space="0" w:color="auto"/>
                      </w:divBdr>
                    </w:div>
                  </w:divsChild>
                </w:div>
                <w:div w:id="1048148538">
                  <w:marLeft w:val="0"/>
                  <w:marRight w:val="0"/>
                  <w:marTop w:val="0"/>
                  <w:marBottom w:val="0"/>
                  <w:divBdr>
                    <w:top w:val="none" w:sz="0" w:space="0" w:color="auto"/>
                    <w:left w:val="none" w:sz="0" w:space="0" w:color="auto"/>
                    <w:bottom w:val="none" w:sz="0" w:space="0" w:color="auto"/>
                    <w:right w:val="none" w:sz="0" w:space="0" w:color="auto"/>
                  </w:divBdr>
                  <w:divsChild>
                    <w:div w:id="997616899">
                      <w:marLeft w:val="0"/>
                      <w:marRight w:val="0"/>
                      <w:marTop w:val="0"/>
                      <w:marBottom w:val="0"/>
                      <w:divBdr>
                        <w:top w:val="none" w:sz="0" w:space="0" w:color="auto"/>
                        <w:left w:val="none" w:sz="0" w:space="0" w:color="auto"/>
                        <w:bottom w:val="none" w:sz="0" w:space="0" w:color="auto"/>
                        <w:right w:val="none" w:sz="0" w:space="0" w:color="auto"/>
                      </w:divBdr>
                    </w:div>
                  </w:divsChild>
                </w:div>
                <w:div w:id="1054622616">
                  <w:marLeft w:val="0"/>
                  <w:marRight w:val="0"/>
                  <w:marTop w:val="0"/>
                  <w:marBottom w:val="0"/>
                  <w:divBdr>
                    <w:top w:val="none" w:sz="0" w:space="0" w:color="auto"/>
                    <w:left w:val="none" w:sz="0" w:space="0" w:color="auto"/>
                    <w:bottom w:val="none" w:sz="0" w:space="0" w:color="auto"/>
                    <w:right w:val="none" w:sz="0" w:space="0" w:color="auto"/>
                  </w:divBdr>
                  <w:divsChild>
                    <w:div w:id="1292326493">
                      <w:marLeft w:val="0"/>
                      <w:marRight w:val="0"/>
                      <w:marTop w:val="0"/>
                      <w:marBottom w:val="0"/>
                      <w:divBdr>
                        <w:top w:val="none" w:sz="0" w:space="0" w:color="auto"/>
                        <w:left w:val="none" w:sz="0" w:space="0" w:color="auto"/>
                        <w:bottom w:val="none" w:sz="0" w:space="0" w:color="auto"/>
                        <w:right w:val="none" w:sz="0" w:space="0" w:color="auto"/>
                      </w:divBdr>
                    </w:div>
                  </w:divsChild>
                </w:div>
                <w:div w:id="1057124045">
                  <w:marLeft w:val="0"/>
                  <w:marRight w:val="0"/>
                  <w:marTop w:val="0"/>
                  <w:marBottom w:val="0"/>
                  <w:divBdr>
                    <w:top w:val="none" w:sz="0" w:space="0" w:color="auto"/>
                    <w:left w:val="none" w:sz="0" w:space="0" w:color="auto"/>
                    <w:bottom w:val="none" w:sz="0" w:space="0" w:color="auto"/>
                    <w:right w:val="none" w:sz="0" w:space="0" w:color="auto"/>
                  </w:divBdr>
                  <w:divsChild>
                    <w:div w:id="1872913363">
                      <w:marLeft w:val="0"/>
                      <w:marRight w:val="0"/>
                      <w:marTop w:val="0"/>
                      <w:marBottom w:val="0"/>
                      <w:divBdr>
                        <w:top w:val="none" w:sz="0" w:space="0" w:color="auto"/>
                        <w:left w:val="none" w:sz="0" w:space="0" w:color="auto"/>
                        <w:bottom w:val="none" w:sz="0" w:space="0" w:color="auto"/>
                        <w:right w:val="none" w:sz="0" w:space="0" w:color="auto"/>
                      </w:divBdr>
                    </w:div>
                  </w:divsChild>
                </w:div>
                <w:div w:id="1058745456">
                  <w:marLeft w:val="0"/>
                  <w:marRight w:val="0"/>
                  <w:marTop w:val="0"/>
                  <w:marBottom w:val="0"/>
                  <w:divBdr>
                    <w:top w:val="none" w:sz="0" w:space="0" w:color="auto"/>
                    <w:left w:val="none" w:sz="0" w:space="0" w:color="auto"/>
                    <w:bottom w:val="none" w:sz="0" w:space="0" w:color="auto"/>
                    <w:right w:val="none" w:sz="0" w:space="0" w:color="auto"/>
                  </w:divBdr>
                  <w:divsChild>
                    <w:div w:id="37318725">
                      <w:marLeft w:val="0"/>
                      <w:marRight w:val="0"/>
                      <w:marTop w:val="0"/>
                      <w:marBottom w:val="0"/>
                      <w:divBdr>
                        <w:top w:val="none" w:sz="0" w:space="0" w:color="auto"/>
                        <w:left w:val="none" w:sz="0" w:space="0" w:color="auto"/>
                        <w:bottom w:val="none" w:sz="0" w:space="0" w:color="auto"/>
                        <w:right w:val="none" w:sz="0" w:space="0" w:color="auto"/>
                      </w:divBdr>
                    </w:div>
                  </w:divsChild>
                </w:div>
                <w:div w:id="1069768173">
                  <w:marLeft w:val="0"/>
                  <w:marRight w:val="0"/>
                  <w:marTop w:val="0"/>
                  <w:marBottom w:val="0"/>
                  <w:divBdr>
                    <w:top w:val="none" w:sz="0" w:space="0" w:color="auto"/>
                    <w:left w:val="none" w:sz="0" w:space="0" w:color="auto"/>
                    <w:bottom w:val="none" w:sz="0" w:space="0" w:color="auto"/>
                    <w:right w:val="none" w:sz="0" w:space="0" w:color="auto"/>
                  </w:divBdr>
                  <w:divsChild>
                    <w:div w:id="1642416792">
                      <w:marLeft w:val="0"/>
                      <w:marRight w:val="0"/>
                      <w:marTop w:val="0"/>
                      <w:marBottom w:val="0"/>
                      <w:divBdr>
                        <w:top w:val="none" w:sz="0" w:space="0" w:color="auto"/>
                        <w:left w:val="none" w:sz="0" w:space="0" w:color="auto"/>
                        <w:bottom w:val="none" w:sz="0" w:space="0" w:color="auto"/>
                        <w:right w:val="none" w:sz="0" w:space="0" w:color="auto"/>
                      </w:divBdr>
                    </w:div>
                  </w:divsChild>
                </w:div>
                <w:div w:id="1085614607">
                  <w:marLeft w:val="0"/>
                  <w:marRight w:val="0"/>
                  <w:marTop w:val="0"/>
                  <w:marBottom w:val="0"/>
                  <w:divBdr>
                    <w:top w:val="none" w:sz="0" w:space="0" w:color="auto"/>
                    <w:left w:val="none" w:sz="0" w:space="0" w:color="auto"/>
                    <w:bottom w:val="none" w:sz="0" w:space="0" w:color="auto"/>
                    <w:right w:val="none" w:sz="0" w:space="0" w:color="auto"/>
                  </w:divBdr>
                  <w:divsChild>
                    <w:div w:id="1697922931">
                      <w:marLeft w:val="0"/>
                      <w:marRight w:val="0"/>
                      <w:marTop w:val="0"/>
                      <w:marBottom w:val="0"/>
                      <w:divBdr>
                        <w:top w:val="none" w:sz="0" w:space="0" w:color="auto"/>
                        <w:left w:val="none" w:sz="0" w:space="0" w:color="auto"/>
                        <w:bottom w:val="none" w:sz="0" w:space="0" w:color="auto"/>
                        <w:right w:val="none" w:sz="0" w:space="0" w:color="auto"/>
                      </w:divBdr>
                    </w:div>
                  </w:divsChild>
                </w:div>
                <w:div w:id="1115558016">
                  <w:marLeft w:val="0"/>
                  <w:marRight w:val="0"/>
                  <w:marTop w:val="0"/>
                  <w:marBottom w:val="0"/>
                  <w:divBdr>
                    <w:top w:val="none" w:sz="0" w:space="0" w:color="auto"/>
                    <w:left w:val="none" w:sz="0" w:space="0" w:color="auto"/>
                    <w:bottom w:val="none" w:sz="0" w:space="0" w:color="auto"/>
                    <w:right w:val="none" w:sz="0" w:space="0" w:color="auto"/>
                  </w:divBdr>
                  <w:divsChild>
                    <w:div w:id="2004114447">
                      <w:marLeft w:val="0"/>
                      <w:marRight w:val="0"/>
                      <w:marTop w:val="0"/>
                      <w:marBottom w:val="0"/>
                      <w:divBdr>
                        <w:top w:val="none" w:sz="0" w:space="0" w:color="auto"/>
                        <w:left w:val="none" w:sz="0" w:space="0" w:color="auto"/>
                        <w:bottom w:val="none" w:sz="0" w:space="0" w:color="auto"/>
                        <w:right w:val="none" w:sz="0" w:space="0" w:color="auto"/>
                      </w:divBdr>
                    </w:div>
                  </w:divsChild>
                </w:div>
                <w:div w:id="1157108634">
                  <w:marLeft w:val="0"/>
                  <w:marRight w:val="0"/>
                  <w:marTop w:val="0"/>
                  <w:marBottom w:val="0"/>
                  <w:divBdr>
                    <w:top w:val="none" w:sz="0" w:space="0" w:color="auto"/>
                    <w:left w:val="none" w:sz="0" w:space="0" w:color="auto"/>
                    <w:bottom w:val="none" w:sz="0" w:space="0" w:color="auto"/>
                    <w:right w:val="none" w:sz="0" w:space="0" w:color="auto"/>
                  </w:divBdr>
                  <w:divsChild>
                    <w:div w:id="198399624">
                      <w:marLeft w:val="0"/>
                      <w:marRight w:val="0"/>
                      <w:marTop w:val="0"/>
                      <w:marBottom w:val="0"/>
                      <w:divBdr>
                        <w:top w:val="none" w:sz="0" w:space="0" w:color="auto"/>
                        <w:left w:val="none" w:sz="0" w:space="0" w:color="auto"/>
                        <w:bottom w:val="none" w:sz="0" w:space="0" w:color="auto"/>
                        <w:right w:val="none" w:sz="0" w:space="0" w:color="auto"/>
                      </w:divBdr>
                    </w:div>
                  </w:divsChild>
                </w:div>
                <w:div w:id="1157696386">
                  <w:marLeft w:val="0"/>
                  <w:marRight w:val="0"/>
                  <w:marTop w:val="0"/>
                  <w:marBottom w:val="0"/>
                  <w:divBdr>
                    <w:top w:val="none" w:sz="0" w:space="0" w:color="auto"/>
                    <w:left w:val="none" w:sz="0" w:space="0" w:color="auto"/>
                    <w:bottom w:val="none" w:sz="0" w:space="0" w:color="auto"/>
                    <w:right w:val="none" w:sz="0" w:space="0" w:color="auto"/>
                  </w:divBdr>
                  <w:divsChild>
                    <w:div w:id="1656252895">
                      <w:marLeft w:val="0"/>
                      <w:marRight w:val="0"/>
                      <w:marTop w:val="0"/>
                      <w:marBottom w:val="0"/>
                      <w:divBdr>
                        <w:top w:val="none" w:sz="0" w:space="0" w:color="auto"/>
                        <w:left w:val="none" w:sz="0" w:space="0" w:color="auto"/>
                        <w:bottom w:val="none" w:sz="0" w:space="0" w:color="auto"/>
                        <w:right w:val="none" w:sz="0" w:space="0" w:color="auto"/>
                      </w:divBdr>
                    </w:div>
                  </w:divsChild>
                </w:div>
                <w:div w:id="1163013611">
                  <w:marLeft w:val="0"/>
                  <w:marRight w:val="0"/>
                  <w:marTop w:val="0"/>
                  <w:marBottom w:val="0"/>
                  <w:divBdr>
                    <w:top w:val="none" w:sz="0" w:space="0" w:color="auto"/>
                    <w:left w:val="none" w:sz="0" w:space="0" w:color="auto"/>
                    <w:bottom w:val="none" w:sz="0" w:space="0" w:color="auto"/>
                    <w:right w:val="none" w:sz="0" w:space="0" w:color="auto"/>
                  </w:divBdr>
                  <w:divsChild>
                    <w:div w:id="2032024959">
                      <w:marLeft w:val="0"/>
                      <w:marRight w:val="0"/>
                      <w:marTop w:val="0"/>
                      <w:marBottom w:val="0"/>
                      <w:divBdr>
                        <w:top w:val="none" w:sz="0" w:space="0" w:color="auto"/>
                        <w:left w:val="none" w:sz="0" w:space="0" w:color="auto"/>
                        <w:bottom w:val="none" w:sz="0" w:space="0" w:color="auto"/>
                        <w:right w:val="none" w:sz="0" w:space="0" w:color="auto"/>
                      </w:divBdr>
                    </w:div>
                  </w:divsChild>
                </w:div>
                <w:div w:id="1163349041">
                  <w:marLeft w:val="0"/>
                  <w:marRight w:val="0"/>
                  <w:marTop w:val="0"/>
                  <w:marBottom w:val="0"/>
                  <w:divBdr>
                    <w:top w:val="none" w:sz="0" w:space="0" w:color="auto"/>
                    <w:left w:val="none" w:sz="0" w:space="0" w:color="auto"/>
                    <w:bottom w:val="none" w:sz="0" w:space="0" w:color="auto"/>
                    <w:right w:val="none" w:sz="0" w:space="0" w:color="auto"/>
                  </w:divBdr>
                  <w:divsChild>
                    <w:div w:id="82921582">
                      <w:marLeft w:val="0"/>
                      <w:marRight w:val="0"/>
                      <w:marTop w:val="0"/>
                      <w:marBottom w:val="0"/>
                      <w:divBdr>
                        <w:top w:val="none" w:sz="0" w:space="0" w:color="auto"/>
                        <w:left w:val="none" w:sz="0" w:space="0" w:color="auto"/>
                        <w:bottom w:val="none" w:sz="0" w:space="0" w:color="auto"/>
                        <w:right w:val="none" w:sz="0" w:space="0" w:color="auto"/>
                      </w:divBdr>
                    </w:div>
                  </w:divsChild>
                </w:div>
                <w:div w:id="1198080089">
                  <w:marLeft w:val="0"/>
                  <w:marRight w:val="0"/>
                  <w:marTop w:val="0"/>
                  <w:marBottom w:val="0"/>
                  <w:divBdr>
                    <w:top w:val="none" w:sz="0" w:space="0" w:color="auto"/>
                    <w:left w:val="none" w:sz="0" w:space="0" w:color="auto"/>
                    <w:bottom w:val="none" w:sz="0" w:space="0" w:color="auto"/>
                    <w:right w:val="none" w:sz="0" w:space="0" w:color="auto"/>
                  </w:divBdr>
                  <w:divsChild>
                    <w:div w:id="1118716551">
                      <w:marLeft w:val="0"/>
                      <w:marRight w:val="0"/>
                      <w:marTop w:val="0"/>
                      <w:marBottom w:val="0"/>
                      <w:divBdr>
                        <w:top w:val="none" w:sz="0" w:space="0" w:color="auto"/>
                        <w:left w:val="none" w:sz="0" w:space="0" w:color="auto"/>
                        <w:bottom w:val="none" w:sz="0" w:space="0" w:color="auto"/>
                        <w:right w:val="none" w:sz="0" w:space="0" w:color="auto"/>
                      </w:divBdr>
                    </w:div>
                  </w:divsChild>
                </w:div>
                <w:div w:id="1198811704">
                  <w:marLeft w:val="0"/>
                  <w:marRight w:val="0"/>
                  <w:marTop w:val="0"/>
                  <w:marBottom w:val="0"/>
                  <w:divBdr>
                    <w:top w:val="none" w:sz="0" w:space="0" w:color="auto"/>
                    <w:left w:val="none" w:sz="0" w:space="0" w:color="auto"/>
                    <w:bottom w:val="none" w:sz="0" w:space="0" w:color="auto"/>
                    <w:right w:val="none" w:sz="0" w:space="0" w:color="auto"/>
                  </w:divBdr>
                  <w:divsChild>
                    <w:div w:id="693699970">
                      <w:marLeft w:val="0"/>
                      <w:marRight w:val="0"/>
                      <w:marTop w:val="0"/>
                      <w:marBottom w:val="0"/>
                      <w:divBdr>
                        <w:top w:val="none" w:sz="0" w:space="0" w:color="auto"/>
                        <w:left w:val="none" w:sz="0" w:space="0" w:color="auto"/>
                        <w:bottom w:val="none" w:sz="0" w:space="0" w:color="auto"/>
                        <w:right w:val="none" w:sz="0" w:space="0" w:color="auto"/>
                      </w:divBdr>
                    </w:div>
                  </w:divsChild>
                </w:div>
                <w:div w:id="1269654086">
                  <w:marLeft w:val="0"/>
                  <w:marRight w:val="0"/>
                  <w:marTop w:val="0"/>
                  <w:marBottom w:val="0"/>
                  <w:divBdr>
                    <w:top w:val="none" w:sz="0" w:space="0" w:color="auto"/>
                    <w:left w:val="none" w:sz="0" w:space="0" w:color="auto"/>
                    <w:bottom w:val="none" w:sz="0" w:space="0" w:color="auto"/>
                    <w:right w:val="none" w:sz="0" w:space="0" w:color="auto"/>
                  </w:divBdr>
                  <w:divsChild>
                    <w:div w:id="591209660">
                      <w:marLeft w:val="0"/>
                      <w:marRight w:val="0"/>
                      <w:marTop w:val="0"/>
                      <w:marBottom w:val="0"/>
                      <w:divBdr>
                        <w:top w:val="none" w:sz="0" w:space="0" w:color="auto"/>
                        <w:left w:val="none" w:sz="0" w:space="0" w:color="auto"/>
                        <w:bottom w:val="none" w:sz="0" w:space="0" w:color="auto"/>
                        <w:right w:val="none" w:sz="0" w:space="0" w:color="auto"/>
                      </w:divBdr>
                    </w:div>
                  </w:divsChild>
                </w:div>
                <w:div w:id="1276018336">
                  <w:marLeft w:val="0"/>
                  <w:marRight w:val="0"/>
                  <w:marTop w:val="0"/>
                  <w:marBottom w:val="0"/>
                  <w:divBdr>
                    <w:top w:val="none" w:sz="0" w:space="0" w:color="auto"/>
                    <w:left w:val="none" w:sz="0" w:space="0" w:color="auto"/>
                    <w:bottom w:val="none" w:sz="0" w:space="0" w:color="auto"/>
                    <w:right w:val="none" w:sz="0" w:space="0" w:color="auto"/>
                  </w:divBdr>
                  <w:divsChild>
                    <w:div w:id="2141680543">
                      <w:marLeft w:val="0"/>
                      <w:marRight w:val="0"/>
                      <w:marTop w:val="0"/>
                      <w:marBottom w:val="0"/>
                      <w:divBdr>
                        <w:top w:val="none" w:sz="0" w:space="0" w:color="auto"/>
                        <w:left w:val="none" w:sz="0" w:space="0" w:color="auto"/>
                        <w:bottom w:val="none" w:sz="0" w:space="0" w:color="auto"/>
                        <w:right w:val="none" w:sz="0" w:space="0" w:color="auto"/>
                      </w:divBdr>
                    </w:div>
                  </w:divsChild>
                </w:div>
                <w:div w:id="1297416805">
                  <w:marLeft w:val="0"/>
                  <w:marRight w:val="0"/>
                  <w:marTop w:val="0"/>
                  <w:marBottom w:val="0"/>
                  <w:divBdr>
                    <w:top w:val="none" w:sz="0" w:space="0" w:color="auto"/>
                    <w:left w:val="none" w:sz="0" w:space="0" w:color="auto"/>
                    <w:bottom w:val="none" w:sz="0" w:space="0" w:color="auto"/>
                    <w:right w:val="none" w:sz="0" w:space="0" w:color="auto"/>
                  </w:divBdr>
                  <w:divsChild>
                    <w:div w:id="826554427">
                      <w:marLeft w:val="0"/>
                      <w:marRight w:val="0"/>
                      <w:marTop w:val="0"/>
                      <w:marBottom w:val="0"/>
                      <w:divBdr>
                        <w:top w:val="none" w:sz="0" w:space="0" w:color="auto"/>
                        <w:left w:val="none" w:sz="0" w:space="0" w:color="auto"/>
                        <w:bottom w:val="none" w:sz="0" w:space="0" w:color="auto"/>
                        <w:right w:val="none" w:sz="0" w:space="0" w:color="auto"/>
                      </w:divBdr>
                    </w:div>
                  </w:divsChild>
                </w:div>
                <w:div w:id="1357579648">
                  <w:marLeft w:val="0"/>
                  <w:marRight w:val="0"/>
                  <w:marTop w:val="0"/>
                  <w:marBottom w:val="0"/>
                  <w:divBdr>
                    <w:top w:val="none" w:sz="0" w:space="0" w:color="auto"/>
                    <w:left w:val="none" w:sz="0" w:space="0" w:color="auto"/>
                    <w:bottom w:val="none" w:sz="0" w:space="0" w:color="auto"/>
                    <w:right w:val="none" w:sz="0" w:space="0" w:color="auto"/>
                  </w:divBdr>
                  <w:divsChild>
                    <w:div w:id="642462712">
                      <w:marLeft w:val="0"/>
                      <w:marRight w:val="0"/>
                      <w:marTop w:val="0"/>
                      <w:marBottom w:val="0"/>
                      <w:divBdr>
                        <w:top w:val="none" w:sz="0" w:space="0" w:color="auto"/>
                        <w:left w:val="none" w:sz="0" w:space="0" w:color="auto"/>
                        <w:bottom w:val="none" w:sz="0" w:space="0" w:color="auto"/>
                        <w:right w:val="none" w:sz="0" w:space="0" w:color="auto"/>
                      </w:divBdr>
                    </w:div>
                  </w:divsChild>
                </w:div>
                <w:div w:id="1404570315">
                  <w:marLeft w:val="0"/>
                  <w:marRight w:val="0"/>
                  <w:marTop w:val="0"/>
                  <w:marBottom w:val="0"/>
                  <w:divBdr>
                    <w:top w:val="none" w:sz="0" w:space="0" w:color="auto"/>
                    <w:left w:val="none" w:sz="0" w:space="0" w:color="auto"/>
                    <w:bottom w:val="none" w:sz="0" w:space="0" w:color="auto"/>
                    <w:right w:val="none" w:sz="0" w:space="0" w:color="auto"/>
                  </w:divBdr>
                  <w:divsChild>
                    <w:div w:id="1288047472">
                      <w:marLeft w:val="0"/>
                      <w:marRight w:val="0"/>
                      <w:marTop w:val="0"/>
                      <w:marBottom w:val="0"/>
                      <w:divBdr>
                        <w:top w:val="none" w:sz="0" w:space="0" w:color="auto"/>
                        <w:left w:val="none" w:sz="0" w:space="0" w:color="auto"/>
                        <w:bottom w:val="none" w:sz="0" w:space="0" w:color="auto"/>
                        <w:right w:val="none" w:sz="0" w:space="0" w:color="auto"/>
                      </w:divBdr>
                    </w:div>
                  </w:divsChild>
                </w:div>
                <w:div w:id="1413309491">
                  <w:marLeft w:val="0"/>
                  <w:marRight w:val="0"/>
                  <w:marTop w:val="0"/>
                  <w:marBottom w:val="0"/>
                  <w:divBdr>
                    <w:top w:val="none" w:sz="0" w:space="0" w:color="auto"/>
                    <w:left w:val="none" w:sz="0" w:space="0" w:color="auto"/>
                    <w:bottom w:val="none" w:sz="0" w:space="0" w:color="auto"/>
                    <w:right w:val="none" w:sz="0" w:space="0" w:color="auto"/>
                  </w:divBdr>
                  <w:divsChild>
                    <w:div w:id="1875658639">
                      <w:marLeft w:val="0"/>
                      <w:marRight w:val="0"/>
                      <w:marTop w:val="0"/>
                      <w:marBottom w:val="0"/>
                      <w:divBdr>
                        <w:top w:val="none" w:sz="0" w:space="0" w:color="auto"/>
                        <w:left w:val="none" w:sz="0" w:space="0" w:color="auto"/>
                        <w:bottom w:val="none" w:sz="0" w:space="0" w:color="auto"/>
                        <w:right w:val="none" w:sz="0" w:space="0" w:color="auto"/>
                      </w:divBdr>
                    </w:div>
                  </w:divsChild>
                </w:div>
                <w:div w:id="1426459707">
                  <w:marLeft w:val="0"/>
                  <w:marRight w:val="0"/>
                  <w:marTop w:val="0"/>
                  <w:marBottom w:val="0"/>
                  <w:divBdr>
                    <w:top w:val="none" w:sz="0" w:space="0" w:color="auto"/>
                    <w:left w:val="none" w:sz="0" w:space="0" w:color="auto"/>
                    <w:bottom w:val="none" w:sz="0" w:space="0" w:color="auto"/>
                    <w:right w:val="none" w:sz="0" w:space="0" w:color="auto"/>
                  </w:divBdr>
                  <w:divsChild>
                    <w:div w:id="1848908864">
                      <w:marLeft w:val="0"/>
                      <w:marRight w:val="0"/>
                      <w:marTop w:val="0"/>
                      <w:marBottom w:val="0"/>
                      <w:divBdr>
                        <w:top w:val="none" w:sz="0" w:space="0" w:color="auto"/>
                        <w:left w:val="none" w:sz="0" w:space="0" w:color="auto"/>
                        <w:bottom w:val="none" w:sz="0" w:space="0" w:color="auto"/>
                        <w:right w:val="none" w:sz="0" w:space="0" w:color="auto"/>
                      </w:divBdr>
                    </w:div>
                  </w:divsChild>
                </w:div>
                <w:div w:id="1450587196">
                  <w:marLeft w:val="0"/>
                  <w:marRight w:val="0"/>
                  <w:marTop w:val="0"/>
                  <w:marBottom w:val="0"/>
                  <w:divBdr>
                    <w:top w:val="none" w:sz="0" w:space="0" w:color="auto"/>
                    <w:left w:val="none" w:sz="0" w:space="0" w:color="auto"/>
                    <w:bottom w:val="none" w:sz="0" w:space="0" w:color="auto"/>
                    <w:right w:val="none" w:sz="0" w:space="0" w:color="auto"/>
                  </w:divBdr>
                  <w:divsChild>
                    <w:div w:id="1938248705">
                      <w:marLeft w:val="0"/>
                      <w:marRight w:val="0"/>
                      <w:marTop w:val="0"/>
                      <w:marBottom w:val="0"/>
                      <w:divBdr>
                        <w:top w:val="none" w:sz="0" w:space="0" w:color="auto"/>
                        <w:left w:val="none" w:sz="0" w:space="0" w:color="auto"/>
                        <w:bottom w:val="none" w:sz="0" w:space="0" w:color="auto"/>
                        <w:right w:val="none" w:sz="0" w:space="0" w:color="auto"/>
                      </w:divBdr>
                    </w:div>
                  </w:divsChild>
                </w:div>
                <w:div w:id="1499883743">
                  <w:marLeft w:val="0"/>
                  <w:marRight w:val="0"/>
                  <w:marTop w:val="0"/>
                  <w:marBottom w:val="0"/>
                  <w:divBdr>
                    <w:top w:val="none" w:sz="0" w:space="0" w:color="auto"/>
                    <w:left w:val="none" w:sz="0" w:space="0" w:color="auto"/>
                    <w:bottom w:val="none" w:sz="0" w:space="0" w:color="auto"/>
                    <w:right w:val="none" w:sz="0" w:space="0" w:color="auto"/>
                  </w:divBdr>
                  <w:divsChild>
                    <w:div w:id="213543469">
                      <w:marLeft w:val="0"/>
                      <w:marRight w:val="0"/>
                      <w:marTop w:val="0"/>
                      <w:marBottom w:val="0"/>
                      <w:divBdr>
                        <w:top w:val="none" w:sz="0" w:space="0" w:color="auto"/>
                        <w:left w:val="none" w:sz="0" w:space="0" w:color="auto"/>
                        <w:bottom w:val="none" w:sz="0" w:space="0" w:color="auto"/>
                        <w:right w:val="none" w:sz="0" w:space="0" w:color="auto"/>
                      </w:divBdr>
                    </w:div>
                  </w:divsChild>
                </w:div>
                <w:div w:id="1502428261">
                  <w:marLeft w:val="0"/>
                  <w:marRight w:val="0"/>
                  <w:marTop w:val="0"/>
                  <w:marBottom w:val="0"/>
                  <w:divBdr>
                    <w:top w:val="none" w:sz="0" w:space="0" w:color="auto"/>
                    <w:left w:val="none" w:sz="0" w:space="0" w:color="auto"/>
                    <w:bottom w:val="none" w:sz="0" w:space="0" w:color="auto"/>
                    <w:right w:val="none" w:sz="0" w:space="0" w:color="auto"/>
                  </w:divBdr>
                  <w:divsChild>
                    <w:div w:id="207685615">
                      <w:marLeft w:val="0"/>
                      <w:marRight w:val="0"/>
                      <w:marTop w:val="0"/>
                      <w:marBottom w:val="0"/>
                      <w:divBdr>
                        <w:top w:val="none" w:sz="0" w:space="0" w:color="auto"/>
                        <w:left w:val="none" w:sz="0" w:space="0" w:color="auto"/>
                        <w:bottom w:val="none" w:sz="0" w:space="0" w:color="auto"/>
                        <w:right w:val="none" w:sz="0" w:space="0" w:color="auto"/>
                      </w:divBdr>
                    </w:div>
                  </w:divsChild>
                </w:div>
                <w:div w:id="1583106199">
                  <w:marLeft w:val="0"/>
                  <w:marRight w:val="0"/>
                  <w:marTop w:val="0"/>
                  <w:marBottom w:val="0"/>
                  <w:divBdr>
                    <w:top w:val="none" w:sz="0" w:space="0" w:color="auto"/>
                    <w:left w:val="none" w:sz="0" w:space="0" w:color="auto"/>
                    <w:bottom w:val="none" w:sz="0" w:space="0" w:color="auto"/>
                    <w:right w:val="none" w:sz="0" w:space="0" w:color="auto"/>
                  </w:divBdr>
                  <w:divsChild>
                    <w:div w:id="543953777">
                      <w:marLeft w:val="0"/>
                      <w:marRight w:val="0"/>
                      <w:marTop w:val="0"/>
                      <w:marBottom w:val="0"/>
                      <w:divBdr>
                        <w:top w:val="none" w:sz="0" w:space="0" w:color="auto"/>
                        <w:left w:val="none" w:sz="0" w:space="0" w:color="auto"/>
                        <w:bottom w:val="none" w:sz="0" w:space="0" w:color="auto"/>
                        <w:right w:val="none" w:sz="0" w:space="0" w:color="auto"/>
                      </w:divBdr>
                    </w:div>
                  </w:divsChild>
                </w:div>
                <w:div w:id="1597396162">
                  <w:marLeft w:val="0"/>
                  <w:marRight w:val="0"/>
                  <w:marTop w:val="0"/>
                  <w:marBottom w:val="0"/>
                  <w:divBdr>
                    <w:top w:val="none" w:sz="0" w:space="0" w:color="auto"/>
                    <w:left w:val="none" w:sz="0" w:space="0" w:color="auto"/>
                    <w:bottom w:val="none" w:sz="0" w:space="0" w:color="auto"/>
                    <w:right w:val="none" w:sz="0" w:space="0" w:color="auto"/>
                  </w:divBdr>
                  <w:divsChild>
                    <w:div w:id="77212017">
                      <w:marLeft w:val="0"/>
                      <w:marRight w:val="0"/>
                      <w:marTop w:val="0"/>
                      <w:marBottom w:val="0"/>
                      <w:divBdr>
                        <w:top w:val="none" w:sz="0" w:space="0" w:color="auto"/>
                        <w:left w:val="none" w:sz="0" w:space="0" w:color="auto"/>
                        <w:bottom w:val="none" w:sz="0" w:space="0" w:color="auto"/>
                        <w:right w:val="none" w:sz="0" w:space="0" w:color="auto"/>
                      </w:divBdr>
                    </w:div>
                  </w:divsChild>
                </w:div>
                <w:div w:id="1609851287">
                  <w:marLeft w:val="0"/>
                  <w:marRight w:val="0"/>
                  <w:marTop w:val="0"/>
                  <w:marBottom w:val="0"/>
                  <w:divBdr>
                    <w:top w:val="none" w:sz="0" w:space="0" w:color="auto"/>
                    <w:left w:val="none" w:sz="0" w:space="0" w:color="auto"/>
                    <w:bottom w:val="none" w:sz="0" w:space="0" w:color="auto"/>
                    <w:right w:val="none" w:sz="0" w:space="0" w:color="auto"/>
                  </w:divBdr>
                  <w:divsChild>
                    <w:div w:id="549153735">
                      <w:marLeft w:val="0"/>
                      <w:marRight w:val="0"/>
                      <w:marTop w:val="0"/>
                      <w:marBottom w:val="0"/>
                      <w:divBdr>
                        <w:top w:val="none" w:sz="0" w:space="0" w:color="auto"/>
                        <w:left w:val="none" w:sz="0" w:space="0" w:color="auto"/>
                        <w:bottom w:val="none" w:sz="0" w:space="0" w:color="auto"/>
                        <w:right w:val="none" w:sz="0" w:space="0" w:color="auto"/>
                      </w:divBdr>
                    </w:div>
                  </w:divsChild>
                </w:div>
                <w:div w:id="1617059426">
                  <w:marLeft w:val="0"/>
                  <w:marRight w:val="0"/>
                  <w:marTop w:val="0"/>
                  <w:marBottom w:val="0"/>
                  <w:divBdr>
                    <w:top w:val="none" w:sz="0" w:space="0" w:color="auto"/>
                    <w:left w:val="none" w:sz="0" w:space="0" w:color="auto"/>
                    <w:bottom w:val="none" w:sz="0" w:space="0" w:color="auto"/>
                    <w:right w:val="none" w:sz="0" w:space="0" w:color="auto"/>
                  </w:divBdr>
                  <w:divsChild>
                    <w:div w:id="1291789240">
                      <w:marLeft w:val="0"/>
                      <w:marRight w:val="0"/>
                      <w:marTop w:val="0"/>
                      <w:marBottom w:val="0"/>
                      <w:divBdr>
                        <w:top w:val="none" w:sz="0" w:space="0" w:color="auto"/>
                        <w:left w:val="none" w:sz="0" w:space="0" w:color="auto"/>
                        <w:bottom w:val="none" w:sz="0" w:space="0" w:color="auto"/>
                        <w:right w:val="none" w:sz="0" w:space="0" w:color="auto"/>
                      </w:divBdr>
                    </w:div>
                  </w:divsChild>
                </w:div>
                <w:div w:id="1636906094">
                  <w:marLeft w:val="0"/>
                  <w:marRight w:val="0"/>
                  <w:marTop w:val="0"/>
                  <w:marBottom w:val="0"/>
                  <w:divBdr>
                    <w:top w:val="none" w:sz="0" w:space="0" w:color="auto"/>
                    <w:left w:val="none" w:sz="0" w:space="0" w:color="auto"/>
                    <w:bottom w:val="none" w:sz="0" w:space="0" w:color="auto"/>
                    <w:right w:val="none" w:sz="0" w:space="0" w:color="auto"/>
                  </w:divBdr>
                  <w:divsChild>
                    <w:div w:id="1634754185">
                      <w:marLeft w:val="0"/>
                      <w:marRight w:val="0"/>
                      <w:marTop w:val="0"/>
                      <w:marBottom w:val="0"/>
                      <w:divBdr>
                        <w:top w:val="none" w:sz="0" w:space="0" w:color="auto"/>
                        <w:left w:val="none" w:sz="0" w:space="0" w:color="auto"/>
                        <w:bottom w:val="none" w:sz="0" w:space="0" w:color="auto"/>
                        <w:right w:val="none" w:sz="0" w:space="0" w:color="auto"/>
                      </w:divBdr>
                    </w:div>
                  </w:divsChild>
                </w:div>
                <w:div w:id="1670325960">
                  <w:marLeft w:val="0"/>
                  <w:marRight w:val="0"/>
                  <w:marTop w:val="0"/>
                  <w:marBottom w:val="0"/>
                  <w:divBdr>
                    <w:top w:val="none" w:sz="0" w:space="0" w:color="auto"/>
                    <w:left w:val="none" w:sz="0" w:space="0" w:color="auto"/>
                    <w:bottom w:val="none" w:sz="0" w:space="0" w:color="auto"/>
                    <w:right w:val="none" w:sz="0" w:space="0" w:color="auto"/>
                  </w:divBdr>
                  <w:divsChild>
                    <w:div w:id="1590190826">
                      <w:marLeft w:val="0"/>
                      <w:marRight w:val="0"/>
                      <w:marTop w:val="0"/>
                      <w:marBottom w:val="0"/>
                      <w:divBdr>
                        <w:top w:val="none" w:sz="0" w:space="0" w:color="auto"/>
                        <w:left w:val="none" w:sz="0" w:space="0" w:color="auto"/>
                        <w:bottom w:val="none" w:sz="0" w:space="0" w:color="auto"/>
                        <w:right w:val="none" w:sz="0" w:space="0" w:color="auto"/>
                      </w:divBdr>
                    </w:div>
                  </w:divsChild>
                </w:div>
                <w:div w:id="1702700821">
                  <w:marLeft w:val="0"/>
                  <w:marRight w:val="0"/>
                  <w:marTop w:val="0"/>
                  <w:marBottom w:val="0"/>
                  <w:divBdr>
                    <w:top w:val="none" w:sz="0" w:space="0" w:color="auto"/>
                    <w:left w:val="none" w:sz="0" w:space="0" w:color="auto"/>
                    <w:bottom w:val="none" w:sz="0" w:space="0" w:color="auto"/>
                    <w:right w:val="none" w:sz="0" w:space="0" w:color="auto"/>
                  </w:divBdr>
                  <w:divsChild>
                    <w:div w:id="124128877">
                      <w:marLeft w:val="0"/>
                      <w:marRight w:val="0"/>
                      <w:marTop w:val="0"/>
                      <w:marBottom w:val="0"/>
                      <w:divBdr>
                        <w:top w:val="none" w:sz="0" w:space="0" w:color="auto"/>
                        <w:left w:val="none" w:sz="0" w:space="0" w:color="auto"/>
                        <w:bottom w:val="none" w:sz="0" w:space="0" w:color="auto"/>
                        <w:right w:val="none" w:sz="0" w:space="0" w:color="auto"/>
                      </w:divBdr>
                    </w:div>
                  </w:divsChild>
                </w:div>
                <w:div w:id="1706977254">
                  <w:marLeft w:val="0"/>
                  <w:marRight w:val="0"/>
                  <w:marTop w:val="0"/>
                  <w:marBottom w:val="0"/>
                  <w:divBdr>
                    <w:top w:val="none" w:sz="0" w:space="0" w:color="auto"/>
                    <w:left w:val="none" w:sz="0" w:space="0" w:color="auto"/>
                    <w:bottom w:val="none" w:sz="0" w:space="0" w:color="auto"/>
                    <w:right w:val="none" w:sz="0" w:space="0" w:color="auto"/>
                  </w:divBdr>
                  <w:divsChild>
                    <w:div w:id="219831999">
                      <w:marLeft w:val="0"/>
                      <w:marRight w:val="0"/>
                      <w:marTop w:val="0"/>
                      <w:marBottom w:val="0"/>
                      <w:divBdr>
                        <w:top w:val="none" w:sz="0" w:space="0" w:color="auto"/>
                        <w:left w:val="none" w:sz="0" w:space="0" w:color="auto"/>
                        <w:bottom w:val="none" w:sz="0" w:space="0" w:color="auto"/>
                        <w:right w:val="none" w:sz="0" w:space="0" w:color="auto"/>
                      </w:divBdr>
                    </w:div>
                  </w:divsChild>
                </w:div>
                <w:div w:id="1712219423">
                  <w:marLeft w:val="0"/>
                  <w:marRight w:val="0"/>
                  <w:marTop w:val="0"/>
                  <w:marBottom w:val="0"/>
                  <w:divBdr>
                    <w:top w:val="none" w:sz="0" w:space="0" w:color="auto"/>
                    <w:left w:val="none" w:sz="0" w:space="0" w:color="auto"/>
                    <w:bottom w:val="none" w:sz="0" w:space="0" w:color="auto"/>
                    <w:right w:val="none" w:sz="0" w:space="0" w:color="auto"/>
                  </w:divBdr>
                  <w:divsChild>
                    <w:div w:id="464932879">
                      <w:marLeft w:val="0"/>
                      <w:marRight w:val="0"/>
                      <w:marTop w:val="0"/>
                      <w:marBottom w:val="0"/>
                      <w:divBdr>
                        <w:top w:val="none" w:sz="0" w:space="0" w:color="auto"/>
                        <w:left w:val="none" w:sz="0" w:space="0" w:color="auto"/>
                        <w:bottom w:val="none" w:sz="0" w:space="0" w:color="auto"/>
                        <w:right w:val="none" w:sz="0" w:space="0" w:color="auto"/>
                      </w:divBdr>
                    </w:div>
                  </w:divsChild>
                </w:div>
                <w:div w:id="1718888981">
                  <w:marLeft w:val="0"/>
                  <w:marRight w:val="0"/>
                  <w:marTop w:val="0"/>
                  <w:marBottom w:val="0"/>
                  <w:divBdr>
                    <w:top w:val="none" w:sz="0" w:space="0" w:color="auto"/>
                    <w:left w:val="none" w:sz="0" w:space="0" w:color="auto"/>
                    <w:bottom w:val="none" w:sz="0" w:space="0" w:color="auto"/>
                    <w:right w:val="none" w:sz="0" w:space="0" w:color="auto"/>
                  </w:divBdr>
                  <w:divsChild>
                    <w:div w:id="721516331">
                      <w:marLeft w:val="0"/>
                      <w:marRight w:val="0"/>
                      <w:marTop w:val="0"/>
                      <w:marBottom w:val="0"/>
                      <w:divBdr>
                        <w:top w:val="none" w:sz="0" w:space="0" w:color="auto"/>
                        <w:left w:val="none" w:sz="0" w:space="0" w:color="auto"/>
                        <w:bottom w:val="none" w:sz="0" w:space="0" w:color="auto"/>
                        <w:right w:val="none" w:sz="0" w:space="0" w:color="auto"/>
                      </w:divBdr>
                    </w:div>
                  </w:divsChild>
                </w:div>
                <w:div w:id="1727872125">
                  <w:marLeft w:val="0"/>
                  <w:marRight w:val="0"/>
                  <w:marTop w:val="0"/>
                  <w:marBottom w:val="0"/>
                  <w:divBdr>
                    <w:top w:val="none" w:sz="0" w:space="0" w:color="auto"/>
                    <w:left w:val="none" w:sz="0" w:space="0" w:color="auto"/>
                    <w:bottom w:val="none" w:sz="0" w:space="0" w:color="auto"/>
                    <w:right w:val="none" w:sz="0" w:space="0" w:color="auto"/>
                  </w:divBdr>
                  <w:divsChild>
                    <w:div w:id="140008374">
                      <w:marLeft w:val="0"/>
                      <w:marRight w:val="0"/>
                      <w:marTop w:val="0"/>
                      <w:marBottom w:val="0"/>
                      <w:divBdr>
                        <w:top w:val="none" w:sz="0" w:space="0" w:color="auto"/>
                        <w:left w:val="none" w:sz="0" w:space="0" w:color="auto"/>
                        <w:bottom w:val="none" w:sz="0" w:space="0" w:color="auto"/>
                        <w:right w:val="none" w:sz="0" w:space="0" w:color="auto"/>
                      </w:divBdr>
                    </w:div>
                  </w:divsChild>
                </w:div>
                <w:div w:id="1730883330">
                  <w:marLeft w:val="0"/>
                  <w:marRight w:val="0"/>
                  <w:marTop w:val="0"/>
                  <w:marBottom w:val="0"/>
                  <w:divBdr>
                    <w:top w:val="none" w:sz="0" w:space="0" w:color="auto"/>
                    <w:left w:val="none" w:sz="0" w:space="0" w:color="auto"/>
                    <w:bottom w:val="none" w:sz="0" w:space="0" w:color="auto"/>
                    <w:right w:val="none" w:sz="0" w:space="0" w:color="auto"/>
                  </w:divBdr>
                  <w:divsChild>
                    <w:div w:id="997802592">
                      <w:marLeft w:val="0"/>
                      <w:marRight w:val="0"/>
                      <w:marTop w:val="0"/>
                      <w:marBottom w:val="0"/>
                      <w:divBdr>
                        <w:top w:val="none" w:sz="0" w:space="0" w:color="auto"/>
                        <w:left w:val="none" w:sz="0" w:space="0" w:color="auto"/>
                        <w:bottom w:val="none" w:sz="0" w:space="0" w:color="auto"/>
                        <w:right w:val="none" w:sz="0" w:space="0" w:color="auto"/>
                      </w:divBdr>
                    </w:div>
                  </w:divsChild>
                </w:div>
                <w:div w:id="1735002086">
                  <w:marLeft w:val="0"/>
                  <w:marRight w:val="0"/>
                  <w:marTop w:val="0"/>
                  <w:marBottom w:val="0"/>
                  <w:divBdr>
                    <w:top w:val="none" w:sz="0" w:space="0" w:color="auto"/>
                    <w:left w:val="none" w:sz="0" w:space="0" w:color="auto"/>
                    <w:bottom w:val="none" w:sz="0" w:space="0" w:color="auto"/>
                    <w:right w:val="none" w:sz="0" w:space="0" w:color="auto"/>
                  </w:divBdr>
                  <w:divsChild>
                    <w:div w:id="393897196">
                      <w:marLeft w:val="0"/>
                      <w:marRight w:val="0"/>
                      <w:marTop w:val="0"/>
                      <w:marBottom w:val="0"/>
                      <w:divBdr>
                        <w:top w:val="none" w:sz="0" w:space="0" w:color="auto"/>
                        <w:left w:val="none" w:sz="0" w:space="0" w:color="auto"/>
                        <w:bottom w:val="none" w:sz="0" w:space="0" w:color="auto"/>
                        <w:right w:val="none" w:sz="0" w:space="0" w:color="auto"/>
                      </w:divBdr>
                    </w:div>
                  </w:divsChild>
                </w:div>
                <w:div w:id="1759861666">
                  <w:marLeft w:val="0"/>
                  <w:marRight w:val="0"/>
                  <w:marTop w:val="0"/>
                  <w:marBottom w:val="0"/>
                  <w:divBdr>
                    <w:top w:val="none" w:sz="0" w:space="0" w:color="auto"/>
                    <w:left w:val="none" w:sz="0" w:space="0" w:color="auto"/>
                    <w:bottom w:val="none" w:sz="0" w:space="0" w:color="auto"/>
                    <w:right w:val="none" w:sz="0" w:space="0" w:color="auto"/>
                  </w:divBdr>
                  <w:divsChild>
                    <w:div w:id="524754081">
                      <w:marLeft w:val="0"/>
                      <w:marRight w:val="0"/>
                      <w:marTop w:val="0"/>
                      <w:marBottom w:val="0"/>
                      <w:divBdr>
                        <w:top w:val="none" w:sz="0" w:space="0" w:color="auto"/>
                        <w:left w:val="none" w:sz="0" w:space="0" w:color="auto"/>
                        <w:bottom w:val="none" w:sz="0" w:space="0" w:color="auto"/>
                        <w:right w:val="none" w:sz="0" w:space="0" w:color="auto"/>
                      </w:divBdr>
                    </w:div>
                  </w:divsChild>
                </w:div>
                <w:div w:id="1801150512">
                  <w:marLeft w:val="0"/>
                  <w:marRight w:val="0"/>
                  <w:marTop w:val="0"/>
                  <w:marBottom w:val="0"/>
                  <w:divBdr>
                    <w:top w:val="none" w:sz="0" w:space="0" w:color="auto"/>
                    <w:left w:val="none" w:sz="0" w:space="0" w:color="auto"/>
                    <w:bottom w:val="none" w:sz="0" w:space="0" w:color="auto"/>
                    <w:right w:val="none" w:sz="0" w:space="0" w:color="auto"/>
                  </w:divBdr>
                  <w:divsChild>
                    <w:div w:id="157306528">
                      <w:marLeft w:val="0"/>
                      <w:marRight w:val="0"/>
                      <w:marTop w:val="0"/>
                      <w:marBottom w:val="0"/>
                      <w:divBdr>
                        <w:top w:val="none" w:sz="0" w:space="0" w:color="auto"/>
                        <w:left w:val="none" w:sz="0" w:space="0" w:color="auto"/>
                        <w:bottom w:val="none" w:sz="0" w:space="0" w:color="auto"/>
                        <w:right w:val="none" w:sz="0" w:space="0" w:color="auto"/>
                      </w:divBdr>
                    </w:div>
                  </w:divsChild>
                </w:div>
                <w:div w:id="1807355745">
                  <w:marLeft w:val="0"/>
                  <w:marRight w:val="0"/>
                  <w:marTop w:val="0"/>
                  <w:marBottom w:val="0"/>
                  <w:divBdr>
                    <w:top w:val="none" w:sz="0" w:space="0" w:color="auto"/>
                    <w:left w:val="none" w:sz="0" w:space="0" w:color="auto"/>
                    <w:bottom w:val="none" w:sz="0" w:space="0" w:color="auto"/>
                    <w:right w:val="none" w:sz="0" w:space="0" w:color="auto"/>
                  </w:divBdr>
                  <w:divsChild>
                    <w:div w:id="1453404446">
                      <w:marLeft w:val="0"/>
                      <w:marRight w:val="0"/>
                      <w:marTop w:val="0"/>
                      <w:marBottom w:val="0"/>
                      <w:divBdr>
                        <w:top w:val="none" w:sz="0" w:space="0" w:color="auto"/>
                        <w:left w:val="none" w:sz="0" w:space="0" w:color="auto"/>
                        <w:bottom w:val="none" w:sz="0" w:space="0" w:color="auto"/>
                        <w:right w:val="none" w:sz="0" w:space="0" w:color="auto"/>
                      </w:divBdr>
                    </w:div>
                  </w:divsChild>
                </w:div>
                <w:div w:id="1830487756">
                  <w:marLeft w:val="0"/>
                  <w:marRight w:val="0"/>
                  <w:marTop w:val="0"/>
                  <w:marBottom w:val="0"/>
                  <w:divBdr>
                    <w:top w:val="none" w:sz="0" w:space="0" w:color="auto"/>
                    <w:left w:val="none" w:sz="0" w:space="0" w:color="auto"/>
                    <w:bottom w:val="none" w:sz="0" w:space="0" w:color="auto"/>
                    <w:right w:val="none" w:sz="0" w:space="0" w:color="auto"/>
                  </w:divBdr>
                  <w:divsChild>
                    <w:div w:id="1264655144">
                      <w:marLeft w:val="0"/>
                      <w:marRight w:val="0"/>
                      <w:marTop w:val="0"/>
                      <w:marBottom w:val="0"/>
                      <w:divBdr>
                        <w:top w:val="none" w:sz="0" w:space="0" w:color="auto"/>
                        <w:left w:val="none" w:sz="0" w:space="0" w:color="auto"/>
                        <w:bottom w:val="none" w:sz="0" w:space="0" w:color="auto"/>
                        <w:right w:val="none" w:sz="0" w:space="0" w:color="auto"/>
                      </w:divBdr>
                    </w:div>
                  </w:divsChild>
                </w:div>
                <w:div w:id="1890150000">
                  <w:marLeft w:val="0"/>
                  <w:marRight w:val="0"/>
                  <w:marTop w:val="0"/>
                  <w:marBottom w:val="0"/>
                  <w:divBdr>
                    <w:top w:val="none" w:sz="0" w:space="0" w:color="auto"/>
                    <w:left w:val="none" w:sz="0" w:space="0" w:color="auto"/>
                    <w:bottom w:val="none" w:sz="0" w:space="0" w:color="auto"/>
                    <w:right w:val="none" w:sz="0" w:space="0" w:color="auto"/>
                  </w:divBdr>
                  <w:divsChild>
                    <w:div w:id="2116439158">
                      <w:marLeft w:val="0"/>
                      <w:marRight w:val="0"/>
                      <w:marTop w:val="0"/>
                      <w:marBottom w:val="0"/>
                      <w:divBdr>
                        <w:top w:val="none" w:sz="0" w:space="0" w:color="auto"/>
                        <w:left w:val="none" w:sz="0" w:space="0" w:color="auto"/>
                        <w:bottom w:val="none" w:sz="0" w:space="0" w:color="auto"/>
                        <w:right w:val="none" w:sz="0" w:space="0" w:color="auto"/>
                      </w:divBdr>
                    </w:div>
                  </w:divsChild>
                </w:div>
                <w:div w:id="1917393729">
                  <w:marLeft w:val="0"/>
                  <w:marRight w:val="0"/>
                  <w:marTop w:val="0"/>
                  <w:marBottom w:val="0"/>
                  <w:divBdr>
                    <w:top w:val="none" w:sz="0" w:space="0" w:color="auto"/>
                    <w:left w:val="none" w:sz="0" w:space="0" w:color="auto"/>
                    <w:bottom w:val="none" w:sz="0" w:space="0" w:color="auto"/>
                    <w:right w:val="none" w:sz="0" w:space="0" w:color="auto"/>
                  </w:divBdr>
                  <w:divsChild>
                    <w:div w:id="1995791593">
                      <w:marLeft w:val="0"/>
                      <w:marRight w:val="0"/>
                      <w:marTop w:val="0"/>
                      <w:marBottom w:val="0"/>
                      <w:divBdr>
                        <w:top w:val="none" w:sz="0" w:space="0" w:color="auto"/>
                        <w:left w:val="none" w:sz="0" w:space="0" w:color="auto"/>
                        <w:bottom w:val="none" w:sz="0" w:space="0" w:color="auto"/>
                        <w:right w:val="none" w:sz="0" w:space="0" w:color="auto"/>
                      </w:divBdr>
                    </w:div>
                  </w:divsChild>
                </w:div>
                <w:div w:id="1937442863">
                  <w:marLeft w:val="0"/>
                  <w:marRight w:val="0"/>
                  <w:marTop w:val="0"/>
                  <w:marBottom w:val="0"/>
                  <w:divBdr>
                    <w:top w:val="none" w:sz="0" w:space="0" w:color="auto"/>
                    <w:left w:val="none" w:sz="0" w:space="0" w:color="auto"/>
                    <w:bottom w:val="none" w:sz="0" w:space="0" w:color="auto"/>
                    <w:right w:val="none" w:sz="0" w:space="0" w:color="auto"/>
                  </w:divBdr>
                  <w:divsChild>
                    <w:div w:id="1421221242">
                      <w:marLeft w:val="0"/>
                      <w:marRight w:val="0"/>
                      <w:marTop w:val="0"/>
                      <w:marBottom w:val="0"/>
                      <w:divBdr>
                        <w:top w:val="none" w:sz="0" w:space="0" w:color="auto"/>
                        <w:left w:val="none" w:sz="0" w:space="0" w:color="auto"/>
                        <w:bottom w:val="none" w:sz="0" w:space="0" w:color="auto"/>
                        <w:right w:val="none" w:sz="0" w:space="0" w:color="auto"/>
                      </w:divBdr>
                    </w:div>
                  </w:divsChild>
                </w:div>
                <w:div w:id="2019261515">
                  <w:marLeft w:val="0"/>
                  <w:marRight w:val="0"/>
                  <w:marTop w:val="0"/>
                  <w:marBottom w:val="0"/>
                  <w:divBdr>
                    <w:top w:val="none" w:sz="0" w:space="0" w:color="auto"/>
                    <w:left w:val="none" w:sz="0" w:space="0" w:color="auto"/>
                    <w:bottom w:val="none" w:sz="0" w:space="0" w:color="auto"/>
                    <w:right w:val="none" w:sz="0" w:space="0" w:color="auto"/>
                  </w:divBdr>
                  <w:divsChild>
                    <w:div w:id="21981638">
                      <w:marLeft w:val="0"/>
                      <w:marRight w:val="0"/>
                      <w:marTop w:val="0"/>
                      <w:marBottom w:val="0"/>
                      <w:divBdr>
                        <w:top w:val="none" w:sz="0" w:space="0" w:color="auto"/>
                        <w:left w:val="none" w:sz="0" w:space="0" w:color="auto"/>
                        <w:bottom w:val="none" w:sz="0" w:space="0" w:color="auto"/>
                        <w:right w:val="none" w:sz="0" w:space="0" w:color="auto"/>
                      </w:divBdr>
                    </w:div>
                  </w:divsChild>
                </w:div>
                <w:div w:id="2021813881">
                  <w:marLeft w:val="0"/>
                  <w:marRight w:val="0"/>
                  <w:marTop w:val="0"/>
                  <w:marBottom w:val="0"/>
                  <w:divBdr>
                    <w:top w:val="none" w:sz="0" w:space="0" w:color="auto"/>
                    <w:left w:val="none" w:sz="0" w:space="0" w:color="auto"/>
                    <w:bottom w:val="none" w:sz="0" w:space="0" w:color="auto"/>
                    <w:right w:val="none" w:sz="0" w:space="0" w:color="auto"/>
                  </w:divBdr>
                  <w:divsChild>
                    <w:div w:id="1092431945">
                      <w:marLeft w:val="0"/>
                      <w:marRight w:val="0"/>
                      <w:marTop w:val="0"/>
                      <w:marBottom w:val="0"/>
                      <w:divBdr>
                        <w:top w:val="none" w:sz="0" w:space="0" w:color="auto"/>
                        <w:left w:val="none" w:sz="0" w:space="0" w:color="auto"/>
                        <w:bottom w:val="none" w:sz="0" w:space="0" w:color="auto"/>
                        <w:right w:val="none" w:sz="0" w:space="0" w:color="auto"/>
                      </w:divBdr>
                    </w:div>
                  </w:divsChild>
                </w:div>
                <w:div w:id="2022006261">
                  <w:marLeft w:val="0"/>
                  <w:marRight w:val="0"/>
                  <w:marTop w:val="0"/>
                  <w:marBottom w:val="0"/>
                  <w:divBdr>
                    <w:top w:val="none" w:sz="0" w:space="0" w:color="auto"/>
                    <w:left w:val="none" w:sz="0" w:space="0" w:color="auto"/>
                    <w:bottom w:val="none" w:sz="0" w:space="0" w:color="auto"/>
                    <w:right w:val="none" w:sz="0" w:space="0" w:color="auto"/>
                  </w:divBdr>
                  <w:divsChild>
                    <w:div w:id="9576854">
                      <w:marLeft w:val="0"/>
                      <w:marRight w:val="0"/>
                      <w:marTop w:val="0"/>
                      <w:marBottom w:val="0"/>
                      <w:divBdr>
                        <w:top w:val="none" w:sz="0" w:space="0" w:color="auto"/>
                        <w:left w:val="none" w:sz="0" w:space="0" w:color="auto"/>
                        <w:bottom w:val="none" w:sz="0" w:space="0" w:color="auto"/>
                        <w:right w:val="none" w:sz="0" w:space="0" w:color="auto"/>
                      </w:divBdr>
                    </w:div>
                  </w:divsChild>
                </w:div>
                <w:div w:id="2041861123">
                  <w:marLeft w:val="0"/>
                  <w:marRight w:val="0"/>
                  <w:marTop w:val="0"/>
                  <w:marBottom w:val="0"/>
                  <w:divBdr>
                    <w:top w:val="none" w:sz="0" w:space="0" w:color="auto"/>
                    <w:left w:val="none" w:sz="0" w:space="0" w:color="auto"/>
                    <w:bottom w:val="none" w:sz="0" w:space="0" w:color="auto"/>
                    <w:right w:val="none" w:sz="0" w:space="0" w:color="auto"/>
                  </w:divBdr>
                  <w:divsChild>
                    <w:div w:id="531723385">
                      <w:marLeft w:val="0"/>
                      <w:marRight w:val="0"/>
                      <w:marTop w:val="0"/>
                      <w:marBottom w:val="0"/>
                      <w:divBdr>
                        <w:top w:val="none" w:sz="0" w:space="0" w:color="auto"/>
                        <w:left w:val="none" w:sz="0" w:space="0" w:color="auto"/>
                        <w:bottom w:val="none" w:sz="0" w:space="0" w:color="auto"/>
                        <w:right w:val="none" w:sz="0" w:space="0" w:color="auto"/>
                      </w:divBdr>
                    </w:div>
                  </w:divsChild>
                </w:div>
                <w:div w:id="2087070768">
                  <w:marLeft w:val="0"/>
                  <w:marRight w:val="0"/>
                  <w:marTop w:val="0"/>
                  <w:marBottom w:val="0"/>
                  <w:divBdr>
                    <w:top w:val="none" w:sz="0" w:space="0" w:color="auto"/>
                    <w:left w:val="none" w:sz="0" w:space="0" w:color="auto"/>
                    <w:bottom w:val="none" w:sz="0" w:space="0" w:color="auto"/>
                    <w:right w:val="none" w:sz="0" w:space="0" w:color="auto"/>
                  </w:divBdr>
                  <w:divsChild>
                    <w:div w:id="1510172048">
                      <w:marLeft w:val="0"/>
                      <w:marRight w:val="0"/>
                      <w:marTop w:val="0"/>
                      <w:marBottom w:val="0"/>
                      <w:divBdr>
                        <w:top w:val="none" w:sz="0" w:space="0" w:color="auto"/>
                        <w:left w:val="none" w:sz="0" w:space="0" w:color="auto"/>
                        <w:bottom w:val="none" w:sz="0" w:space="0" w:color="auto"/>
                        <w:right w:val="none" w:sz="0" w:space="0" w:color="auto"/>
                      </w:divBdr>
                    </w:div>
                  </w:divsChild>
                </w:div>
                <w:div w:id="2105954106">
                  <w:marLeft w:val="0"/>
                  <w:marRight w:val="0"/>
                  <w:marTop w:val="0"/>
                  <w:marBottom w:val="0"/>
                  <w:divBdr>
                    <w:top w:val="none" w:sz="0" w:space="0" w:color="auto"/>
                    <w:left w:val="none" w:sz="0" w:space="0" w:color="auto"/>
                    <w:bottom w:val="none" w:sz="0" w:space="0" w:color="auto"/>
                    <w:right w:val="none" w:sz="0" w:space="0" w:color="auto"/>
                  </w:divBdr>
                  <w:divsChild>
                    <w:div w:id="13579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9600">
          <w:marLeft w:val="0"/>
          <w:marRight w:val="0"/>
          <w:marTop w:val="0"/>
          <w:marBottom w:val="0"/>
          <w:divBdr>
            <w:top w:val="none" w:sz="0" w:space="0" w:color="auto"/>
            <w:left w:val="none" w:sz="0" w:space="0" w:color="auto"/>
            <w:bottom w:val="none" w:sz="0" w:space="0" w:color="auto"/>
            <w:right w:val="none" w:sz="0" w:space="0" w:color="auto"/>
          </w:divBdr>
          <w:divsChild>
            <w:div w:id="958997168">
              <w:marLeft w:val="-75"/>
              <w:marRight w:val="0"/>
              <w:marTop w:val="30"/>
              <w:marBottom w:val="30"/>
              <w:divBdr>
                <w:top w:val="none" w:sz="0" w:space="0" w:color="auto"/>
                <w:left w:val="none" w:sz="0" w:space="0" w:color="auto"/>
                <w:bottom w:val="none" w:sz="0" w:space="0" w:color="auto"/>
                <w:right w:val="none" w:sz="0" w:space="0" w:color="auto"/>
              </w:divBdr>
              <w:divsChild>
                <w:div w:id="41833549">
                  <w:marLeft w:val="0"/>
                  <w:marRight w:val="0"/>
                  <w:marTop w:val="0"/>
                  <w:marBottom w:val="0"/>
                  <w:divBdr>
                    <w:top w:val="none" w:sz="0" w:space="0" w:color="auto"/>
                    <w:left w:val="none" w:sz="0" w:space="0" w:color="auto"/>
                    <w:bottom w:val="none" w:sz="0" w:space="0" w:color="auto"/>
                    <w:right w:val="none" w:sz="0" w:space="0" w:color="auto"/>
                  </w:divBdr>
                  <w:divsChild>
                    <w:div w:id="2005929588">
                      <w:marLeft w:val="0"/>
                      <w:marRight w:val="0"/>
                      <w:marTop w:val="0"/>
                      <w:marBottom w:val="0"/>
                      <w:divBdr>
                        <w:top w:val="none" w:sz="0" w:space="0" w:color="auto"/>
                        <w:left w:val="none" w:sz="0" w:space="0" w:color="auto"/>
                        <w:bottom w:val="none" w:sz="0" w:space="0" w:color="auto"/>
                        <w:right w:val="none" w:sz="0" w:space="0" w:color="auto"/>
                      </w:divBdr>
                    </w:div>
                  </w:divsChild>
                </w:div>
                <w:div w:id="85275672">
                  <w:marLeft w:val="0"/>
                  <w:marRight w:val="0"/>
                  <w:marTop w:val="0"/>
                  <w:marBottom w:val="0"/>
                  <w:divBdr>
                    <w:top w:val="none" w:sz="0" w:space="0" w:color="auto"/>
                    <w:left w:val="none" w:sz="0" w:space="0" w:color="auto"/>
                    <w:bottom w:val="none" w:sz="0" w:space="0" w:color="auto"/>
                    <w:right w:val="none" w:sz="0" w:space="0" w:color="auto"/>
                  </w:divBdr>
                  <w:divsChild>
                    <w:div w:id="1272855997">
                      <w:marLeft w:val="0"/>
                      <w:marRight w:val="0"/>
                      <w:marTop w:val="0"/>
                      <w:marBottom w:val="0"/>
                      <w:divBdr>
                        <w:top w:val="none" w:sz="0" w:space="0" w:color="auto"/>
                        <w:left w:val="none" w:sz="0" w:space="0" w:color="auto"/>
                        <w:bottom w:val="none" w:sz="0" w:space="0" w:color="auto"/>
                        <w:right w:val="none" w:sz="0" w:space="0" w:color="auto"/>
                      </w:divBdr>
                    </w:div>
                  </w:divsChild>
                </w:div>
                <w:div w:id="93064407">
                  <w:marLeft w:val="0"/>
                  <w:marRight w:val="0"/>
                  <w:marTop w:val="0"/>
                  <w:marBottom w:val="0"/>
                  <w:divBdr>
                    <w:top w:val="none" w:sz="0" w:space="0" w:color="auto"/>
                    <w:left w:val="none" w:sz="0" w:space="0" w:color="auto"/>
                    <w:bottom w:val="none" w:sz="0" w:space="0" w:color="auto"/>
                    <w:right w:val="none" w:sz="0" w:space="0" w:color="auto"/>
                  </w:divBdr>
                  <w:divsChild>
                    <w:div w:id="1961453549">
                      <w:marLeft w:val="0"/>
                      <w:marRight w:val="0"/>
                      <w:marTop w:val="0"/>
                      <w:marBottom w:val="0"/>
                      <w:divBdr>
                        <w:top w:val="none" w:sz="0" w:space="0" w:color="auto"/>
                        <w:left w:val="none" w:sz="0" w:space="0" w:color="auto"/>
                        <w:bottom w:val="none" w:sz="0" w:space="0" w:color="auto"/>
                        <w:right w:val="none" w:sz="0" w:space="0" w:color="auto"/>
                      </w:divBdr>
                    </w:div>
                  </w:divsChild>
                </w:div>
                <w:div w:id="98910008">
                  <w:marLeft w:val="0"/>
                  <w:marRight w:val="0"/>
                  <w:marTop w:val="0"/>
                  <w:marBottom w:val="0"/>
                  <w:divBdr>
                    <w:top w:val="none" w:sz="0" w:space="0" w:color="auto"/>
                    <w:left w:val="none" w:sz="0" w:space="0" w:color="auto"/>
                    <w:bottom w:val="none" w:sz="0" w:space="0" w:color="auto"/>
                    <w:right w:val="none" w:sz="0" w:space="0" w:color="auto"/>
                  </w:divBdr>
                  <w:divsChild>
                    <w:div w:id="1950237180">
                      <w:marLeft w:val="0"/>
                      <w:marRight w:val="0"/>
                      <w:marTop w:val="0"/>
                      <w:marBottom w:val="0"/>
                      <w:divBdr>
                        <w:top w:val="none" w:sz="0" w:space="0" w:color="auto"/>
                        <w:left w:val="none" w:sz="0" w:space="0" w:color="auto"/>
                        <w:bottom w:val="none" w:sz="0" w:space="0" w:color="auto"/>
                        <w:right w:val="none" w:sz="0" w:space="0" w:color="auto"/>
                      </w:divBdr>
                    </w:div>
                  </w:divsChild>
                </w:div>
                <w:div w:id="147946600">
                  <w:marLeft w:val="0"/>
                  <w:marRight w:val="0"/>
                  <w:marTop w:val="0"/>
                  <w:marBottom w:val="0"/>
                  <w:divBdr>
                    <w:top w:val="none" w:sz="0" w:space="0" w:color="auto"/>
                    <w:left w:val="none" w:sz="0" w:space="0" w:color="auto"/>
                    <w:bottom w:val="none" w:sz="0" w:space="0" w:color="auto"/>
                    <w:right w:val="none" w:sz="0" w:space="0" w:color="auto"/>
                  </w:divBdr>
                  <w:divsChild>
                    <w:div w:id="1832986593">
                      <w:marLeft w:val="0"/>
                      <w:marRight w:val="0"/>
                      <w:marTop w:val="0"/>
                      <w:marBottom w:val="0"/>
                      <w:divBdr>
                        <w:top w:val="none" w:sz="0" w:space="0" w:color="auto"/>
                        <w:left w:val="none" w:sz="0" w:space="0" w:color="auto"/>
                        <w:bottom w:val="none" w:sz="0" w:space="0" w:color="auto"/>
                        <w:right w:val="none" w:sz="0" w:space="0" w:color="auto"/>
                      </w:divBdr>
                    </w:div>
                  </w:divsChild>
                </w:div>
                <w:div w:id="155386413">
                  <w:marLeft w:val="0"/>
                  <w:marRight w:val="0"/>
                  <w:marTop w:val="0"/>
                  <w:marBottom w:val="0"/>
                  <w:divBdr>
                    <w:top w:val="none" w:sz="0" w:space="0" w:color="auto"/>
                    <w:left w:val="none" w:sz="0" w:space="0" w:color="auto"/>
                    <w:bottom w:val="none" w:sz="0" w:space="0" w:color="auto"/>
                    <w:right w:val="none" w:sz="0" w:space="0" w:color="auto"/>
                  </w:divBdr>
                  <w:divsChild>
                    <w:div w:id="38631936">
                      <w:marLeft w:val="0"/>
                      <w:marRight w:val="0"/>
                      <w:marTop w:val="0"/>
                      <w:marBottom w:val="0"/>
                      <w:divBdr>
                        <w:top w:val="none" w:sz="0" w:space="0" w:color="auto"/>
                        <w:left w:val="none" w:sz="0" w:space="0" w:color="auto"/>
                        <w:bottom w:val="none" w:sz="0" w:space="0" w:color="auto"/>
                        <w:right w:val="none" w:sz="0" w:space="0" w:color="auto"/>
                      </w:divBdr>
                    </w:div>
                  </w:divsChild>
                </w:div>
                <w:div w:id="168569469">
                  <w:marLeft w:val="0"/>
                  <w:marRight w:val="0"/>
                  <w:marTop w:val="0"/>
                  <w:marBottom w:val="0"/>
                  <w:divBdr>
                    <w:top w:val="none" w:sz="0" w:space="0" w:color="auto"/>
                    <w:left w:val="none" w:sz="0" w:space="0" w:color="auto"/>
                    <w:bottom w:val="none" w:sz="0" w:space="0" w:color="auto"/>
                    <w:right w:val="none" w:sz="0" w:space="0" w:color="auto"/>
                  </w:divBdr>
                  <w:divsChild>
                    <w:div w:id="1602833557">
                      <w:marLeft w:val="0"/>
                      <w:marRight w:val="0"/>
                      <w:marTop w:val="0"/>
                      <w:marBottom w:val="0"/>
                      <w:divBdr>
                        <w:top w:val="none" w:sz="0" w:space="0" w:color="auto"/>
                        <w:left w:val="none" w:sz="0" w:space="0" w:color="auto"/>
                        <w:bottom w:val="none" w:sz="0" w:space="0" w:color="auto"/>
                        <w:right w:val="none" w:sz="0" w:space="0" w:color="auto"/>
                      </w:divBdr>
                    </w:div>
                  </w:divsChild>
                </w:div>
                <w:div w:id="169222486">
                  <w:marLeft w:val="0"/>
                  <w:marRight w:val="0"/>
                  <w:marTop w:val="0"/>
                  <w:marBottom w:val="0"/>
                  <w:divBdr>
                    <w:top w:val="none" w:sz="0" w:space="0" w:color="auto"/>
                    <w:left w:val="none" w:sz="0" w:space="0" w:color="auto"/>
                    <w:bottom w:val="none" w:sz="0" w:space="0" w:color="auto"/>
                    <w:right w:val="none" w:sz="0" w:space="0" w:color="auto"/>
                  </w:divBdr>
                  <w:divsChild>
                    <w:div w:id="486744630">
                      <w:marLeft w:val="0"/>
                      <w:marRight w:val="0"/>
                      <w:marTop w:val="0"/>
                      <w:marBottom w:val="0"/>
                      <w:divBdr>
                        <w:top w:val="none" w:sz="0" w:space="0" w:color="auto"/>
                        <w:left w:val="none" w:sz="0" w:space="0" w:color="auto"/>
                        <w:bottom w:val="none" w:sz="0" w:space="0" w:color="auto"/>
                        <w:right w:val="none" w:sz="0" w:space="0" w:color="auto"/>
                      </w:divBdr>
                    </w:div>
                  </w:divsChild>
                </w:div>
                <w:div w:id="175582407">
                  <w:marLeft w:val="0"/>
                  <w:marRight w:val="0"/>
                  <w:marTop w:val="0"/>
                  <w:marBottom w:val="0"/>
                  <w:divBdr>
                    <w:top w:val="none" w:sz="0" w:space="0" w:color="auto"/>
                    <w:left w:val="none" w:sz="0" w:space="0" w:color="auto"/>
                    <w:bottom w:val="none" w:sz="0" w:space="0" w:color="auto"/>
                    <w:right w:val="none" w:sz="0" w:space="0" w:color="auto"/>
                  </w:divBdr>
                  <w:divsChild>
                    <w:div w:id="1043946109">
                      <w:marLeft w:val="0"/>
                      <w:marRight w:val="0"/>
                      <w:marTop w:val="0"/>
                      <w:marBottom w:val="0"/>
                      <w:divBdr>
                        <w:top w:val="none" w:sz="0" w:space="0" w:color="auto"/>
                        <w:left w:val="none" w:sz="0" w:space="0" w:color="auto"/>
                        <w:bottom w:val="none" w:sz="0" w:space="0" w:color="auto"/>
                        <w:right w:val="none" w:sz="0" w:space="0" w:color="auto"/>
                      </w:divBdr>
                    </w:div>
                  </w:divsChild>
                </w:div>
                <w:div w:id="186408717">
                  <w:marLeft w:val="0"/>
                  <w:marRight w:val="0"/>
                  <w:marTop w:val="0"/>
                  <w:marBottom w:val="0"/>
                  <w:divBdr>
                    <w:top w:val="none" w:sz="0" w:space="0" w:color="auto"/>
                    <w:left w:val="none" w:sz="0" w:space="0" w:color="auto"/>
                    <w:bottom w:val="none" w:sz="0" w:space="0" w:color="auto"/>
                    <w:right w:val="none" w:sz="0" w:space="0" w:color="auto"/>
                  </w:divBdr>
                  <w:divsChild>
                    <w:div w:id="1623608826">
                      <w:marLeft w:val="0"/>
                      <w:marRight w:val="0"/>
                      <w:marTop w:val="0"/>
                      <w:marBottom w:val="0"/>
                      <w:divBdr>
                        <w:top w:val="none" w:sz="0" w:space="0" w:color="auto"/>
                        <w:left w:val="none" w:sz="0" w:space="0" w:color="auto"/>
                        <w:bottom w:val="none" w:sz="0" w:space="0" w:color="auto"/>
                        <w:right w:val="none" w:sz="0" w:space="0" w:color="auto"/>
                      </w:divBdr>
                    </w:div>
                  </w:divsChild>
                </w:div>
                <w:div w:id="190995406">
                  <w:marLeft w:val="0"/>
                  <w:marRight w:val="0"/>
                  <w:marTop w:val="0"/>
                  <w:marBottom w:val="0"/>
                  <w:divBdr>
                    <w:top w:val="none" w:sz="0" w:space="0" w:color="auto"/>
                    <w:left w:val="none" w:sz="0" w:space="0" w:color="auto"/>
                    <w:bottom w:val="none" w:sz="0" w:space="0" w:color="auto"/>
                    <w:right w:val="none" w:sz="0" w:space="0" w:color="auto"/>
                  </w:divBdr>
                  <w:divsChild>
                    <w:div w:id="48964234">
                      <w:marLeft w:val="0"/>
                      <w:marRight w:val="0"/>
                      <w:marTop w:val="0"/>
                      <w:marBottom w:val="0"/>
                      <w:divBdr>
                        <w:top w:val="none" w:sz="0" w:space="0" w:color="auto"/>
                        <w:left w:val="none" w:sz="0" w:space="0" w:color="auto"/>
                        <w:bottom w:val="none" w:sz="0" w:space="0" w:color="auto"/>
                        <w:right w:val="none" w:sz="0" w:space="0" w:color="auto"/>
                      </w:divBdr>
                    </w:div>
                  </w:divsChild>
                </w:div>
                <w:div w:id="201137933">
                  <w:marLeft w:val="0"/>
                  <w:marRight w:val="0"/>
                  <w:marTop w:val="0"/>
                  <w:marBottom w:val="0"/>
                  <w:divBdr>
                    <w:top w:val="none" w:sz="0" w:space="0" w:color="auto"/>
                    <w:left w:val="none" w:sz="0" w:space="0" w:color="auto"/>
                    <w:bottom w:val="none" w:sz="0" w:space="0" w:color="auto"/>
                    <w:right w:val="none" w:sz="0" w:space="0" w:color="auto"/>
                  </w:divBdr>
                  <w:divsChild>
                    <w:div w:id="1271084236">
                      <w:marLeft w:val="0"/>
                      <w:marRight w:val="0"/>
                      <w:marTop w:val="0"/>
                      <w:marBottom w:val="0"/>
                      <w:divBdr>
                        <w:top w:val="none" w:sz="0" w:space="0" w:color="auto"/>
                        <w:left w:val="none" w:sz="0" w:space="0" w:color="auto"/>
                        <w:bottom w:val="none" w:sz="0" w:space="0" w:color="auto"/>
                        <w:right w:val="none" w:sz="0" w:space="0" w:color="auto"/>
                      </w:divBdr>
                    </w:div>
                  </w:divsChild>
                </w:div>
                <w:div w:id="235214269">
                  <w:marLeft w:val="0"/>
                  <w:marRight w:val="0"/>
                  <w:marTop w:val="0"/>
                  <w:marBottom w:val="0"/>
                  <w:divBdr>
                    <w:top w:val="none" w:sz="0" w:space="0" w:color="auto"/>
                    <w:left w:val="none" w:sz="0" w:space="0" w:color="auto"/>
                    <w:bottom w:val="none" w:sz="0" w:space="0" w:color="auto"/>
                    <w:right w:val="none" w:sz="0" w:space="0" w:color="auto"/>
                  </w:divBdr>
                  <w:divsChild>
                    <w:div w:id="826172176">
                      <w:marLeft w:val="0"/>
                      <w:marRight w:val="0"/>
                      <w:marTop w:val="0"/>
                      <w:marBottom w:val="0"/>
                      <w:divBdr>
                        <w:top w:val="none" w:sz="0" w:space="0" w:color="auto"/>
                        <w:left w:val="none" w:sz="0" w:space="0" w:color="auto"/>
                        <w:bottom w:val="none" w:sz="0" w:space="0" w:color="auto"/>
                        <w:right w:val="none" w:sz="0" w:space="0" w:color="auto"/>
                      </w:divBdr>
                    </w:div>
                  </w:divsChild>
                </w:div>
                <w:div w:id="259722390">
                  <w:marLeft w:val="0"/>
                  <w:marRight w:val="0"/>
                  <w:marTop w:val="0"/>
                  <w:marBottom w:val="0"/>
                  <w:divBdr>
                    <w:top w:val="none" w:sz="0" w:space="0" w:color="auto"/>
                    <w:left w:val="none" w:sz="0" w:space="0" w:color="auto"/>
                    <w:bottom w:val="none" w:sz="0" w:space="0" w:color="auto"/>
                    <w:right w:val="none" w:sz="0" w:space="0" w:color="auto"/>
                  </w:divBdr>
                  <w:divsChild>
                    <w:div w:id="274291859">
                      <w:marLeft w:val="0"/>
                      <w:marRight w:val="0"/>
                      <w:marTop w:val="0"/>
                      <w:marBottom w:val="0"/>
                      <w:divBdr>
                        <w:top w:val="none" w:sz="0" w:space="0" w:color="auto"/>
                        <w:left w:val="none" w:sz="0" w:space="0" w:color="auto"/>
                        <w:bottom w:val="none" w:sz="0" w:space="0" w:color="auto"/>
                        <w:right w:val="none" w:sz="0" w:space="0" w:color="auto"/>
                      </w:divBdr>
                    </w:div>
                  </w:divsChild>
                </w:div>
                <w:div w:id="263072015">
                  <w:marLeft w:val="0"/>
                  <w:marRight w:val="0"/>
                  <w:marTop w:val="0"/>
                  <w:marBottom w:val="0"/>
                  <w:divBdr>
                    <w:top w:val="none" w:sz="0" w:space="0" w:color="auto"/>
                    <w:left w:val="none" w:sz="0" w:space="0" w:color="auto"/>
                    <w:bottom w:val="none" w:sz="0" w:space="0" w:color="auto"/>
                    <w:right w:val="none" w:sz="0" w:space="0" w:color="auto"/>
                  </w:divBdr>
                  <w:divsChild>
                    <w:div w:id="113256688">
                      <w:marLeft w:val="0"/>
                      <w:marRight w:val="0"/>
                      <w:marTop w:val="0"/>
                      <w:marBottom w:val="0"/>
                      <w:divBdr>
                        <w:top w:val="none" w:sz="0" w:space="0" w:color="auto"/>
                        <w:left w:val="none" w:sz="0" w:space="0" w:color="auto"/>
                        <w:bottom w:val="none" w:sz="0" w:space="0" w:color="auto"/>
                        <w:right w:val="none" w:sz="0" w:space="0" w:color="auto"/>
                      </w:divBdr>
                    </w:div>
                  </w:divsChild>
                </w:div>
                <w:div w:id="283778044">
                  <w:marLeft w:val="0"/>
                  <w:marRight w:val="0"/>
                  <w:marTop w:val="0"/>
                  <w:marBottom w:val="0"/>
                  <w:divBdr>
                    <w:top w:val="none" w:sz="0" w:space="0" w:color="auto"/>
                    <w:left w:val="none" w:sz="0" w:space="0" w:color="auto"/>
                    <w:bottom w:val="none" w:sz="0" w:space="0" w:color="auto"/>
                    <w:right w:val="none" w:sz="0" w:space="0" w:color="auto"/>
                  </w:divBdr>
                  <w:divsChild>
                    <w:div w:id="1924289859">
                      <w:marLeft w:val="0"/>
                      <w:marRight w:val="0"/>
                      <w:marTop w:val="0"/>
                      <w:marBottom w:val="0"/>
                      <w:divBdr>
                        <w:top w:val="none" w:sz="0" w:space="0" w:color="auto"/>
                        <w:left w:val="none" w:sz="0" w:space="0" w:color="auto"/>
                        <w:bottom w:val="none" w:sz="0" w:space="0" w:color="auto"/>
                        <w:right w:val="none" w:sz="0" w:space="0" w:color="auto"/>
                      </w:divBdr>
                    </w:div>
                  </w:divsChild>
                </w:div>
                <w:div w:id="288437903">
                  <w:marLeft w:val="0"/>
                  <w:marRight w:val="0"/>
                  <w:marTop w:val="0"/>
                  <w:marBottom w:val="0"/>
                  <w:divBdr>
                    <w:top w:val="none" w:sz="0" w:space="0" w:color="auto"/>
                    <w:left w:val="none" w:sz="0" w:space="0" w:color="auto"/>
                    <w:bottom w:val="none" w:sz="0" w:space="0" w:color="auto"/>
                    <w:right w:val="none" w:sz="0" w:space="0" w:color="auto"/>
                  </w:divBdr>
                  <w:divsChild>
                    <w:div w:id="301428194">
                      <w:marLeft w:val="0"/>
                      <w:marRight w:val="0"/>
                      <w:marTop w:val="0"/>
                      <w:marBottom w:val="0"/>
                      <w:divBdr>
                        <w:top w:val="none" w:sz="0" w:space="0" w:color="auto"/>
                        <w:left w:val="none" w:sz="0" w:space="0" w:color="auto"/>
                        <w:bottom w:val="none" w:sz="0" w:space="0" w:color="auto"/>
                        <w:right w:val="none" w:sz="0" w:space="0" w:color="auto"/>
                      </w:divBdr>
                    </w:div>
                  </w:divsChild>
                </w:div>
                <w:div w:id="289752294">
                  <w:marLeft w:val="0"/>
                  <w:marRight w:val="0"/>
                  <w:marTop w:val="0"/>
                  <w:marBottom w:val="0"/>
                  <w:divBdr>
                    <w:top w:val="none" w:sz="0" w:space="0" w:color="auto"/>
                    <w:left w:val="none" w:sz="0" w:space="0" w:color="auto"/>
                    <w:bottom w:val="none" w:sz="0" w:space="0" w:color="auto"/>
                    <w:right w:val="none" w:sz="0" w:space="0" w:color="auto"/>
                  </w:divBdr>
                  <w:divsChild>
                    <w:div w:id="1065223579">
                      <w:marLeft w:val="0"/>
                      <w:marRight w:val="0"/>
                      <w:marTop w:val="0"/>
                      <w:marBottom w:val="0"/>
                      <w:divBdr>
                        <w:top w:val="none" w:sz="0" w:space="0" w:color="auto"/>
                        <w:left w:val="none" w:sz="0" w:space="0" w:color="auto"/>
                        <w:bottom w:val="none" w:sz="0" w:space="0" w:color="auto"/>
                        <w:right w:val="none" w:sz="0" w:space="0" w:color="auto"/>
                      </w:divBdr>
                    </w:div>
                  </w:divsChild>
                </w:div>
                <w:div w:id="315107459">
                  <w:marLeft w:val="0"/>
                  <w:marRight w:val="0"/>
                  <w:marTop w:val="0"/>
                  <w:marBottom w:val="0"/>
                  <w:divBdr>
                    <w:top w:val="none" w:sz="0" w:space="0" w:color="auto"/>
                    <w:left w:val="none" w:sz="0" w:space="0" w:color="auto"/>
                    <w:bottom w:val="none" w:sz="0" w:space="0" w:color="auto"/>
                    <w:right w:val="none" w:sz="0" w:space="0" w:color="auto"/>
                  </w:divBdr>
                  <w:divsChild>
                    <w:div w:id="459998629">
                      <w:marLeft w:val="0"/>
                      <w:marRight w:val="0"/>
                      <w:marTop w:val="0"/>
                      <w:marBottom w:val="0"/>
                      <w:divBdr>
                        <w:top w:val="none" w:sz="0" w:space="0" w:color="auto"/>
                        <w:left w:val="none" w:sz="0" w:space="0" w:color="auto"/>
                        <w:bottom w:val="none" w:sz="0" w:space="0" w:color="auto"/>
                        <w:right w:val="none" w:sz="0" w:space="0" w:color="auto"/>
                      </w:divBdr>
                    </w:div>
                  </w:divsChild>
                </w:div>
                <w:div w:id="322972097">
                  <w:marLeft w:val="0"/>
                  <w:marRight w:val="0"/>
                  <w:marTop w:val="0"/>
                  <w:marBottom w:val="0"/>
                  <w:divBdr>
                    <w:top w:val="none" w:sz="0" w:space="0" w:color="auto"/>
                    <w:left w:val="none" w:sz="0" w:space="0" w:color="auto"/>
                    <w:bottom w:val="none" w:sz="0" w:space="0" w:color="auto"/>
                    <w:right w:val="none" w:sz="0" w:space="0" w:color="auto"/>
                  </w:divBdr>
                  <w:divsChild>
                    <w:div w:id="876503761">
                      <w:marLeft w:val="0"/>
                      <w:marRight w:val="0"/>
                      <w:marTop w:val="0"/>
                      <w:marBottom w:val="0"/>
                      <w:divBdr>
                        <w:top w:val="none" w:sz="0" w:space="0" w:color="auto"/>
                        <w:left w:val="none" w:sz="0" w:space="0" w:color="auto"/>
                        <w:bottom w:val="none" w:sz="0" w:space="0" w:color="auto"/>
                        <w:right w:val="none" w:sz="0" w:space="0" w:color="auto"/>
                      </w:divBdr>
                    </w:div>
                  </w:divsChild>
                </w:div>
                <w:div w:id="330261374">
                  <w:marLeft w:val="0"/>
                  <w:marRight w:val="0"/>
                  <w:marTop w:val="0"/>
                  <w:marBottom w:val="0"/>
                  <w:divBdr>
                    <w:top w:val="none" w:sz="0" w:space="0" w:color="auto"/>
                    <w:left w:val="none" w:sz="0" w:space="0" w:color="auto"/>
                    <w:bottom w:val="none" w:sz="0" w:space="0" w:color="auto"/>
                    <w:right w:val="none" w:sz="0" w:space="0" w:color="auto"/>
                  </w:divBdr>
                  <w:divsChild>
                    <w:div w:id="1369842341">
                      <w:marLeft w:val="0"/>
                      <w:marRight w:val="0"/>
                      <w:marTop w:val="0"/>
                      <w:marBottom w:val="0"/>
                      <w:divBdr>
                        <w:top w:val="none" w:sz="0" w:space="0" w:color="auto"/>
                        <w:left w:val="none" w:sz="0" w:space="0" w:color="auto"/>
                        <w:bottom w:val="none" w:sz="0" w:space="0" w:color="auto"/>
                        <w:right w:val="none" w:sz="0" w:space="0" w:color="auto"/>
                      </w:divBdr>
                    </w:div>
                  </w:divsChild>
                </w:div>
                <w:div w:id="367726858">
                  <w:marLeft w:val="0"/>
                  <w:marRight w:val="0"/>
                  <w:marTop w:val="0"/>
                  <w:marBottom w:val="0"/>
                  <w:divBdr>
                    <w:top w:val="none" w:sz="0" w:space="0" w:color="auto"/>
                    <w:left w:val="none" w:sz="0" w:space="0" w:color="auto"/>
                    <w:bottom w:val="none" w:sz="0" w:space="0" w:color="auto"/>
                    <w:right w:val="none" w:sz="0" w:space="0" w:color="auto"/>
                  </w:divBdr>
                  <w:divsChild>
                    <w:div w:id="606697457">
                      <w:marLeft w:val="0"/>
                      <w:marRight w:val="0"/>
                      <w:marTop w:val="0"/>
                      <w:marBottom w:val="0"/>
                      <w:divBdr>
                        <w:top w:val="none" w:sz="0" w:space="0" w:color="auto"/>
                        <w:left w:val="none" w:sz="0" w:space="0" w:color="auto"/>
                        <w:bottom w:val="none" w:sz="0" w:space="0" w:color="auto"/>
                        <w:right w:val="none" w:sz="0" w:space="0" w:color="auto"/>
                      </w:divBdr>
                    </w:div>
                  </w:divsChild>
                </w:div>
                <w:div w:id="376052550">
                  <w:marLeft w:val="0"/>
                  <w:marRight w:val="0"/>
                  <w:marTop w:val="0"/>
                  <w:marBottom w:val="0"/>
                  <w:divBdr>
                    <w:top w:val="none" w:sz="0" w:space="0" w:color="auto"/>
                    <w:left w:val="none" w:sz="0" w:space="0" w:color="auto"/>
                    <w:bottom w:val="none" w:sz="0" w:space="0" w:color="auto"/>
                    <w:right w:val="none" w:sz="0" w:space="0" w:color="auto"/>
                  </w:divBdr>
                  <w:divsChild>
                    <w:div w:id="1465581752">
                      <w:marLeft w:val="0"/>
                      <w:marRight w:val="0"/>
                      <w:marTop w:val="0"/>
                      <w:marBottom w:val="0"/>
                      <w:divBdr>
                        <w:top w:val="none" w:sz="0" w:space="0" w:color="auto"/>
                        <w:left w:val="none" w:sz="0" w:space="0" w:color="auto"/>
                        <w:bottom w:val="none" w:sz="0" w:space="0" w:color="auto"/>
                        <w:right w:val="none" w:sz="0" w:space="0" w:color="auto"/>
                      </w:divBdr>
                    </w:div>
                  </w:divsChild>
                </w:div>
                <w:div w:id="380400982">
                  <w:marLeft w:val="0"/>
                  <w:marRight w:val="0"/>
                  <w:marTop w:val="0"/>
                  <w:marBottom w:val="0"/>
                  <w:divBdr>
                    <w:top w:val="none" w:sz="0" w:space="0" w:color="auto"/>
                    <w:left w:val="none" w:sz="0" w:space="0" w:color="auto"/>
                    <w:bottom w:val="none" w:sz="0" w:space="0" w:color="auto"/>
                    <w:right w:val="none" w:sz="0" w:space="0" w:color="auto"/>
                  </w:divBdr>
                  <w:divsChild>
                    <w:div w:id="2076270316">
                      <w:marLeft w:val="0"/>
                      <w:marRight w:val="0"/>
                      <w:marTop w:val="0"/>
                      <w:marBottom w:val="0"/>
                      <w:divBdr>
                        <w:top w:val="none" w:sz="0" w:space="0" w:color="auto"/>
                        <w:left w:val="none" w:sz="0" w:space="0" w:color="auto"/>
                        <w:bottom w:val="none" w:sz="0" w:space="0" w:color="auto"/>
                        <w:right w:val="none" w:sz="0" w:space="0" w:color="auto"/>
                      </w:divBdr>
                    </w:div>
                  </w:divsChild>
                </w:div>
                <w:div w:id="417948135">
                  <w:marLeft w:val="0"/>
                  <w:marRight w:val="0"/>
                  <w:marTop w:val="0"/>
                  <w:marBottom w:val="0"/>
                  <w:divBdr>
                    <w:top w:val="none" w:sz="0" w:space="0" w:color="auto"/>
                    <w:left w:val="none" w:sz="0" w:space="0" w:color="auto"/>
                    <w:bottom w:val="none" w:sz="0" w:space="0" w:color="auto"/>
                    <w:right w:val="none" w:sz="0" w:space="0" w:color="auto"/>
                  </w:divBdr>
                  <w:divsChild>
                    <w:div w:id="753237925">
                      <w:marLeft w:val="0"/>
                      <w:marRight w:val="0"/>
                      <w:marTop w:val="0"/>
                      <w:marBottom w:val="0"/>
                      <w:divBdr>
                        <w:top w:val="none" w:sz="0" w:space="0" w:color="auto"/>
                        <w:left w:val="none" w:sz="0" w:space="0" w:color="auto"/>
                        <w:bottom w:val="none" w:sz="0" w:space="0" w:color="auto"/>
                        <w:right w:val="none" w:sz="0" w:space="0" w:color="auto"/>
                      </w:divBdr>
                    </w:div>
                  </w:divsChild>
                </w:div>
                <w:div w:id="434718235">
                  <w:marLeft w:val="0"/>
                  <w:marRight w:val="0"/>
                  <w:marTop w:val="0"/>
                  <w:marBottom w:val="0"/>
                  <w:divBdr>
                    <w:top w:val="none" w:sz="0" w:space="0" w:color="auto"/>
                    <w:left w:val="none" w:sz="0" w:space="0" w:color="auto"/>
                    <w:bottom w:val="none" w:sz="0" w:space="0" w:color="auto"/>
                    <w:right w:val="none" w:sz="0" w:space="0" w:color="auto"/>
                  </w:divBdr>
                  <w:divsChild>
                    <w:div w:id="1519270380">
                      <w:marLeft w:val="0"/>
                      <w:marRight w:val="0"/>
                      <w:marTop w:val="0"/>
                      <w:marBottom w:val="0"/>
                      <w:divBdr>
                        <w:top w:val="none" w:sz="0" w:space="0" w:color="auto"/>
                        <w:left w:val="none" w:sz="0" w:space="0" w:color="auto"/>
                        <w:bottom w:val="none" w:sz="0" w:space="0" w:color="auto"/>
                        <w:right w:val="none" w:sz="0" w:space="0" w:color="auto"/>
                      </w:divBdr>
                    </w:div>
                  </w:divsChild>
                </w:div>
                <w:div w:id="466164325">
                  <w:marLeft w:val="0"/>
                  <w:marRight w:val="0"/>
                  <w:marTop w:val="0"/>
                  <w:marBottom w:val="0"/>
                  <w:divBdr>
                    <w:top w:val="none" w:sz="0" w:space="0" w:color="auto"/>
                    <w:left w:val="none" w:sz="0" w:space="0" w:color="auto"/>
                    <w:bottom w:val="none" w:sz="0" w:space="0" w:color="auto"/>
                    <w:right w:val="none" w:sz="0" w:space="0" w:color="auto"/>
                  </w:divBdr>
                  <w:divsChild>
                    <w:div w:id="1429153135">
                      <w:marLeft w:val="0"/>
                      <w:marRight w:val="0"/>
                      <w:marTop w:val="0"/>
                      <w:marBottom w:val="0"/>
                      <w:divBdr>
                        <w:top w:val="none" w:sz="0" w:space="0" w:color="auto"/>
                        <w:left w:val="none" w:sz="0" w:space="0" w:color="auto"/>
                        <w:bottom w:val="none" w:sz="0" w:space="0" w:color="auto"/>
                        <w:right w:val="none" w:sz="0" w:space="0" w:color="auto"/>
                      </w:divBdr>
                    </w:div>
                  </w:divsChild>
                </w:div>
                <w:div w:id="475757402">
                  <w:marLeft w:val="0"/>
                  <w:marRight w:val="0"/>
                  <w:marTop w:val="0"/>
                  <w:marBottom w:val="0"/>
                  <w:divBdr>
                    <w:top w:val="none" w:sz="0" w:space="0" w:color="auto"/>
                    <w:left w:val="none" w:sz="0" w:space="0" w:color="auto"/>
                    <w:bottom w:val="none" w:sz="0" w:space="0" w:color="auto"/>
                    <w:right w:val="none" w:sz="0" w:space="0" w:color="auto"/>
                  </w:divBdr>
                  <w:divsChild>
                    <w:div w:id="2006584915">
                      <w:marLeft w:val="0"/>
                      <w:marRight w:val="0"/>
                      <w:marTop w:val="0"/>
                      <w:marBottom w:val="0"/>
                      <w:divBdr>
                        <w:top w:val="none" w:sz="0" w:space="0" w:color="auto"/>
                        <w:left w:val="none" w:sz="0" w:space="0" w:color="auto"/>
                        <w:bottom w:val="none" w:sz="0" w:space="0" w:color="auto"/>
                        <w:right w:val="none" w:sz="0" w:space="0" w:color="auto"/>
                      </w:divBdr>
                    </w:div>
                  </w:divsChild>
                </w:div>
                <w:div w:id="488252820">
                  <w:marLeft w:val="0"/>
                  <w:marRight w:val="0"/>
                  <w:marTop w:val="0"/>
                  <w:marBottom w:val="0"/>
                  <w:divBdr>
                    <w:top w:val="none" w:sz="0" w:space="0" w:color="auto"/>
                    <w:left w:val="none" w:sz="0" w:space="0" w:color="auto"/>
                    <w:bottom w:val="none" w:sz="0" w:space="0" w:color="auto"/>
                    <w:right w:val="none" w:sz="0" w:space="0" w:color="auto"/>
                  </w:divBdr>
                  <w:divsChild>
                    <w:div w:id="354353907">
                      <w:marLeft w:val="0"/>
                      <w:marRight w:val="0"/>
                      <w:marTop w:val="0"/>
                      <w:marBottom w:val="0"/>
                      <w:divBdr>
                        <w:top w:val="none" w:sz="0" w:space="0" w:color="auto"/>
                        <w:left w:val="none" w:sz="0" w:space="0" w:color="auto"/>
                        <w:bottom w:val="none" w:sz="0" w:space="0" w:color="auto"/>
                        <w:right w:val="none" w:sz="0" w:space="0" w:color="auto"/>
                      </w:divBdr>
                    </w:div>
                  </w:divsChild>
                </w:div>
                <w:div w:id="502743572">
                  <w:marLeft w:val="0"/>
                  <w:marRight w:val="0"/>
                  <w:marTop w:val="0"/>
                  <w:marBottom w:val="0"/>
                  <w:divBdr>
                    <w:top w:val="none" w:sz="0" w:space="0" w:color="auto"/>
                    <w:left w:val="none" w:sz="0" w:space="0" w:color="auto"/>
                    <w:bottom w:val="none" w:sz="0" w:space="0" w:color="auto"/>
                    <w:right w:val="none" w:sz="0" w:space="0" w:color="auto"/>
                  </w:divBdr>
                  <w:divsChild>
                    <w:div w:id="395472104">
                      <w:marLeft w:val="0"/>
                      <w:marRight w:val="0"/>
                      <w:marTop w:val="0"/>
                      <w:marBottom w:val="0"/>
                      <w:divBdr>
                        <w:top w:val="none" w:sz="0" w:space="0" w:color="auto"/>
                        <w:left w:val="none" w:sz="0" w:space="0" w:color="auto"/>
                        <w:bottom w:val="none" w:sz="0" w:space="0" w:color="auto"/>
                        <w:right w:val="none" w:sz="0" w:space="0" w:color="auto"/>
                      </w:divBdr>
                    </w:div>
                  </w:divsChild>
                </w:div>
                <w:div w:id="514883470">
                  <w:marLeft w:val="0"/>
                  <w:marRight w:val="0"/>
                  <w:marTop w:val="0"/>
                  <w:marBottom w:val="0"/>
                  <w:divBdr>
                    <w:top w:val="none" w:sz="0" w:space="0" w:color="auto"/>
                    <w:left w:val="none" w:sz="0" w:space="0" w:color="auto"/>
                    <w:bottom w:val="none" w:sz="0" w:space="0" w:color="auto"/>
                    <w:right w:val="none" w:sz="0" w:space="0" w:color="auto"/>
                  </w:divBdr>
                  <w:divsChild>
                    <w:div w:id="307979432">
                      <w:marLeft w:val="0"/>
                      <w:marRight w:val="0"/>
                      <w:marTop w:val="0"/>
                      <w:marBottom w:val="0"/>
                      <w:divBdr>
                        <w:top w:val="none" w:sz="0" w:space="0" w:color="auto"/>
                        <w:left w:val="none" w:sz="0" w:space="0" w:color="auto"/>
                        <w:bottom w:val="none" w:sz="0" w:space="0" w:color="auto"/>
                        <w:right w:val="none" w:sz="0" w:space="0" w:color="auto"/>
                      </w:divBdr>
                    </w:div>
                  </w:divsChild>
                </w:div>
                <w:div w:id="528377426">
                  <w:marLeft w:val="0"/>
                  <w:marRight w:val="0"/>
                  <w:marTop w:val="0"/>
                  <w:marBottom w:val="0"/>
                  <w:divBdr>
                    <w:top w:val="none" w:sz="0" w:space="0" w:color="auto"/>
                    <w:left w:val="none" w:sz="0" w:space="0" w:color="auto"/>
                    <w:bottom w:val="none" w:sz="0" w:space="0" w:color="auto"/>
                    <w:right w:val="none" w:sz="0" w:space="0" w:color="auto"/>
                  </w:divBdr>
                  <w:divsChild>
                    <w:div w:id="656764896">
                      <w:marLeft w:val="0"/>
                      <w:marRight w:val="0"/>
                      <w:marTop w:val="0"/>
                      <w:marBottom w:val="0"/>
                      <w:divBdr>
                        <w:top w:val="none" w:sz="0" w:space="0" w:color="auto"/>
                        <w:left w:val="none" w:sz="0" w:space="0" w:color="auto"/>
                        <w:bottom w:val="none" w:sz="0" w:space="0" w:color="auto"/>
                        <w:right w:val="none" w:sz="0" w:space="0" w:color="auto"/>
                      </w:divBdr>
                    </w:div>
                  </w:divsChild>
                </w:div>
                <w:div w:id="556667652">
                  <w:marLeft w:val="0"/>
                  <w:marRight w:val="0"/>
                  <w:marTop w:val="0"/>
                  <w:marBottom w:val="0"/>
                  <w:divBdr>
                    <w:top w:val="none" w:sz="0" w:space="0" w:color="auto"/>
                    <w:left w:val="none" w:sz="0" w:space="0" w:color="auto"/>
                    <w:bottom w:val="none" w:sz="0" w:space="0" w:color="auto"/>
                    <w:right w:val="none" w:sz="0" w:space="0" w:color="auto"/>
                  </w:divBdr>
                  <w:divsChild>
                    <w:div w:id="68969186">
                      <w:marLeft w:val="0"/>
                      <w:marRight w:val="0"/>
                      <w:marTop w:val="0"/>
                      <w:marBottom w:val="0"/>
                      <w:divBdr>
                        <w:top w:val="none" w:sz="0" w:space="0" w:color="auto"/>
                        <w:left w:val="none" w:sz="0" w:space="0" w:color="auto"/>
                        <w:bottom w:val="none" w:sz="0" w:space="0" w:color="auto"/>
                        <w:right w:val="none" w:sz="0" w:space="0" w:color="auto"/>
                      </w:divBdr>
                    </w:div>
                  </w:divsChild>
                </w:div>
                <w:div w:id="564029200">
                  <w:marLeft w:val="0"/>
                  <w:marRight w:val="0"/>
                  <w:marTop w:val="0"/>
                  <w:marBottom w:val="0"/>
                  <w:divBdr>
                    <w:top w:val="none" w:sz="0" w:space="0" w:color="auto"/>
                    <w:left w:val="none" w:sz="0" w:space="0" w:color="auto"/>
                    <w:bottom w:val="none" w:sz="0" w:space="0" w:color="auto"/>
                    <w:right w:val="none" w:sz="0" w:space="0" w:color="auto"/>
                  </w:divBdr>
                  <w:divsChild>
                    <w:div w:id="1557938241">
                      <w:marLeft w:val="0"/>
                      <w:marRight w:val="0"/>
                      <w:marTop w:val="0"/>
                      <w:marBottom w:val="0"/>
                      <w:divBdr>
                        <w:top w:val="none" w:sz="0" w:space="0" w:color="auto"/>
                        <w:left w:val="none" w:sz="0" w:space="0" w:color="auto"/>
                        <w:bottom w:val="none" w:sz="0" w:space="0" w:color="auto"/>
                        <w:right w:val="none" w:sz="0" w:space="0" w:color="auto"/>
                      </w:divBdr>
                    </w:div>
                  </w:divsChild>
                </w:div>
                <w:div w:id="609046240">
                  <w:marLeft w:val="0"/>
                  <w:marRight w:val="0"/>
                  <w:marTop w:val="0"/>
                  <w:marBottom w:val="0"/>
                  <w:divBdr>
                    <w:top w:val="none" w:sz="0" w:space="0" w:color="auto"/>
                    <w:left w:val="none" w:sz="0" w:space="0" w:color="auto"/>
                    <w:bottom w:val="none" w:sz="0" w:space="0" w:color="auto"/>
                    <w:right w:val="none" w:sz="0" w:space="0" w:color="auto"/>
                  </w:divBdr>
                  <w:divsChild>
                    <w:div w:id="1885213361">
                      <w:marLeft w:val="0"/>
                      <w:marRight w:val="0"/>
                      <w:marTop w:val="0"/>
                      <w:marBottom w:val="0"/>
                      <w:divBdr>
                        <w:top w:val="none" w:sz="0" w:space="0" w:color="auto"/>
                        <w:left w:val="none" w:sz="0" w:space="0" w:color="auto"/>
                        <w:bottom w:val="none" w:sz="0" w:space="0" w:color="auto"/>
                        <w:right w:val="none" w:sz="0" w:space="0" w:color="auto"/>
                      </w:divBdr>
                    </w:div>
                  </w:divsChild>
                </w:div>
                <w:div w:id="613446661">
                  <w:marLeft w:val="0"/>
                  <w:marRight w:val="0"/>
                  <w:marTop w:val="0"/>
                  <w:marBottom w:val="0"/>
                  <w:divBdr>
                    <w:top w:val="none" w:sz="0" w:space="0" w:color="auto"/>
                    <w:left w:val="none" w:sz="0" w:space="0" w:color="auto"/>
                    <w:bottom w:val="none" w:sz="0" w:space="0" w:color="auto"/>
                    <w:right w:val="none" w:sz="0" w:space="0" w:color="auto"/>
                  </w:divBdr>
                  <w:divsChild>
                    <w:div w:id="325519331">
                      <w:marLeft w:val="0"/>
                      <w:marRight w:val="0"/>
                      <w:marTop w:val="0"/>
                      <w:marBottom w:val="0"/>
                      <w:divBdr>
                        <w:top w:val="none" w:sz="0" w:space="0" w:color="auto"/>
                        <w:left w:val="none" w:sz="0" w:space="0" w:color="auto"/>
                        <w:bottom w:val="none" w:sz="0" w:space="0" w:color="auto"/>
                        <w:right w:val="none" w:sz="0" w:space="0" w:color="auto"/>
                      </w:divBdr>
                    </w:div>
                  </w:divsChild>
                </w:div>
                <w:div w:id="613832136">
                  <w:marLeft w:val="0"/>
                  <w:marRight w:val="0"/>
                  <w:marTop w:val="0"/>
                  <w:marBottom w:val="0"/>
                  <w:divBdr>
                    <w:top w:val="none" w:sz="0" w:space="0" w:color="auto"/>
                    <w:left w:val="none" w:sz="0" w:space="0" w:color="auto"/>
                    <w:bottom w:val="none" w:sz="0" w:space="0" w:color="auto"/>
                    <w:right w:val="none" w:sz="0" w:space="0" w:color="auto"/>
                  </w:divBdr>
                  <w:divsChild>
                    <w:div w:id="1978341555">
                      <w:marLeft w:val="0"/>
                      <w:marRight w:val="0"/>
                      <w:marTop w:val="0"/>
                      <w:marBottom w:val="0"/>
                      <w:divBdr>
                        <w:top w:val="none" w:sz="0" w:space="0" w:color="auto"/>
                        <w:left w:val="none" w:sz="0" w:space="0" w:color="auto"/>
                        <w:bottom w:val="none" w:sz="0" w:space="0" w:color="auto"/>
                        <w:right w:val="none" w:sz="0" w:space="0" w:color="auto"/>
                      </w:divBdr>
                    </w:div>
                  </w:divsChild>
                </w:div>
                <w:div w:id="621693853">
                  <w:marLeft w:val="0"/>
                  <w:marRight w:val="0"/>
                  <w:marTop w:val="0"/>
                  <w:marBottom w:val="0"/>
                  <w:divBdr>
                    <w:top w:val="none" w:sz="0" w:space="0" w:color="auto"/>
                    <w:left w:val="none" w:sz="0" w:space="0" w:color="auto"/>
                    <w:bottom w:val="none" w:sz="0" w:space="0" w:color="auto"/>
                    <w:right w:val="none" w:sz="0" w:space="0" w:color="auto"/>
                  </w:divBdr>
                  <w:divsChild>
                    <w:div w:id="1721703487">
                      <w:marLeft w:val="0"/>
                      <w:marRight w:val="0"/>
                      <w:marTop w:val="0"/>
                      <w:marBottom w:val="0"/>
                      <w:divBdr>
                        <w:top w:val="none" w:sz="0" w:space="0" w:color="auto"/>
                        <w:left w:val="none" w:sz="0" w:space="0" w:color="auto"/>
                        <w:bottom w:val="none" w:sz="0" w:space="0" w:color="auto"/>
                        <w:right w:val="none" w:sz="0" w:space="0" w:color="auto"/>
                      </w:divBdr>
                    </w:div>
                  </w:divsChild>
                </w:div>
                <w:div w:id="629896999">
                  <w:marLeft w:val="0"/>
                  <w:marRight w:val="0"/>
                  <w:marTop w:val="0"/>
                  <w:marBottom w:val="0"/>
                  <w:divBdr>
                    <w:top w:val="none" w:sz="0" w:space="0" w:color="auto"/>
                    <w:left w:val="none" w:sz="0" w:space="0" w:color="auto"/>
                    <w:bottom w:val="none" w:sz="0" w:space="0" w:color="auto"/>
                    <w:right w:val="none" w:sz="0" w:space="0" w:color="auto"/>
                  </w:divBdr>
                  <w:divsChild>
                    <w:div w:id="2077122578">
                      <w:marLeft w:val="0"/>
                      <w:marRight w:val="0"/>
                      <w:marTop w:val="0"/>
                      <w:marBottom w:val="0"/>
                      <w:divBdr>
                        <w:top w:val="none" w:sz="0" w:space="0" w:color="auto"/>
                        <w:left w:val="none" w:sz="0" w:space="0" w:color="auto"/>
                        <w:bottom w:val="none" w:sz="0" w:space="0" w:color="auto"/>
                        <w:right w:val="none" w:sz="0" w:space="0" w:color="auto"/>
                      </w:divBdr>
                    </w:div>
                  </w:divsChild>
                </w:div>
                <w:div w:id="671836768">
                  <w:marLeft w:val="0"/>
                  <w:marRight w:val="0"/>
                  <w:marTop w:val="0"/>
                  <w:marBottom w:val="0"/>
                  <w:divBdr>
                    <w:top w:val="none" w:sz="0" w:space="0" w:color="auto"/>
                    <w:left w:val="none" w:sz="0" w:space="0" w:color="auto"/>
                    <w:bottom w:val="none" w:sz="0" w:space="0" w:color="auto"/>
                    <w:right w:val="none" w:sz="0" w:space="0" w:color="auto"/>
                  </w:divBdr>
                  <w:divsChild>
                    <w:div w:id="1944069567">
                      <w:marLeft w:val="0"/>
                      <w:marRight w:val="0"/>
                      <w:marTop w:val="0"/>
                      <w:marBottom w:val="0"/>
                      <w:divBdr>
                        <w:top w:val="none" w:sz="0" w:space="0" w:color="auto"/>
                        <w:left w:val="none" w:sz="0" w:space="0" w:color="auto"/>
                        <w:bottom w:val="none" w:sz="0" w:space="0" w:color="auto"/>
                        <w:right w:val="none" w:sz="0" w:space="0" w:color="auto"/>
                      </w:divBdr>
                    </w:div>
                  </w:divsChild>
                </w:div>
                <w:div w:id="694231898">
                  <w:marLeft w:val="0"/>
                  <w:marRight w:val="0"/>
                  <w:marTop w:val="0"/>
                  <w:marBottom w:val="0"/>
                  <w:divBdr>
                    <w:top w:val="none" w:sz="0" w:space="0" w:color="auto"/>
                    <w:left w:val="none" w:sz="0" w:space="0" w:color="auto"/>
                    <w:bottom w:val="none" w:sz="0" w:space="0" w:color="auto"/>
                    <w:right w:val="none" w:sz="0" w:space="0" w:color="auto"/>
                  </w:divBdr>
                  <w:divsChild>
                    <w:div w:id="1274097768">
                      <w:marLeft w:val="0"/>
                      <w:marRight w:val="0"/>
                      <w:marTop w:val="0"/>
                      <w:marBottom w:val="0"/>
                      <w:divBdr>
                        <w:top w:val="none" w:sz="0" w:space="0" w:color="auto"/>
                        <w:left w:val="none" w:sz="0" w:space="0" w:color="auto"/>
                        <w:bottom w:val="none" w:sz="0" w:space="0" w:color="auto"/>
                        <w:right w:val="none" w:sz="0" w:space="0" w:color="auto"/>
                      </w:divBdr>
                    </w:div>
                  </w:divsChild>
                </w:div>
                <w:div w:id="706182135">
                  <w:marLeft w:val="0"/>
                  <w:marRight w:val="0"/>
                  <w:marTop w:val="0"/>
                  <w:marBottom w:val="0"/>
                  <w:divBdr>
                    <w:top w:val="none" w:sz="0" w:space="0" w:color="auto"/>
                    <w:left w:val="none" w:sz="0" w:space="0" w:color="auto"/>
                    <w:bottom w:val="none" w:sz="0" w:space="0" w:color="auto"/>
                    <w:right w:val="none" w:sz="0" w:space="0" w:color="auto"/>
                  </w:divBdr>
                  <w:divsChild>
                    <w:div w:id="552277862">
                      <w:marLeft w:val="0"/>
                      <w:marRight w:val="0"/>
                      <w:marTop w:val="0"/>
                      <w:marBottom w:val="0"/>
                      <w:divBdr>
                        <w:top w:val="none" w:sz="0" w:space="0" w:color="auto"/>
                        <w:left w:val="none" w:sz="0" w:space="0" w:color="auto"/>
                        <w:bottom w:val="none" w:sz="0" w:space="0" w:color="auto"/>
                        <w:right w:val="none" w:sz="0" w:space="0" w:color="auto"/>
                      </w:divBdr>
                    </w:div>
                  </w:divsChild>
                </w:div>
                <w:div w:id="777023878">
                  <w:marLeft w:val="0"/>
                  <w:marRight w:val="0"/>
                  <w:marTop w:val="0"/>
                  <w:marBottom w:val="0"/>
                  <w:divBdr>
                    <w:top w:val="none" w:sz="0" w:space="0" w:color="auto"/>
                    <w:left w:val="none" w:sz="0" w:space="0" w:color="auto"/>
                    <w:bottom w:val="none" w:sz="0" w:space="0" w:color="auto"/>
                    <w:right w:val="none" w:sz="0" w:space="0" w:color="auto"/>
                  </w:divBdr>
                  <w:divsChild>
                    <w:div w:id="573589620">
                      <w:marLeft w:val="0"/>
                      <w:marRight w:val="0"/>
                      <w:marTop w:val="0"/>
                      <w:marBottom w:val="0"/>
                      <w:divBdr>
                        <w:top w:val="none" w:sz="0" w:space="0" w:color="auto"/>
                        <w:left w:val="none" w:sz="0" w:space="0" w:color="auto"/>
                        <w:bottom w:val="none" w:sz="0" w:space="0" w:color="auto"/>
                        <w:right w:val="none" w:sz="0" w:space="0" w:color="auto"/>
                      </w:divBdr>
                    </w:div>
                  </w:divsChild>
                </w:div>
                <w:div w:id="785546543">
                  <w:marLeft w:val="0"/>
                  <w:marRight w:val="0"/>
                  <w:marTop w:val="0"/>
                  <w:marBottom w:val="0"/>
                  <w:divBdr>
                    <w:top w:val="none" w:sz="0" w:space="0" w:color="auto"/>
                    <w:left w:val="none" w:sz="0" w:space="0" w:color="auto"/>
                    <w:bottom w:val="none" w:sz="0" w:space="0" w:color="auto"/>
                    <w:right w:val="none" w:sz="0" w:space="0" w:color="auto"/>
                  </w:divBdr>
                  <w:divsChild>
                    <w:div w:id="1930699419">
                      <w:marLeft w:val="0"/>
                      <w:marRight w:val="0"/>
                      <w:marTop w:val="0"/>
                      <w:marBottom w:val="0"/>
                      <w:divBdr>
                        <w:top w:val="none" w:sz="0" w:space="0" w:color="auto"/>
                        <w:left w:val="none" w:sz="0" w:space="0" w:color="auto"/>
                        <w:bottom w:val="none" w:sz="0" w:space="0" w:color="auto"/>
                        <w:right w:val="none" w:sz="0" w:space="0" w:color="auto"/>
                      </w:divBdr>
                    </w:div>
                  </w:divsChild>
                </w:div>
                <w:div w:id="804858067">
                  <w:marLeft w:val="0"/>
                  <w:marRight w:val="0"/>
                  <w:marTop w:val="0"/>
                  <w:marBottom w:val="0"/>
                  <w:divBdr>
                    <w:top w:val="none" w:sz="0" w:space="0" w:color="auto"/>
                    <w:left w:val="none" w:sz="0" w:space="0" w:color="auto"/>
                    <w:bottom w:val="none" w:sz="0" w:space="0" w:color="auto"/>
                    <w:right w:val="none" w:sz="0" w:space="0" w:color="auto"/>
                  </w:divBdr>
                  <w:divsChild>
                    <w:div w:id="1185755381">
                      <w:marLeft w:val="0"/>
                      <w:marRight w:val="0"/>
                      <w:marTop w:val="0"/>
                      <w:marBottom w:val="0"/>
                      <w:divBdr>
                        <w:top w:val="none" w:sz="0" w:space="0" w:color="auto"/>
                        <w:left w:val="none" w:sz="0" w:space="0" w:color="auto"/>
                        <w:bottom w:val="none" w:sz="0" w:space="0" w:color="auto"/>
                        <w:right w:val="none" w:sz="0" w:space="0" w:color="auto"/>
                      </w:divBdr>
                    </w:div>
                  </w:divsChild>
                </w:div>
                <w:div w:id="814881261">
                  <w:marLeft w:val="0"/>
                  <w:marRight w:val="0"/>
                  <w:marTop w:val="0"/>
                  <w:marBottom w:val="0"/>
                  <w:divBdr>
                    <w:top w:val="none" w:sz="0" w:space="0" w:color="auto"/>
                    <w:left w:val="none" w:sz="0" w:space="0" w:color="auto"/>
                    <w:bottom w:val="none" w:sz="0" w:space="0" w:color="auto"/>
                    <w:right w:val="none" w:sz="0" w:space="0" w:color="auto"/>
                  </w:divBdr>
                  <w:divsChild>
                    <w:div w:id="322663286">
                      <w:marLeft w:val="0"/>
                      <w:marRight w:val="0"/>
                      <w:marTop w:val="0"/>
                      <w:marBottom w:val="0"/>
                      <w:divBdr>
                        <w:top w:val="none" w:sz="0" w:space="0" w:color="auto"/>
                        <w:left w:val="none" w:sz="0" w:space="0" w:color="auto"/>
                        <w:bottom w:val="none" w:sz="0" w:space="0" w:color="auto"/>
                        <w:right w:val="none" w:sz="0" w:space="0" w:color="auto"/>
                      </w:divBdr>
                    </w:div>
                  </w:divsChild>
                </w:div>
                <w:div w:id="815102537">
                  <w:marLeft w:val="0"/>
                  <w:marRight w:val="0"/>
                  <w:marTop w:val="0"/>
                  <w:marBottom w:val="0"/>
                  <w:divBdr>
                    <w:top w:val="none" w:sz="0" w:space="0" w:color="auto"/>
                    <w:left w:val="none" w:sz="0" w:space="0" w:color="auto"/>
                    <w:bottom w:val="none" w:sz="0" w:space="0" w:color="auto"/>
                    <w:right w:val="none" w:sz="0" w:space="0" w:color="auto"/>
                  </w:divBdr>
                  <w:divsChild>
                    <w:div w:id="1857425560">
                      <w:marLeft w:val="0"/>
                      <w:marRight w:val="0"/>
                      <w:marTop w:val="0"/>
                      <w:marBottom w:val="0"/>
                      <w:divBdr>
                        <w:top w:val="none" w:sz="0" w:space="0" w:color="auto"/>
                        <w:left w:val="none" w:sz="0" w:space="0" w:color="auto"/>
                        <w:bottom w:val="none" w:sz="0" w:space="0" w:color="auto"/>
                        <w:right w:val="none" w:sz="0" w:space="0" w:color="auto"/>
                      </w:divBdr>
                    </w:div>
                  </w:divsChild>
                </w:div>
                <w:div w:id="876741326">
                  <w:marLeft w:val="0"/>
                  <w:marRight w:val="0"/>
                  <w:marTop w:val="0"/>
                  <w:marBottom w:val="0"/>
                  <w:divBdr>
                    <w:top w:val="none" w:sz="0" w:space="0" w:color="auto"/>
                    <w:left w:val="none" w:sz="0" w:space="0" w:color="auto"/>
                    <w:bottom w:val="none" w:sz="0" w:space="0" w:color="auto"/>
                    <w:right w:val="none" w:sz="0" w:space="0" w:color="auto"/>
                  </w:divBdr>
                  <w:divsChild>
                    <w:div w:id="1628318701">
                      <w:marLeft w:val="0"/>
                      <w:marRight w:val="0"/>
                      <w:marTop w:val="0"/>
                      <w:marBottom w:val="0"/>
                      <w:divBdr>
                        <w:top w:val="none" w:sz="0" w:space="0" w:color="auto"/>
                        <w:left w:val="none" w:sz="0" w:space="0" w:color="auto"/>
                        <w:bottom w:val="none" w:sz="0" w:space="0" w:color="auto"/>
                        <w:right w:val="none" w:sz="0" w:space="0" w:color="auto"/>
                      </w:divBdr>
                    </w:div>
                  </w:divsChild>
                </w:div>
                <w:div w:id="910042295">
                  <w:marLeft w:val="0"/>
                  <w:marRight w:val="0"/>
                  <w:marTop w:val="0"/>
                  <w:marBottom w:val="0"/>
                  <w:divBdr>
                    <w:top w:val="none" w:sz="0" w:space="0" w:color="auto"/>
                    <w:left w:val="none" w:sz="0" w:space="0" w:color="auto"/>
                    <w:bottom w:val="none" w:sz="0" w:space="0" w:color="auto"/>
                    <w:right w:val="none" w:sz="0" w:space="0" w:color="auto"/>
                  </w:divBdr>
                  <w:divsChild>
                    <w:div w:id="294719607">
                      <w:marLeft w:val="0"/>
                      <w:marRight w:val="0"/>
                      <w:marTop w:val="0"/>
                      <w:marBottom w:val="0"/>
                      <w:divBdr>
                        <w:top w:val="none" w:sz="0" w:space="0" w:color="auto"/>
                        <w:left w:val="none" w:sz="0" w:space="0" w:color="auto"/>
                        <w:bottom w:val="none" w:sz="0" w:space="0" w:color="auto"/>
                        <w:right w:val="none" w:sz="0" w:space="0" w:color="auto"/>
                      </w:divBdr>
                    </w:div>
                  </w:divsChild>
                </w:div>
                <w:div w:id="982463634">
                  <w:marLeft w:val="0"/>
                  <w:marRight w:val="0"/>
                  <w:marTop w:val="0"/>
                  <w:marBottom w:val="0"/>
                  <w:divBdr>
                    <w:top w:val="none" w:sz="0" w:space="0" w:color="auto"/>
                    <w:left w:val="none" w:sz="0" w:space="0" w:color="auto"/>
                    <w:bottom w:val="none" w:sz="0" w:space="0" w:color="auto"/>
                    <w:right w:val="none" w:sz="0" w:space="0" w:color="auto"/>
                  </w:divBdr>
                  <w:divsChild>
                    <w:div w:id="1844002795">
                      <w:marLeft w:val="0"/>
                      <w:marRight w:val="0"/>
                      <w:marTop w:val="0"/>
                      <w:marBottom w:val="0"/>
                      <w:divBdr>
                        <w:top w:val="none" w:sz="0" w:space="0" w:color="auto"/>
                        <w:left w:val="none" w:sz="0" w:space="0" w:color="auto"/>
                        <w:bottom w:val="none" w:sz="0" w:space="0" w:color="auto"/>
                        <w:right w:val="none" w:sz="0" w:space="0" w:color="auto"/>
                      </w:divBdr>
                    </w:div>
                  </w:divsChild>
                </w:div>
                <w:div w:id="984357766">
                  <w:marLeft w:val="0"/>
                  <w:marRight w:val="0"/>
                  <w:marTop w:val="0"/>
                  <w:marBottom w:val="0"/>
                  <w:divBdr>
                    <w:top w:val="none" w:sz="0" w:space="0" w:color="auto"/>
                    <w:left w:val="none" w:sz="0" w:space="0" w:color="auto"/>
                    <w:bottom w:val="none" w:sz="0" w:space="0" w:color="auto"/>
                    <w:right w:val="none" w:sz="0" w:space="0" w:color="auto"/>
                  </w:divBdr>
                  <w:divsChild>
                    <w:div w:id="1870410717">
                      <w:marLeft w:val="0"/>
                      <w:marRight w:val="0"/>
                      <w:marTop w:val="0"/>
                      <w:marBottom w:val="0"/>
                      <w:divBdr>
                        <w:top w:val="none" w:sz="0" w:space="0" w:color="auto"/>
                        <w:left w:val="none" w:sz="0" w:space="0" w:color="auto"/>
                        <w:bottom w:val="none" w:sz="0" w:space="0" w:color="auto"/>
                        <w:right w:val="none" w:sz="0" w:space="0" w:color="auto"/>
                      </w:divBdr>
                    </w:div>
                  </w:divsChild>
                </w:div>
                <w:div w:id="991830584">
                  <w:marLeft w:val="0"/>
                  <w:marRight w:val="0"/>
                  <w:marTop w:val="0"/>
                  <w:marBottom w:val="0"/>
                  <w:divBdr>
                    <w:top w:val="none" w:sz="0" w:space="0" w:color="auto"/>
                    <w:left w:val="none" w:sz="0" w:space="0" w:color="auto"/>
                    <w:bottom w:val="none" w:sz="0" w:space="0" w:color="auto"/>
                    <w:right w:val="none" w:sz="0" w:space="0" w:color="auto"/>
                  </w:divBdr>
                  <w:divsChild>
                    <w:div w:id="1082292724">
                      <w:marLeft w:val="0"/>
                      <w:marRight w:val="0"/>
                      <w:marTop w:val="0"/>
                      <w:marBottom w:val="0"/>
                      <w:divBdr>
                        <w:top w:val="none" w:sz="0" w:space="0" w:color="auto"/>
                        <w:left w:val="none" w:sz="0" w:space="0" w:color="auto"/>
                        <w:bottom w:val="none" w:sz="0" w:space="0" w:color="auto"/>
                        <w:right w:val="none" w:sz="0" w:space="0" w:color="auto"/>
                      </w:divBdr>
                    </w:div>
                  </w:divsChild>
                </w:div>
                <w:div w:id="991955749">
                  <w:marLeft w:val="0"/>
                  <w:marRight w:val="0"/>
                  <w:marTop w:val="0"/>
                  <w:marBottom w:val="0"/>
                  <w:divBdr>
                    <w:top w:val="none" w:sz="0" w:space="0" w:color="auto"/>
                    <w:left w:val="none" w:sz="0" w:space="0" w:color="auto"/>
                    <w:bottom w:val="none" w:sz="0" w:space="0" w:color="auto"/>
                    <w:right w:val="none" w:sz="0" w:space="0" w:color="auto"/>
                  </w:divBdr>
                  <w:divsChild>
                    <w:div w:id="245195020">
                      <w:marLeft w:val="0"/>
                      <w:marRight w:val="0"/>
                      <w:marTop w:val="0"/>
                      <w:marBottom w:val="0"/>
                      <w:divBdr>
                        <w:top w:val="none" w:sz="0" w:space="0" w:color="auto"/>
                        <w:left w:val="none" w:sz="0" w:space="0" w:color="auto"/>
                        <w:bottom w:val="none" w:sz="0" w:space="0" w:color="auto"/>
                        <w:right w:val="none" w:sz="0" w:space="0" w:color="auto"/>
                      </w:divBdr>
                    </w:div>
                  </w:divsChild>
                </w:div>
                <w:div w:id="1016930762">
                  <w:marLeft w:val="0"/>
                  <w:marRight w:val="0"/>
                  <w:marTop w:val="0"/>
                  <w:marBottom w:val="0"/>
                  <w:divBdr>
                    <w:top w:val="none" w:sz="0" w:space="0" w:color="auto"/>
                    <w:left w:val="none" w:sz="0" w:space="0" w:color="auto"/>
                    <w:bottom w:val="none" w:sz="0" w:space="0" w:color="auto"/>
                    <w:right w:val="none" w:sz="0" w:space="0" w:color="auto"/>
                  </w:divBdr>
                  <w:divsChild>
                    <w:div w:id="112988022">
                      <w:marLeft w:val="0"/>
                      <w:marRight w:val="0"/>
                      <w:marTop w:val="0"/>
                      <w:marBottom w:val="0"/>
                      <w:divBdr>
                        <w:top w:val="none" w:sz="0" w:space="0" w:color="auto"/>
                        <w:left w:val="none" w:sz="0" w:space="0" w:color="auto"/>
                        <w:bottom w:val="none" w:sz="0" w:space="0" w:color="auto"/>
                        <w:right w:val="none" w:sz="0" w:space="0" w:color="auto"/>
                      </w:divBdr>
                    </w:div>
                  </w:divsChild>
                </w:div>
                <w:div w:id="1037579789">
                  <w:marLeft w:val="0"/>
                  <w:marRight w:val="0"/>
                  <w:marTop w:val="0"/>
                  <w:marBottom w:val="0"/>
                  <w:divBdr>
                    <w:top w:val="none" w:sz="0" w:space="0" w:color="auto"/>
                    <w:left w:val="none" w:sz="0" w:space="0" w:color="auto"/>
                    <w:bottom w:val="none" w:sz="0" w:space="0" w:color="auto"/>
                    <w:right w:val="none" w:sz="0" w:space="0" w:color="auto"/>
                  </w:divBdr>
                  <w:divsChild>
                    <w:div w:id="1326055659">
                      <w:marLeft w:val="0"/>
                      <w:marRight w:val="0"/>
                      <w:marTop w:val="0"/>
                      <w:marBottom w:val="0"/>
                      <w:divBdr>
                        <w:top w:val="none" w:sz="0" w:space="0" w:color="auto"/>
                        <w:left w:val="none" w:sz="0" w:space="0" w:color="auto"/>
                        <w:bottom w:val="none" w:sz="0" w:space="0" w:color="auto"/>
                        <w:right w:val="none" w:sz="0" w:space="0" w:color="auto"/>
                      </w:divBdr>
                    </w:div>
                  </w:divsChild>
                </w:div>
                <w:div w:id="1051541675">
                  <w:marLeft w:val="0"/>
                  <w:marRight w:val="0"/>
                  <w:marTop w:val="0"/>
                  <w:marBottom w:val="0"/>
                  <w:divBdr>
                    <w:top w:val="none" w:sz="0" w:space="0" w:color="auto"/>
                    <w:left w:val="none" w:sz="0" w:space="0" w:color="auto"/>
                    <w:bottom w:val="none" w:sz="0" w:space="0" w:color="auto"/>
                    <w:right w:val="none" w:sz="0" w:space="0" w:color="auto"/>
                  </w:divBdr>
                  <w:divsChild>
                    <w:div w:id="492374835">
                      <w:marLeft w:val="0"/>
                      <w:marRight w:val="0"/>
                      <w:marTop w:val="0"/>
                      <w:marBottom w:val="0"/>
                      <w:divBdr>
                        <w:top w:val="none" w:sz="0" w:space="0" w:color="auto"/>
                        <w:left w:val="none" w:sz="0" w:space="0" w:color="auto"/>
                        <w:bottom w:val="none" w:sz="0" w:space="0" w:color="auto"/>
                        <w:right w:val="none" w:sz="0" w:space="0" w:color="auto"/>
                      </w:divBdr>
                    </w:div>
                  </w:divsChild>
                </w:div>
                <w:div w:id="1052660306">
                  <w:marLeft w:val="0"/>
                  <w:marRight w:val="0"/>
                  <w:marTop w:val="0"/>
                  <w:marBottom w:val="0"/>
                  <w:divBdr>
                    <w:top w:val="none" w:sz="0" w:space="0" w:color="auto"/>
                    <w:left w:val="none" w:sz="0" w:space="0" w:color="auto"/>
                    <w:bottom w:val="none" w:sz="0" w:space="0" w:color="auto"/>
                    <w:right w:val="none" w:sz="0" w:space="0" w:color="auto"/>
                  </w:divBdr>
                  <w:divsChild>
                    <w:div w:id="670791483">
                      <w:marLeft w:val="0"/>
                      <w:marRight w:val="0"/>
                      <w:marTop w:val="0"/>
                      <w:marBottom w:val="0"/>
                      <w:divBdr>
                        <w:top w:val="none" w:sz="0" w:space="0" w:color="auto"/>
                        <w:left w:val="none" w:sz="0" w:space="0" w:color="auto"/>
                        <w:bottom w:val="none" w:sz="0" w:space="0" w:color="auto"/>
                        <w:right w:val="none" w:sz="0" w:space="0" w:color="auto"/>
                      </w:divBdr>
                    </w:div>
                  </w:divsChild>
                </w:div>
                <w:div w:id="1115712466">
                  <w:marLeft w:val="0"/>
                  <w:marRight w:val="0"/>
                  <w:marTop w:val="0"/>
                  <w:marBottom w:val="0"/>
                  <w:divBdr>
                    <w:top w:val="none" w:sz="0" w:space="0" w:color="auto"/>
                    <w:left w:val="none" w:sz="0" w:space="0" w:color="auto"/>
                    <w:bottom w:val="none" w:sz="0" w:space="0" w:color="auto"/>
                    <w:right w:val="none" w:sz="0" w:space="0" w:color="auto"/>
                  </w:divBdr>
                  <w:divsChild>
                    <w:div w:id="577596061">
                      <w:marLeft w:val="0"/>
                      <w:marRight w:val="0"/>
                      <w:marTop w:val="0"/>
                      <w:marBottom w:val="0"/>
                      <w:divBdr>
                        <w:top w:val="none" w:sz="0" w:space="0" w:color="auto"/>
                        <w:left w:val="none" w:sz="0" w:space="0" w:color="auto"/>
                        <w:bottom w:val="none" w:sz="0" w:space="0" w:color="auto"/>
                        <w:right w:val="none" w:sz="0" w:space="0" w:color="auto"/>
                      </w:divBdr>
                    </w:div>
                  </w:divsChild>
                </w:div>
                <w:div w:id="1171070710">
                  <w:marLeft w:val="0"/>
                  <w:marRight w:val="0"/>
                  <w:marTop w:val="0"/>
                  <w:marBottom w:val="0"/>
                  <w:divBdr>
                    <w:top w:val="none" w:sz="0" w:space="0" w:color="auto"/>
                    <w:left w:val="none" w:sz="0" w:space="0" w:color="auto"/>
                    <w:bottom w:val="none" w:sz="0" w:space="0" w:color="auto"/>
                    <w:right w:val="none" w:sz="0" w:space="0" w:color="auto"/>
                  </w:divBdr>
                  <w:divsChild>
                    <w:div w:id="953485047">
                      <w:marLeft w:val="0"/>
                      <w:marRight w:val="0"/>
                      <w:marTop w:val="0"/>
                      <w:marBottom w:val="0"/>
                      <w:divBdr>
                        <w:top w:val="none" w:sz="0" w:space="0" w:color="auto"/>
                        <w:left w:val="none" w:sz="0" w:space="0" w:color="auto"/>
                        <w:bottom w:val="none" w:sz="0" w:space="0" w:color="auto"/>
                        <w:right w:val="none" w:sz="0" w:space="0" w:color="auto"/>
                      </w:divBdr>
                    </w:div>
                  </w:divsChild>
                </w:div>
                <w:div w:id="1177882865">
                  <w:marLeft w:val="0"/>
                  <w:marRight w:val="0"/>
                  <w:marTop w:val="0"/>
                  <w:marBottom w:val="0"/>
                  <w:divBdr>
                    <w:top w:val="none" w:sz="0" w:space="0" w:color="auto"/>
                    <w:left w:val="none" w:sz="0" w:space="0" w:color="auto"/>
                    <w:bottom w:val="none" w:sz="0" w:space="0" w:color="auto"/>
                    <w:right w:val="none" w:sz="0" w:space="0" w:color="auto"/>
                  </w:divBdr>
                  <w:divsChild>
                    <w:div w:id="1469590886">
                      <w:marLeft w:val="0"/>
                      <w:marRight w:val="0"/>
                      <w:marTop w:val="0"/>
                      <w:marBottom w:val="0"/>
                      <w:divBdr>
                        <w:top w:val="none" w:sz="0" w:space="0" w:color="auto"/>
                        <w:left w:val="none" w:sz="0" w:space="0" w:color="auto"/>
                        <w:bottom w:val="none" w:sz="0" w:space="0" w:color="auto"/>
                        <w:right w:val="none" w:sz="0" w:space="0" w:color="auto"/>
                      </w:divBdr>
                    </w:div>
                  </w:divsChild>
                </w:div>
                <w:div w:id="1180319336">
                  <w:marLeft w:val="0"/>
                  <w:marRight w:val="0"/>
                  <w:marTop w:val="0"/>
                  <w:marBottom w:val="0"/>
                  <w:divBdr>
                    <w:top w:val="none" w:sz="0" w:space="0" w:color="auto"/>
                    <w:left w:val="none" w:sz="0" w:space="0" w:color="auto"/>
                    <w:bottom w:val="none" w:sz="0" w:space="0" w:color="auto"/>
                    <w:right w:val="none" w:sz="0" w:space="0" w:color="auto"/>
                  </w:divBdr>
                  <w:divsChild>
                    <w:div w:id="6834690">
                      <w:marLeft w:val="0"/>
                      <w:marRight w:val="0"/>
                      <w:marTop w:val="0"/>
                      <w:marBottom w:val="0"/>
                      <w:divBdr>
                        <w:top w:val="none" w:sz="0" w:space="0" w:color="auto"/>
                        <w:left w:val="none" w:sz="0" w:space="0" w:color="auto"/>
                        <w:bottom w:val="none" w:sz="0" w:space="0" w:color="auto"/>
                        <w:right w:val="none" w:sz="0" w:space="0" w:color="auto"/>
                      </w:divBdr>
                    </w:div>
                  </w:divsChild>
                </w:div>
                <w:div w:id="1203977526">
                  <w:marLeft w:val="0"/>
                  <w:marRight w:val="0"/>
                  <w:marTop w:val="0"/>
                  <w:marBottom w:val="0"/>
                  <w:divBdr>
                    <w:top w:val="none" w:sz="0" w:space="0" w:color="auto"/>
                    <w:left w:val="none" w:sz="0" w:space="0" w:color="auto"/>
                    <w:bottom w:val="none" w:sz="0" w:space="0" w:color="auto"/>
                    <w:right w:val="none" w:sz="0" w:space="0" w:color="auto"/>
                  </w:divBdr>
                  <w:divsChild>
                    <w:div w:id="1912425749">
                      <w:marLeft w:val="0"/>
                      <w:marRight w:val="0"/>
                      <w:marTop w:val="0"/>
                      <w:marBottom w:val="0"/>
                      <w:divBdr>
                        <w:top w:val="none" w:sz="0" w:space="0" w:color="auto"/>
                        <w:left w:val="none" w:sz="0" w:space="0" w:color="auto"/>
                        <w:bottom w:val="none" w:sz="0" w:space="0" w:color="auto"/>
                        <w:right w:val="none" w:sz="0" w:space="0" w:color="auto"/>
                      </w:divBdr>
                    </w:div>
                  </w:divsChild>
                </w:div>
                <w:div w:id="1209489424">
                  <w:marLeft w:val="0"/>
                  <w:marRight w:val="0"/>
                  <w:marTop w:val="0"/>
                  <w:marBottom w:val="0"/>
                  <w:divBdr>
                    <w:top w:val="none" w:sz="0" w:space="0" w:color="auto"/>
                    <w:left w:val="none" w:sz="0" w:space="0" w:color="auto"/>
                    <w:bottom w:val="none" w:sz="0" w:space="0" w:color="auto"/>
                    <w:right w:val="none" w:sz="0" w:space="0" w:color="auto"/>
                  </w:divBdr>
                  <w:divsChild>
                    <w:div w:id="1395932126">
                      <w:marLeft w:val="0"/>
                      <w:marRight w:val="0"/>
                      <w:marTop w:val="0"/>
                      <w:marBottom w:val="0"/>
                      <w:divBdr>
                        <w:top w:val="none" w:sz="0" w:space="0" w:color="auto"/>
                        <w:left w:val="none" w:sz="0" w:space="0" w:color="auto"/>
                        <w:bottom w:val="none" w:sz="0" w:space="0" w:color="auto"/>
                        <w:right w:val="none" w:sz="0" w:space="0" w:color="auto"/>
                      </w:divBdr>
                    </w:div>
                  </w:divsChild>
                </w:div>
                <w:div w:id="1229221938">
                  <w:marLeft w:val="0"/>
                  <w:marRight w:val="0"/>
                  <w:marTop w:val="0"/>
                  <w:marBottom w:val="0"/>
                  <w:divBdr>
                    <w:top w:val="none" w:sz="0" w:space="0" w:color="auto"/>
                    <w:left w:val="none" w:sz="0" w:space="0" w:color="auto"/>
                    <w:bottom w:val="none" w:sz="0" w:space="0" w:color="auto"/>
                    <w:right w:val="none" w:sz="0" w:space="0" w:color="auto"/>
                  </w:divBdr>
                  <w:divsChild>
                    <w:div w:id="451436512">
                      <w:marLeft w:val="0"/>
                      <w:marRight w:val="0"/>
                      <w:marTop w:val="0"/>
                      <w:marBottom w:val="0"/>
                      <w:divBdr>
                        <w:top w:val="none" w:sz="0" w:space="0" w:color="auto"/>
                        <w:left w:val="none" w:sz="0" w:space="0" w:color="auto"/>
                        <w:bottom w:val="none" w:sz="0" w:space="0" w:color="auto"/>
                        <w:right w:val="none" w:sz="0" w:space="0" w:color="auto"/>
                      </w:divBdr>
                    </w:div>
                  </w:divsChild>
                </w:div>
                <w:div w:id="1235237655">
                  <w:marLeft w:val="0"/>
                  <w:marRight w:val="0"/>
                  <w:marTop w:val="0"/>
                  <w:marBottom w:val="0"/>
                  <w:divBdr>
                    <w:top w:val="none" w:sz="0" w:space="0" w:color="auto"/>
                    <w:left w:val="none" w:sz="0" w:space="0" w:color="auto"/>
                    <w:bottom w:val="none" w:sz="0" w:space="0" w:color="auto"/>
                    <w:right w:val="none" w:sz="0" w:space="0" w:color="auto"/>
                  </w:divBdr>
                  <w:divsChild>
                    <w:div w:id="1469515408">
                      <w:marLeft w:val="0"/>
                      <w:marRight w:val="0"/>
                      <w:marTop w:val="0"/>
                      <w:marBottom w:val="0"/>
                      <w:divBdr>
                        <w:top w:val="none" w:sz="0" w:space="0" w:color="auto"/>
                        <w:left w:val="none" w:sz="0" w:space="0" w:color="auto"/>
                        <w:bottom w:val="none" w:sz="0" w:space="0" w:color="auto"/>
                        <w:right w:val="none" w:sz="0" w:space="0" w:color="auto"/>
                      </w:divBdr>
                    </w:div>
                  </w:divsChild>
                </w:div>
                <w:div w:id="1254050795">
                  <w:marLeft w:val="0"/>
                  <w:marRight w:val="0"/>
                  <w:marTop w:val="0"/>
                  <w:marBottom w:val="0"/>
                  <w:divBdr>
                    <w:top w:val="none" w:sz="0" w:space="0" w:color="auto"/>
                    <w:left w:val="none" w:sz="0" w:space="0" w:color="auto"/>
                    <w:bottom w:val="none" w:sz="0" w:space="0" w:color="auto"/>
                    <w:right w:val="none" w:sz="0" w:space="0" w:color="auto"/>
                  </w:divBdr>
                  <w:divsChild>
                    <w:div w:id="723480315">
                      <w:marLeft w:val="0"/>
                      <w:marRight w:val="0"/>
                      <w:marTop w:val="0"/>
                      <w:marBottom w:val="0"/>
                      <w:divBdr>
                        <w:top w:val="none" w:sz="0" w:space="0" w:color="auto"/>
                        <w:left w:val="none" w:sz="0" w:space="0" w:color="auto"/>
                        <w:bottom w:val="none" w:sz="0" w:space="0" w:color="auto"/>
                        <w:right w:val="none" w:sz="0" w:space="0" w:color="auto"/>
                      </w:divBdr>
                    </w:div>
                  </w:divsChild>
                </w:div>
                <w:div w:id="1257127817">
                  <w:marLeft w:val="0"/>
                  <w:marRight w:val="0"/>
                  <w:marTop w:val="0"/>
                  <w:marBottom w:val="0"/>
                  <w:divBdr>
                    <w:top w:val="none" w:sz="0" w:space="0" w:color="auto"/>
                    <w:left w:val="none" w:sz="0" w:space="0" w:color="auto"/>
                    <w:bottom w:val="none" w:sz="0" w:space="0" w:color="auto"/>
                    <w:right w:val="none" w:sz="0" w:space="0" w:color="auto"/>
                  </w:divBdr>
                  <w:divsChild>
                    <w:div w:id="1900558735">
                      <w:marLeft w:val="0"/>
                      <w:marRight w:val="0"/>
                      <w:marTop w:val="0"/>
                      <w:marBottom w:val="0"/>
                      <w:divBdr>
                        <w:top w:val="none" w:sz="0" w:space="0" w:color="auto"/>
                        <w:left w:val="none" w:sz="0" w:space="0" w:color="auto"/>
                        <w:bottom w:val="none" w:sz="0" w:space="0" w:color="auto"/>
                        <w:right w:val="none" w:sz="0" w:space="0" w:color="auto"/>
                      </w:divBdr>
                    </w:div>
                  </w:divsChild>
                </w:div>
                <w:div w:id="1258755222">
                  <w:marLeft w:val="0"/>
                  <w:marRight w:val="0"/>
                  <w:marTop w:val="0"/>
                  <w:marBottom w:val="0"/>
                  <w:divBdr>
                    <w:top w:val="none" w:sz="0" w:space="0" w:color="auto"/>
                    <w:left w:val="none" w:sz="0" w:space="0" w:color="auto"/>
                    <w:bottom w:val="none" w:sz="0" w:space="0" w:color="auto"/>
                    <w:right w:val="none" w:sz="0" w:space="0" w:color="auto"/>
                  </w:divBdr>
                  <w:divsChild>
                    <w:div w:id="1804618766">
                      <w:marLeft w:val="0"/>
                      <w:marRight w:val="0"/>
                      <w:marTop w:val="0"/>
                      <w:marBottom w:val="0"/>
                      <w:divBdr>
                        <w:top w:val="none" w:sz="0" w:space="0" w:color="auto"/>
                        <w:left w:val="none" w:sz="0" w:space="0" w:color="auto"/>
                        <w:bottom w:val="none" w:sz="0" w:space="0" w:color="auto"/>
                        <w:right w:val="none" w:sz="0" w:space="0" w:color="auto"/>
                      </w:divBdr>
                    </w:div>
                  </w:divsChild>
                </w:div>
                <w:div w:id="1279721554">
                  <w:marLeft w:val="0"/>
                  <w:marRight w:val="0"/>
                  <w:marTop w:val="0"/>
                  <w:marBottom w:val="0"/>
                  <w:divBdr>
                    <w:top w:val="none" w:sz="0" w:space="0" w:color="auto"/>
                    <w:left w:val="none" w:sz="0" w:space="0" w:color="auto"/>
                    <w:bottom w:val="none" w:sz="0" w:space="0" w:color="auto"/>
                    <w:right w:val="none" w:sz="0" w:space="0" w:color="auto"/>
                  </w:divBdr>
                  <w:divsChild>
                    <w:div w:id="822235961">
                      <w:marLeft w:val="0"/>
                      <w:marRight w:val="0"/>
                      <w:marTop w:val="0"/>
                      <w:marBottom w:val="0"/>
                      <w:divBdr>
                        <w:top w:val="none" w:sz="0" w:space="0" w:color="auto"/>
                        <w:left w:val="none" w:sz="0" w:space="0" w:color="auto"/>
                        <w:bottom w:val="none" w:sz="0" w:space="0" w:color="auto"/>
                        <w:right w:val="none" w:sz="0" w:space="0" w:color="auto"/>
                      </w:divBdr>
                    </w:div>
                  </w:divsChild>
                </w:div>
                <w:div w:id="1295065286">
                  <w:marLeft w:val="0"/>
                  <w:marRight w:val="0"/>
                  <w:marTop w:val="0"/>
                  <w:marBottom w:val="0"/>
                  <w:divBdr>
                    <w:top w:val="none" w:sz="0" w:space="0" w:color="auto"/>
                    <w:left w:val="none" w:sz="0" w:space="0" w:color="auto"/>
                    <w:bottom w:val="none" w:sz="0" w:space="0" w:color="auto"/>
                    <w:right w:val="none" w:sz="0" w:space="0" w:color="auto"/>
                  </w:divBdr>
                  <w:divsChild>
                    <w:div w:id="430317212">
                      <w:marLeft w:val="0"/>
                      <w:marRight w:val="0"/>
                      <w:marTop w:val="0"/>
                      <w:marBottom w:val="0"/>
                      <w:divBdr>
                        <w:top w:val="none" w:sz="0" w:space="0" w:color="auto"/>
                        <w:left w:val="none" w:sz="0" w:space="0" w:color="auto"/>
                        <w:bottom w:val="none" w:sz="0" w:space="0" w:color="auto"/>
                        <w:right w:val="none" w:sz="0" w:space="0" w:color="auto"/>
                      </w:divBdr>
                    </w:div>
                  </w:divsChild>
                </w:div>
                <w:div w:id="1296059923">
                  <w:marLeft w:val="0"/>
                  <w:marRight w:val="0"/>
                  <w:marTop w:val="0"/>
                  <w:marBottom w:val="0"/>
                  <w:divBdr>
                    <w:top w:val="none" w:sz="0" w:space="0" w:color="auto"/>
                    <w:left w:val="none" w:sz="0" w:space="0" w:color="auto"/>
                    <w:bottom w:val="none" w:sz="0" w:space="0" w:color="auto"/>
                    <w:right w:val="none" w:sz="0" w:space="0" w:color="auto"/>
                  </w:divBdr>
                  <w:divsChild>
                    <w:div w:id="336231998">
                      <w:marLeft w:val="0"/>
                      <w:marRight w:val="0"/>
                      <w:marTop w:val="0"/>
                      <w:marBottom w:val="0"/>
                      <w:divBdr>
                        <w:top w:val="none" w:sz="0" w:space="0" w:color="auto"/>
                        <w:left w:val="none" w:sz="0" w:space="0" w:color="auto"/>
                        <w:bottom w:val="none" w:sz="0" w:space="0" w:color="auto"/>
                        <w:right w:val="none" w:sz="0" w:space="0" w:color="auto"/>
                      </w:divBdr>
                    </w:div>
                  </w:divsChild>
                </w:div>
                <w:div w:id="1301887341">
                  <w:marLeft w:val="0"/>
                  <w:marRight w:val="0"/>
                  <w:marTop w:val="0"/>
                  <w:marBottom w:val="0"/>
                  <w:divBdr>
                    <w:top w:val="none" w:sz="0" w:space="0" w:color="auto"/>
                    <w:left w:val="none" w:sz="0" w:space="0" w:color="auto"/>
                    <w:bottom w:val="none" w:sz="0" w:space="0" w:color="auto"/>
                    <w:right w:val="none" w:sz="0" w:space="0" w:color="auto"/>
                  </w:divBdr>
                  <w:divsChild>
                    <w:div w:id="3754214">
                      <w:marLeft w:val="0"/>
                      <w:marRight w:val="0"/>
                      <w:marTop w:val="0"/>
                      <w:marBottom w:val="0"/>
                      <w:divBdr>
                        <w:top w:val="none" w:sz="0" w:space="0" w:color="auto"/>
                        <w:left w:val="none" w:sz="0" w:space="0" w:color="auto"/>
                        <w:bottom w:val="none" w:sz="0" w:space="0" w:color="auto"/>
                        <w:right w:val="none" w:sz="0" w:space="0" w:color="auto"/>
                      </w:divBdr>
                    </w:div>
                  </w:divsChild>
                </w:div>
                <w:div w:id="1306154846">
                  <w:marLeft w:val="0"/>
                  <w:marRight w:val="0"/>
                  <w:marTop w:val="0"/>
                  <w:marBottom w:val="0"/>
                  <w:divBdr>
                    <w:top w:val="none" w:sz="0" w:space="0" w:color="auto"/>
                    <w:left w:val="none" w:sz="0" w:space="0" w:color="auto"/>
                    <w:bottom w:val="none" w:sz="0" w:space="0" w:color="auto"/>
                    <w:right w:val="none" w:sz="0" w:space="0" w:color="auto"/>
                  </w:divBdr>
                  <w:divsChild>
                    <w:div w:id="1906380149">
                      <w:marLeft w:val="0"/>
                      <w:marRight w:val="0"/>
                      <w:marTop w:val="0"/>
                      <w:marBottom w:val="0"/>
                      <w:divBdr>
                        <w:top w:val="none" w:sz="0" w:space="0" w:color="auto"/>
                        <w:left w:val="none" w:sz="0" w:space="0" w:color="auto"/>
                        <w:bottom w:val="none" w:sz="0" w:space="0" w:color="auto"/>
                        <w:right w:val="none" w:sz="0" w:space="0" w:color="auto"/>
                      </w:divBdr>
                    </w:div>
                  </w:divsChild>
                </w:div>
                <w:div w:id="1307198087">
                  <w:marLeft w:val="0"/>
                  <w:marRight w:val="0"/>
                  <w:marTop w:val="0"/>
                  <w:marBottom w:val="0"/>
                  <w:divBdr>
                    <w:top w:val="none" w:sz="0" w:space="0" w:color="auto"/>
                    <w:left w:val="none" w:sz="0" w:space="0" w:color="auto"/>
                    <w:bottom w:val="none" w:sz="0" w:space="0" w:color="auto"/>
                    <w:right w:val="none" w:sz="0" w:space="0" w:color="auto"/>
                  </w:divBdr>
                  <w:divsChild>
                    <w:div w:id="260335005">
                      <w:marLeft w:val="0"/>
                      <w:marRight w:val="0"/>
                      <w:marTop w:val="0"/>
                      <w:marBottom w:val="0"/>
                      <w:divBdr>
                        <w:top w:val="none" w:sz="0" w:space="0" w:color="auto"/>
                        <w:left w:val="none" w:sz="0" w:space="0" w:color="auto"/>
                        <w:bottom w:val="none" w:sz="0" w:space="0" w:color="auto"/>
                        <w:right w:val="none" w:sz="0" w:space="0" w:color="auto"/>
                      </w:divBdr>
                    </w:div>
                  </w:divsChild>
                </w:div>
                <w:div w:id="1321545841">
                  <w:marLeft w:val="0"/>
                  <w:marRight w:val="0"/>
                  <w:marTop w:val="0"/>
                  <w:marBottom w:val="0"/>
                  <w:divBdr>
                    <w:top w:val="none" w:sz="0" w:space="0" w:color="auto"/>
                    <w:left w:val="none" w:sz="0" w:space="0" w:color="auto"/>
                    <w:bottom w:val="none" w:sz="0" w:space="0" w:color="auto"/>
                    <w:right w:val="none" w:sz="0" w:space="0" w:color="auto"/>
                  </w:divBdr>
                  <w:divsChild>
                    <w:div w:id="1080636051">
                      <w:marLeft w:val="0"/>
                      <w:marRight w:val="0"/>
                      <w:marTop w:val="0"/>
                      <w:marBottom w:val="0"/>
                      <w:divBdr>
                        <w:top w:val="none" w:sz="0" w:space="0" w:color="auto"/>
                        <w:left w:val="none" w:sz="0" w:space="0" w:color="auto"/>
                        <w:bottom w:val="none" w:sz="0" w:space="0" w:color="auto"/>
                        <w:right w:val="none" w:sz="0" w:space="0" w:color="auto"/>
                      </w:divBdr>
                    </w:div>
                  </w:divsChild>
                </w:div>
                <w:div w:id="1342707907">
                  <w:marLeft w:val="0"/>
                  <w:marRight w:val="0"/>
                  <w:marTop w:val="0"/>
                  <w:marBottom w:val="0"/>
                  <w:divBdr>
                    <w:top w:val="none" w:sz="0" w:space="0" w:color="auto"/>
                    <w:left w:val="none" w:sz="0" w:space="0" w:color="auto"/>
                    <w:bottom w:val="none" w:sz="0" w:space="0" w:color="auto"/>
                    <w:right w:val="none" w:sz="0" w:space="0" w:color="auto"/>
                  </w:divBdr>
                  <w:divsChild>
                    <w:div w:id="194932045">
                      <w:marLeft w:val="0"/>
                      <w:marRight w:val="0"/>
                      <w:marTop w:val="0"/>
                      <w:marBottom w:val="0"/>
                      <w:divBdr>
                        <w:top w:val="none" w:sz="0" w:space="0" w:color="auto"/>
                        <w:left w:val="none" w:sz="0" w:space="0" w:color="auto"/>
                        <w:bottom w:val="none" w:sz="0" w:space="0" w:color="auto"/>
                        <w:right w:val="none" w:sz="0" w:space="0" w:color="auto"/>
                      </w:divBdr>
                    </w:div>
                  </w:divsChild>
                </w:div>
                <w:div w:id="1369792540">
                  <w:marLeft w:val="0"/>
                  <w:marRight w:val="0"/>
                  <w:marTop w:val="0"/>
                  <w:marBottom w:val="0"/>
                  <w:divBdr>
                    <w:top w:val="none" w:sz="0" w:space="0" w:color="auto"/>
                    <w:left w:val="none" w:sz="0" w:space="0" w:color="auto"/>
                    <w:bottom w:val="none" w:sz="0" w:space="0" w:color="auto"/>
                    <w:right w:val="none" w:sz="0" w:space="0" w:color="auto"/>
                  </w:divBdr>
                  <w:divsChild>
                    <w:div w:id="60493016">
                      <w:marLeft w:val="0"/>
                      <w:marRight w:val="0"/>
                      <w:marTop w:val="0"/>
                      <w:marBottom w:val="0"/>
                      <w:divBdr>
                        <w:top w:val="none" w:sz="0" w:space="0" w:color="auto"/>
                        <w:left w:val="none" w:sz="0" w:space="0" w:color="auto"/>
                        <w:bottom w:val="none" w:sz="0" w:space="0" w:color="auto"/>
                        <w:right w:val="none" w:sz="0" w:space="0" w:color="auto"/>
                      </w:divBdr>
                    </w:div>
                  </w:divsChild>
                </w:div>
                <w:div w:id="1386292349">
                  <w:marLeft w:val="0"/>
                  <w:marRight w:val="0"/>
                  <w:marTop w:val="0"/>
                  <w:marBottom w:val="0"/>
                  <w:divBdr>
                    <w:top w:val="none" w:sz="0" w:space="0" w:color="auto"/>
                    <w:left w:val="none" w:sz="0" w:space="0" w:color="auto"/>
                    <w:bottom w:val="none" w:sz="0" w:space="0" w:color="auto"/>
                    <w:right w:val="none" w:sz="0" w:space="0" w:color="auto"/>
                  </w:divBdr>
                  <w:divsChild>
                    <w:div w:id="101917757">
                      <w:marLeft w:val="0"/>
                      <w:marRight w:val="0"/>
                      <w:marTop w:val="0"/>
                      <w:marBottom w:val="0"/>
                      <w:divBdr>
                        <w:top w:val="none" w:sz="0" w:space="0" w:color="auto"/>
                        <w:left w:val="none" w:sz="0" w:space="0" w:color="auto"/>
                        <w:bottom w:val="none" w:sz="0" w:space="0" w:color="auto"/>
                        <w:right w:val="none" w:sz="0" w:space="0" w:color="auto"/>
                      </w:divBdr>
                    </w:div>
                  </w:divsChild>
                </w:div>
                <w:div w:id="1410349029">
                  <w:marLeft w:val="0"/>
                  <w:marRight w:val="0"/>
                  <w:marTop w:val="0"/>
                  <w:marBottom w:val="0"/>
                  <w:divBdr>
                    <w:top w:val="none" w:sz="0" w:space="0" w:color="auto"/>
                    <w:left w:val="none" w:sz="0" w:space="0" w:color="auto"/>
                    <w:bottom w:val="none" w:sz="0" w:space="0" w:color="auto"/>
                    <w:right w:val="none" w:sz="0" w:space="0" w:color="auto"/>
                  </w:divBdr>
                  <w:divsChild>
                    <w:div w:id="529605847">
                      <w:marLeft w:val="0"/>
                      <w:marRight w:val="0"/>
                      <w:marTop w:val="0"/>
                      <w:marBottom w:val="0"/>
                      <w:divBdr>
                        <w:top w:val="none" w:sz="0" w:space="0" w:color="auto"/>
                        <w:left w:val="none" w:sz="0" w:space="0" w:color="auto"/>
                        <w:bottom w:val="none" w:sz="0" w:space="0" w:color="auto"/>
                        <w:right w:val="none" w:sz="0" w:space="0" w:color="auto"/>
                      </w:divBdr>
                    </w:div>
                  </w:divsChild>
                </w:div>
                <w:div w:id="1410469918">
                  <w:marLeft w:val="0"/>
                  <w:marRight w:val="0"/>
                  <w:marTop w:val="0"/>
                  <w:marBottom w:val="0"/>
                  <w:divBdr>
                    <w:top w:val="none" w:sz="0" w:space="0" w:color="auto"/>
                    <w:left w:val="none" w:sz="0" w:space="0" w:color="auto"/>
                    <w:bottom w:val="none" w:sz="0" w:space="0" w:color="auto"/>
                    <w:right w:val="none" w:sz="0" w:space="0" w:color="auto"/>
                  </w:divBdr>
                  <w:divsChild>
                    <w:div w:id="1310944216">
                      <w:marLeft w:val="0"/>
                      <w:marRight w:val="0"/>
                      <w:marTop w:val="0"/>
                      <w:marBottom w:val="0"/>
                      <w:divBdr>
                        <w:top w:val="none" w:sz="0" w:space="0" w:color="auto"/>
                        <w:left w:val="none" w:sz="0" w:space="0" w:color="auto"/>
                        <w:bottom w:val="none" w:sz="0" w:space="0" w:color="auto"/>
                        <w:right w:val="none" w:sz="0" w:space="0" w:color="auto"/>
                      </w:divBdr>
                    </w:div>
                  </w:divsChild>
                </w:div>
                <w:div w:id="1411196931">
                  <w:marLeft w:val="0"/>
                  <w:marRight w:val="0"/>
                  <w:marTop w:val="0"/>
                  <w:marBottom w:val="0"/>
                  <w:divBdr>
                    <w:top w:val="none" w:sz="0" w:space="0" w:color="auto"/>
                    <w:left w:val="none" w:sz="0" w:space="0" w:color="auto"/>
                    <w:bottom w:val="none" w:sz="0" w:space="0" w:color="auto"/>
                    <w:right w:val="none" w:sz="0" w:space="0" w:color="auto"/>
                  </w:divBdr>
                  <w:divsChild>
                    <w:div w:id="1887066080">
                      <w:marLeft w:val="0"/>
                      <w:marRight w:val="0"/>
                      <w:marTop w:val="0"/>
                      <w:marBottom w:val="0"/>
                      <w:divBdr>
                        <w:top w:val="none" w:sz="0" w:space="0" w:color="auto"/>
                        <w:left w:val="none" w:sz="0" w:space="0" w:color="auto"/>
                        <w:bottom w:val="none" w:sz="0" w:space="0" w:color="auto"/>
                        <w:right w:val="none" w:sz="0" w:space="0" w:color="auto"/>
                      </w:divBdr>
                    </w:div>
                  </w:divsChild>
                </w:div>
                <w:div w:id="1419214707">
                  <w:marLeft w:val="0"/>
                  <w:marRight w:val="0"/>
                  <w:marTop w:val="0"/>
                  <w:marBottom w:val="0"/>
                  <w:divBdr>
                    <w:top w:val="none" w:sz="0" w:space="0" w:color="auto"/>
                    <w:left w:val="none" w:sz="0" w:space="0" w:color="auto"/>
                    <w:bottom w:val="none" w:sz="0" w:space="0" w:color="auto"/>
                    <w:right w:val="none" w:sz="0" w:space="0" w:color="auto"/>
                  </w:divBdr>
                  <w:divsChild>
                    <w:div w:id="175003389">
                      <w:marLeft w:val="0"/>
                      <w:marRight w:val="0"/>
                      <w:marTop w:val="0"/>
                      <w:marBottom w:val="0"/>
                      <w:divBdr>
                        <w:top w:val="none" w:sz="0" w:space="0" w:color="auto"/>
                        <w:left w:val="none" w:sz="0" w:space="0" w:color="auto"/>
                        <w:bottom w:val="none" w:sz="0" w:space="0" w:color="auto"/>
                        <w:right w:val="none" w:sz="0" w:space="0" w:color="auto"/>
                      </w:divBdr>
                    </w:div>
                  </w:divsChild>
                </w:div>
                <w:div w:id="1428114579">
                  <w:marLeft w:val="0"/>
                  <w:marRight w:val="0"/>
                  <w:marTop w:val="0"/>
                  <w:marBottom w:val="0"/>
                  <w:divBdr>
                    <w:top w:val="none" w:sz="0" w:space="0" w:color="auto"/>
                    <w:left w:val="none" w:sz="0" w:space="0" w:color="auto"/>
                    <w:bottom w:val="none" w:sz="0" w:space="0" w:color="auto"/>
                    <w:right w:val="none" w:sz="0" w:space="0" w:color="auto"/>
                  </w:divBdr>
                  <w:divsChild>
                    <w:div w:id="1378234624">
                      <w:marLeft w:val="0"/>
                      <w:marRight w:val="0"/>
                      <w:marTop w:val="0"/>
                      <w:marBottom w:val="0"/>
                      <w:divBdr>
                        <w:top w:val="none" w:sz="0" w:space="0" w:color="auto"/>
                        <w:left w:val="none" w:sz="0" w:space="0" w:color="auto"/>
                        <w:bottom w:val="none" w:sz="0" w:space="0" w:color="auto"/>
                        <w:right w:val="none" w:sz="0" w:space="0" w:color="auto"/>
                      </w:divBdr>
                    </w:div>
                  </w:divsChild>
                </w:div>
                <w:div w:id="1429543441">
                  <w:marLeft w:val="0"/>
                  <w:marRight w:val="0"/>
                  <w:marTop w:val="0"/>
                  <w:marBottom w:val="0"/>
                  <w:divBdr>
                    <w:top w:val="none" w:sz="0" w:space="0" w:color="auto"/>
                    <w:left w:val="none" w:sz="0" w:space="0" w:color="auto"/>
                    <w:bottom w:val="none" w:sz="0" w:space="0" w:color="auto"/>
                    <w:right w:val="none" w:sz="0" w:space="0" w:color="auto"/>
                  </w:divBdr>
                  <w:divsChild>
                    <w:div w:id="1577059030">
                      <w:marLeft w:val="0"/>
                      <w:marRight w:val="0"/>
                      <w:marTop w:val="0"/>
                      <w:marBottom w:val="0"/>
                      <w:divBdr>
                        <w:top w:val="none" w:sz="0" w:space="0" w:color="auto"/>
                        <w:left w:val="none" w:sz="0" w:space="0" w:color="auto"/>
                        <w:bottom w:val="none" w:sz="0" w:space="0" w:color="auto"/>
                        <w:right w:val="none" w:sz="0" w:space="0" w:color="auto"/>
                      </w:divBdr>
                    </w:div>
                  </w:divsChild>
                </w:div>
                <w:div w:id="1431971449">
                  <w:marLeft w:val="0"/>
                  <w:marRight w:val="0"/>
                  <w:marTop w:val="0"/>
                  <w:marBottom w:val="0"/>
                  <w:divBdr>
                    <w:top w:val="none" w:sz="0" w:space="0" w:color="auto"/>
                    <w:left w:val="none" w:sz="0" w:space="0" w:color="auto"/>
                    <w:bottom w:val="none" w:sz="0" w:space="0" w:color="auto"/>
                    <w:right w:val="none" w:sz="0" w:space="0" w:color="auto"/>
                  </w:divBdr>
                  <w:divsChild>
                    <w:div w:id="1981491288">
                      <w:marLeft w:val="0"/>
                      <w:marRight w:val="0"/>
                      <w:marTop w:val="0"/>
                      <w:marBottom w:val="0"/>
                      <w:divBdr>
                        <w:top w:val="none" w:sz="0" w:space="0" w:color="auto"/>
                        <w:left w:val="none" w:sz="0" w:space="0" w:color="auto"/>
                        <w:bottom w:val="none" w:sz="0" w:space="0" w:color="auto"/>
                        <w:right w:val="none" w:sz="0" w:space="0" w:color="auto"/>
                      </w:divBdr>
                    </w:div>
                  </w:divsChild>
                </w:div>
                <w:div w:id="1443572401">
                  <w:marLeft w:val="0"/>
                  <w:marRight w:val="0"/>
                  <w:marTop w:val="0"/>
                  <w:marBottom w:val="0"/>
                  <w:divBdr>
                    <w:top w:val="none" w:sz="0" w:space="0" w:color="auto"/>
                    <w:left w:val="none" w:sz="0" w:space="0" w:color="auto"/>
                    <w:bottom w:val="none" w:sz="0" w:space="0" w:color="auto"/>
                    <w:right w:val="none" w:sz="0" w:space="0" w:color="auto"/>
                  </w:divBdr>
                  <w:divsChild>
                    <w:div w:id="121659721">
                      <w:marLeft w:val="0"/>
                      <w:marRight w:val="0"/>
                      <w:marTop w:val="0"/>
                      <w:marBottom w:val="0"/>
                      <w:divBdr>
                        <w:top w:val="none" w:sz="0" w:space="0" w:color="auto"/>
                        <w:left w:val="none" w:sz="0" w:space="0" w:color="auto"/>
                        <w:bottom w:val="none" w:sz="0" w:space="0" w:color="auto"/>
                        <w:right w:val="none" w:sz="0" w:space="0" w:color="auto"/>
                      </w:divBdr>
                    </w:div>
                  </w:divsChild>
                </w:div>
                <w:div w:id="1454665892">
                  <w:marLeft w:val="0"/>
                  <w:marRight w:val="0"/>
                  <w:marTop w:val="0"/>
                  <w:marBottom w:val="0"/>
                  <w:divBdr>
                    <w:top w:val="none" w:sz="0" w:space="0" w:color="auto"/>
                    <w:left w:val="none" w:sz="0" w:space="0" w:color="auto"/>
                    <w:bottom w:val="none" w:sz="0" w:space="0" w:color="auto"/>
                    <w:right w:val="none" w:sz="0" w:space="0" w:color="auto"/>
                  </w:divBdr>
                  <w:divsChild>
                    <w:div w:id="1720666890">
                      <w:marLeft w:val="0"/>
                      <w:marRight w:val="0"/>
                      <w:marTop w:val="0"/>
                      <w:marBottom w:val="0"/>
                      <w:divBdr>
                        <w:top w:val="none" w:sz="0" w:space="0" w:color="auto"/>
                        <w:left w:val="none" w:sz="0" w:space="0" w:color="auto"/>
                        <w:bottom w:val="none" w:sz="0" w:space="0" w:color="auto"/>
                        <w:right w:val="none" w:sz="0" w:space="0" w:color="auto"/>
                      </w:divBdr>
                    </w:div>
                  </w:divsChild>
                </w:div>
                <w:div w:id="1463570512">
                  <w:marLeft w:val="0"/>
                  <w:marRight w:val="0"/>
                  <w:marTop w:val="0"/>
                  <w:marBottom w:val="0"/>
                  <w:divBdr>
                    <w:top w:val="none" w:sz="0" w:space="0" w:color="auto"/>
                    <w:left w:val="none" w:sz="0" w:space="0" w:color="auto"/>
                    <w:bottom w:val="none" w:sz="0" w:space="0" w:color="auto"/>
                    <w:right w:val="none" w:sz="0" w:space="0" w:color="auto"/>
                  </w:divBdr>
                  <w:divsChild>
                    <w:div w:id="895356888">
                      <w:marLeft w:val="0"/>
                      <w:marRight w:val="0"/>
                      <w:marTop w:val="0"/>
                      <w:marBottom w:val="0"/>
                      <w:divBdr>
                        <w:top w:val="none" w:sz="0" w:space="0" w:color="auto"/>
                        <w:left w:val="none" w:sz="0" w:space="0" w:color="auto"/>
                        <w:bottom w:val="none" w:sz="0" w:space="0" w:color="auto"/>
                        <w:right w:val="none" w:sz="0" w:space="0" w:color="auto"/>
                      </w:divBdr>
                    </w:div>
                  </w:divsChild>
                </w:div>
                <w:div w:id="1479807307">
                  <w:marLeft w:val="0"/>
                  <w:marRight w:val="0"/>
                  <w:marTop w:val="0"/>
                  <w:marBottom w:val="0"/>
                  <w:divBdr>
                    <w:top w:val="none" w:sz="0" w:space="0" w:color="auto"/>
                    <w:left w:val="none" w:sz="0" w:space="0" w:color="auto"/>
                    <w:bottom w:val="none" w:sz="0" w:space="0" w:color="auto"/>
                    <w:right w:val="none" w:sz="0" w:space="0" w:color="auto"/>
                  </w:divBdr>
                  <w:divsChild>
                    <w:div w:id="1438983533">
                      <w:marLeft w:val="0"/>
                      <w:marRight w:val="0"/>
                      <w:marTop w:val="0"/>
                      <w:marBottom w:val="0"/>
                      <w:divBdr>
                        <w:top w:val="none" w:sz="0" w:space="0" w:color="auto"/>
                        <w:left w:val="none" w:sz="0" w:space="0" w:color="auto"/>
                        <w:bottom w:val="none" w:sz="0" w:space="0" w:color="auto"/>
                        <w:right w:val="none" w:sz="0" w:space="0" w:color="auto"/>
                      </w:divBdr>
                    </w:div>
                  </w:divsChild>
                </w:div>
                <w:div w:id="1512143951">
                  <w:marLeft w:val="0"/>
                  <w:marRight w:val="0"/>
                  <w:marTop w:val="0"/>
                  <w:marBottom w:val="0"/>
                  <w:divBdr>
                    <w:top w:val="none" w:sz="0" w:space="0" w:color="auto"/>
                    <w:left w:val="none" w:sz="0" w:space="0" w:color="auto"/>
                    <w:bottom w:val="none" w:sz="0" w:space="0" w:color="auto"/>
                    <w:right w:val="none" w:sz="0" w:space="0" w:color="auto"/>
                  </w:divBdr>
                  <w:divsChild>
                    <w:div w:id="956376996">
                      <w:marLeft w:val="0"/>
                      <w:marRight w:val="0"/>
                      <w:marTop w:val="0"/>
                      <w:marBottom w:val="0"/>
                      <w:divBdr>
                        <w:top w:val="none" w:sz="0" w:space="0" w:color="auto"/>
                        <w:left w:val="none" w:sz="0" w:space="0" w:color="auto"/>
                        <w:bottom w:val="none" w:sz="0" w:space="0" w:color="auto"/>
                        <w:right w:val="none" w:sz="0" w:space="0" w:color="auto"/>
                      </w:divBdr>
                    </w:div>
                  </w:divsChild>
                </w:div>
                <w:div w:id="1520972267">
                  <w:marLeft w:val="0"/>
                  <w:marRight w:val="0"/>
                  <w:marTop w:val="0"/>
                  <w:marBottom w:val="0"/>
                  <w:divBdr>
                    <w:top w:val="none" w:sz="0" w:space="0" w:color="auto"/>
                    <w:left w:val="none" w:sz="0" w:space="0" w:color="auto"/>
                    <w:bottom w:val="none" w:sz="0" w:space="0" w:color="auto"/>
                    <w:right w:val="none" w:sz="0" w:space="0" w:color="auto"/>
                  </w:divBdr>
                  <w:divsChild>
                    <w:div w:id="1427267016">
                      <w:marLeft w:val="0"/>
                      <w:marRight w:val="0"/>
                      <w:marTop w:val="0"/>
                      <w:marBottom w:val="0"/>
                      <w:divBdr>
                        <w:top w:val="none" w:sz="0" w:space="0" w:color="auto"/>
                        <w:left w:val="none" w:sz="0" w:space="0" w:color="auto"/>
                        <w:bottom w:val="none" w:sz="0" w:space="0" w:color="auto"/>
                        <w:right w:val="none" w:sz="0" w:space="0" w:color="auto"/>
                      </w:divBdr>
                    </w:div>
                  </w:divsChild>
                </w:div>
                <w:div w:id="1526863653">
                  <w:marLeft w:val="0"/>
                  <w:marRight w:val="0"/>
                  <w:marTop w:val="0"/>
                  <w:marBottom w:val="0"/>
                  <w:divBdr>
                    <w:top w:val="none" w:sz="0" w:space="0" w:color="auto"/>
                    <w:left w:val="none" w:sz="0" w:space="0" w:color="auto"/>
                    <w:bottom w:val="none" w:sz="0" w:space="0" w:color="auto"/>
                    <w:right w:val="none" w:sz="0" w:space="0" w:color="auto"/>
                  </w:divBdr>
                  <w:divsChild>
                    <w:div w:id="1986276257">
                      <w:marLeft w:val="0"/>
                      <w:marRight w:val="0"/>
                      <w:marTop w:val="0"/>
                      <w:marBottom w:val="0"/>
                      <w:divBdr>
                        <w:top w:val="none" w:sz="0" w:space="0" w:color="auto"/>
                        <w:left w:val="none" w:sz="0" w:space="0" w:color="auto"/>
                        <w:bottom w:val="none" w:sz="0" w:space="0" w:color="auto"/>
                        <w:right w:val="none" w:sz="0" w:space="0" w:color="auto"/>
                      </w:divBdr>
                    </w:div>
                  </w:divsChild>
                </w:div>
                <w:div w:id="1537235479">
                  <w:marLeft w:val="0"/>
                  <w:marRight w:val="0"/>
                  <w:marTop w:val="0"/>
                  <w:marBottom w:val="0"/>
                  <w:divBdr>
                    <w:top w:val="none" w:sz="0" w:space="0" w:color="auto"/>
                    <w:left w:val="none" w:sz="0" w:space="0" w:color="auto"/>
                    <w:bottom w:val="none" w:sz="0" w:space="0" w:color="auto"/>
                    <w:right w:val="none" w:sz="0" w:space="0" w:color="auto"/>
                  </w:divBdr>
                  <w:divsChild>
                    <w:div w:id="774248735">
                      <w:marLeft w:val="0"/>
                      <w:marRight w:val="0"/>
                      <w:marTop w:val="0"/>
                      <w:marBottom w:val="0"/>
                      <w:divBdr>
                        <w:top w:val="none" w:sz="0" w:space="0" w:color="auto"/>
                        <w:left w:val="none" w:sz="0" w:space="0" w:color="auto"/>
                        <w:bottom w:val="none" w:sz="0" w:space="0" w:color="auto"/>
                        <w:right w:val="none" w:sz="0" w:space="0" w:color="auto"/>
                      </w:divBdr>
                    </w:div>
                  </w:divsChild>
                </w:div>
                <w:div w:id="1540125313">
                  <w:marLeft w:val="0"/>
                  <w:marRight w:val="0"/>
                  <w:marTop w:val="0"/>
                  <w:marBottom w:val="0"/>
                  <w:divBdr>
                    <w:top w:val="none" w:sz="0" w:space="0" w:color="auto"/>
                    <w:left w:val="none" w:sz="0" w:space="0" w:color="auto"/>
                    <w:bottom w:val="none" w:sz="0" w:space="0" w:color="auto"/>
                    <w:right w:val="none" w:sz="0" w:space="0" w:color="auto"/>
                  </w:divBdr>
                  <w:divsChild>
                    <w:div w:id="628128332">
                      <w:marLeft w:val="0"/>
                      <w:marRight w:val="0"/>
                      <w:marTop w:val="0"/>
                      <w:marBottom w:val="0"/>
                      <w:divBdr>
                        <w:top w:val="none" w:sz="0" w:space="0" w:color="auto"/>
                        <w:left w:val="none" w:sz="0" w:space="0" w:color="auto"/>
                        <w:bottom w:val="none" w:sz="0" w:space="0" w:color="auto"/>
                        <w:right w:val="none" w:sz="0" w:space="0" w:color="auto"/>
                      </w:divBdr>
                    </w:div>
                  </w:divsChild>
                </w:div>
                <w:div w:id="1555392716">
                  <w:marLeft w:val="0"/>
                  <w:marRight w:val="0"/>
                  <w:marTop w:val="0"/>
                  <w:marBottom w:val="0"/>
                  <w:divBdr>
                    <w:top w:val="none" w:sz="0" w:space="0" w:color="auto"/>
                    <w:left w:val="none" w:sz="0" w:space="0" w:color="auto"/>
                    <w:bottom w:val="none" w:sz="0" w:space="0" w:color="auto"/>
                    <w:right w:val="none" w:sz="0" w:space="0" w:color="auto"/>
                  </w:divBdr>
                  <w:divsChild>
                    <w:div w:id="726999755">
                      <w:marLeft w:val="0"/>
                      <w:marRight w:val="0"/>
                      <w:marTop w:val="0"/>
                      <w:marBottom w:val="0"/>
                      <w:divBdr>
                        <w:top w:val="none" w:sz="0" w:space="0" w:color="auto"/>
                        <w:left w:val="none" w:sz="0" w:space="0" w:color="auto"/>
                        <w:bottom w:val="none" w:sz="0" w:space="0" w:color="auto"/>
                        <w:right w:val="none" w:sz="0" w:space="0" w:color="auto"/>
                      </w:divBdr>
                    </w:div>
                  </w:divsChild>
                </w:div>
                <w:div w:id="1557014135">
                  <w:marLeft w:val="0"/>
                  <w:marRight w:val="0"/>
                  <w:marTop w:val="0"/>
                  <w:marBottom w:val="0"/>
                  <w:divBdr>
                    <w:top w:val="none" w:sz="0" w:space="0" w:color="auto"/>
                    <w:left w:val="none" w:sz="0" w:space="0" w:color="auto"/>
                    <w:bottom w:val="none" w:sz="0" w:space="0" w:color="auto"/>
                    <w:right w:val="none" w:sz="0" w:space="0" w:color="auto"/>
                  </w:divBdr>
                  <w:divsChild>
                    <w:div w:id="1906068968">
                      <w:marLeft w:val="0"/>
                      <w:marRight w:val="0"/>
                      <w:marTop w:val="0"/>
                      <w:marBottom w:val="0"/>
                      <w:divBdr>
                        <w:top w:val="none" w:sz="0" w:space="0" w:color="auto"/>
                        <w:left w:val="none" w:sz="0" w:space="0" w:color="auto"/>
                        <w:bottom w:val="none" w:sz="0" w:space="0" w:color="auto"/>
                        <w:right w:val="none" w:sz="0" w:space="0" w:color="auto"/>
                      </w:divBdr>
                    </w:div>
                  </w:divsChild>
                </w:div>
                <w:div w:id="1575701302">
                  <w:marLeft w:val="0"/>
                  <w:marRight w:val="0"/>
                  <w:marTop w:val="0"/>
                  <w:marBottom w:val="0"/>
                  <w:divBdr>
                    <w:top w:val="none" w:sz="0" w:space="0" w:color="auto"/>
                    <w:left w:val="none" w:sz="0" w:space="0" w:color="auto"/>
                    <w:bottom w:val="none" w:sz="0" w:space="0" w:color="auto"/>
                    <w:right w:val="none" w:sz="0" w:space="0" w:color="auto"/>
                  </w:divBdr>
                  <w:divsChild>
                    <w:div w:id="362021927">
                      <w:marLeft w:val="0"/>
                      <w:marRight w:val="0"/>
                      <w:marTop w:val="0"/>
                      <w:marBottom w:val="0"/>
                      <w:divBdr>
                        <w:top w:val="none" w:sz="0" w:space="0" w:color="auto"/>
                        <w:left w:val="none" w:sz="0" w:space="0" w:color="auto"/>
                        <w:bottom w:val="none" w:sz="0" w:space="0" w:color="auto"/>
                        <w:right w:val="none" w:sz="0" w:space="0" w:color="auto"/>
                      </w:divBdr>
                    </w:div>
                  </w:divsChild>
                </w:div>
                <w:div w:id="1577714300">
                  <w:marLeft w:val="0"/>
                  <w:marRight w:val="0"/>
                  <w:marTop w:val="0"/>
                  <w:marBottom w:val="0"/>
                  <w:divBdr>
                    <w:top w:val="none" w:sz="0" w:space="0" w:color="auto"/>
                    <w:left w:val="none" w:sz="0" w:space="0" w:color="auto"/>
                    <w:bottom w:val="none" w:sz="0" w:space="0" w:color="auto"/>
                    <w:right w:val="none" w:sz="0" w:space="0" w:color="auto"/>
                  </w:divBdr>
                  <w:divsChild>
                    <w:div w:id="467288535">
                      <w:marLeft w:val="0"/>
                      <w:marRight w:val="0"/>
                      <w:marTop w:val="0"/>
                      <w:marBottom w:val="0"/>
                      <w:divBdr>
                        <w:top w:val="none" w:sz="0" w:space="0" w:color="auto"/>
                        <w:left w:val="none" w:sz="0" w:space="0" w:color="auto"/>
                        <w:bottom w:val="none" w:sz="0" w:space="0" w:color="auto"/>
                        <w:right w:val="none" w:sz="0" w:space="0" w:color="auto"/>
                      </w:divBdr>
                    </w:div>
                  </w:divsChild>
                </w:div>
                <w:div w:id="1583757520">
                  <w:marLeft w:val="0"/>
                  <w:marRight w:val="0"/>
                  <w:marTop w:val="0"/>
                  <w:marBottom w:val="0"/>
                  <w:divBdr>
                    <w:top w:val="none" w:sz="0" w:space="0" w:color="auto"/>
                    <w:left w:val="none" w:sz="0" w:space="0" w:color="auto"/>
                    <w:bottom w:val="none" w:sz="0" w:space="0" w:color="auto"/>
                    <w:right w:val="none" w:sz="0" w:space="0" w:color="auto"/>
                  </w:divBdr>
                  <w:divsChild>
                    <w:div w:id="1808889139">
                      <w:marLeft w:val="0"/>
                      <w:marRight w:val="0"/>
                      <w:marTop w:val="0"/>
                      <w:marBottom w:val="0"/>
                      <w:divBdr>
                        <w:top w:val="none" w:sz="0" w:space="0" w:color="auto"/>
                        <w:left w:val="none" w:sz="0" w:space="0" w:color="auto"/>
                        <w:bottom w:val="none" w:sz="0" w:space="0" w:color="auto"/>
                        <w:right w:val="none" w:sz="0" w:space="0" w:color="auto"/>
                      </w:divBdr>
                    </w:div>
                  </w:divsChild>
                </w:div>
                <w:div w:id="1632403120">
                  <w:marLeft w:val="0"/>
                  <w:marRight w:val="0"/>
                  <w:marTop w:val="0"/>
                  <w:marBottom w:val="0"/>
                  <w:divBdr>
                    <w:top w:val="none" w:sz="0" w:space="0" w:color="auto"/>
                    <w:left w:val="none" w:sz="0" w:space="0" w:color="auto"/>
                    <w:bottom w:val="none" w:sz="0" w:space="0" w:color="auto"/>
                    <w:right w:val="none" w:sz="0" w:space="0" w:color="auto"/>
                  </w:divBdr>
                  <w:divsChild>
                    <w:div w:id="460618389">
                      <w:marLeft w:val="0"/>
                      <w:marRight w:val="0"/>
                      <w:marTop w:val="0"/>
                      <w:marBottom w:val="0"/>
                      <w:divBdr>
                        <w:top w:val="none" w:sz="0" w:space="0" w:color="auto"/>
                        <w:left w:val="none" w:sz="0" w:space="0" w:color="auto"/>
                        <w:bottom w:val="none" w:sz="0" w:space="0" w:color="auto"/>
                        <w:right w:val="none" w:sz="0" w:space="0" w:color="auto"/>
                      </w:divBdr>
                    </w:div>
                  </w:divsChild>
                </w:div>
                <w:div w:id="1647664952">
                  <w:marLeft w:val="0"/>
                  <w:marRight w:val="0"/>
                  <w:marTop w:val="0"/>
                  <w:marBottom w:val="0"/>
                  <w:divBdr>
                    <w:top w:val="none" w:sz="0" w:space="0" w:color="auto"/>
                    <w:left w:val="none" w:sz="0" w:space="0" w:color="auto"/>
                    <w:bottom w:val="none" w:sz="0" w:space="0" w:color="auto"/>
                    <w:right w:val="none" w:sz="0" w:space="0" w:color="auto"/>
                  </w:divBdr>
                  <w:divsChild>
                    <w:div w:id="1853687377">
                      <w:marLeft w:val="0"/>
                      <w:marRight w:val="0"/>
                      <w:marTop w:val="0"/>
                      <w:marBottom w:val="0"/>
                      <w:divBdr>
                        <w:top w:val="none" w:sz="0" w:space="0" w:color="auto"/>
                        <w:left w:val="none" w:sz="0" w:space="0" w:color="auto"/>
                        <w:bottom w:val="none" w:sz="0" w:space="0" w:color="auto"/>
                        <w:right w:val="none" w:sz="0" w:space="0" w:color="auto"/>
                      </w:divBdr>
                    </w:div>
                  </w:divsChild>
                </w:div>
                <w:div w:id="1652753444">
                  <w:marLeft w:val="0"/>
                  <w:marRight w:val="0"/>
                  <w:marTop w:val="0"/>
                  <w:marBottom w:val="0"/>
                  <w:divBdr>
                    <w:top w:val="none" w:sz="0" w:space="0" w:color="auto"/>
                    <w:left w:val="none" w:sz="0" w:space="0" w:color="auto"/>
                    <w:bottom w:val="none" w:sz="0" w:space="0" w:color="auto"/>
                    <w:right w:val="none" w:sz="0" w:space="0" w:color="auto"/>
                  </w:divBdr>
                  <w:divsChild>
                    <w:div w:id="413088705">
                      <w:marLeft w:val="0"/>
                      <w:marRight w:val="0"/>
                      <w:marTop w:val="0"/>
                      <w:marBottom w:val="0"/>
                      <w:divBdr>
                        <w:top w:val="none" w:sz="0" w:space="0" w:color="auto"/>
                        <w:left w:val="none" w:sz="0" w:space="0" w:color="auto"/>
                        <w:bottom w:val="none" w:sz="0" w:space="0" w:color="auto"/>
                        <w:right w:val="none" w:sz="0" w:space="0" w:color="auto"/>
                      </w:divBdr>
                    </w:div>
                  </w:divsChild>
                </w:div>
                <w:div w:id="1658532117">
                  <w:marLeft w:val="0"/>
                  <w:marRight w:val="0"/>
                  <w:marTop w:val="0"/>
                  <w:marBottom w:val="0"/>
                  <w:divBdr>
                    <w:top w:val="none" w:sz="0" w:space="0" w:color="auto"/>
                    <w:left w:val="none" w:sz="0" w:space="0" w:color="auto"/>
                    <w:bottom w:val="none" w:sz="0" w:space="0" w:color="auto"/>
                    <w:right w:val="none" w:sz="0" w:space="0" w:color="auto"/>
                  </w:divBdr>
                  <w:divsChild>
                    <w:div w:id="969702441">
                      <w:marLeft w:val="0"/>
                      <w:marRight w:val="0"/>
                      <w:marTop w:val="0"/>
                      <w:marBottom w:val="0"/>
                      <w:divBdr>
                        <w:top w:val="none" w:sz="0" w:space="0" w:color="auto"/>
                        <w:left w:val="none" w:sz="0" w:space="0" w:color="auto"/>
                        <w:bottom w:val="none" w:sz="0" w:space="0" w:color="auto"/>
                        <w:right w:val="none" w:sz="0" w:space="0" w:color="auto"/>
                      </w:divBdr>
                    </w:div>
                  </w:divsChild>
                </w:div>
                <w:div w:id="1685668146">
                  <w:marLeft w:val="0"/>
                  <w:marRight w:val="0"/>
                  <w:marTop w:val="0"/>
                  <w:marBottom w:val="0"/>
                  <w:divBdr>
                    <w:top w:val="none" w:sz="0" w:space="0" w:color="auto"/>
                    <w:left w:val="none" w:sz="0" w:space="0" w:color="auto"/>
                    <w:bottom w:val="none" w:sz="0" w:space="0" w:color="auto"/>
                    <w:right w:val="none" w:sz="0" w:space="0" w:color="auto"/>
                  </w:divBdr>
                  <w:divsChild>
                    <w:div w:id="1173229825">
                      <w:marLeft w:val="0"/>
                      <w:marRight w:val="0"/>
                      <w:marTop w:val="0"/>
                      <w:marBottom w:val="0"/>
                      <w:divBdr>
                        <w:top w:val="none" w:sz="0" w:space="0" w:color="auto"/>
                        <w:left w:val="none" w:sz="0" w:space="0" w:color="auto"/>
                        <w:bottom w:val="none" w:sz="0" w:space="0" w:color="auto"/>
                        <w:right w:val="none" w:sz="0" w:space="0" w:color="auto"/>
                      </w:divBdr>
                    </w:div>
                  </w:divsChild>
                </w:div>
                <w:div w:id="1688481225">
                  <w:marLeft w:val="0"/>
                  <w:marRight w:val="0"/>
                  <w:marTop w:val="0"/>
                  <w:marBottom w:val="0"/>
                  <w:divBdr>
                    <w:top w:val="none" w:sz="0" w:space="0" w:color="auto"/>
                    <w:left w:val="none" w:sz="0" w:space="0" w:color="auto"/>
                    <w:bottom w:val="none" w:sz="0" w:space="0" w:color="auto"/>
                    <w:right w:val="none" w:sz="0" w:space="0" w:color="auto"/>
                  </w:divBdr>
                  <w:divsChild>
                    <w:div w:id="521940611">
                      <w:marLeft w:val="0"/>
                      <w:marRight w:val="0"/>
                      <w:marTop w:val="0"/>
                      <w:marBottom w:val="0"/>
                      <w:divBdr>
                        <w:top w:val="none" w:sz="0" w:space="0" w:color="auto"/>
                        <w:left w:val="none" w:sz="0" w:space="0" w:color="auto"/>
                        <w:bottom w:val="none" w:sz="0" w:space="0" w:color="auto"/>
                        <w:right w:val="none" w:sz="0" w:space="0" w:color="auto"/>
                      </w:divBdr>
                    </w:div>
                  </w:divsChild>
                </w:div>
                <w:div w:id="1690060562">
                  <w:marLeft w:val="0"/>
                  <w:marRight w:val="0"/>
                  <w:marTop w:val="0"/>
                  <w:marBottom w:val="0"/>
                  <w:divBdr>
                    <w:top w:val="none" w:sz="0" w:space="0" w:color="auto"/>
                    <w:left w:val="none" w:sz="0" w:space="0" w:color="auto"/>
                    <w:bottom w:val="none" w:sz="0" w:space="0" w:color="auto"/>
                    <w:right w:val="none" w:sz="0" w:space="0" w:color="auto"/>
                  </w:divBdr>
                  <w:divsChild>
                    <w:div w:id="1584802324">
                      <w:marLeft w:val="0"/>
                      <w:marRight w:val="0"/>
                      <w:marTop w:val="0"/>
                      <w:marBottom w:val="0"/>
                      <w:divBdr>
                        <w:top w:val="none" w:sz="0" w:space="0" w:color="auto"/>
                        <w:left w:val="none" w:sz="0" w:space="0" w:color="auto"/>
                        <w:bottom w:val="none" w:sz="0" w:space="0" w:color="auto"/>
                        <w:right w:val="none" w:sz="0" w:space="0" w:color="auto"/>
                      </w:divBdr>
                    </w:div>
                  </w:divsChild>
                </w:div>
                <w:div w:id="1693267332">
                  <w:marLeft w:val="0"/>
                  <w:marRight w:val="0"/>
                  <w:marTop w:val="0"/>
                  <w:marBottom w:val="0"/>
                  <w:divBdr>
                    <w:top w:val="none" w:sz="0" w:space="0" w:color="auto"/>
                    <w:left w:val="none" w:sz="0" w:space="0" w:color="auto"/>
                    <w:bottom w:val="none" w:sz="0" w:space="0" w:color="auto"/>
                    <w:right w:val="none" w:sz="0" w:space="0" w:color="auto"/>
                  </w:divBdr>
                  <w:divsChild>
                    <w:div w:id="1972591912">
                      <w:marLeft w:val="0"/>
                      <w:marRight w:val="0"/>
                      <w:marTop w:val="0"/>
                      <w:marBottom w:val="0"/>
                      <w:divBdr>
                        <w:top w:val="none" w:sz="0" w:space="0" w:color="auto"/>
                        <w:left w:val="none" w:sz="0" w:space="0" w:color="auto"/>
                        <w:bottom w:val="none" w:sz="0" w:space="0" w:color="auto"/>
                        <w:right w:val="none" w:sz="0" w:space="0" w:color="auto"/>
                      </w:divBdr>
                    </w:div>
                  </w:divsChild>
                </w:div>
                <w:div w:id="1693337812">
                  <w:marLeft w:val="0"/>
                  <w:marRight w:val="0"/>
                  <w:marTop w:val="0"/>
                  <w:marBottom w:val="0"/>
                  <w:divBdr>
                    <w:top w:val="none" w:sz="0" w:space="0" w:color="auto"/>
                    <w:left w:val="none" w:sz="0" w:space="0" w:color="auto"/>
                    <w:bottom w:val="none" w:sz="0" w:space="0" w:color="auto"/>
                    <w:right w:val="none" w:sz="0" w:space="0" w:color="auto"/>
                  </w:divBdr>
                  <w:divsChild>
                    <w:div w:id="1551258142">
                      <w:marLeft w:val="0"/>
                      <w:marRight w:val="0"/>
                      <w:marTop w:val="0"/>
                      <w:marBottom w:val="0"/>
                      <w:divBdr>
                        <w:top w:val="none" w:sz="0" w:space="0" w:color="auto"/>
                        <w:left w:val="none" w:sz="0" w:space="0" w:color="auto"/>
                        <w:bottom w:val="none" w:sz="0" w:space="0" w:color="auto"/>
                        <w:right w:val="none" w:sz="0" w:space="0" w:color="auto"/>
                      </w:divBdr>
                    </w:div>
                  </w:divsChild>
                </w:div>
                <w:div w:id="1711110063">
                  <w:marLeft w:val="0"/>
                  <w:marRight w:val="0"/>
                  <w:marTop w:val="0"/>
                  <w:marBottom w:val="0"/>
                  <w:divBdr>
                    <w:top w:val="none" w:sz="0" w:space="0" w:color="auto"/>
                    <w:left w:val="none" w:sz="0" w:space="0" w:color="auto"/>
                    <w:bottom w:val="none" w:sz="0" w:space="0" w:color="auto"/>
                    <w:right w:val="none" w:sz="0" w:space="0" w:color="auto"/>
                  </w:divBdr>
                  <w:divsChild>
                    <w:div w:id="93788528">
                      <w:marLeft w:val="0"/>
                      <w:marRight w:val="0"/>
                      <w:marTop w:val="0"/>
                      <w:marBottom w:val="0"/>
                      <w:divBdr>
                        <w:top w:val="none" w:sz="0" w:space="0" w:color="auto"/>
                        <w:left w:val="none" w:sz="0" w:space="0" w:color="auto"/>
                        <w:bottom w:val="none" w:sz="0" w:space="0" w:color="auto"/>
                        <w:right w:val="none" w:sz="0" w:space="0" w:color="auto"/>
                      </w:divBdr>
                    </w:div>
                  </w:divsChild>
                </w:div>
                <w:div w:id="1716546227">
                  <w:marLeft w:val="0"/>
                  <w:marRight w:val="0"/>
                  <w:marTop w:val="0"/>
                  <w:marBottom w:val="0"/>
                  <w:divBdr>
                    <w:top w:val="none" w:sz="0" w:space="0" w:color="auto"/>
                    <w:left w:val="none" w:sz="0" w:space="0" w:color="auto"/>
                    <w:bottom w:val="none" w:sz="0" w:space="0" w:color="auto"/>
                    <w:right w:val="none" w:sz="0" w:space="0" w:color="auto"/>
                  </w:divBdr>
                  <w:divsChild>
                    <w:div w:id="318726714">
                      <w:marLeft w:val="0"/>
                      <w:marRight w:val="0"/>
                      <w:marTop w:val="0"/>
                      <w:marBottom w:val="0"/>
                      <w:divBdr>
                        <w:top w:val="none" w:sz="0" w:space="0" w:color="auto"/>
                        <w:left w:val="none" w:sz="0" w:space="0" w:color="auto"/>
                        <w:bottom w:val="none" w:sz="0" w:space="0" w:color="auto"/>
                        <w:right w:val="none" w:sz="0" w:space="0" w:color="auto"/>
                      </w:divBdr>
                    </w:div>
                  </w:divsChild>
                </w:div>
                <w:div w:id="1717050778">
                  <w:marLeft w:val="0"/>
                  <w:marRight w:val="0"/>
                  <w:marTop w:val="0"/>
                  <w:marBottom w:val="0"/>
                  <w:divBdr>
                    <w:top w:val="none" w:sz="0" w:space="0" w:color="auto"/>
                    <w:left w:val="none" w:sz="0" w:space="0" w:color="auto"/>
                    <w:bottom w:val="none" w:sz="0" w:space="0" w:color="auto"/>
                    <w:right w:val="none" w:sz="0" w:space="0" w:color="auto"/>
                  </w:divBdr>
                  <w:divsChild>
                    <w:div w:id="1433823362">
                      <w:marLeft w:val="0"/>
                      <w:marRight w:val="0"/>
                      <w:marTop w:val="0"/>
                      <w:marBottom w:val="0"/>
                      <w:divBdr>
                        <w:top w:val="none" w:sz="0" w:space="0" w:color="auto"/>
                        <w:left w:val="none" w:sz="0" w:space="0" w:color="auto"/>
                        <w:bottom w:val="none" w:sz="0" w:space="0" w:color="auto"/>
                        <w:right w:val="none" w:sz="0" w:space="0" w:color="auto"/>
                      </w:divBdr>
                    </w:div>
                  </w:divsChild>
                </w:div>
                <w:div w:id="1720857159">
                  <w:marLeft w:val="0"/>
                  <w:marRight w:val="0"/>
                  <w:marTop w:val="0"/>
                  <w:marBottom w:val="0"/>
                  <w:divBdr>
                    <w:top w:val="none" w:sz="0" w:space="0" w:color="auto"/>
                    <w:left w:val="none" w:sz="0" w:space="0" w:color="auto"/>
                    <w:bottom w:val="none" w:sz="0" w:space="0" w:color="auto"/>
                    <w:right w:val="none" w:sz="0" w:space="0" w:color="auto"/>
                  </w:divBdr>
                  <w:divsChild>
                    <w:div w:id="1582904363">
                      <w:marLeft w:val="0"/>
                      <w:marRight w:val="0"/>
                      <w:marTop w:val="0"/>
                      <w:marBottom w:val="0"/>
                      <w:divBdr>
                        <w:top w:val="none" w:sz="0" w:space="0" w:color="auto"/>
                        <w:left w:val="none" w:sz="0" w:space="0" w:color="auto"/>
                        <w:bottom w:val="none" w:sz="0" w:space="0" w:color="auto"/>
                        <w:right w:val="none" w:sz="0" w:space="0" w:color="auto"/>
                      </w:divBdr>
                    </w:div>
                  </w:divsChild>
                </w:div>
                <w:div w:id="1726299263">
                  <w:marLeft w:val="0"/>
                  <w:marRight w:val="0"/>
                  <w:marTop w:val="0"/>
                  <w:marBottom w:val="0"/>
                  <w:divBdr>
                    <w:top w:val="none" w:sz="0" w:space="0" w:color="auto"/>
                    <w:left w:val="none" w:sz="0" w:space="0" w:color="auto"/>
                    <w:bottom w:val="none" w:sz="0" w:space="0" w:color="auto"/>
                    <w:right w:val="none" w:sz="0" w:space="0" w:color="auto"/>
                  </w:divBdr>
                  <w:divsChild>
                    <w:div w:id="90779921">
                      <w:marLeft w:val="0"/>
                      <w:marRight w:val="0"/>
                      <w:marTop w:val="0"/>
                      <w:marBottom w:val="0"/>
                      <w:divBdr>
                        <w:top w:val="none" w:sz="0" w:space="0" w:color="auto"/>
                        <w:left w:val="none" w:sz="0" w:space="0" w:color="auto"/>
                        <w:bottom w:val="none" w:sz="0" w:space="0" w:color="auto"/>
                        <w:right w:val="none" w:sz="0" w:space="0" w:color="auto"/>
                      </w:divBdr>
                    </w:div>
                  </w:divsChild>
                </w:div>
                <w:div w:id="1738236885">
                  <w:marLeft w:val="0"/>
                  <w:marRight w:val="0"/>
                  <w:marTop w:val="0"/>
                  <w:marBottom w:val="0"/>
                  <w:divBdr>
                    <w:top w:val="none" w:sz="0" w:space="0" w:color="auto"/>
                    <w:left w:val="none" w:sz="0" w:space="0" w:color="auto"/>
                    <w:bottom w:val="none" w:sz="0" w:space="0" w:color="auto"/>
                    <w:right w:val="none" w:sz="0" w:space="0" w:color="auto"/>
                  </w:divBdr>
                  <w:divsChild>
                    <w:div w:id="1527059633">
                      <w:marLeft w:val="0"/>
                      <w:marRight w:val="0"/>
                      <w:marTop w:val="0"/>
                      <w:marBottom w:val="0"/>
                      <w:divBdr>
                        <w:top w:val="none" w:sz="0" w:space="0" w:color="auto"/>
                        <w:left w:val="none" w:sz="0" w:space="0" w:color="auto"/>
                        <w:bottom w:val="none" w:sz="0" w:space="0" w:color="auto"/>
                        <w:right w:val="none" w:sz="0" w:space="0" w:color="auto"/>
                      </w:divBdr>
                    </w:div>
                  </w:divsChild>
                </w:div>
                <w:div w:id="1762145230">
                  <w:marLeft w:val="0"/>
                  <w:marRight w:val="0"/>
                  <w:marTop w:val="0"/>
                  <w:marBottom w:val="0"/>
                  <w:divBdr>
                    <w:top w:val="none" w:sz="0" w:space="0" w:color="auto"/>
                    <w:left w:val="none" w:sz="0" w:space="0" w:color="auto"/>
                    <w:bottom w:val="none" w:sz="0" w:space="0" w:color="auto"/>
                    <w:right w:val="none" w:sz="0" w:space="0" w:color="auto"/>
                  </w:divBdr>
                  <w:divsChild>
                    <w:div w:id="1185946765">
                      <w:marLeft w:val="0"/>
                      <w:marRight w:val="0"/>
                      <w:marTop w:val="0"/>
                      <w:marBottom w:val="0"/>
                      <w:divBdr>
                        <w:top w:val="none" w:sz="0" w:space="0" w:color="auto"/>
                        <w:left w:val="none" w:sz="0" w:space="0" w:color="auto"/>
                        <w:bottom w:val="none" w:sz="0" w:space="0" w:color="auto"/>
                        <w:right w:val="none" w:sz="0" w:space="0" w:color="auto"/>
                      </w:divBdr>
                    </w:div>
                  </w:divsChild>
                </w:div>
                <w:div w:id="1764648736">
                  <w:marLeft w:val="0"/>
                  <w:marRight w:val="0"/>
                  <w:marTop w:val="0"/>
                  <w:marBottom w:val="0"/>
                  <w:divBdr>
                    <w:top w:val="none" w:sz="0" w:space="0" w:color="auto"/>
                    <w:left w:val="none" w:sz="0" w:space="0" w:color="auto"/>
                    <w:bottom w:val="none" w:sz="0" w:space="0" w:color="auto"/>
                    <w:right w:val="none" w:sz="0" w:space="0" w:color="auto"/>
                  </w:divBdr>
                  <w:divsChild>
                    <w:div w:id="1966809984">
                      <w:marLeft w:val="0"/>
                      <w:marRight w:val="0"/>
                      <w:marTop w:val="0"/>
                      <w:marBottom w:val="0"/>
                      <w:divBdr>
                        <w:top w:val="none" w:sz="0" w:space="0" w:color="auto"/>
                        <w:left w:val="none" w:sz="0" w:space="0" w:color="auto"/>
                        <w:bottom w:val="none" w:sz="0" w:space="0" w:color="auto"/>
                        <w:right w:val="none" w:sz="0" w:space="0" w:color="auto"/>
                      </w:divBdr>
                    </w:div>
                  </w:divsChild>
                </w:div>
                <w:div w:id="1770197189">
                  <w:marLeft w:val="0"/>
                  <w:marRight w:val="0"/>
                  <w:marTop w:val="0"/>
                  <w:marBottom w:val="0"/>
                  <w:divBdr>
                    <w:top w:val="none" w:sz="0" w:space="0" w:color="auto"/>
                    <w:left w:val="none" w:sz="0" w:space="0" w:color="auto"/>
                    <w:bottom w:val="none" w:sz="0" w:space="0" w:color="auto"/>
                    <w:right w:val="none" w:sz="0" w:space="0" w:color="auto"/>
                  </w:divBdr>
                  <w:divsChild>
                    <w:div w:id="1677344678">
                      <w:marLeft w:val="0"/>
                      <w:marRight w:val="0"/>
                      <w:marTop w:val="0"/>
                      <w:marBottom w:val="0"/>
                      <w:divBdr>
                        <w:top w:val="none" w:sz="0" w:space="0" w:color="auto"/>
                        <w:left w:val="none" w:sz="0" w:space="0" w:color="auto"/>
                        <w:bottom w:val="none" w:sz="0" w:space="0" w:color="auto"/>
                        <w:right w:val="none" w:sz="0" w:space="0" w:color="auto"/>
                      </w:divBdr>
                    </w:div>
                  </w:divsChild>
                </w:div>
                <w:div w:id="1774209839">
                  <w:marLeft w:val="0"/>
                  <w:marRight w:val="0"/>
                  <w:marTop w:val="0"/>
                  <w:marBottom w:val="0"/>
                  <w:divBdr>
                    <w:top w:val="none" w:sz="0" w:space="0" w:color="auto"/>
                    <w:left w:val="none" w:sz="0" w:space="0" w:color="auto"/>
                    <w:bottom w:val="none" w:sz="0" w:space="0" w:color="auto"/>
                    <w:right w:val="none" w:sz="0" w:space="0" w:color="auto"/>
                  </w:divBdr>
                  <w:divsChild>
                    <w:div w:id="767387391">
                      <w:marLeft w:val="0"/>
                      <w:marRight w:val="0"/>
                      <w:marTop w:val="0"/>
                      <w:marBottom w:val="0"/>
                      <w:divBdr>
                        <w:top w:val="none" w:sz="0" w:space="0" w:color="auto"/>
                        <w:left w:val="none" w:sz="0" w:space="0" w:color="auto"/>
                        <w:bottom w:val="none" w:sz="0" w:space="0" w:color="auto"/>
                        <w:right w:val="none" w:sz="0" w:space="0" w:color="auto"/>
                      </w:divBdr>
                    </w:div>
                  </w:divsChild>
                </w:div>
                <w:div w:id="1807972463">
                  <w:marLeft w:val="0"/>
                  <w:marRight w:val="0"/>
                  <w:marTop w:val="0"/>
                  <w:marBottom w:val="0"/>
                  <w:divBdr>
                    <w:top w:val="none" w:sz="0" w:space="0" w:color="auto"/>
                    <w:left w:val="none" w:sz="0" w:space="0" w:color="auto"/>
                    <w:bottom w:val="none" w:sz="0" w:space="0" w:color="auto"/>
                    <w:right w:val="none" w:sz="0" w:space="0" w:color="auto"/>
                  </w:divBdr>
                  <w:divsChild>
                    <w:div w:id="1665860044">
                      <w:marLeft w:val="0"/>
                      <w:marRight w:val="0"/>
                      <w:marTop w:val="0"/>
                      <w:marBottom w:val="0"/>
                      <w:divBdr>
                        <w:top w:val="none" w:sz="0" w:space="0" w:color="auto"/>
                        <w:left w:val="none" w:sz="0" w:space="0" w:color="auto"/>
                        <w:bottom w:val="none" w:sz="0" w:space="0" w:color="auto"/>
                        <w:right w:val="none" w:sz="0" w:space="0" w:color="auto"/>
                      </w:divBdr>
                    </w:div>
                  </w:divsChild>
                </w:div>
                <w:div w:id="1814758647">
                  <w:marLeft w:val="0"/>
                  <w:marRight w:val="0"/>
                  <w:marTop w:val="0"/>
                  <w:marBottom w:val="0"/>
                  <w:divBdr>
                    <w:top w:val="none" w:sz="0" w:space="0" w:color="auto"/>
                    <w:left w:val="none" w:sz="0" w:space="0" w:color="auto"/>
                    <w:bottom w:val="none" w:sz="0" w:space="0" w:color="auto"/>
                    <w:right w:val="none" w:sz="0" w:space="0" w:color="auto"/>
                  </w:divBdr>
                  <w:divsChild>
                    <w:div w:id="1066878493">
                      <w:marLeft w:val="0"/>
                      <w:marRight w:val="0"/>
                      <w:marTop w:val="0"/>
                      <w:marBottom w:val="0"/>
                      <w:divBdr>
                        <w:top w:val="none" w:sz="0" w:space="0" w:color="auto"/>
                        <w:left w:val="none" w:sz="0" w:space="0" w:color="auto"/>
                        <w:bottom w:val="none" w:sz="0" w:space="0" w:color="auto"/>
                        <w:right w:val="none" w:sz="0" w:space="0" w:color="auto"/>
                      </w:divBdr>
                    </w:div>
                  </w:divsChild>
                </w:div>
                <w:div w:id="1835409205">
                  <w:marLeft w:val="0"/>
                  <w:marRight w:val="0"/>
                  <w:marTop w:val="0"/>
                  <w:marBottom w:val="0"/>
                  <w:divBdr>
                    <w:top w:val="none" w:sz="0" w:space="0" w:color="auto"/>
                    <w:left w:val="none" w:sz="0" w:space="0" w:color="auto"/>
                    <w:bottom w:val="none" w:sz="0" w:space="0" w:color="auto"/>
                    <w:right w:val="none" w:sz="0" w:space="0" w:color="auto"/>
                  </w:divBdr>
                  <w:divsChild>
                    <w:div w:id="1901400081">
                      <w:marLeft w:val="0"/>
                      <w:marRight w:val="0"/>
                      <w:marTop w:val="0"/>
                      <w:marBottom w:val="0"/>
                      <w:divBdr>
                        <w:top w:val="none" w:sz="0" w:space="0" w:color="auto"/>
                        <w:left w:val="none" w:sz="0" w:space="0" w:color="auto"/>
                        <w:bottom w:val="none" w:sz="0" w:space="0" w:color="auto"/>
                        <w:right w:val="none" w:sz="0" w:space="0" w:color="auto"/>
                      </w:divBdr>
                    </w:div>
                  </w:divsChild>
                </w:div>
                <w:div w:id="1840193152">
                  <w:marLeft w:val="0"/>
                  <w:marRight w:val="0"/>
                  <w:marTop w:val="0"/>
                  <w:marBottom w:val="0"/>
                  <w:divBdr>
                    <w:top w:val="none" w:sz="0" w:space="0" w:color="auto"/>
                    <w:left w:val="none" w:sz="0" w:space="0" w:color="auto"/>
                    <w:bottom w:val="none" w:sz="0" w:space="0" w:color="auto"/>
                    <w:right w:val="none" w:sz="0" w:space="0" w:color="auto"/>
                  </w:divBdr>
                  <w:divsChild>
                    <w:div w:id="89593787">
                      <w:marLeft w:val="0"/>
                      <w:marRight w:val="0"/>
                      <w:marTop w:val="0"/>
                      <w:marBottom w:val="0"/>
                      <w:divBdr>
                        <w:top w:val="none" w:sz="0" w:space="0" w:color="auto"/>
                        <w:left w:val="none" w:sz="0" w:space="0" w:color="auto"/>
                        <w:bottom w:val="none" w:sz="0" w:space="0" w:color="auto"/>
                        <w:right w:val="none" w:sz="0" w:space="0" w:color="auto"/>
                      </w:divBdr>
                    </w:div>
                  </w:divsChild>
                </w:div>
                <w:div w:id="1845166498">
                  <w:marLeft w:val="0"/>
                  <w:marRight w:val="0"/>
                  <w:marTop w:val="0"/>
                  <w:marBottom w:val="0"/>
                  <w:divBdr>
                    <w:top w:val="none" w:sz="0" w:space="0" w:color="auto"/>
                    <w:left w:val="none" w:sz="0" w:space="0" w:color="auto"/>
                    <w:bottom w:val="none" w:sz="0" w:space="0" w:color="auto"/>
                    <w:right w:val="none" w:sz="0" w:space="0" w:color="auto"/>
                  </w:divBdr>
                  <w:divsChild>
                    <w:div w:id="920721683">
                      <w:marLeft w:val="0"/>
                      <w:marRight w:val="0"/>
                      <w:marTop w:val="0"/>
                      <w:marBottom w:val="0"/>
                      <w:divBdr>
                        <w:top w:val="none" w:sz="0" w:space="0" w:color="auto"/>
                        <w:left w:val="none" w:sz="0" w:space="0" w:color="auto"/>
                        <w:bottom w:val="none" w:sz="0" w:space="0" w:color="auto"/>
                        <w:right w:val="none" w:sz="0" w:space="0" w:color="auto"/>
                      </w:divBdr>
                    </w:div>
                  </w:divsChild>
                </w:div>
                <w:div w:id="1852256208">
                  <w:marLeft w:val="0"/>
                  <w:marRight w:val="0"/>
                  <w:marTop w:val="0"/>
                  <w:marBottom w:val="0"/>
                  <w:divBdr>
                    <w:top w:val="none" w:sz="0" w:space="0" w:color="auto"/>
                    <w:left w:val="none" w:sz="0" w:space="0" w:color="auto"/>
                    <w:bottom w:val="none" w:sz="0" w:space="0" w:color="auto"/>
                    <w:right w:val="none" w:sz="0" w:space="0" w:color="auto"/>
                  </w:divBdr>
                  <w:divsChild>
                    <w:div w:id="93210271">
                      <w:marLeft w:val="0"/>
                      <w:marRight w:val="0"/>
                      <w:marTop w:val="0"/>
                      <w:marBottom w:val="0"/>
                      <w:divBdr>
                        <w:top w:val="none" w:sz="0" w:space="0" w:color="auto"/>
                        <w:left w:val="none" w:sz="0" w:space="0" w:color="auto"/>
                        <w:bottom w:val="none" w:sz="0" w:space="0" w:color="auto"/>
                        <w:right w:val="none" w:sz="0" w:space="0" w:color="auto"/>
                      </w:divBdr>
                    </w:div>
                  </w:divsChild>
                </w:div>
                <w:div w:id="1855223113">
                  <w:marLeft w:val="0"/>
                  <w:marRight w:val="0"/>
                  <w:marTop w:val="0"/>
                  <w:marBottom w:val="0"/>
                  <w:divBdr>
                    <w:top w:val="none" w:sz="0" w:space="0" w:color="auto"/>
                    <w:left w:val="none" w:sz="0" w:space="0" w:color="auto"/>
                    <w:bottom w:val="none" w:sz="0" w:space="0" w:color="auto"/>
                    <w:right w:val="none" w:sz="0" w:space="0" w:color="auto"/>
                  </w:divBdr>
                  <w:divsChild>
                    <w:div w:id="141242861">
                      <w:marLeft w:val="0"/>
                      <w:marRight w:val="0"/>
                      <w:marTop w:val="0"/>
                      <w:marBottom w:val="0"/>
                      <w:divBdr>
                        <w:top w:val="none" w:sz="0" w:space="0" w:color="auto"/>
                        <w:left w:val="none" w:sz="0" w:space="0" w:color="auto"/>
                        <w:bottom w:val="none" w:sz="0" w:space="0" w:color="auto"/>
                        <w:right w:val="none" w:sz="0" w:space="0" w:color="auto"/>
                      </w:divBdr>
                    </w:div>
                  </w:divsChild>
                </w:div>
                <w:div w:id="1876891633">
                  <w:marLeft w:val="0"/>
                  <w:marRight w:val="0"/>
                  <w:marTop w:val="0"/>
                  <w:marBottom w:val="0"/>
                  <w:divBdr>
                    <w:top w:val="none" w:sz="0" w:space="0" w:color="auto"/>
                    <w:left w:val="none" w:sz="0" w:space="0" w:color="auto"/>
                    <w:bottom w:val="none" w:sz="0" w:space="0" w:color="auto"/>
                    <w:right w:val="none" w:sz="0" w:space="0" w:color="auto"/>
                  </w:divBdr>
                  <w:divsChild>
                    <w:div w:id="411122692">
                      <w:marLeft w:val="0"/>
                      <w:marRight w:val="0"/>
                      <w:marTop w:val="0"/>
                      <w:marBottom w:val="0"/>
                      <w:divBdr>
                        <w:top w:val="none" w:sz="0" w:space="0" w:color="auto"/>
                        <w:left w:val="none" w:sz="0" w:space="0" w:color="auto"/>
                        <w:bottom w:val="none" w:sz="0" w:space="0" w:color="auto"/>
                        <w:right w:val="none" w:sz="0" w:space="0" w:color="auto"/>
                      </w:divBdr>
                    </w:div>
                  </w:divsChild>
                </w:div>
                <w:div w:id="1910993304">
                  <w:marLeft w:val="0"/>
                  <w:marRight w:val="0"/>
                  <w:marTop w:val="0"/>
                  <w:marBottom w:val="0"/>
                  <w:divBdr>
                    <w:top w:val="none" w:sz="0" w:space="0" w:color="auto"/>
                    <w:left w:val="none" w:sz="0" w:space="0" w:color="auto"/>
                    <w:bottom w:val="none" w:sz="0" w:space="0" w:color="auto"/>
                    <w:right w:val="none" w:sz="0" w:space="0" w:color="auto"/>
                  </w:divBdr>
                  <w:divsChild>
                    <w:div w:id="2098095271">
                      <w:marLeft w:val="0"/>
                      <w:marRight w:val="0"/>
                      <w:marTop w:val="0"/>
                      <w:marBottom w:val="0"/>
                      <w:divBdr>
                        <w:top w:val="none" w:sz="0" w:space="0" w:color="auto"/>
                        <w:left w:val="none" w:sz="0" w:space="0" w:color="auto"/>
                        <w:bottom w:val="none" w:sz="0" w:space="0" w:color="auto"/>
                        <w:right w:val="none" w:sz="0" w:space="0" w:color="auto"/>
                      </w:divBdr>
                    </w:div>
                  </w:divsChild>
                </w:div>
                <w:div w:id="1912689697">
                  <w:marLeft w:val="0"/>
                  <w:marRight w:val="0"/>
                  <w:marTop w:val="0"/>
                  <w:marBottom w:val="0"/>
                  <w:divBdr>
                    <w:top w:val="none" w:sz="0" w:space="0" w:color="auto"/>
                    <w:left w:val="none" w:sz="0" w:space="0" w:color="auto"/>
                    <w:bottom w:val="none" w:sz="0" w:space="0" w:color="auto"/>
                    <w:right w:val="none" w:sz="0" w:space="0" w:color="auto"/>
                  </w:divBdr>
                  <w:divsChild>
                    <w:div w:id="1296989302">
                      <w:marLeft w:val="0"/>
                      <w:marRight w:val="0"/>
                      <w:marTop w:val="0"/>
                      <w:marBottom w:val="0"/>
                      <w:divBdr>
                        <w:top w:val="none" w:sz="0" w:space="0" w:color="auto"/>
                        <w:left w:val="none" w:sz="0" w:space="0" w:color="auto"/>
                        <w:bottom w:val="none" w:sz="0" w:space="0" w:color="auto"/>
                        <w:right w:val="none" w:sz="0" w:space="0" w:color="auto"/>
                      </w:divBdr>
                    </w:div>
                  </w:divsChild>
                </w:div>
                <w:div w:id="1915046497">
                  <w:marLeft w:val="0"/>
                  <w:marRight w:val="0"/>
                  <w:marTop w:val="0"/>
                  <w:marBottom w:val="0"/>
                  <w:divBdr>
                    <w:top w:val="none" w:sz="0" w:space="0" w:color="auto"/>
                    <w:left w:val="none" w:sz="0" w:space="0" w:color="auto"/>
                    <w:bottom w:val="none" w:sz="0" w:space="0" w:color="auto"/>
                    <w:right w:val="none" w:sz="0" w:space="0" w:color="auto"/>
                  </w:divBdr>
                  <w:divsChild>
                    <w:div w:id="1570188761">
                      <w:marLeft w:val="0"/>
                      <w:marRight w:val="0"/>
                      <w:marTop w:val="0"/>
                      <w:marBottom w:val="0"/>
                      <w:divBdr>
                        <w:top w:val="none" w:sz="0" w:space="0" w:color="auto"/>
                        <w:left w:val="none" w:sz="0" w:space="0" w:color="auto"/>
                        <w:bottom w:val="none" w:sz="0" w:space="0" w:color="auto"/>
                        <w:right w:val="none" w:sz="0" w:space="0" w:color="auto"/>
                      </w:divBdr>
                    </w:div>
                  </w:divsChild>
                </w:div>
                <w:div w:id="1927036790">
                  <w:marLeft w:val="0"/>
                  <w:marRight w:val="0"/>
                  <w:marTop w:val="0"/>
                  <w:marBottom w:val="0"/>
                  <w:divBdr>
                    <w:top w:val="none" w:sz="0" w:space="0" w:color="auto"/>
                    <w:left w:val="none" w:sz="0" w:space="0" w:color="auto"/>
                    <w:bottom w:val="none" w:sz="0" w:space="0" w:color="auto"/>
                    <w:right w:val="none" w:sz="0" w:space="0" w:color="auto"/>
                  </w:divBdr>
                  <w:divsChild>
                    <w:div w:id="595794492">
                      <w:marLeft w:val="0"/>
                      <w:marRight w:val="0"/>
                      <w:marTop w:val="0"/>
                      <w:marBottom w:val="0"/>
                      <w:divBdr>
                        <w:top w:val="none" w:sz="0" w:space="0" w:color="auto"/>
                        <w:left w:val="none" w:sz="0" w:space="0" w:color="auto"/>
                        <w:bottom w:val="none" w:sz="0" w:space="0" w:color="auto"/>
                        <w:right w:val="none" w:sz="0" w:space="0" w:color="auto"/>
                      </w:divBdr>
                    </w:div>
                  </w:divsChild>
                </w:div>
                <w:div w:id="1935437398">
                  <w:marLeft w:val="0"/>
                  <w:marRight w:val="0"/>
                  <w:marTop w:val="0"/>
                  <w:marBottom w:val="0"/>
                  <w:divBdr>
                    <w:top w:val="none" w:sz="0" w:space="0" w:color="auto"/>
                    <w:left w:val="none" w:sz="0" w:space="0" w:color="auto"/>
                    <w:bottom w:val="none" w:sz="0" w:space="0" w:color="auto"/>
                    <w:right w:val="none" w:sz="0" w:space="0" w:color="auto"/>
                  </w:divBdr>
                  <w:divsChild>
                    <w:div w:id="753475232">
                      <w:marLeft w:val="0"/>
                      <w:marRight w:val="0"/>
                      <w:marTop w:val="0"/>
                      <w:marBottom w:val="0"/>
                      <w:divBdr>
                        <w:top w:val="none" w:sz="0" w:space="0" w:color="auto"/>
                        <w:left w:val="none" w:sz="0" w:space="0" w:color="auto"/>
                        <w:bottom w:val="none" w:sz="0" w:space="0" w:color="auto"/>
                        <w:right w:val="none" w:sz="0" w:space="0" w:color="auto"/>
                      </w:divBdr>
                    </w:div>
                  </w:divsChild>
                </w:div>
                <w:div w:id="1959020019">
                  <w:marLeft w:val="0"/>
                  <w:marRight w:val="0"/>
                  <w:marTop w:val="0"/>
                  <w:marBottom w:val="0"/>
                  <w:divBdr>
                    <w:top w:val="none" w:sz="0" w:space="0" w:color="auto"/>
                    <w:left w:val="none" w:sz="0" w:space="0" w:color="auto"/>
                    <w:bottom w:val="none" w:sz="0" w:space="0" w:color="auto"/>
                    <w:right w:val="none" w:sz="0" w:space="0" w:color="auto"/>
                  </w:divBdr>
                  <w:divsChild>
                    <w:div w:id="361438173">
                      <w:marLeft w:val="0"/>
                      <w:marRight w:val="0"/>
                      <w:marTop w:val="0"/>
                      <w:marBottom w:val="0"/>
                      <w:divBdr>
                        <w:top w:val="none" w:sz="0" w:space="0" w:color="auto"/>
                        <w:left w:val="none" w:sz="0" w:space="0" w:color="auto"/>
                        <w:bottom w:val="none" w:sz="0" w:space="0" w:color="auto"/>
                        <w:right w:val="none" w:sz="0" w:space="0" w:color="auto"/>
                      </w:divBdr>
                    </w:div>
                  </w:divsChild>
                </w:div>
                <w:div w:id="1962806936">
                  <w:marLeft w:val="0"/>
                  <w:marRight w:val="0"/>
                  <w:marTop w:val="0"/>
                  <w:marBottom w:val="0"/>
                  <w:divBdr>
                    <w:top w:val="none" w:sz="0" w:space="0" w:color="auto"/>
                    <w:left w:val="none" w:sz="0" w:space="0" w:color="auto"/>
                    <w:bottom w:val="none" w:sz="0" w:space="0" w:color="auto"/>
                    <w:right w:val="none" w:sz="0" w:space="0" w:color="auto"/>
                  </w:divBdr>
                  <w:divsChild>
                    <w:div w:id="1466507960">
                      <w:marLeft w:val="0"/>
                      <w:marRight w:val="0"/>
                      <w:marTop w:val="0"/>
                      <w:marBottom w:val="0"/>
                      <w:divBdr>
                        <w:top w:val="none" w:sz="0" w:space="0" w:color="auto"/>
                        <w:left w:val="none" w:sz="0" w:space="0" w:color="auto"/>
                        <w:bottom w:val="none" w:sz="0" w:space="0" w:color="auto"/>
                        <w:right w:val="none" w:sz="0" w:space="0" w:color="auto"/>
                      </w:divBdr>
                    </w:div>
                  </w:divsChild>
                </w:div>
                <w:div w:id="1977299140">
                  <w:marLeft w:val="0"/>
                  <w:marRight w:val="0"/>
                  <w:marTop w:val="0"/>
                  <w:marBottom w:val="0"/>
                  <w:divBdr>
                    <w:top w:val="none" w:sz="0" w:space="0" w:color="auto"/>
                    <w:left w:val="none" w:sz="0" w:space="0" w:color="auto"/>
                    <w:bottom w:val="none" w:sz="0" w:space="0" w:color="auto"/>
                    <w:right w:val="none" w:sz="0" w:space="0" w:color="auto"/>
                  </w:divBdr>
                  <w:divsChild>
                    <w:div w:id="1986742357">
                      <w:marLeft w:val="0"/>
                      <w:marRight w:val="0"/>
                      <w:marTop w:val="0"/>
                      <w:marBottom w:val="0"/>
                      <w:divBdr>
                        <w:top w:val="none" w:sz="0" w:space="0" w:color="auto"/>
                        <w:left w:val="none" w:sz="0" w:space="0" w:color="auto"/>
                        <w:bottom w:val="none" w:sz="0" w:space="0" w:color="auto"/>
                        <w:right w:val="none" w:sz="0" w:space="0" w:color="auto"/>
                      </w:divBdr>
                    </w:div>
                  </w:divsChild>
                </w:div>
                <w:div w:id="1993286942">
                  <w:marLeft w:val="0"/>
                  <w:marRight w:val="0"/>
                  <w:marTop w:val="0"/>
                  <w:marBottom w:val="0"/>
                  <w:divBdr>
                    <w:top w:val="none" w:sz="0" w:space="0" w:color="auto"/>
                    <w:left w:val="none" w:sz="0" w:space="0" w:color="auto"/>
                    <w:bottom w:val="none" w:sz="0" w:space="0" w:color="auto"/>
                    <w:right w:val="none" w:sz="0" w:space="0" w:color="auto"/>
                  </w:divBdr>
                  <w:divsChild>
                    <w:div w:id="458307157">
                      <w:marLeft w:val="0"/>
                      <w:marRight w:val="0"/>
                      <w:marTop w:val="0"/>
                      <w:marBottom w:val="0"/>
                      <w:divBdr>
                        <w:top w:val="none" w:sz="0" w:space="0" w:color="auto"/>
                        <w:left w:val="none" w:sz="0" w:space="0" w:color="auto"/>
                        <w:bottom w:val="none" w:sz="0" w:space="0" w:color="auto"/>
                        <w:right w:val="none" w:sz="0" w:space="0" w:color="auto"/>
                      </w:divBdr>
                    </w:div>
                  </w:divsChild>
                </w:div>
                <w:div w:id="2004702642">
                  <w:marLeft w:val="0"/>
                  <w:marRight w:val="0"/>
                  <w:marTop w:val="0"/>
                  <w:marBottom w:val="0"/>
                  <w:divBdr>
                    <w:top w:val="none" w:sz="0" w:space="0" w:color="auto"/>
                    <w:left w:val="none" w:sz="0" w:space="0" w:color="auto"/>
                    <w:bottom w:val="none" w:sz="0" w:space="0" w:color="auto"/>
                    <w:right w:val="none" w:sz="0" w:space="0" w:color="auto"/>
                  </w:divBdr>
                  <w:divsChild>
                    <w:div w:id="303193611">
                      <w:marLeft w:val="0"/>
                      <w:marRight w:val="0"/>
                      <w:marTop w:val="0"/>
                      <w:marBottom w:val="0"/>
                      <w:divBdr>
                        <w:top w:val="none" w:sz="0" w:space="0" w:color="auto"/>
                        <w:left w:val="none" w:sz="0" w:space="0" w:color="auto"/>
                        <w:bottom w:val="none" w:sz="0" w:space="0" w:color="auto"/>
                        <w:right w:val="none" w:sz="0" w:space="0" w:color="auto"/>
                      </w:divBdr>
                    </w:div>
                  </w:divsChild>
                </w:div>
                <w:div w:id="2010207278">
                  <w:marLeft w:val="0"/>
                  <w:marRight w:val="0"/>
                  <w:marTop w:val="0"/>
                  <w:marBottom w:val="0"/>
                  <w:divBdr>
                    <w:top w:val="none" w:sz="0" w:space="0" w:color="auto"/>
                    <w:left w:val="none" w:sz="0" w:space="0" w:color="auto"/>
                    <w:bottom w:val="none" w:sz="0" w:space="0" w:color="auto"/>
                    <w:right w:val="none" w:sz="0" w:space="0" w:color="auto"/>
                  </w:divBdr>
                  <w:divsChild>
                    <w:div w:id="1688680895">
                      <w:marLeft w:val="0"/>
                      <w:marRight w:val="0"/>
                      <w:marTop w:val="0"/>
                      <w:marBottom w:val="0"/>
                      <w:divBdr>
                        <w:top w:val="none" w:sz="0" w:space="0" w:color="auto"/>
                        <w:left w:val="none" w:sz="0" w:space="0" w:color="auto"/>
                        <w:bottom w:val="none" w:sz="0" w:space="0" w:color="auto"/>
                        <w:right w:val="none" w:sz="0" w:space="0" w:color="auto"/>
                      </w:divBdr>
                    </w:div>
                  </w:divsChild>
                </w:div>
                <w:div w:id="2040232993">
                  <w:marLeft w:val="0"/>
                  <w:marRight w:val="0"/>
                  <w:marTop w:val="0"/>
                  <w:marBottom w:val="0"/>
                  <w:divBdr>
                    <w:top w:val="none" w:sz="0" w:space="0" w:color="auto"/>
                    <w:left w:val="none" w:sz="0" w:space="0" w:color="auto"/>
                    <w:bottom w:val="none" w:sz="0" w:space="0" w:color="auto"/>
                    <w:right w:val="none" w:sz="0" w:space="0" w:color="auto"/>
                  </w:divBdr>
                  <w:divsChild>
                    <w:div w:id="1008094517">
                      <w:marLeft w:val="0"/>
                      <w:marRight w:val="0"/>
                      <w:marTop w:val="0"/>
                      <w:marBottom w:val="0"/>
                      <w:divBdr>
                        <w:top w:val="none" w:sz="0" w:space="0" w:color="auto"/>
                        <w:left w:val="none" w:sz="0" w:space="0" w:color="auto"/>
                        <w:bottom w:val="none" w:sz="0" w:space="0" w:color="auto"/>
                        <w:right w:val="none" w:sz="0" w:space="0" w:color="auto"/>
                      </w:divBdr>
                    </w:div>
                  </w:divsChild>
                </w:div>
                <w:div w:id="2065566762">
                  <w:marLeft w:val="0"/>
                  <w:marRight w:val="0"/>
                  <w:marTop w:val="0"/>
                  <w:marBottom w:val="0"/>
                  <w:divBdr>
                    <w:top w:val="none" w:sz="0" w:space="0" w:color="auto"/>
                    <w:left w:val="none" w:sz="0" w:space="0" w:color="auto"/>
                    <w:bottom w:val="none" w:sz="0" w:space="0" w:color="auto"/>
                    <w:right w:val="none" w:sz="0" w:space="0" w:color="auto"/>
                  </w:divBdr>
                  <w:divsChild>
                    <w:div w:id="1987590725">
                      <w:marLeft w:val="0"/>
                      <w:marRight w:val="0"/>
                      <w:marTop w:val="0"/>
                      <w:marBottom w:val="0"/>
                      <w:divBdr>
                        <w:top w:val="none" w:sz="0" w:space="0" w:color="auto"/>
                        <w:left w:val="none" w:sz="0" w:space="0" w:color="auto"/>
                        <w:bottom w:val="none" w:sz="0" w:space="0" w:color="auto"/>
                        <w:right w:val="none" w:sz="0" w:space="0" w:color="auto"/>
                      </w:divBdr>
                    </w:div>
                  </w:divsChild>
                </w:div>
                <w:div w:id="2065908797">
                  <w:marLeft w:val="0"/>
                  <w:marRight w:val="0"/>
                  <w:marTop w:val="0"/>
                  <w:marBottom w:val="0"/>
                  <w:divBdr>
                    <w:top w:val="none" w:sz="0" w:space="0" w:color="auto"/>
                    <w:left w:val="none" w:sz="0" w:space="0" w:color="auto"/>
                    <w:bottom w:val="none" w:sz="0" w:space="0" w:color="auto"/>
                    <w:right w:val="none" w:sz="0" w:space="0" w:color="auto"/>
                  </w:divBdr>
                  <w:divsChild>
                    <w:div w:id="1030305936">
                      <w:marLeft w:val="0"/>
                      <w:marRight w:val="0"/>
                      <w:marTop w:val="0"/>
                      <w:marBottom w:val="0"/>
                      <w:divBdr>
                        <w:top w:val="none" w:sz="0" w:space="0" w:color="auto"/>
                        <w:left w:val="none" w:sz="0" w:space="0" w:color="auto"/>
                        <w:bottom w:val="none" w:sz="0" w:space="0" w:color="auto"/>
                        <w:right w:val="none" w:sz="0" w:space="0" w:color="auto"/>
                      </w:divBdr>
                    </w:div>
                  </w:divsChild>
                </w:div>
                <w:div w:id="2099448591">
                  <w:marLeft w:val="0"/>
                  <w:marRight w:val="0"/>
                  <w:marTop w:val="0"/>
                  <w:marBottom w:val="0"/>
                  <w:divBdr>
                    <w:top w:val="none" w:sz="0" w:space="0" w:color="auto"/>
                    <w:left w:val="none" w:sz="0" w:space="0" w:color="auto"/>
                    <w:bottom w:val="none" w:sz="0" w:space="0" w:color="auto"/>
                    <w:right w:val="none" w:sz="0" w:space="0" w:color="auto"/>
                  </w:divBdr>
                  <w:divsChild>
                    <w:div w:id="527183989">
                      <w:marLeft w:val="0"/>
                      <w:marRight w:val="0"/>
                      <w:marTop w:val="0"/>
                      <w:marBottom w:val="0"/>
                      <w:divBdr>
                        <w:top w:val="none" w:sz="0" w:space="0" w:color="auto"/>
                        <w:left w:val="none" w:sz="0" w:space="0" w:color="auto"/>
                        <w:bottom w:val="none" w:sz="0" w:space="0" w:color="auto"/>
                        <w:right w:val="none" w:sz="0" w:space="0" w:color="auto"/>
                      </w:divBdr>
                    </w:div>
                  </w:divsChild>
                </w:div>
                <w:div w:id="2107116976">
                  <w:marLeft w:val="0"/>
                  <w:marRight w:val="0"/>
                  <w:marTop w:val="0"/>
                  <w:marBottom w:val="0"/>
                  <w:divBdr>
                    <w:top w:val="none" w:sz="0" w:space="0" w:color="auto"/>
                    <w:left w:val="none" w:sz="0" w:space="0" w:color="auto"/>
                    <w:bottom w:val="none" w:sz="0" w:space="0" w:color="auto"/>
                    <w:right w:val="none" w:sz="0" w:space="0" w:color="auto"/>
                  </w:divBdr>
                  <w:divsChild>
                    <w:div w:id="650410292">
                      <w:marLeft w:val="0"/>
                      <w:marRight w:val="0"/>
                      <w:marTop w:val="0"/>
                      <w:marBottom w:val="0"/>
                      <w:divBdr>
                        <w:top w:val="none" w:sz="0" w:space="0" w:color="auto"/>
                        <w:left w:val="none" w:sz="0" w:space="0" w:color="auto"/>
                        <w:bottom w:val="none" w:sz="0" w:space="0" w:color="auto"/>
                        <w:right w:val="none" w:sz="0" w:space="0" w:color="auto"/>
                      </w:divBdr>
                    </w:div>
                  </w:divsChild>
                </w:div>
                <w:div w:id="2111004432">
                  <w:marLeft w:val="0"/>
                  <w:marRight w:val="0"/>
                  <w:marTop w:val="0"/>
                  <w:marBottom w:val="0"/>
                  <w:divBdr>
                    <w:top w:val="none" w:sz="0" w:space="0" w:color="auto"/>
                    <w:left w:val="none" w:sz="0" w:space="0" w:color="auto"/>
                    <w:bottom w:val="none" w:sz="0" w:space="0" w:color="auto"/>
                    <w:right w:val="none" w:sz="0" w:space="0" w:color="auto"/>
                  </w:divBdr>
                  <w:divsChild>
                    <w:div w:id="634606047">
                      <w:marLeft w:val="0"/>
                      <w:marRight w:val="0"/>
                      <w:marTop w:val="0"/>
                      <w:marBottom w:val="0"/>
                      <w:divBdr>
                        <w:top w:val="none" w:sz="0" w:space="0" w:color="auto"/>
                        <w:left w:val="none" w:sz="0" w:space="0" w:color="auto"/>
                        <w:bottom w:val="none" w:sz="0" w:space="0" w:color="auto"/>
                        <w:right w:val="none" w:sz="0" w:space="0" w:color="auto"/>
                      </w:divBdr>
                    </w:div>
                  </w:divsChild>
                </w:div>
                <w:div w:id="2112777939">
                  <w:marLeft w:val="0"/>
                  <w:marRight w:val="0"/>
                  <w:marTop w:val="0"/>
                  <w:marBottom w:val="0"/>
                  <w:divBdr>
                    <w:top w:val="none" w:sz="0" w:space="0" w:color="auto"/>
                    <w:left w:val="none" w:sz="0" w:space="0" w:color="auto"/>
                    <w:bottom w:val="none" w:sz="0" w:space="0" w:color="auto"/>
                    <w:right w:val="none" w:sz="0" w:space="0" w:color="auto"/>
                  </w:divBdr>
                  <w:divsChild>
                    <w:div w:id="1499955022">
                      <w:marLeft w:val="0"/>
                      <w:marRight w:val="0"/>
                      <w:marTop w:val="0"/>
                      <w:marBottom w:val="0"/>
                      <w:divBdr>
                        <w:top w:val="none" w:sz="0" w:space="0" w:color="auto"/>
                        <w:left w:val="none" w:sz="0" w:space="0" w:color="auto"/>
                        <w:bottom w:val="none" w:sz="0" w:space="0" w:color="auto"/>
                        <w:right w:val="none" w:sz="0" w:space="0" w:color="auto"/>
                      </w:divBdr>
                    </w:div>
                  </w:divsChild>
                </w:div>
                <w:div w:id="2127921076">
                  <w:marLeft w:val="0"/>
                  <w:marRight w:val="0"/>
                  <w:marTop w:val="0"/>
                  <w:marBottom w:val="0"/>
                  <w:divBdr>
                    <w:top w:val="none" w:sz="0" w:space="0" w:color="auto"/>
                    <w:left w:val="none" w:sz="0" w:space="0" w:color="auto"/>
                    <w:bottom w:val="none" w:sz="0" w:space="0" w:color="auto"/>
                    <w:right w:val="none" w:sz="0" w:space="0" w:color="auto"/>
                  </w:divBdr>
                  <w:divsChild>
                    <w:div w:id="14381447">
                      <w:marLeft w:val="0"/>
                      <w:marRight w:val="0"/>
                      <w:marTop w:val="0"/>
                      <w:marBottom w:val="0"/>
                      <w:divBdr>
                        <w:top w:val="none" w:sz="0" w:space="0" w:color="auto"/>
                        <w:left w:val="none" w:sz="0" w:space="0" w:color="auto"/>
                        <w:bottom w:val="none" w:sz="0" w:space="0" w:color="auto"/>
                        <w:right w:val="none" w:sz="0" w:space="0" w:color="auto"/>
                      </w:divBdr>
                    </w:div>
                  </w:divsChild>
                </w:div>
                <w:div w:id="2129935690">
                  <w:marLeft w:val="0"/>
                  <w:marRight w:val="0"/>
                  <w:marTop w:val="0"/>
                  <w:marBottom w:val="0"/>
                  <w:divBdr>
                    <w:top w:val="none" w:sz="0" w:space="0" w:color="auto"/>
                    <w:left w:val="none" w:sz="0" w:space="0" w:color="auto"/>
                    <w:bottom w:val="none" w:sz="0" w:space="0" w:color="auto"/>
                    <w:right w:val="none" w:sz="0" w:space="0" w:color="auto"/>
                  </w:divBdr>
                  <w:divsChild>
                    <w:div w:id="1448087306">
                      <w:marLeft w:val="0"/>
                      <w:marRight w:val="0"/>
                      <w:marTop w:val="0"/>
                      <w:marBottom w:val="0"/>
                      <w:divBdr>
                        <w:top w:val="none" w:sz="0" w:space="0" w:color="auto"/>
                        <w:left w:val="none" w:sz="0" w:space="0" w:color="auto"/>
                        <w:bottom w:val="none" w:sz="0" w:space="0" w:color="auto"/>
                        <w:right w:val="none" w:sz="0" w:space="0" w:color="auto"/>
                      </w:divBdr>
                    </w:div>
                  </w:divsChild>
                </w:div>
                <w:div w:id="2134592323">
                  <w:marLeft w:val="0"/>
                  <w:marRight w:val="0"/>
                  <w:marTop w:val="0"/>
                  <w:marBottom w:val="0"/>
                  <w:divBdr>
                    <w:top w:val="none" w:sz="0" w:space="0" w:color="auto"/>
                    <w:left w:val="none" w:sz="0" w:space="0" w:color="auto"/>
                    <w:bottom w:val="none" w:sz="0" w:space="0" w:color="auto"/>
                    <w:right w:val="none" w:sz="0" w:space="0" w:color="auto"/>
                  </w:divBdr>
                  <w:divsChild>
                    <w:div w:id="8896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62031">
          <w:marLeft w:val="0"/>
          <w:marRight w:val="0"/>
          <w:marTop w:val="0"/>
          <w:marBottom w:val="0"/>
          <w:divBdr>
            <w:top w:val="none" w:sz="0" w:space="0" w:color="auto"/>
            <w:left w:val="none" w:sz="0" w:space="0" w:color="auto"/>
            <w:bottom w:val="none" w:sz="0" w:space="0" w:color="auto"/>
            <w:right w:val="none" w:sz="0" w:space="0" w:color="auto"/>
          </w:divBdr>
        </w:div>
        <w:div w:id="1801260710">
          <w:marLeft w:val="0"/>
          <w:marRight w:val="0"/>
          <w:marTop w:val="0"/>
          <w:marBottom w:val="0"/>
          <w:divBdr>
            <w:top w:val="none" w:sz="0" w:space="0" w:color="auto"/>
            <w:left w:val="none" w:sz="0" w:space="0" w:color="auto"/>
            <w:bottom w:val="none" w:sz="0" w:space="0" w:color="auto"/>
            <w:right w:val="none" w:sz="0" w:space="0" w:color="auto"/>
          </w:divBdr>
        </w:div>
        <w:div w:id="1839804102">
          <w:marLeft w:val="0"/>
          <w:marRight w:val="0"/>
          <w:marTop w:val="0"/>
          <w:marBottom w:val="0"/>
          <w:divBdr>
            <w:top w:val="none" w:sz="0" w:space="0" w:color="auto"/>
            <w:left w:val="none" w:sz="0" w:space="0" w:color="auto"/>
            <w:bottom w:val="none" w:sz="0" w:space="0" w:color="auto"/>
            <w:right w:val="none" w:sz="0" w:space="0" w:color="auto"/>
          </w:divBdr>
        </w:div>
        <w:div w:id="1920871853">
          <w:marLeft w:val="0"/>
          <w:marRight w:val="0"/>
          <w:marTop w:val="0"/>
          <w:marBottom w:val="0"/>
          <w:divBdr>
            <w:top w:val="none" w:sz="0" w:space="0" w:color="auto"/>
            <w:left w:val="none" w:sz="0" w:space="0" w:color="auto"/>
            <w:bottom w:val="none" w:sz="0" w:space="0" w:color="auto"/>
            <w:right w:val="none" w:sz="0" w:space="0" w:color="auto"/>
          </w:divBdr>
        </w:div>
        <w:div w:id="2147238424">
          <w:marLeft w:val="0"/>
          <w:marRight w:val="0"/>
          <w:marTop w:val="0"/>
          <w:marBottom w:val="0"/>
          <w:divBdr>
            <w:top w:val="none" w:sz="0" w:space="0" w:color="auto"/>
            <w:left w:val="none" w:sz="0" w:space="0" w:color="auto"/>
            <w:bottom w:val="none" w:sz="0" w:space="0" w:color="auto"/>
            <w:right w:val="none" w:sz="0" w:space="0" w:color="auto"/>
          </w:divBdr>
        </w:div>
      </w:divsChild>
    </w:div>
    <w:div w:id="373430973">
      <w:bodyDiv w:val="1"/>
      <w:marLeft w:val="0"/>
      <w:marRight w:val="0"/>
      <w:marTop w:val="0"/>
      <w:marBottom w:val="0"/>
      <w:divBdr>
        <w:top w:val="none" w:sz="0" w:space="0" w:color="auto"/>
        <w:left w:val="none" w:sz="0" w:space="0" w:color="auto"/>
        <w:bottom w:val="none" w:sz="0" w:space="0" w:color="auto"/>
        <w:right w:val="none" w:sz="0" w:space="0" w:color="auto"/>
      </w:divBdr>
    </w:div>
    <w:div w:id="373700790">
      <w:bodyDiv w:val="1"/>
      <w:marLeft w:val="0"/>
      <w:marRight w:val="0"/>
      <w:marTop w:val="0"/>
      <w:marBottom w:val="0"/>
      <w:divBdr>
        <w:top w:val="none" w:sz="0" w:space="0" w:color="auto"/>
        <w:left w:val="none" w:sz="0" w:space="0" w:color="auto"/>
        <w:bottom w:val="none" w:sz="0" w:space="0" w:color="auto"/>
        <w:right w:val="none" w:sz="0" w:space="0" w:color="auto"/>
      </w:divBdr>
    </w:div>
    <w:div w:id="377705995">
      <w:bodyDiv w:val="1"/>
      <w:marLeft w:val="0"/>
      <w:marRight w:val="0"/>
      <w:marTop w:val="0"/>
      <w:marBottom w:val="0"/>
      <w:divBdr>
        <w:top w:val="none" w:sz="0" w:space="0" w:color="auto"/>
        <w:left w:val="none" w:sz="0" w:space="0" w:color="auto"/>
        <w:bottom w:val="none" w:sz="0" w:space="0" w:color="auto"/>
        <w:right w:val="none" w:sz="0" w:space="0" w:color="auto"/>
      </w:divBdr>
    </w:div>
    <w:div w:id="380788692">
      <w:bodyDiv w:val="1"/>
      <w:marLeft w:val="0"/>
      <w:marRight w:val="0"/>
      <w:marTop w:val="0"/>
      <w:marBottom w:val="0"/>
      <w:divBdr>
        <w:top w:val="none" w:sz="0" w:space="0" w:color="auto"/>
        <w:left w:val="none" w:sz="0" w:space="0" w:color="auto"/>
        <w:bottom w:val="none" w:sz="0" w:space="0" w:color="auto"/>
        <w:right w:val="none" w:sz="0" w:space="0" w:color="auto"/>
      </w:divBdr>
    </w:div>
    <w:div w:id="409936003">
      <w:bodyDiv w:val="1"/>
      <w:marLeft w:val="0"/>
      <w:marRight w:val="0"/>
      <w:marTop w:val="0"/>
      <w:marBottom w:val="0"/>
      <w:divBdr>
        <w:top w:val="none" w:sz="0" w:space="0" w:color="auto"/>
        <w:left w:val="none" w:sz="0" w:space="0" w:color="auto"/>
        <w:bottom w:val="none" w:sz="0" w:space="0" w:color="auto"/>
        <w:right w:val="none" w:sz="0" w:space="0" w:color="auto"/>
      </w:divBdr>
      <w:divsChild>
        <w:div w:id="218707756">
          <w:marLeft w:val="0"/>
          <w:marRight w:val="0"/>
          <w:marTop w:val="0"/>
          <w:marBottom w:val="0"/>
          <w:divBdr>
            <w:top w:val="none" w:sz="0" w:space="0" w:color="auto"/>
            <w:left w:val="none" w:sz="0" w:space="0" w:color="auto"/>
            <w:bottom w:val="none" w:sz="0" w:space="0" w:color="auto"/>
            <w:right w:val="none" w:sz="0" w:space="0" w:color="auto"/>
          </w:divBdr>
        </w:div>
      </w:divsChild>
    </w:div>
    <w:div w:id="415250268">
      <w:bodyDiv w:val="1"/>
      <w:marLeft w:val="0"/>
      <w:marRight w:val="0"/>
      <w:marTop w:val="0"/>
      <w:marBottom w:val="0"/>
      <w:divBdr>
        <w:top w:val="none" w:sz="0" w:space="0" w:color="auto"/>
        <w:left w:val="none" w:sz="0" w:space="0" w:color="auto"/>
        <w:bottom w:val="none" w:sz="0" w:space="0" w:color="auto"/>
        <w:right w:val="none" w:sz="0" w:space="0" w:color="auto"/>
      </w:divBdr>
    </w:div>
    <w:div w:id="427192857">
      <w:bodyDiv w:val="1"/>
      <w:marLeft w:val="0"/>
      <w:marRight w:val="0"/>
      <w:marTop w:val="0"/>
      <w:marBottom w:val="0"/>
      <w:divBdr>
        <w:top w:val="none" w:sz="0" w:space="0" w:color="auto"/>
        <w:left w:val="none" w:sz="0" w:space="0" w:color="auto"/>
        <w:bottom w:val="none" w:sz="0" w:space="0" w:color="auto"/>
        <w:right w:val="none" w:sz="0" w:space="0" w:color="auto"/>
      </w:divBdr>
      <w:divsChild>
        <w:div w:id="1109469835">
          <w:marLeft w:val="0"/>
          <w:marRight w:val="0"/>
          <w:marTop w:val="0"/>
          <w:marBottom w:val="0"/>
          <w:divBdr>
            <w:top w:val="none" w:sz="0" w:space="0" w:color="auto"/>
            <w:left w:val="none" w:sz="0" w:space="0" w:color="auto"/>
            <w:bottom w:val="none" w:sz="0" w:space="0" w:color="auto"/>
            <w:right w:val="none" w:sz="0" w:space="0" w:color="auto"/>
          </w:divBdr>
        </w:div>
      </w:divsChild>
    </w:div>
    <w:div w:id="429661198">
      <w:bodyDiv w:val="1"/>
      <w:marLeft w:val="0"/>
      <w:marRight w:val="0"/>
      <w:marTop w:val="0"/>
      <w:marBottom w:val="0"/>
      <w:divBdr>
        <w:top w:val="none" w:sz="0" w:space="0" w:color="auto"/>
        <w:left w:val="none" w:sz="0" w:space="0" w:color="auto"/>
        <w:bottom w:val="none" w:sz="0" w:space="0" w:color="auto"/>
        <w:right w:val="none" w:sz="0" w:space="0" w:color="auto"/>
      </w:divBdr>
      <w:divsChild>
        <w:div w:id="1787312439">
          <w:marLeft w:val="0"/>
          <w:marRight w:val="0"/>
          <w:marTop w:val="0"/>
          <w:marBottom w:val="0"/>
          <w:divBdr>
            <w:top w:val="none" w:sz="0" w:space="0" w:color="auto"/>
            <w:left w:val="none" w:sz="0" w:space="0" w:color="auto"/>
            <w:bottom w:val="none" w:sz="0" w:space="0" w:color="auto"/>
            <w:right w:val="none" w:sz="0" w:space="0" w:color="auto"/>
          </w:divBdr>
        </w:div>
      </w:divsChild>
    </w:div>
    <w:div w:id="450974035">
      <w:bodyDiv w:val="1"/>
      <w:marLeft w:val="0"/>
      <w:marRight w:val="0"/>
      <w:marTop w:val="0"/>
      <w:marBottom w:val="0"/>
      <w:divBdr>
        <w:top w:val="none" w:sz="0" w:space="0" w:color="auto"/>
        <w:left w:val="none" w:sz="0" w:space="0" w:color="auto"/>
        <w:bottom w:val="none" w:sz="0" w:space="0" w:color="auto"/>
        <w:right w:val="none" w:sz="0" w:space="0" w:color="auto"/>
      </w:divBdr>
    </w:div>
    <w:div w:id="464350748">
      <w:bodyDiv w:val="1"/>
      <w:marLeft w:val="0"/>
      <w:marRight w:val="0"/>
      <w:marTop w:val="0"/>
      <w:marBottom w:val="0"/>
      <w:divBdr>
        <w:top w:val="none" w:sz="0" w:space="0" w:color="auto"/>
        <w:left w:val="none" w:sz="0" w:space="0" w:color="auto"/>
        <w:bottom w:val="none" w:sz="0" w:space="0" w:color="auto"/>
        <w:right w:val="none" w:sz="0" w:space="0" w:color="auto"/>
      </w:divBdr>
    </w:div>
    <w:div w:id="480804827">
      <w:bodyDiv w:val="1"/>
      <w:marLeft w:val="0"/>
      <w:marRight w:val="0"/>
      <w:marTop w:val="0"/>
      <w:marBottom w:val="0"/>
      <w:divBdr>
        <w:top w:val="none" w:sz="0" w:space="0" w:color="auto"/>
        <w:left w:val="none" w:sz="0" w:space="0" w:color="auto"/>
        <w:bottom w:val="none" w:sz="0" w:space="0" w:color="auto"/>
        <w:right w:val="none" w:sz="0" w:space="0" w:color="auto"/>
      </w:divBdr>
    </w:div>
    <w:div w:id="487327679">
      <w:bodyDiv w:val="1"/>
      <w:marLeft w:val="0"/>
      <w:marRight w:val="0"/>
      <w:marTop w:val="0"/>
      <w:marBottom w:val="0"/>
      <w:divBdr>
        <w:top w:val="none" w:sz="0" w:space="0" w:color="auto"/>
        <w:left w:val="none" w:sz="0" w:space="0" w:color="auto"/>
        <w:bottom w:val="none" w:sz="0" w:space="0" w:color="auto"/>
        <w:right w:val="none" w:sz="0" w:space="0" w:color="auto"/>
      </w:divBdr>
    </w:div>
    <w:div w:id="514422095">
      <w:bodyDiv w:val="1"/>
      <w:marLeft w:val="0"/>
      <w:marRight w:val="0"/>
      <w:marTop w:val="0"/>
      <w:marBottom w:val="0"/>
      <w:divBdr>
        <w:top w:val="none" w:sz="0" w:space="0" w:color="auto"/>
        <w:left w:val="none" w:sz="0" w:space="0" w:color="auto"/>
        <w:bottom w:val="none" w:sz="0" w:space="0" w:color="auto"/>
        <w:right w:val="none" w:sz="0" w:space="0" w:color="auto"/>
      </w:divBdr>
    </w:div>
    <w:div w:id="532421191">
      <w:bodyDiv w:val="1"/>
      <w:marLeft w:val="0"/>
      <w:marRight w:val="0"/>
      <w:marTop w:val="0"/>
      <w:marBottom w:val="0"/>
      <w:divBdr>
        <w:top w:val="none" w:sz="0" w:space="0" w:color="auto"/>
        <w:left w:val="none" w:sz="0" w:space="0" w:color="auto"/>
        <w:bottom w:val="none" w:sz="0" w:space="0" w:color="auto"/>
        <w:right w:val="none" w:sz="0" w:space="0" w:color="auto"/>
      </w:divBdr>
      <w:divsChild>
        <w:div w:id="693464466">
          <w:marLeft w:val="0"/>
          <w:marRight w:val="0"/>
          <w:marTop w:val="0"/>
          <w:marBottom w:val="0"/>
          <w:divBdr>
            <w:top w:val="none" w:sz="0" w:space="0" w:color="auto"/>
            <w:left w:val="none" w:sz="0" w:space="0" w:color="auto"/>
            <w:bottom w:val="none" w:sz="0" w:space="0" w:color="auto"/>
            <w:right w:val="none" w:sz="0" w:space="0" w:color="auto"/>
          </w:divBdr>
        </w:div>
      </w:divsChild>
    </w:div>
    <w:div w:id="536351169">
      <w:bodyDiv w:val="1"/>
      <w:marLeft w:val="0"/>
      <w:marRight w:val="0"/>
      <w:marTop w:val="0"/>
      <w:marBottom w:val="0"/>
      <w:divBdr>
        <w:top w:val="none" w:sz="0" w:space="0" w:color="auto"/>
        <w:left w:val="none" w:sz="0" w:space="0" w:color="auto"/>
        <w:bottom w:val="none" w:sz="0" w:space="0" w:color="auto"/>
        <w:right w:val="none" w:sz="0" w:space="0" w:color="auto"/>
      </w:divBdr>
      <w:divsChild>
        <w:div w:id="174806757">
          <w:marLeft w:val="0"/>
          <w:marRight w:val="0"/>
          <w:marTop w:val="0"/>
          <w:marBottom w:val="0"/>
          <w:divBdr>
            <w:top w:val="none" w:sz="0" w:space="0" w:color="auto"/>
            <w:left w:val="none" w:sz="0" w:space="0" w:color="auto"/>
            <w:bottom w:val="none" w:sz="0" w:space="0" w:color="auto"/>
            <w:right w:val="none" w:sz="0" w:space="0" w:color="auto"/>
          </w:divBdr>
        </w:div>
      </w:divsChild>
    </w:div>
    <w:div w:id="541526286">
      <w:bodyDiv w:val="1"/>
      <w:marLeft w:val="0"/>
      <w:marRight w:val="0"/>
      <w:marTop w:val="0"/>
      <w:marBottom w:val="0"/>
      <w:divBdr>
        <w:top w:val="none" w:sz="0" w:space="0" w:color="auto"/>
        <w:left w:val="none" w:sz="0" w:space="0" w:color="auto"/>
        <w:bottom w:val="none" w:sz="0" w:space="0" w:color="auto"/>
        <w:right w:val="none" w:sz="0" w:space="0" w:color="auto"/>
      </w:divBdr>
    </w:div>
    <w:div w:id="548103625">
      <w:bodyDiv w:val="1"/>
      <w:marLeft w:val="0"/>
      <w:marRight w:val="0"/>
      <w:marTop w:val="0"/>
      <w:marBottom w:val="0"/>
      <w:divBdr>
        <w:top w:val="none" w:sz="0" w:space="0" w:color="auto"/>
        <w:left w:val="none" w:sz="0" w:space="0" w:color="auto"/>
        <w:bottom w:val="none" w:sz="0" w:space="0" w:color="auto"/>
        <w:right w:val="none" w:sz="0" w:space="0" w:color="auto"/>
      </w:divBdr>
    </w:div>
    <w:div w:id="628129785">
      <w:bodyDiv w:val="1"/>
      <w:marLeft w:val="0"/>
      <w:marRight w:val="0"/>
      <w:marTop w:val="0"/>
      <w:marBottom w:val="0"/>
      <w:divBdr>
        <w:top w:val="none" w:sz="0" w:space="0" w:color="auto"/>
        <w:left w:val="none" w:sz="0" w:space="0" w:color="auto"/>
        <w:bottom w:val="none" w:sz="0" w:space="0" w:color="auto"/>
        <w:right w:val="none" w:sz="0" w:space="0" w:color="auto"/>
      </w:divBdr>
      <w:divsChild>
        <w:div w:id="1398045">
          <w:marLeft w:val="0"/>
          <w:marRight w:val="0"/>
          <w:marTop w:val="0"/>
          <w:marBottom w:val="0"/>
          <w:divBdr>
            <w:top w:val="none" w:sz="0" w:space="0" w:color="auto"/>
            <w:left w:val="none" w:sz="0" w:space="0" w:color="auto"/>
            <w:bottom w:val="none" w:sz="0" w:space="0" w:color="auto"/>
            <w:right w:val="none" w:sz="0" w:space="0" w:color="auto"/>
          </w:divBdr>
          <w:divsChild>
            <w:div w:id="1993872389">
              <w:marLeft w:val="0"/>
              <w:marRight w:val="0"/>
              <w:marTop w:val="0"/>
              <w:marBottom w:val="0"/>
              <w:divBdr>
                <w:top w:val="none" w:sz="0" w:space="0" w:color="auto"/>
                <w:left w:val="none" w:sz="0" w:space="0" w:color="auto"/>
                <w:bottom w:val="none" w:sz="0" w:space="0" w:color="auto"/>
                <w:right w:val="none" w:sz="0" w:space="0" w:color="auto"/>
              </w:divBdr>
            </w:div>
          </w:divsChild>
        </w:div>
        <w:div w:id="20321239">
          <w:marLeft w:val="0"/>
          <w:marRight w:val="0"/>
          <w:marTop w:val="0"/>
          <w:marBottom w:val="0"/>
          <w:divBdr>
            <w:top w:val="none" w:sz="0" w:space="0" w:color="auto"/>
            <w:left w:val="none" w:sz="0" w:space="0" w:color="auto"/>
            <w:bottom w:val="none" w:sz="0" w:space="0" w:color="auto"/>
            <w:right w:val="none" w:sz="0" w:space="0" w:color="auto"/>
          </w:divBdr>
          <w:divsChild>
            <w:div w:id="84959175">
              <w:marLeft w:val="0"/>
              <w:marRight w:val="0"/>
              <w:marTop w:val="0"/>
              <w:marBottom w:val="0"/>
              <w:divBdr>
                <w:top w:val="none" w:sz="0" w:space="0" w:color="auto"/>
                <w:left w:val="none" w:sz="0" w:space="0" w:color="auto"/>
                <w:bottom w:val="none" w:sz="0" w:space="0" w:color="auto"/>
                <w:right w:val="none" w:sz="0" w:space="0" w:color="auto"/>
              </w:divBdr>
            </w:div>
          </w:divsChild>
        </w:div>
        <w:div w:id="123040799">
          <w:marLeft w:val="0"/>
          <w:marRight w:val="0"/>
          <w:marTop w:val="0"/>
          <w:marBottom w:val="0"/>
          <w:divBdr>
            <w:top w:val="none" w:sz="0" w:space="0" w:color="auto"/>
            <w:left w:val="none" w:sz="0" w:space="0" w:color="auto"/>
            <w:bottom w:val="none" w:sz="0" w:space="0" w:color="auto"/>
            <w:right w:val="none" w:sz="0" w:space="0" w:color="auto"/>
          </w:divBdr>
          <w:divsChild>
            <w:div w:id="1816023159">
              <w:marLeft w:val="0"/>
              <w:marRight w:val="0"/>
              <w:marTop w:val="0"/>
              <w:marBottom w:val="0"/>
              <w:divBdr>
                <w:top w:val="none" w:sz="0" w:space="0" w:color="auto"/>
                <w:left w:val="none" w:sz="0" w:space="0" w:color="auto"/>
                <w:bottom w:val="none" w:sz="0" w:space="0" w:color="auto"/>
                <w:right w:val="none" w:sz="0" w:space="0" w:color="auto"/>
              </w:divBdr>
            </w:div>
          </w:divsChild>
        </w:div>
        <w:div w:id="136653905">
          <w:marLeft w:val="0"/>
          <w:marRight w:val="0"/>
          <w:marTop w:val="0"/>
          <w:marBottom w:val="0"/>
          <w:divBdr>
            <w:top w:val="none" w:sz="0" w:space="0" w:color="auto"/>
            <w:left w:val="none" w:sz="0" w:space="0" w:color="auto"/>
            <w:bottom w:val="none" w:sz="0" w:space="0" w:color="auto"/>
            <w:right w:val="none" w:sz="0" w:space="0" w:color="auto"/>
          </w:divBdr>
          <w:divsChild>
            <w:div w:id="2016376847">
              <w:marLeft w:val="0"/>
              <w:marRight w:val="0"/>
              <w:marTop w:val="0"/>
              <w:marBottom w:val="0"/>
              <w:divBdr>
                <w:top w:val="none" w:sz="0" w:space="0" w:color="auto"/>
                <w:left w:val="none" w:sz="0" w:space="0" w:color="auto"/>
                <w:bottom w:val="none" w:sz="0" w:space="0" w:color="auto"/>
                <w:right w:val="none" w:sz="0" w:space="0" w:color="auto"/>
              </w:divBdr>
            </w:div>
          </w:divsChild>
        </w:div>
        <w:div w:id="208076934">
          <w:marLeft w:val="0"/>
          <w:marRight w:val="0"/>
          <w:marTop w:val="0"/>
          <w:marBottom w:val="0"/>
          <w:divBdr>
            <w:top w:val="none" w:sz="0" w:space="0" w:color="auto"/>
            <w:left w:val="none" w:sz="0" w:space="0" w:color="auto"/>
            <w:bottom w:val="none" w:sz="0" w:space="0" w:color="auto"/>
            <w:right w:val="none" w:sz="0" w:space="0" w:color="auto"/>
          </w:divBdr>
          <w:divsChild>
            <w:div w:id="620499793">
              <w:marLeft w:val="0"/>
              <w:marRight w:val="0"/>
              <w:marTop w:val="0"/>
              <w:marBottom w:val="0"/>
              <w:divBdr>
                <w:top w:val="none" w:sz="0" w:space="0" w:color="auto"/>
                <w:left w:val="none" w:sz="0" w:space="0" w:color="auto"/>
                <w:bottom w:val="none" w:sz="0" w:space="0" w:color="auto"/>
                <w:right w:val="none" w:sz="0" w:space="0" w:color="auto"/>
              </w:divBdr>
            </w:div>
          </w:divsChild>
        </w:div>
        <w:div w:id="291061506">
          <w:marLeft w:val="0"/>
          <w:marRight w:val="0"/>
          <w:marTop w:val="0"/>
          <w:marBottom w:val="0"/>
          <w:divBdr>
            <w:top w:val="none" w:sz="0" w:space="0" w:color="auto"/>
            <w:left w:val="none" w:sz="0" w:space="0" w:color="auto"/>
            <w:bottom w:val="none" w:sz="0" w:space="0" w:color="auto"/>
            <w:right w:val="none" w:sz="0" w:space="0" w:color="auto"/>
          </w:divBdr>
          <w:divsChild>
            <w:div w:id="1205482500">
              <w:marLeft w:val="0"/>
              <w:marRight w:val="0"/>
              <w:marTop w:val="0"/>
              <w:marBottom w:val="0"/>
              <w:divBdr>
                <w:top w:val="none" w:sz="0" w:space="0" w:color="auto"/>
                <w:left w:val="none" w:sz="0" w:space="0" w:color="auto"/>
                <w:bottom w:val="none" w:sz="0" w:space="0" w:color="auto"/>
                <w:right w:val="none" w:sz="0" w:space="0" w:color="auto"/>
              </w:divBdr>
            </w:div>
          </w:divsChild>
        </w:div>
        <w:div w:id="336154504">
          <w:marLeft w:val="0"/>
          <w:marRight w:val="0"/>
          <w:marTop w:val="0"/>
          <w:marBottom w:val="0"/>
          <w:divBdr>
            <w:top w:val="none" w:sz="0" w:space="0" w:color="auto"/>
            <w:left w:val="none" w:sz="0" w:space="0" w:color="auto"/>
            <w:bottom w:val="none" w:sz="0" w:space="0" w:color="auto"/>
            <w:right w:val="none" w:sz="0" w:space="0" w:color="auto"/>
          </w:divBdr>
          <w:divsChild>
            <w:div w:id="1524978444">
              <w:marLeft w:val="0"/>
              <w:marRight w:val="0"/>
              <w:marTop w:val="0"/>
              <w:marBottom w:val="0"/>
              <w:divBdr>
                <w:top w:val="none" w:sz="0" w:space="0" w:color="auto"/>
                <w:left w:val="none" w:sz="0" w:space="0" w:color="auto"/>
                <w:bottom w:val="none" w:sz="0" w:space="0" w:color="auto"/>
                <w:right w:val="none" w:sz="0" w:space="0" w:color="auto"/>
              </w:divBdr>
            </w:div>
          </w:divsChild>
        </w:div>
        <w:div w:id="351494890">
          <w:marLeft w:val="0"/>
          <w:marRight w:val="0"/>
          <w:marTop w:val="0"/>
          <w:marBottom w:val="0"/>
          <w:divBdr>
            <w:top w:val="none" w:sz="0" w:space="0" w:color="auto"/>
            <w:left w:val="none" w:sz="0" w:space="0" w:color="auto"/>
            <w:bottom w:val="none" w:sz="0" w:space="0" w:color="auto"/>
            <w:right w:val="none" w:sz="0" w:space="0" w:color="auto"/>
          </w:divBdr>
          <w:divsChild>
            <w:div w:id="1536965236">
              <w:marLeft w:val="0"/>
              <w:marRight w:val="0"/>
              <w:marTop w:val="0"/>
              <w:marBottom w:val="0"/>
              <w:divBdr>
                <w:top w:val="none" w:sz="0" w:space="0" w:color="auto"/>
                <w:left w:val="none" w:sz="0" w:space="0" w:color="auto"/>
                <w:bottom w:val="none" w:sz="0" w:space="0" w:color="auto"/>
                <w:right w:val="none" w:sz="0" w:space="0" w:color="auto"/>
              </w:divBdr>
            </w:div>
          </w:divsChild>
        </w:div>
        <w:div w:id="377047888">
          <w:marLeft w:val="0"/>
          <w:marRight w:val="0"/>
          <w:marTop w:val="0"/>
          <w:marBottom w:val="0"/>
          <w:divBdr>
            <w:top w:val="none" w:sz="0" w:space="0" w:color="auto"/>
            <w:left w:val="none" w:sz="0" w:space="0" w:color="auto"/>
            <w:bottom w:val="none" w:sz="0" w:space="0" w:color="auto"/>
            <w:right w:val="none" w:sz="0" w:space="0" w:color="auto"/>
          </w:divBdr>
          <w:divsChild>
            <w:div w:id="702365607">
              <w:marLeft w:val="0"/>
              <w:marRight w:val="0"/>
              <w:marTop w:val="0"/>
              <w:marBottom w:val="0"/>
              <w:divBdr>
                <w:top w:val="none" w:sz="0" w:space="0" w:color="auto"/>
                <w:left w:val="none" w:sz="0" w:space="0" w:color="auto"/>
                <w:bottom w:val="none" w:sz="0" w:space="0" w:color="auto"/>
                <w:right w:val="none" w:sz="0" w:space="0" w:color="auto"/>
              </w:divBdr>
            </w:div>
          </w:divsChild>
        </w:div>
        <w:div w:id="407075570">
          <w:marLeft w:val="0"/>
          <w:marRight w:val="0"/>
          <w:marTop w:val="0"/>
          <w:marBottom w:val="0"/>
          <w:divBdr>
            <w:top w:val="none" w:sz="0" w:space="0" w:color="auto"/>
            <w:left w:val="none" w:sz="0" w:space="0" w:color="auto"/>
            <w:bottom w:val="none" w:sz="0" w:space="0" w:color="auto"/>
            <w:right w:val="none" w:sz="0" w:space="0" w:color="auto"/>
          </w:divBdr>
          <w:divsChild>
            <w:div w:id="623274929">
              <w:marLeft w:val="0"/>
              <w:marRight w:val="0"/>
              <w:marTop w:val="0"/>
              <w:marBottom w:val="0"/>
              <w:divBdr>
                <w:top w:val="none" w:sz="0" w:space="0" w:color="auto"/>
                <w:left w:val="none" w:sz="0" w:space="0" w:color="auto"/>
                <w:bottom w:val="none" w:sz="0" w:space="0" w:color="auto"/>
                <w:right w:val="none" w:sz="0" w:space="0" w:color="auto"/>
              </w:divBdr>
            </w:div>
          </w:divsChild>
        </w:div>
        <w:div w:id="617684884">
          <w:marLeft w:val="0"/>
          <w:marRight w:val="0"/>
          <w:marTop w:val="0"/>
          <w:marBottom w:val="0"/>
          <w:divBdr>
            <w:top w:val="none" w:sz="0" w:space="0" w:color="auto"/>
            <w:left w:val="none" w:sz="0" w:space="0" w:color="auto"/>
            <w:bottom w:val="none" w:sz="0" w:space="0" w:color="auto"/>
            <w:right w:val="none" w:sz="0" w:space="0" w:color="auto"/>
          </w:divBdr>
          <w:divsChild>
            <w:div w:id="1449003700">
              <w:marLeft w:val="0"/>
              <w:marRight w:val="0"/>
              <w:marTop w:val="0"/>
              <w:marBottom w:val="0"/>
              <w:divBdr>
                <w:top w:val="none" w:sz="0" w:space="0" w:color="auto"/>
                <w:left w:val="none" w:sz="0" w:space="0" w:color="auto"/>
                <w:bottom w:val="none" w:sz="0" w:space="0" w:color="auto"/>
                <w:right w:val="none" w:sz="0" w:space="0" w:color="auto"/>
              </w:divBdr>
            </w:div>
          </w:divsChild>
        </w:div>
        <w:div w:id="733240259">
          <w:marLeft w:val="0"/>
          <w:marRight w:val="0"/>
          <w:marTop w:val="0"/>
          <w:marBottom w:val="0"/>
          <w:divBdr>
            <w:top w:val="none" w:sz="0" w:space="0" w:color="auto"/>
            <w:left w:val="none" w:sz="0" w:space="0" w:color="auto"/>
            <w:bottom w:val="none" w:sz="0" w:space="0" w:color="auto"/>
            <w:right w:val="none" w:sz="0" w:space="0" w:color="auto"/>
          </w:divBdr>
          <w:divsChild>
            <w:div w:id="312104243">
              <w:marLeft w:val="0"/>
              <w:marRight w:val="0"/>
              <w:marTop w:val="0"/>
              <w:marBottom w:val="0"/>
              <w:divBdr>
                <w:top w:val="none" w:sz="0" w:space="0" w:color="auto"/>
                <w:left w:val="none" w:sz="0" w:space="0" w:color="auto"/>
                <w:bottom w:val="none" w:sz="0" w:space="0" w:color="auto"/>
                <w:right w:val="none" w:sz="0" w:space="0" w:color="auto"/>
              </w:divBdr>
            </w:div>
          </w:divsChild>
        </w:div>
        <w:div w:id="753937959">
          <w:marLeft w:val="0"/>
          <w:marRight w:val="0"/>
          <w:marTop w:val="0"/>
          <w:marBottom w:val="0"/>
          <w:divBdr>
            <w:top w:val="none" w:sz="0" w:space="0" w:color="auto"/>
            <w:left w:val="none" w:sz="0" w:space="0" w:color="auto"/>
            <w:bottom w:val="none" w:sz="0" w:space="0" w:color="auto"/>
            <w:right w:val="none" w:sz="0" w:space="0" w:color="auto"/>
          </w:divBdr>
          <w:divsChild>
            <w:div w:id="954092350">
              <w:marLeft w:val="0"/>
              <w:marRight w:val="0"/>
              <w:marTop w:val="0"/>
              <w:marBottom w:val="0"/>
              <w:divBdr>
                <w:top w:val="none" w:sz="0" w:space="0" w:color="auto"/>
                <w:left w:val="none" w:sz="0" w:space="0" w:color="auto"/>
                <w:bottom w:val="none" w:sz="0" w:space="0" w:color="auto"/>
                <w:right w:val="none" w:sz="0" w:space="0" w:color="auto"/>
              </w:divBdr>
            </w:div>
            <w:div w:id="1010524268">
              <w:marLeft w:val="0"/>
              <w:marRight w:val="0"/>
              <w:marTop w:val="0"/>
              <w:marBottom w:val="0"/>
              <w:divBdr>
                <w:top w:val="none" w:sz="0" w:space="0" w:color="auto"/>
                <w:left w:val="none" w:sz="0" w:space="0" w:color="auto"/>
                <w:bottom w:val="none" w:sz="0" w:space="0" w:color="auto"/>
                <w:right w:val="none" w:sz="0" w:space="0" w:color="auto"/>
              </w:divBdr>
            </w:div>
          </w:divsChild>
        </w:div>
        <w:div w:id="806894520">
          <w:marLeft w:val="0"/>
          <w:marRight w:val="0"/>
          <w:marTop w:val="0"/>
          <w:marBottom w:val="0"/>
          <w:divBdr>
            <w:top w:val="none" w:sz="0" w:space="0" w:color="auto"/>
            <w:left w:val="none" w:sz="0" w:space="0" w:color="auto"/>
            <w:bottom w:val="none" w:sz="0" w:space="0" w:color="auto"/>
            <w:right w:val="none" w:sz="0" w:space="0" w:color="auto"/>
          </w:divBdr>
          <w:divsChild>
            <w:div w:id="696085039">
              <w:marLeft w:val="0"/>
              <w:marRight w:val="0"/>
              <w:marTop w:val="0"/>
              <w:marBottom w:val="0"/>
              <w:divBdr>
                <w:top w:val="none" w:sz="0" w:space="0" w:color="auto"/>
                <w:left w:val="none" w:sz="0" w:space="0" w:color="auto"/>
                <w:bottom w:val="none" w:sz="0" w:space="0" w:color="auto"/>
                <w:right w:val="none" w:sz="0" w:space="0" w:color="auto"/>
              </w:divBdr>
            </w:div>
          </w:divsChild>
        </w:div>
        <w:div w:id="901906537">
          <w:marLeft w:val="0"/>
          <w:marRight w:val="0"/>
          <w:marTop w:val="0"/>
          <w:marBottom w:val="0"/>
          <w:divBdr>
            <w:top w:val="none" w:sz="0" w:space="0" w:color="auto"/>
            <w:left w:val="none" w:sz="0" w:space="0" w:color="auto"/>
            <w:bottom w:val="none" w:sz="0" w:space="0" w:color="auto"/>
            <w:right w:val="none" w:sz="0" w:space="0" w:color="auto"/>
          </w:divBdr>
          <w:divsChild>
            <w:div w:id="1603804020">
              <w:marLeft w:val="0"/>
              <w:marRight w:val="0"/>
              <w:marTop w:val="0"/>
              <w:marBottom w:val="0"/>
              <w:divBdr>
                <w:top w:val="none" w:sz="0" w:space="0" w:color="auto"/>
                <w:left w:val="none" w:sz="0" w:space="0" w:color="auto"/>
                <w:bottom w:val="none" w:sz="0" w:space="0" w:color="auto"/>
                <w:right w:val="none" w:sz="0" w:space="0" w:color="auto"/>
              </w:divBdr>
            </w:div>
          </w:divsChild>
        </w:div>
        <w:div w:id="960305865">
          <w:marLeft w:val="0"/>
          <w:marRight w:val="0"/>
          <w:marTop w:val="0"/>
          <w:marBottom w:val="0"/>
          <w:divBdr>
            <w:top w:val="none" w:sz="0" w:space="0" w:color="auto"/>
            <w:left w:val="none" w:sz="0" w:space="0" w:color="auto"/>
            <w:bottom w:val="none" w:sz="0" w:space="0" w:color="auto"/>
            <w:right w:val="none" w:sz="0" w:space="0" w:color="auto"/>
          </w:divBdr>
          <w:divsChild>
            <w:div w:id="2104108163">
              <w:marLeft w:val="0"/>
              <w:marRight w:val="0"/>
              <w:marTop w:val="0"/>
              <w:marBottom w:val="0"/>
              <w:divBdr>
                <w:top w:val="none" w:sz="0" w:space="0" w:color="auto"/>
                <w:left w:val="none" w:sz="0" w:space="0" w:color="auto"/>
                <w:bottom w:val="none" w:sz="0" w:space="0" w:color="auto"/>
                <w:right w:val="none" w:sz="0" w:space="0" w:color="auto"/>
              </w:divBdr>
            </w:div>
          </w:divsChild>
        </w:div>
        <w:div w:id="1027635741">
          <w:marLeft w:val="0"/>
          <w:marRight w:val="0"/>
          <w:marTop w:val="0"/>
          <w:marBottom w:val="0"/>
          <w:divBdr>
            <w:top w:val="none" w:sz="0" w:space="0" w:color="auto"/>
            <w:left w:val="none" w:sz="0" w:space="0" w:color="auto"/>
            <w:bottom w:val="none" w:sz="0" w:space="0" w:color="auto"/>
            <w:right w:val="none" w:sz="0" w:space="0" w:color="auto"/>
          </w:divBdr>
          <w:divsChild>
            <w:div w:id="817720519">
              <w:marLeft w:val="0"/>
              <w:marRight w:val="0"/>
              <w:marTop w:val="0"/>
              <w:marBottom w:val="0"/>
              <w:divBdr>
                <w:top w:val="none" w:sz="0" w:space="0" w:color="auto"/>
                <w:left w:val="none" w:sz="0" w:space="0" w:color="auto"/>
                <w:bottom w:val="none" w:sz="0" w:space="0" w:color="auto"/>
                <w:right w:val="none" w:sz="0" w:space="0" w:color="auto"/>
              </w:divBdr>
            </w:div>
          </w:divsChild>
        </w:div>
        <w:div w:id="1058044004">
          <w:marLeft w:val="0"/>
          <w:marRight w:val="0"/>
          <w:marTop w:val="0"/>
          <w:marBottom w:val="0"/>
          <w:divBdr>
            <w:top w:val="none" w:sz="0" w:space="0" w:color="auto"/>
            <w:left w:val="none" w:sz="0" w:space="0" w:color="auto"/>
            <w:bottom w:val="none" w:sz="0" w:space="0" w:color="auto"/>
            <w:right w:val="none" w:sz="0" w:space="0" w:color="auto"/>
          </w:divBdr>
          <w:divsChild>
            <w:div w:id="1748989772">
              <w:marLeft w:val="0"/>
              <w:marRight w:val="0"/>
              <w:marTop w:val="0"/>
              <w:marBottom w:val="0"/>
              <w:divBdr>
                <w:top w:val="none" w:sz="0" w:space="0" w:color="auto"/>
                <w:left w:val="none" w:sz="0" w:space="0" w:color="auto"/>
                <w:bottom w:val="none" w:sz="0" w:space="0" w:color="auto"/>
                <w:right w:val="none" w:sz="0" w:space="0" w:color="auto"/>
              </w:divBdr>
            </w:div>
          </w:divsChild>
        </w:div>
        <w:div w:id="1073890672">
          <w:marLeft w:val="0"/>
          <w:marRight w:val="0"/>
          <w:marTop w:val="0"/>
          <w:marBottom w:val="0"/>
          <w:divBdr>
            <w:top w:val="none" w:sz="0" w:space="0" w:color="auto"/>
            <w:left w:val="none" w:sz="0" w:space="0" w:color="auto"/>
            <w:bottom w:val="none" w:sz="0" w:space="0" w:color="auto"/>
            <w:right w:val="none" w:sz="0" w:space="0" w:color="auto"/>
          </w:divBdr>
          <w:divsChild>
            <w:div w:id="1414350171">
              <w:marLeft w:val="0"/>
              <w:marRight w:val="0"/>
              <w:marTop w:val="0"/>
              <w:marBottom w:val="0"/>
              <w:divBdr>
                <w:top w:val="none" w:sz="0" w:space="0" w:color="auto"/>
                <w:left w:val="none" w:sz="0" w:space="0" w:color="auto"/>
                <w:bottom w:val="none" w:sz="0" w:space="0" w:color="auto"/>
                <w:right w:val="none" w:sz="0" w:space="0" w:color="auto"/>
              </w:divBdr>
            </w:div>
          </w:divsChild>
        </w:div>
        <w:div w:id="1081756628">
          <w:marLeft w:val="0"/>
          <w:marRight w:val="0"/>
          <w:marTop w:val="0"/>
          <w:marBottom w:val="0"/>
          <w:divBdr>
            <w:top w:val="none" w:sz="0" w:space="0" w:color="auto"/>
            <w:left w:val="none" w:sz="0" w:space="0" w:color="auto"/>
            <w:bottom w:val="none" w:sz="0" w:space="0" w:color="auto"/>
            <w:right w:val="none" w:sz="0" w:space="0" w:color="auto"/>
          </w:divBdr>
          <w:divsChild>
            <w:div w:id="1519388050">
              <w:marLeft w:val="0"/>
              <w:marRight w:val="0"/>
              <w:marTop w:val="0"/>
              <w:marBottom w:val="0"/>
              <w:divBdr>
                <w:top w:val="none" w:sz="0" w:space="0" w:color="auto"/>
                <w:left w:val="none" w:sz="0" w:space="0" w:color="auto"/>
                <w:bottom w:val="none" w:sz="0" w:space="0" w:color="auto"/>
                <w:right w:val="none" w:sz="0" w:space="0" w:color="auto"/>
              </w:divBdr>
            </w:div>
          </w:divsChild>
        </w:div>
        <w:div w:id="1101224051">
          <w:marLeft w:val="0"/>
          <w:marRight w:val="0"/>
          <w:marTop w:val="0"/>
          <w:marBottom w:val="0"/>
          <w:divBdr>
            <w:top w:val="none" w:sz="0" w:space="0" w:color="auto"/>
            <w:left w:val="none" w:sz="0" w:space="0" w:color="auto"/>
            <w:bottom w:val="none" w:sz="0" w:space="0" w:color="auto"/>
            <w:right w:val="none" w:sz="0" w:space="0" w:color="auto"/>
          </w:divBdr>
          <w:divsChild>
            <w:div w:id="112557734">
              <w:marLeft w:val="0"/>
              <w:marRight w:val="0"/>
              <w:marTop w:val="0"/>
              <w:marBottom w:val="0"/>
              <w:divBdr>
                <w:top w:val="none" w:sz="0" w:space="0" w:color="auto"/>
                <w:left w:val="none" w:sz="0" w:space="0" w:color="auto"/>
                <w:bottom w:val="none" w:sz="0" w:space="0" w:color="auto"/>
                <w:right w:val="none" w:sz="0" w:space="0" w:color="auto"/>
              </w:divBdr>
            </w:div>
          </w:divsChild>
        </w:div>
        <w:div w:id="1187674115">
          <w:marLeft w:val="0"/>
          <w:marRight w:val="0"/>
          <w:marTop w:val="0"/>
          <w:marBottom w:val="0"/>
          <w:divBdr>
            <w:top w:val="none" w:sz="0" w:space="0" w:color="auto"/>
            <w:left w:val="none" w:sz="0" w:space="0" w:color="auto"/>
            <w:bottom w:val="none" w:sz="0" w:space="0" w:color="auto"/>
            <w:right w:val="none" w:sz="0" w:space="0" w:color="auto"/>
          </w:divBdr>
          <w:divsChild>
            <w:div w:id="1402868445">
              <w:marLeft w:val="0"/>
              <w:marRight w:val="0"/>
              <w:marTop w:val="0"/>
              <w:marBottom w:val="0"/>
              <w:divBdr>
                <w:top w:val="none" w:sz="0" w:space="0" w:color="auto"/>
                <w:left w:val="none" w:sz="0" w:space="0" w:color="auto"/>
                <w:bottom w:val="none" w:sz="0" w:space="0" w:color="auto"/>
                <w:right w:val="none" w:sz="0" w:space="0" w:color="auto"/>
              </w:divBdr>
            </w:div>
          </w:divsChild>
        </w:div>
        <w:div w:id="1204752325">
          <w:marLeft w:val="0"/>
          <w:marRight w:val="0"/>
          <w:marTop w:val="0"/>
          <w:marBottom w:val="0"/>
          <w:divBdr>
            <w:top w:val="none" w:sz="0" w:space="0" w:color="auto"/>
            <w:left w:val="none" w:sz="0" w:space="0" w:color="auto"/>
            <w:bottom w:val="none" w:sz="0" w:space="0" w:color="auto"/>
            <w:right w:val="none" w:sz="0" w:space="0" w:color="auto"/>
          </w:divBdr>
          <w:divsChild>
            <w:div w:id="530611941">
              <w:marLeft w:val="0"/>
              <w:marRight w:val="0"/>
              <w:marTop w:val="0"/>
              <w:marBottom w:val="0"/>
              <w:divBdr>
                <w:top w:val="none" w:sz="0" w:space="0" w:color="auto"/>
                <w:left w:val="none" w:sz="0" w:space="0" w:color="auto"/>
                <w:bottom w:val="none" w:sz="0" w:space="0" w:color="auto"/>
                <w:right w:val="none" w:sz="0" w:space="0" w:color="auto"/>
              </w:divBdr>
            </w:div>
          </w:divsChild>
        </w:div>
        <w:div w:id="1206258306">
          <w:marLeft w:val="0"/>
          <w:marRight w:val="0"/>
          <w:marTop w:val="0"/>
          <w:marBottom w:val="0"/>
          <w:divBdr>
            <w:top w:val="none" w:sz="0" w:space="0" w:color="auto"/>
            <w:left w:val="none" w:sz="0" w:space="0" w:color="auto"/>
            <w:bottom w:val="none" w:sz="0" w:space="0" w:color="auto"/>
            <w:right w:val="none" w:sz="0" w:space="0" w:color="auto"/>
          </w:divBdr>
          <w:divsChild>
            <w:div w:id="1316684989">
              <w:marLeft w:val="0"/>
              <w:marRight w:val="0"/>
              <w:marTop w:val="0"/>
              <w:marBottom w:val="0"/>
              <w:divBdr>
                <w:top w:val="none" w:sz="0" w:space="0" w:color="auto"/>
                <w:left w:val="none" w:sz="0" w:space="0" w:color="auto"/>
                <w:bottom w:val="none" w:sz="0" w:space="0" w:color="auto"/>
                <w:right w:val="none" w:sz="0" w:space="0" w:color="auto"/>
              </w:divBdr>
            </w:div>
          </w:divsChild>
        </w:div>
        <w:div w:id="1244559622">
          <w:marLeft w:val="0"/>
          <w:marRight w:val="0"/>
          <w:marTop w:val="0"/>
          <w:marBottom w:val="0"/>
          <w:divBdr>
            <w:top w:val="none" w:sz="0" w:space="0" w:color="auto"/>
            <w:left w:val="none" w:sz="0" w:space="0" w:color="auto"/>
            <w:bottom w:val="none" w:sz="0" w:space="0" w:color="auto"/>
            <w:right w:val="none" w:sz="0" w:space="0" w:color="auto"/>
          </w:divBdr>
          <w:divsChild>
            <w:div w:id="1121611399">
              <w:marLeft w:val="0"/>
              <w:marRight w:val="0"/>
              <w:marTop w:val="0"/>
              <w:marBottom w:val="0"/>
              <w:divBdr>
                <w:top w:val="none" w:sz="0" w:space="0" w:color="auto"/>
                <w:left w:val="none" w:sz="0" w:space="0" w:color="auto"/>
                <w:bottom w:val="none" w:sz="0" w:space="0" w:color="auto"/>
                <w:right w:val="none" w:sz="0" w:space="0" w:color="auto"/>
              </w:divBdr>
            </w:div>
          </w:divsChild>
        </w:div>
        <w:div w:id="1269047191">
          <w:marLeft w:val="0"/>
          <w:marRight w:val="0"/>
          <w:marTop w:val="0"/>
          <w:marBottom w:val="0"/>
          <w:divBdr>
            <w:top w:val="none" w:sz="0" w:space="0" w:color="auto"/>
            <w:left w:val="none" w:sz="0" w:space="0" w:color="auto"/>
            <w:bottom w:val="none" w:sz="0" w:space="0" w:color="auto"/>
            <w:right w:val="none" w:sz="0" w:space="0" w:color="auto"/>
          </w:divBdr>
          <w:divsChild>
            <w:div w:id="1443766520">
              <w:marLeft w:val="0"/>
              <w:marRight w:val="0"/>
              <w:marTop w:val="0"/>
              <w:marBottom w:val="0"/>
              <w:divBdr>
                <w:top w:val="none" w:sz="0" w:space="0" w:color="auto"/>
                <w:left w:val="none" w:sz="0" w:space="0" w:color="auto"/>
                <w:bottom w:val="none" w:sz="0" w:space="0" w:color="auto"/>
                <w:right w:val="none" w:sz="0" w:space="0" w:color="auto"/>
              </w:divBdr>
            </w:div>
          </w:divsChild>
        </w:div>
        <w:div w:id="1368407020">
          <w:marLeft w:val="0"/>
          <w:marRight w:val="0"/>
          <w:marTop w:val="0"/>
          <w:marBottom w:val="0"/>
          <w:divBdr>
            <w:top w:val="none" w:sz="0" w:space="0" w:color="auto"/>
            <w:left w:val="none" w:sz="0" w:space="0" w:color="auto"/>
            <w:bottom w:val="none" w:sz="0" w:space="0" w:color="auto"/>
            <w:right w:val="none" w:sz="0" w:space="0" w:color="auto"/>
          </w:divBdr>
          <w:divsChild>
            <w:div w:id="1001196884">
              <w:marLeft w:val="0"/>
              <w:marRight w:val="0"/>
              <w:marTop w:val="0"/>
              <w:marBottom w:val="0"/>
              <w:divBdr>
                <w:top w:val="none" w:sz="0" w:space="0" w:color="auto"/>
                <w:left w:val="none" w:sz="0" w:space="0" w:color="auto"/>
                <w:bottom w:val="none" w:sz="0" w:space="0" w:color="auto"/>
                <w:right w:val="none" w:sz="0" w:space="0" w:color="auto"/>
              </w:divBdr>
            </w:div>
          </w:divsChild>
        </w:div>
        <w:div w:id="1401750544">
          <w:marLeft w:val="0"/>
          <w:marRight w:val="0"/>
          <w:marTop w:val="0"/>
          <w:marBottom w:val="0"/>
          <w:divBdr>
            <w:top w:val="none" w:sz="0" w:space="0" w:color="auto"/>
            <w:left w:val="none" w:sz="0" w:space="0" w:color="auto"/>
            <w:bottom w:val="none" w:sz="0" w:space="0" w:color="auto"/>
            <w:right w:val="none" w:sz="0" w:space="0" w:color="auto"/>
          </w:divBdr>
          <w:divsChild>
            <w:div w:id="1427968634">
              <w:marLeft w:val="0"/>
              <w:marRight w:val="0"/>
              <w:marTop w:val="0"/>
              <w:marBottom w:val="0"/>
              <w:divBdr>
                <w:top w:val="none" w:sz="0" w:space="0" w:color="auto"/>
                <w:left w:val="none" w:sz="0" w:space="0" w:color="auto"/>
                <w:bottom w:val="none" w:sz="0" w:space="0" w:color="auto"/>
                <w:right w:val="none" w:sz="0" w:space="0" w:color="auto"/>
              </w:divBdr>
            </w:div>
          </w:divsChild>
        </w:div>
        <w:div w:id="1451777484">
          <w:marLeft w:val="0"/>
          <w:marRight w:val="0"/>
          <w:marTop w:val="0"/>
          <w:marBottom w:val="0"/>
          <w:divBdr>
            <w:top w:val="none" w:sz="0" w:space="0" w:color="auto"/>
            <w:left w:val="none" w:sz="0" w:space="0" w:color="auto"/>
            <w:bottom w:val="none" w:sz="0" w:space="0" w:color="auto"/>
            <w:right w:val="none" w:sz="0" w:space="0" w:color="auto"/>
          </w:divBdr>
          <w:divsChild>
            <w:div w:id="1630083750">
              <w:marLeft w:val="0"/>
              <w:marRight w:val="0"/>
              <w:marTop w:val="0"/>
              <w:marBottom w:val="0"/>
              <w:divBdr>
                <w:top w:val="none" w:sz="0" w:space="0" w:color="auto"/>
                <w:left w:val="none" w:sz="0" w:space="0" w:color="auto"/>
                <w:bottom w:val="none" w:sz="0" w:space="0" w:color="auto"/>
                <w:right w:val="none" w:sz="0" w:space="0" w:color="auto"/>
              </w:divBdr>
            </w:div>
          </w:divsChild>
        </w:div>
        <w:div w:id="1573154950">
          <w:marLeft w:val="0"/>
          <w:marRight w:val="0"/>
          <w:marTop w:val="0"/>
          <w:marBottom w:val="0"/>
          <w:divBdr>
            <w:top w:val="none" w:sz="0" w:space="0" w:color="auto"/>
            <w:left w:val="none" w:sz="0" w:space="0" w:color="auto"/>
            <w:bottom w:val="none" w:sz="0" w:space="0" w:color="auto"/>
            <w:right w:val="none" w:sz="0" w:space="0" w:color="auto"/>
          </w:divBdr>
          <w:divsChild>
            <w:div w:id="568349220">
              <w:marLeft w:val="0"/>
              <w:marRight w:val="0"/>
              <w:marTop w:val="0"/>
              <w:marBottom w:val="0"/>
              <w:divBdr>
                <w:top w:val="none" w:sz="0" w:space="0" w:color="auto"/>
                <w:left w:val="none" w:sz="0" w:space="0" w:color="auto"/>
                <w:bottom w:val="none" w:sz="0" w:space="0" w:color="auto"/>
                <w:right w:val="none" w:sz="0" w:space="0" w:color="auto"/>
              </w:divBdr>
            </w:div>
          </w:divsChild>
        </w:div>
        <w:div w:id="1685861143">
          <w:marLeft w:val="0"/>
          <w:marRight w:val="0"/>
          <w:marTop w:val="0"/>
          <w:marBottom w:val="0"/>
          <w:divBdr>
            <w:top w:val="none" w:sz="0" w:space="0" w:color="auto"/>
            <w:left w:val="none" w:sz="0" w:space="0" w:color="auto"/>
            <w:bottom w:val="none" w:sz="0" w:space="0" w:color="auto"/>
            <w:right w:val="none" w:sz="0" w:space="0" w:color="auto"/>
          </w:divBdr>
          <w:divsChild>
            <w:div w:id="1858930761">
              <w:marLeft w:val="0"/>
              <w:marRight w:val="0"/>
              <w:marTop w:val="0"/>
              <w:marBottom w:val="0"/>
              <w:divBdr>
                <w:top w:val="none" w:sz="0" w:space="0" w:color="auto"/>
                <w:left w:val="none" w:sz="0" w:space="0" w:color="auto"/>
                <w:bottom w:val="none" w:sz="0" w:space="0" w:color="auto"/>
                <w:right w:val="none" w:sz="0" w:space="0" w:color="auto"/>
              </w:divBdr>
            </w:div>
          </w:divsChild>
        </w:div>
        <w:div w:id="1707564668">
          <w:marLeft w:val="0"/>
          <w:marRight w:val="0"/>
          <w:marTop w:val="0"/>
          <w:marBottom w:val="0"/>
          <w:divBdr>
            <w:top w:val="none" w:sz="0" w:space="0" w:color="auto"/>
            <w:left w:val="none" w:sz="0" w:space="0" w:color="auto"/>
            <w:bottom w:val="none" w:sz="0" w:space="0" w:color="auto"/>
            <w:right w:val="none" w:sz="0" w:space="0" w:color="auto"/>
          </w:divBdr>
          <w:divsChild>
            <w:div w:id="713310295">
              <w:marLeft w:val="0"/>
              <w:marRight w:val="0"/>
              <w:marTop w:val="0"/>
              <w:marBottom w:val="0"/>
              <w:divBdr>
                <w:top w:val="none" w:sz="0" w:space="0" w:color="auto"/>
                <w:left w:val="none" w:sz="0" w:space="0" w:color="auto"/>
                <w:bottom w:val="none" w:sz="0" w:space="0" w:color="auto"/>
                <w:right w:val="none" w:sz="0" w:space="0" w:color="auto"/>
              </w:divBdr>
            </w:div>
          </w:divsChild>
        </w:div>
        <w:div w:id="1744376039">
          <w:marLeft w:val="0"/>
          <w:marRight w:val="0"/>
          <w:marTop w:val="0"/>
          <w:marBottom w:val="0"/>
          <w:divBdr>
            <w:top w:val="none" w:sz="0" w:space="0" w:color="auto"/>
            <w:left w:val="none" w:sz="0" w:space="0" w:color="auto"/>
            <w:bottom w:val="none" w:sz="0" w:space="0" w:color="auto"/>
            <w:right w:val="none" w:sz="0" w:space="0" w:color="auto"/>
          </w:divBdr>
          <w:divsChild>
            <w:div w:id="1685011263">
              <w:marLeft w:val="0"/>
              <w:marRight w:val="0"/>
              <w:marTop w:val="0"/>
              <w:marBottom w:val="0"/>
              <w:divBdr>
                <w:top w:val="none" w:sz="0" w:space="0" w:color="auto"/>
                <w:left w:val="none" w:sz="0" w:space="0" w:color="auto"/>
                <w:bottom w:val="none" w:sz="0" w:space="0" w:color="auto"/>
                <w:right w:val="none" w:sz="0" w:space="0" w:color="auto"/>
              </w:divBdr>
            </w:div>
          </w:divsChild>
        </w:div>
        <w:div w:id="1785418991">
          <w:marLeft w:val="0"/>
          <w:marRight w:val="0"/>
          <w:marTop w:val="0"/>
          <w:marBottom w:val="0"/>
          <w:divBdr>
            <w:top w:val="none" w:sz="0" w:space="0" w:color="auto"/>
            <w:left w:val="none" w:sz="0" w:space="0" w:color="auto"/>
            <w:bottom w:val="none" w:sz="0" w:space="0" w:color="auto"/>
            <w:right w:val="none" w:sz="0" w:space="0" w:color="auto"/>
          </w:divBdr>
          <w:divsChild>
            <w:div w:id="546333632">
              <w:marLeft w:val="0"/>
              <w:marRight w:val="0"/>
              <w:marTop w:val="0"/>
              <w:marBottom w:val="0"/>
              <w:divBdr>
                <w:top w:val="none" w:sz="0" w:space="0" w:color="auto"/>
                <w:left w:val="none" w:sz="0" w:space="0" w:color="auto"/>
                <w:bottom w:val="none" w:sz="0" w:space="0" w:color="auto"/>
                <w:right w:val="none" w:sz="0" w:space="0" w:color="auto"/>
              </w:divBdr>
            </w:div>
          </w:divsChild>
        </w:div>
        <w:div w:id="1811551225">
          <w:marLeft w:val="0"/>
          <w:marRight w:val="0"/>
          <w:marTop w:val="0"/>
          <w:marBottom w:val="0"/>
          <w:divBdr>
            <w:top w:val="none" w:sz="0" w:space="0" w:color="auto"/>
            <w:left w:val="none" w:sz="0" w:space="0" w:color="auto"/>
            <w:bottom w:val="none" w:sz="0" w:space="0" w:color="auto"/>
            <w:right w:val="none" w:sz="0" w:space="0" w:color="auto"/>
          </w:divBdr>
          <w:divsChild>
            <w:div w:id="522479286">
              <w:marLeft w:val="0"/>
              <w:marRight w:val="0"/>
              <w:marTop w:val="0"/>
              <w:marBottom w:val="0"/>
              <w:divBdr>
                <w:top w:val="none" w:sz="0" w:space="0" w:color="auto"/>
                <w:left w:val="none" w:sz="0" w:space="0" w:color="auto"/>
                <w:bottom w:val="none" w:sz="0" w:space="0" w:color="auto"/>
                <w:right w:val="none" w:sz="0" w:space="0" w:color="auto"/>
              </w:divBdr>
            </w:div>
          </w:divsChild>
        </w:div>
        <w:div w:id="2133596666">
          <w:marLeft w:val="0"/>
          <w:marRight w:val="0"/>
          <w:marTop w:val="0"/>
          <w:marBottom w:val="0"/>
          <w:divBdr>
            <w:top w:val="none" w:sz="0" w:space="0" w:color="auto"/>
            <w:left w:val="none" w:sz="0" w:space="0" w:color="auto"/>
            <w:bottom w:val="none" w:sz="0" w:space="0" w:color="auto"/>
            <w:right w:val="none" w:sz="0" w:space="0" w:color="auto"/>
          </w:divBdr>
          <w:divsChild>
            <w:div w:id="8028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79513">
      <w:bodyDiv w:val="1"/>
      <w:marLeft w:val="0"/>
      <w:marRight w:val="0"/>
      <w:marTop w:val="0"/>
      <w:marBottom w:val="0"/>
      <w:divBdr>
        <w:top w:val="none" w:sz="0" w:space="0" w:color="auto"/>
        <w:left w:val="none" w:sz="0" w:space="0" w:color="auto"/>
        <w:bottom w:val="none" w:sz="0" w:space="0" w:color="auto"/>
        <w:right w:val="none" w:sz="0" w:space="0" w:color="auto"/>
      </w:divBdr>
    </w:div>
    <w:div w:id="632685044">
      <w:bodyDiv w:val="1"/>
      <w:marLeft w:val="0"/>
      <w:marRight w:val="0"/>
      <w:marTop w:val="0"/>
      <w:marBottom w:val="0"/>
      <w:divBdr>
        <w:top w:val="none" w:sz="0" w:space="0" w:color="auto"/>
        <w:left w:val="none" w:sz="0" w:space="0" w:color="auto"/>
        <w:bottom w:val="none" w:sz="0" w:space="0" w:color="auto"/>
        <w:right w:val="none" w:sz="0" w:space="0" w:color="auto"/>
      </w:divBdr>
      <w:divsChild>
        <w:div w:id="453906252">
          <w:marLeft w:val="0"/>
          <w:marRight w:val="0"/>
          <w:marTop w:val="0"/>
          <w:marBottom w:val="0"/>
          <w:divBdr>
            <w:top w:val="none" w:sz="0" w:space="0" w:color="auto"/>
            <w:left w:val="none" w:sz="0" w:space="0" w:color="auto"/>
            <w:bottom w:val="none" w:sz="0" w:space="0" w:color="auto"/>
            <w:right w:val="none" w:sz="0" w:space="0" w:color="auto"/>
          </w:divBdr>
        </w:div>
        <w:div w:id="731543538">
          <w:marLeft w:val="0"/>
          <w:marRight w:val="0"/>
          <w:marTop w:val="0"/>
          <w:marBottom w:val="0"/>
          <w:divBdr>
            <w:top w:val="none" w:sz="0" w:space="0" w:color="auto"/>
            <w:left w:val="none" w:sz="0" w:space="0" w:color="auto"/>
            <w:bottom w:val="none" w:sz="0" w:space="0" w:color="auto"/>
            <w:right w:val="none" w:sz="0" w:space="0" w:color="auto"/>
          </w:divBdr>
          <w:divsChild>
            <w:div w:id="2118408132">
              <w:marLeft w:val="0"/>
              <w:marRight w:val="0"/>
              <w:marTop w:val="30"/>
              <w:marBottom w:val="30"/>
              <w:divBdr>
                <w:top w:val="none" w:sz="0" w:space="0" w:color="auto"/>
                <w:left w:val="none" w:sz="0" w:space="0" w:color="auto"/>
                <w:bottom w:val="none" w:sz="0" w:space="0" w:color="auto"/>
                <w:right w:val="none" w:sz="0" w:space="0" w:color="auto"/>
              </w:divBdr>
              <w:divsChild>
                <w:div w:id="7949697">
                  <w:marLeft w:val="0"/>
                  <w:marRight w:val="0"/>
                  <w:marTop w:val="0"/>
                  <w:marBottom w:val="0"/>
                  <w:divBdr>
                    <w:top w:val="none" w:sz="0" w:space="0" w:color="auto"/>
                    <w:left w:val="none" w:sz="0" w:space="0" w:color="auto"/>
                    <w:bottom w:val="none" w:sz="0" w:space="0" w:color="auto"/>
                    <w:right w:val="none" w:sz="0" w:space="0" w:color="auto"/>
                  </w:divBdr>
                  <w:divsChild>
                    <w:div w:id="1913664345">
                      <w:marLeft w:val="0"/>
                      <w:marRight w:val="0"/>
                      <w:marTop w:val="0"/>
                      <w:marBottom w:val="0"/>
                      <w:divBdr>
                        <w:top w:val="none" w:sz="0" w:space="0" w:color="auto"/>
                        <w:left w:val="none" w:sz="0" w:space="0" w:color="auto"/>
                        <w:bottom w:val="none" w:sz="0" w:space="0" w:color="auto"/>
                        <w:right w:val="none" w:sz="0" w:space="0" w:color="auto"/>
                      </w:divBdr>
                    </w:div>
                  </w:divsChild>
                </w:div>
                <w:div w:id="18435890">
                  <w:marLeft w:val="0"/>
                  <w:marRight w:val="0"/>
                  <w:marTop w:val="0"/>
                  <w:marBottom w:val="0"/>
                  <w:divBdr>
                    <w:top w:val="none" w:sz="0" w:space="0" w:color="auto"/>
                    <w:left w:val="none" w:sz="0" w:space="0" w:color="auto"/>
                    <w:bottom w:val="none" w:sz="0" w:space="0" w:color="auto"/>
                    <w:right w:val="none" w:sz="0" w:space="0" w:color="auto"/>
                  </w:divBdr>
                  <w:divsChild>
                    <w:div w:id="67848350">
                      <w:marLeft w:val="0"/>
                      <w:marRight w:val="0"/>
                      <w:marTop w:val="0"/>
                      <w:marBottom w:val="0"/>
                      <w:divBdr>
                        <w:top w:val="none" w:sz="0" w:space="0" w:color="auto"/>
                        <w:left w:val="none" w:sz="0" w:space="0" w:color="auto"/>
                        <w:bottom w:val="none" w:sz="0" w:space="0" w:color="auto"/>
                        <w:right w:val="none" w:sz="0" w:space="0" w:color="auto"/>
                      </w:divBdr>
                    </w:div>
                  </w:divsChild>
                </w:div>
                <w:div w:id="26831247">
                  <w:marLeft w:val="0"/>
                  <w:marRight w:val="0"/>
                  <w:marTop w:val="0"/>
                  <w:marBottom w:val="0"/>
                  <w:divBdr>
                    <w:top w:val="none" w:sz="0" w:space="0" w:color="auto"/>
                    <w:left w:val="none" w:sz="0" w:space="0" w:color="auto"/>
                    <w:bottom w:val="none" w:sz="0" w:space="0" w:color="auto"/>
                    <w:right w:val="none" w:sz="0" w:space="0" w:color="auto"/>
                  </w:divBdr>
                  <w:divsChild>
                    <w:div w:id="612395849">
                      <w:marLeft w:val="0"/>
                      <w:marRight w:val="0"/>
                      <w:marTop w:val="0"/>
                      <w:marBottom w:val="0"/>
                      <w:divBdr>
                        <w:top w:val="none" w:sz="0" w:space="0" w:color="auto"/>
                        <w:left w:val="none" w:sz="0" w:space="0" w:color="auto"/>
                        <w:bottom w:val="none" w:sz="0" w:space="0" w:color="auto"/>
                        <w:right w:val="none" w:sz="0" w:space="0" w:color="auto"/>
                      </w:divBdr>
                    </w:div>
                  </w:divsChild>
                </w:div>
                <w:div w:id="36466946">
                  <w:marLeft w:val="0"/>
                  <w:marRight w:val="0"/>
                  <w:marTop w:val="0"/>
                  <w:marBottom w:val="0"/>
                  <w:divBdr>
                    <w:top w:val="none" w:sz="0" w:space="0" w:color="auto"/>
                    <w:left w:val="none" w:sz="0" w:space="0" w:color="auto"/>
                    <w:bottom w:val="none" w:sz="0" w:space="0" w:color="auto"/>
                    <w:right w:val="none" w:sz="0" w:space="0" w:color="auto"/>
                  </w:divBdr>
                  <w:divsChild>
                    <w:div w:id="1709255416">
                      <w:marLeft w:val="0"/>
                      <w:marRight w:val="0"/>
                      <w:marTop w:val="0"/>
                      <w:marBottom w:val="0"/>
                      <w:divBdr>
                        <w:top w:val="none" w:sz="0" w:space="0" w:color="auto"/>
                        <w:left w:val="none" w:sz="0" w:space="0" w:color="auto"/>
                        <w:bottom w:val="none" w:sz="0" w:space="0" w:color="auto"/>
                        <w:right w:val="none" w:sz="0" w:space="0" w:color="auto"/>
                      </w:divBdr>
                    </w:div>
                  </w:divsChild>
                </w:div>
                <w:div w:id="38669214">
                  <w:marLeft w:val="0"/>
                  <w:marRight w:val="0"/>
                  <w:marTop w:val="0"/>
                  <w:marBottom w:val="0"/>
                  <w:divBdr>
                    <w:top w:val="none" w:sz="0" w:space="0" w:color="auto"/>
                    <w:left w:val="none" w:sz="0" w:space="0" w:color="auto"/>
                    <w:bottom w:val="none" w:sz="0" w:space="0" w:color="auto"/>
                    <w:right w:val="none" w:sz="0" w:space="0" w:color="auto"/>
                  </w:divBdr>
                  <w:divsChild>
                    <w:div w:id="350645949">
                      <w:marLeft w:val="0"/>
                      <w:marRight w:val="0"/>
                      <w:marTop w:val="0"/>
                      <w:marBottom w:val="0"/>
                      <w:divBdr>
                        <w:top w:val="none" w:sz="0" w:space="0" w:color="auto"/>
                        <w:left w:val="none" w:sz="0" w:space="0" w:color="auto"/>
                        <w:bottom w:val="none" w:sz="0" w:space="0" w:color="auto"/>
                        <w:right w:val="none" w:sz="0" w:space="0" w:color="auto"/>
                      </w:divBdr>
                    </w:div>
                  </w:divsChild>
                </w:div>
                <w:div w:id="232281651">
                  <w:marLeft w:val="0"/>
                  <w:marRight w:val="0"/>
                  <w:marTop w:val="0"/>
                  <w:marBottom w:val="0"/>
                  <w:divBdr>
                    <w:top w:val="none" w:sz="0" w:space="0" w:color="auto"/>
                    <w:left w:val="none" w:sz="0" w:space="0" w:color="auto"/>
                    <w:bottom w:val="none" w:sz="0" w:space="0" w:color="auto"/>
                    <w:right w:val="none" w:sz="0" w:space="0" w:color="auto"/>
                  </w:divBdr>
                  <w:divsChild>
                    <w:div w:id="1522931490">
                      <w:marLeft w:val="0"/>
                      <w:marRight w:val="0"/>
                      <w:marTop w:val="0"/>
                      <w:marBottom w:val="0"/>
                      <w:divBdr>
                        <w:top w:val="none" w:sz="0" w:space="0" w:color="auto"/>
                        <w:left w:val="none" w:sz="0" w:space="0" w:color="auto"/>
                        <w:bottom w:val="none" w:sz="0" w:space="0" w:color="auto"/>
                        <w:right w:val="none" w:sz="0" w:space="0" w:color="auto"/>
                      </w:divBdr>
                    </w:div>
                  </w:divsChild>
                </w:div>
                <w:div w:id="245119045">
                  <w:marLeft w:val="0"/>
                  <w:marRight w:val="0"/>
                  <w:marTop w:val="0"/>
                  <w:marBottom w:val="0"/>
                  <w:divBdr>
                    <w:top w:val="none" w:sz="0" w:space="0" w:color="auto"/>
                    <w:left w:val="none" w:sz="0" w:space="0" w:color="auto"/>
                    <w:bottom w:val="none" w:sz="0" w:space="0" w:color="auto"/>
                    <w:right w:val="none" w:sz="0" w:space="0" w:color="auto"/>
                  </w:divBdr>
                  <w:divsChild>
                    <w:div w:id="1254975285">
                      <w:marLeft w:val="0"/>
                      <w:marRight w:val="0"/>
                      <w:marTop w:val="0"/>
                      <w:marBottom w:val="0"/>
                      <w:divBdr>
                        <w:top w:val="none" w:sz="0" w:space="0" w:color="auto"/>
                        <w:left w:val="none" w:sz="0" w:space="0" w:color="auto"/>
                        <w:bottom w:val="none" w:sz="0" w:space="0" w:color="auto"/>
                        <w:right w:val="none" w:sz="0" w:space="0" w:color="auto"/>
                      </w:divBdr>
                    </w:div>
                  </w:divsChild>
                </w:div>
                <w:div w:id="263389917">
                  <w:marLeft w:val="0"/>
                  <w:marRight w:val="0"/>
                  <w:marTop w:val="0"/>
                  <w:marBottom w:val="0"/>
                  <w:divBdr>
                    <w:top w:val="none" w:sz="0" w:space="0" w:color="auto"/>
                    <w:left w:val="none" w:sz="0" w:space="0" w:color="auto"/>
                    <w:bottom w:val="none" w:sz="0" w:space="0" w:color="auto"/>
                    <w:right w:val="none" w:sz="0" w:space="0" w:color="auto"/>
                  </w:divBdr>
                  <w:divsChild>
                    <w:div w:id="1972323470">
                      <w:marLeft w:val="0"/>
                      <w:marRight w:val="0"/>
                      <w:marTop w:val="0"/>
                      <w:marBottom w:val="0"/>
                      <w:divBdr>
                        <w:top w:val="none" w:sz="0" w:space="0" w:color="auto"/>
                        <w:left w:val="none" w:sz="0" w:space="0" w:color="auto"/>
                        <w:bottom w:val="none" w:sz="0" w:space="0" w:color="auto"/>
                        <w:right w:val="none" w:sz="0" w:space="0" w:color="auto"/>
                      </w:divBdr>
                    </w:div>
                  </w:divsChild>
                </w:div>
                <w:div w:id="297494553">
                  <w:marLeft w:val="0"/>
                  <w:marRight w:val="0"/>
                  <w:marTop w:val="0"/>
                  <w:marBottom w:val="0"/>
                  <w:divBdr>
                    <w:top w:val="none" w:sz="0" w:space="0" w:color="auto"/>
                    <w:left w:val="none" w:sz="0" w:space="0" w:color="auto"/>
                    <w:bottom w:val="none" w:sz="0" w:space="0" w:color="auto"/>
                    <w:right w:val="none" w:sz="0" w:space="0" w:color="auto"/>
                  </w:divBdr>
                  <w:divsChild>
                    <w:div w:id="1601334353">
                      <w:marLeft w:val="0"/>
                      <w:marRight w:val="0"/>
                      <w:marTop w:val="0"/>
                      <w:marBottom w:val="0"/>
                      <w:divBdr>
                        <w:top w:val="none" w:sz="0" w:space="0" w:color="auto"/>
                        <w:left w:val="none" w:sz="0" w:space="0" w:color="auto"/>
                        <w:bottom w:val="none" w:sz="0" w:space="0" w:color="auto"/>
                        <w:right w:val="none" w:sz="0" w:space="0" w:color="auto"/>
                      </w:divBdr>
                    </w:div>
                  </w:divsChild>
                </w:div>
                <w:div w:id="329218936">
                  <w:marLeft w:val="0"/>
                  <w:marRight w:val="0"/>
                  <w:marTop w:val="0"/>
                  <w:marBottom w:val="0"/>
                  <w:divBdr>
                    <w:top w:val="none" w:sz="0" w:space="0" w:color="auto"/>
                    <w:left w:val="none" w:sz="0" w:space="0" w:color="auto"/>
                    <w:bottom w:val="none" w:sz="0" w:space="0" w:color="auto"/>
                    <w:right w:val="none" w:sz="0" w:space="0" w:color="auto"/>
                  </w:divBdr>
                  <w:divsChild>
                    <w:div w:id="2060131534">
                      <w:marLeft w:val="0"/>
                      <w:marRight w:val="0"/>
                      <w:marTop w:val="0"/>
                      <w:marBottom w:val="0"/>
                      <w:divBdr>
                        <w:top w:val="none" w:sz="0" w:space="0" w:color="auto"/>
                        <w:left w:val="none" w:sz="0" w:space="0" w:color="auto"/>
                        <w:bottom w:val="none" w:sz="0" w:space="0" w:color="auto"/>
                        <w:right w:val="none" w:sz="0" w:space="0" w:color="auto"/>
                      </w:divBdr>
                    </w:div>
                  </w:divsChild>
                </w:div>
                <w:div w:id="354431262">
                  <w:marLeft w:val="0"/>
                  <w:marRight w:val="0"/>
                  <w:marTop w:val="0"/>
                  <w:marBottom w:val="0"/>
                  <w:divBdr>
                    <w:top w:val="none" w:sz="0" w:space="0" w:color="auto"/>
                    <w:left w:val="none" w:sz="0" w:space="0" w:color="auto"/>
                    <w:bottom w:val="none" w:sz="0" w:space="0" w:color="auto"/>
                    <w:right w:val="none" w:sz="0" w:space="0" w:color="auto"/>
                  </w:divBdr>
                  <w:divsChild>
                    <w:div w:id="2136173473">
                      <w:marLeft w:val="0"/>
                      <w:marRight w:val="0"/>
                      <w:marTop w:val="0"/>
                      <w:marBottom w:val="0"/>
                      <w:divBdr>
                        <w:top w:val="none" w:sz="0" w:space="0" w:color="auto"/>
                        <w:left w:val="none" w:sz="0" w:space="0" w:color="auto"/>
                        <w:bottom w:val="none" w:sz="0" w:space="0" w:color="auto"/>
                        <w:right w:val="none" w:sz="0" w:space="0" w:color="auto"/>
                      </w:divBdr>
                    </w:div>
                  </w:divsChild>
                </w:div>
                <w:div w:id="373967144">
                  <w:marLeft w:val="0"/>
                  <w:marRight w:val="0"/>
                  <w:marTop w:val="0"/>
                  <w:marBottom w:val="0"/>
                  <w:divBdr>
                    <w:top w:val="none" w:sz="0" w:space="0" w:color="auto"/>
                    <w:left w:val="none" w:sz="0" w:space="0" w:color="auto"/>
                    <w:bottom w:val="none" w:sz="0" w:space="0" w:color="auto"/>
                    <w:right w:val="none" w:sz="0" w:space="0" w:color="auto"/>
                  </w:divBdr>
                  <w:divsChild>
                    <w:div w:id="870529806">
                      <w:marLeft w:val="0"/>
                      <w:marRight w:val="0"/>
                      <w:marTop w:val="0"/>
                      <w:marBottom w:val="0"/>
                      <w:divBdr>
                        <w:top w:val="none" w:sz="0" w:space="0" w:color="auto"/>
                        <w:left w:val="none" w:sz="0" w:space="0" w:color="auto"/>
                        <w:bottom w:val="none" w:sz="0" w:space="0" w:color="auto"/>
                        <w:right w:val="none" w:sz="0" w:space="0" w:color="auto"/>
                      </w:divBdr>
                    </w:div>
                  </w:divsChild>
                </w:div>
                <w:div w:id="456799338">
                  <w:marLeft w:val="0"/>
                  <w:marRight w:val="0"/>
                  <w:marTop w:val="0"/>
                  <w:marBottom w:val="0"/>
                  <w:divBdr>
                    <w:top w:val="none" w:sz="0" w:space="0" w:color="auto"/>
                    <w:left w:val="none" w:sz="0" w:space="0" w:color="auto"/>
                    <w:bottom w:val="none" w:sz="0" w:space="0" w:color="auto"/>
                    <w:right w:val="none" w:sz="0" w:space="0" w:color="auto"/>
                  </w:divBdr>
                  <w:divsChild>
                    <w:div w:id="480076567">
                      <w:marLeft w:val="0"/>
                      <w:marRight w:val="0"/>
                      <w:marTop w:val="0"/>
                      <w:marBottom w:val="0"/>
                      <w:divBdr>
                        <w:top w:val="none" w:sz="0" w:space="0" w:color="auto"/>
                        <w:left w:val="none" w:sz="0" w:space="0" w:color="auto"/>
                        <w:bottom w:val="none" w:sz="0" w:space="0" w:color="auto"/>
                        <w:right w:val="none" w:sz="0" w:space="0" w:color="auto"/>
                      </w:divBdr>
                    </w:div>
                  </w:divsChild>
                </w:div>
                <w:div w:id="620263887">
                  <w:marLeft w:val="0"/>
                  <w:marRight w:val="0"/>
                  <w:marTop w:val="0"/>
                  <w:marBottom w:val="0"/>
                  <w:divBdr>
                    <w:top w:val="none" w:sz="0" w:space="0" w:color="auto"/>
                    <w:left w:val="none" w:sz="0" w:space="0" w:color="auto"/>
                    <w:bottom w:val="none" w:sz="0" w:space="0" w:color="auto"/>
                    <w:right w:val="none" w:sz="0" w:space="0" w:color="auto"/>
                  </w:divBdr>
                  <w:divsChild>
                    <w:div w:id="2089112202">
                      <w:marLeft w:val="0"/>
                      <w:marRight w:val="0"/>
                      <w:marTop w:val="0"/>
                      <w:marBottom w:val="0"/>
                      <w:divBdr>
                        <w:top w:val="none" w:sz="0" w:space="0" w:color="auto"/>
                        <w:left w:val="none" w:sz="0" w:space="0" w:color="auto"/>
                        <w:bottom w:val="none" w:sz="0" w:space="0" w:color="auto"/>
                        <w:right w:val="none" w:sz="0" w:space="0" w:color="auto"/>
                      </w:divBdr>
                    </w:div>
                  </w:divsChild>
                </w:div>
                <w:div w:id="696659403">
                  <w:marLeft w:val="0"/>
                  <w:marRight w:val="0"/>
                  <w:marTop w:val="0"/>
                  <w:marBottom w:val="0"/>
                  <w:divBdr>
                    <w:top w:val="none" w:sz="0" w:space="0" w:color="auto"/>
                    <w:left w:val="none" w:sz="0" w:space="0" w:color="auto"/>
                    <w:bottom w:val="none" w:sz="0" w:space="0" w:color="auto"/>
                    <w:right w:val="none" w:sz="0" w:space="0" w:color="auto"/>
                  </w:divBdr>
                  <w:divsChild>
                    <w:div w:id="2120758250">
                      <w:marLeft w:val="0"/>
                      <w:marRight w:val="0"/>
                      <w:marTop w:val="0"/>
                      <w:marBottom w:val="0"/>
                      <w:divBdr>
                        <w:top w:val="none" w:sz="0" w:space="0" w:color="auto"/>
                        <w:left w:val="none" w:sz="0" w:space="0" w:color="auto"/>
                        <w:bottom w:val="none" w:sz="0" w:space="0" w:color="auto"/>
                        <w:right w:val="none" w:sz="0" w:space="0" w:color="auto"/>
                      </w:divBdr>
                    </w:div>
                  </w:divsChild>
                </w:div>
                <w:div w:id="954480344">
                  <w:marLeft w:val="0"/>
                  <w:marRight w:val="0"/>
                  <w:marTop w:val="0"/>
                  <w:marBottom w:val="0"/>
                  <w:divBdr>
                    <w:top w:val="none" w:sz="0" w:space="0" w:color="auto"/>
                    <w:left w:val="none" w:sz="0" w:space="0" w:color="auto"/>
                    <w:bottom w:val="none" w:sz="0" w:space="0" w:color="auto"/>
                    <w:right w:val="none" w:sz="0" w:space="0" w:color="auto"/>
                  </w:divBdr>
                  <w:divsChild>
                    <w:div w:id="1538737198">
                      <w:marLeft w:val="0"/>
                      <w:marRight w:val="0"/>
                      <w:marTop w:val="0"/>
                      <w:marBottom w:val="0"/>
                      <w:divBdr>
                        <w:top w:val="none" w:sz="0" w:space="0" w:color="auto"/>
                        <w:left w:val="none" w:sz="0" w:space="0" w:color="auto"/>
                        <w:bottom w:val="none" w:sz="0" w:space="0" w:color="auto"/>
                        <w:right w:val="none" w:sz="0" w:space="0" w:color="auto"/>
                      </w:divBdr>
                    </w:div>
                  </w:divsChild>
                </w:div>
                <w:div w:id="986318707">
                  <w:marLeft w:val="0"/>
                  <w:marRight w:val="0"/>
                  <w:marTop w:val="0"/>
                  <w:marBottom w:val="0"/>
                  <w:divBdr>
                    <w:top w:val="none" w:sz="0" w:space="0" w:color="auto"/>
                    <w:left w:val="none" w:sz="0" w:space="0" w:color="auto"/>
                    <w:bottom w:val="none" w:sz="0" w:space="0" w:color="auto"/>
                    <w:right w:val="none" w:sz="0" w:space="0" w:color="auto"/>
                  </w:divBdr>
                  <w:divsChild>
                    <w:div w:id="1805854741">
                      <w:marLeft w:val="0"/>
                      <w:marRight w:val="0"/>
                      <w:marTop w:val="0"/>
                      <w:marBottom w:val="0"/>
                      <w:divBdr>
                        <w:top w:val="none" w:sz="0" w:space="0" w:color="auto"/>
                        <w:left w:val="none" w:sz="0" w:space="0" w:color="auto"/>
                        <w:bottom w:val="none" w:sz="0" w:space="0" w:color="auto"/>
                        <w:right w:val="none" w:sz="0" w:space="0" w:color="auto"/>
                      </w:divBdr>
                    </w:div>
                  </w:divsChild>
                </w:div>
                <w:div w:id="1207257697">
                  <w:marLeft w:val="0"/>
                  <w:marRight w:val="0"/>
                  <w:marTop w:val="0"/>
                  <w:marBottom w:val="0"/>
                  <w:divBdr>
                    <w:top w:val="none" w:sz="0" w:space="0" w:color="auto"/>
                    <w:left w:val="none" w:sz="0" w:space="0" w:color="auto"/>
                    <w:bottom w:val="none" w:sz="0" w:space="0" w:color="auto"/>
                    <w:right w:val="none" w:sz="0" w:space="0" w:color="auto"/>
                  </w:divBdr>
                  <w:divsChild>
                    <w:div w:id="1421221278">
                      <w:marLeft w:val="0"/>
                      <w:marRight w:val="0"/>
                      <w:marTop w:val="0"/>
                      <w:marBottom w:val="0"/>
                      <w:divBdr>
                        <w:top w:val="none" w:sz="0" w:space="0" w:color="auto"/>
                        <w:left w:val="none" w:sz="0" w:space="0" w:color="auto"/>
                        <w:bottom w:val="none" w:sz="0" w:space="0" w:color="auto"/>
                        <w:right w:val="none" w:sz="0" w:space="0" w:color="auto"/>
                      </w:divBdr>
                    </w:div>
                  </w:divsChild>
                </w:div>
                <w:div w:id="1219901600">
                  <w:marLeft w:val="0"/>
                  <w:marRight w:val="0"/>
                  <w:marTop w:val="0"/>
                  <w:marBottom w:val="0"/>
                  <w:divBdr>
                    <w:top w:val="none" w:sz="0" w:space="0" w:color="auto"/>
                    <w:left w:val="none" w:sz="0" w:space="0" w:color="auto"/>
                    <w:bottom w:val="none" w:sz="0" w:space="0" w:color="auto"/>
                    <w:right w:val="none" w:sz="0" w:space="0" w:color="auto"/>
                  </w:divBdr>
                  <w:divsChild>
                    <w:div w:id="2083288885">
                      <w:marLeft w:val="0"/>
                      <w:marRight w:val="0"/>
                      <w:marTop w:val="0"/>
                      <w:marBottom w:val="0"/>
                      <w:divBdr>
                        <w:top w:val="none" w:sz="0" w:space="0" w:color="auto"/>
                        <w:left w:val="none" w:sz="0" w:space="0" w:color="auto"/>
                        <w:bottom w:val="none" w:sz="0" w:space="0" w:color="auto"/>
                        <w:right w:val="none" w:sz="0" w:space="0" w:color="auto"/>
                      </w:divBdr>
                    </w:div>
                  </w:divsChild>
                </w:div>
                <w:div w:id="1243681809">
                  <w:marLeft w:val="0"/>
                  <w:marRight w:val="0"/>
                  <w:marTop w:val="0"/>
                  <w:marBottom w:val="0"/>
                  <w:divBdr>
                    <w:top w:val="none" w:sz="0" w:space="0" w:color="auto"/>
                    <w:left w:val="none" w:sz="0" w:space="0" w:color="auto"/>
                    <w:bottom w:val="none" w:sz="0" w:space="0" w:color="auto"/>
                    <w:right w:val="none" w:sz="0" w:space="0" w:color="auto"/>
                  </w:divBdr>
                  <w:divsChild>
                    <w:div w:id="1762291845">
                      <w:marLeft w:val="0"/>
                      <w:marRight w:val="0"/>
                      <w:marTop w:val="0"/>
                      <w:marBottom w:val="0"/>
                      <w:divBdr>
                        <w:top w:val="none" w:sz="0" w:space="0" w:color="auto"/>
                        <w:left w:val="none" w:sz="0" w:space="0" w:color="auto"/>
                        <w:bottom w:val="none" w:sz="0" w:space="0" w:color="auto"/>
                        <w:right w:val="none" w:sz="0" w:space="0" w:color="auto"/>
                      </w:divBdr>
                    </w:div>
                  </w:divsChild>
                </w:div>
                <w:div w:id="1284456838">
                  <w:marLeft w:val="0"/>
                  <w:marRight w:val="0"/>
                  <w:marTop w:val="0"/>
                  <w:marBottom w:val="0"/>
                  <w:divBdr>
                    <w:top w:val="none" w:sz="0" w:space="0" w:color="auto"/>
                    <w:left w:val="none" w:sz="0" w:space="0" w:color="auto"/>
                    <w:bottom w:val="none" w:sz="0" w:space="0" w:color="auto"/>
                    <w:right w:val="none" w:sz="0" w:space="0" w:color="auto"/>
                  </w:divBdr>
                  <w:divsChild>
                    <w:div w:id="1369837327">
                      <w:marLeft w:val="0"/>
                      <w:marRight w:val="0"/>
                      <w:marTop w:val="0"/>
                      <w:marBottom w:val="0"/>
                      <w:divBdr>
                        <w:top w:val="none" w:sz="0" w:space="0" w:color="auto"/>
                        <w:left w:val="none" w:sz="0" w:space="0" w:color="auto"/>
                        <w:bottom w:val="none" w:sz="0" w:space="0" w:color="auto"/>
                        <w:right w:val="none" w:sz="0" w:space="0" w:color="auto"/>
                      </w:divBdr>
                    </w:div>
                  </w:divsChild>
                </w:div>
                <w:div w:id="1337146518">
                  <w:marLeft w:val="0"/>
                  <w:marRight w:val="0"/>
                  <w:marTop w:val="0"/>
                  <w:marBottom w:val="0"/>
                  <w:divBdr>
                    <w:top w:val="none" w:sz="0" w:space="0" w:color="auto"/>
                    <w:left w:val="none" w:sz="0" w:space="0" w:color="auto"/>
                    <w:bottom w:val="none" w:sz="0" w:space="0" w:color="auto"/>
                    <w:right w:val="none" w:sz="0" w:space="0" w:color="auto"/>
                  </w:divBdr>
                  <w:divsChild>
                    <w:div w:id="20130484">
                      <w:marLeft w:val="0"/>
                      <w:marRight w:val="0"/>
                      <w:marTop w:val="0"/>
                      <w:marBottom w:val="0"/>
                      <w:divBdr>
                        <w:top w:val="none" w:sz="0" w:space="0" w:color="auto"/>
                        <w:left w:val="none" w:sz="0" w:space="0" w:color="auto"/>
                        <w:bottom w:val="none" w:sz="0" w:space="0" w:color="auto"/>
                        <w:right w:val="none" w:sz="0" w:space="0" w:color="auto"/>
                      </w:divBdr>
                    </w:div>
                  </w:divsChild>
                </w:div>
                <w:div w:id="1400135609">
                  <w:marLeft w:val="0"/>
                  <w:marRight w:val="0"/>
                  <w:marTop w:val="0"/>
                  <w:marBottom w:val="0"/>
                  <w:divBdr>
                    <w:top w:val="none" w:sz="0" w:space="0" w:color="auto"/>
                    <w:left w:val="none" w:sz="0" w:space="0" w:color="auto"/>
                    <w:bottom w:val="none" w:sz="0" w:space="0" w:color="auto"/>
                    <w:right w:val="none" w:sz="0" w:space="0" w:color="auto"/>
                  </w:divBdr>
                  <w:divsChild>
                    <w:div w:id="1396317548">
                      <w:marLeft w:val="0"/>
                      <w:marRight w:val="0"/>
                      <w:marTop w:val="0"/>
                      <w:marBottom w:val="0"/>
                      <w:divBdr>
                        <w:top w:val="none" w:sz="0" w:space="0" w:color="auto"/>
                        <w:left w:val="none" w:sz="0" w:space="0" w:color="auto"/>
                        <w:bottom w:val="none" w:sz="0" w:space="0" w:color="auto"/>
                        <w:right w:val="none" w:sz="0" w:space="0" w:color="auto"/>
                      </w:divBdr>
                    </w:div>
                  </w:divsChild>
                </w:div>
                <w:div w:id="1401126650">
                  <w:marLeft w:val="0"/>
                  <w:marRight w:val="0"/>
                  <w:marTop w:val="0"/>
                  <w:marBottom w:val="0"/>
                  <w:divBdr>
                    <w:top w:val="none" w:sz="0" w:space="0" w:color="auto"/>
                    <w:left w:val="none" w:sz="0" w:space="0" w:color="auto"/>
                    <w:bottom w:val="none" w:sz="0" w:space="0" w:color="auto"/>
                    <w:right w:val="none" w:sz="0" w:space="0" w:color="auto"/>
                  </w:divBdr>
                  <w:divsChild>
                    <w:div w:id="288903503">
                      <w:marLeft w:val="0"/>
                      <w:marRight w:val="0"/>
                      <w:marTop w:val="0"/>
                      <w:marBottom w:val="0"/>
                      <w:divBdr>
                        <w:top w:val="none" w:sz="0" w:space="0" w:color="auto"/>
                        <w:left w:val="none" w:sz="0" w:space="0" w:color="auto"/>
                        <w:bottom w:val="none" w:sz="0" w:space="0" w:color="auto"/>
                        <w:right w:val="none" w:sz="0" w:space="0" w:color="auto"/>
                      </w:divBdr>
                    </w:div>
                  </w:divsChild>
                </w:div>
                <w:div w:id="1405950535">
                  <w:marLeft w:val="0"/>
                  <w:marRight w:val="0"/>
                  <w:marTop w:val="0"/>
                  <w:marBottom w:val="0"/>
                  <w:divBdr>
                    <w:top w:val="none" w:sz="0" w:space="0" w:color="auto"/>
                    <w:left w:val="none" w:sz="0" w:space="0" w:color="auto"/>
                    <w:bottom w:val="none" w:sz="0" w:space="0" w:color="auto"/>
                    <w:right w:val="none" w:sz="0" w:space="0" w:color="auto"/>
                  </w:divBdr>
                  <w:divsChild>
                    <w:div w:id="1908614536">
                      <w:marLeft w:val="0"/>
                      <w:marRight w:val="0"/>
                      <w:marTop w:val="0"/>
                      <w:marBottom w:val="0"/>
                      <w:divBdr>
                        <w:top w:val="none" w:sz="0" w:space="0" w:color="auto"/>
                        <w:left w:val="none" w:sz="0" w:space="0" w:color="auto"/>
                        <w:bottom w:val="none" w:sz="0" w:space="0" w:color="auto"/>
                        <w:right w:val="none" w:sz="0" w:space="0" w:color="auto"/>
                      </w:divBdr>
                    </w:div>
                  </w:divsChild>
                </w:div>
                <w:div w:id="1414544097">
                  <w:marLeft w:val="0"/>
                  <w:marRight w:val="0"/>
                  <w:marTop w:val="0"/>
                  <w:marBottom w:val="0"/>
                  <w:divBdr>
                    <w:top w:val="none" w:sz="0" w:space="0" w:color="auto"/>
                    <w:left w:val="none" w:sz="0" w:space="0" w:color="auto"/>
                    <w:bottom w:val="none" w:sz="0" w:space="0" w:color="auto"/>
                    <w:right w:val="none" w:sz="0" w:space="0" w:color="auto"/>
                  </w:divBdr>
                  <w:divsChild>
                    <w:div w:id="735783834">
                      <w:marLeft w:val="0"/>
                      <w:marRight w:val="0"/>
                      <w:marTop w:val="0"/>
                      <w:marBottom w:val="0"/>
                      <w:divBdr>
                        <w:top w:val="none" w:sz="0" w:space="0" w:color="auto"/>
                        <w:left w:val="none" w:sz="0" w:space="0" w:color="auto"/>
                        <w:bottom w:val="none" w:sz="0" w:space="0" w:color="auto"/>
                        <w:right w:val="none" w:sz="0" w:space="0" w:color="auto"/>
                      </w:divBdr>
                    </w:div>
                  </w:divsChild>
                </w:div>
                <w:div w:id="1512642531">
                  <w:marLeft w:val="0"/>
                  <w:marRight w:val="0"/>
                  <w:marTop w:val="0"/>
                  <w:marBottom w:val="0"/>
                  <w:divBdr>
                    <w:top w:val="none" w:sz="0" w:space="0" w:color="auto"/>
                    <w:left w:val="none" w:sz="0" w:space="0" w:color="auto"/>
                    <w:bottom w:val="none" w:sz="0" w:space="0" w:color="auto"/>
                    <w:right w:val="none" w:sz="0" w:space="0" w:color="auto"/>
                  </w:divBdr>
                  <w:divsChild>
                    <w:div w:id="1713112096">
                      <w:marLeft w:val="0"/>
                      <w:marRight w:val="0"/>
                      <w:marTop w:val="0"/>
                      <w:marBottom w:val="0"/>
                      <w:divBdr>
                        <w:top w:val="none" w:sz="0" w:space="0" w:color="auto"/>
                        <w:left w:val="none" w:sz="0" w:space="0" w:color="auto"/>
                        <w:bottom w:val="none" w:sz="0" w:space="0" w:color="auto"/>
                        <w:right w:val="none" w:sz="0" w:space="0" w:color="auto"/>
                      </w:divBdr>
                    </w:div>
                  </w:divsChild>
                </w:div>
                <w:div w:id="1624727457">
                  <w:marLeft w:val="0"/>
                  <w:marRight w:val="0"/>
                  <w:marTop w:val="0"/>
                  <w:marBottom w:val="0"/>
                  <w:divBdr>
                    <w:top w:val="none" w:sz="0" w:space="0" w:color="auto"/>
                    <w:left w:val="none" w:sz="0" w:space="0" w:color="auto"/>
                    <w:bottom w:val="none" w:sz="0" w:space="0" w:color="auto"/>
                    <w:right w:val="none" w:sz="0" w:space="0" w:color="auto"/>
                  </w:divBdr>
                  <w:divsChild>
                    <w:div w:id="1289891636">
                      <w:marLeft w:val="0"/>
                      <w:marRight w:val="0"/>
                      <w:marTop w:val="0"/>
                      <w:marBottom w:val="0"/>
                      <w:divBdr>
                        <w:top w:val="none" w:sz="0" w:space="0" w:color="auto"/>
                        <w:left w:val="none" w:sz="0" w:space="0" w:color="auto"/>
                        <w:bottom w:val="none" w:sz="0" w:space="0" w:color="auto"/>
                        <w:right w:val="none" w:sz="0" w:space="0" w:color="auto"/>
                      </w:divBdr>
                    </w:div>
                  </w:divsChild>
                </w:div>
                <w:div w:id="1651717208">
                  <w:marLeft w:val="0"/>
                  <w:marRight w:val="0"/>
                  <w:marTop w:val="0"/>
                  <w:marBottom w:val="0"/>
                  <w:divBdr>
                    <w:top w:val="none" w:sz="0" w:space="0" w:color="auto"/>
                    <w:left w:val="none" w:sz="0" w:space="0" w:color="auto"/>
                    <w:bottom w:val="none" w:sz="0" w:space="0" w:color="auto"/>
                    <w:right w:val="none" w:sz="0" w:space="0" w:color="auto"/>
                  </w:divBdr>
                  <w:divsChild>
                    <w:div w:id="1212107453">
                      <w:marLeft w:val="0"/>
                      <w:marRight w:val="0"/>
                      <w:marTop w:val="0"/>
                      <w:marBottom w:val="0"/>
                      <w:divBdr>
                        <w:top w:val="none" w:sz="0" w:space="0" w:color="auto"/>
                        <w:left w:val="none" w:sz="0" w:space="0" w:color="auto"/>
                        <w:bottom w:val="none" w:sz="0" w:space="0" w:color="auto"/>
                        <w:right w:val="none" w:sz="0" w:space="0" w:color="auto"/>
                      </w:divBdr>
                    </w:div>
                  </w:divsChild>
                </w:div>
                <w:div w:id="1745757276">
                  <w:marLeft w:val="0"/>
                  <w:marRight w:val="0"/>
                  <w:marTop w:val="0"/>
                  <w:marBottom w:val="0"/>
                  <w:divBdr>
                    <w:top w:val="none" w:sz="0" w:space="0" w:color="auto"/>
                    <w:left w:val="none" w:sz="0" w:space="0" w:color="auto"/>
                    <w:bottom w:val="none" w:sz="0" w:space="0" w:color="auto"/>
                    <w:right w:val="none" w:sz="0" w:space="0" w:color="auto"/>
                  </w:divBdr>
                  <w:divsChild>
                    <w:div w:id="1558512770">
                      <w:marLeft w:val="0"/>
                      <w:marRight w:val="0"/>
                      <w:marTop w:val="0"/>
                      <w:marBottom w:val="0"/>
                      <w:divBdr>
                        <w:top w:val="none" w:sz="0" w:space="0" w:color="auto"/>
                        <w:left w:val="none" w:sz="0" w:space="0" w:color="auto"/>
                        <w:bottom w:val="none" w:sz="0" w:space="0" w:color="auto"/>
                        <w:right w:val="none" w:sz="0" w:space="0" w:color="auto"/>
                      </w:divBdr>
                    </w:div>
                  </w:divsChild>
                </w:div>
                <w:div w:id="1783916720">
                  <w:marLeft w:val="0"/>
                  <w:marRight w:val="0"/>
                  <w:marTop w:val="0"/>
                  <w:marBottom w:val="0"/>
                  <w:divBdr>
                    <w:top w:val="none" w:sz="0" w:space="0" w:color="auto"/>
                    <w:left w:val="none" w:sz="0" w:space="0" w:color="auto"/>
                    <w:bottom w:val="none" w:sz="0" w:space="0" w:color="auto"/>
                    <w:right w:val="none" w:sz="0" w:space="0" w:color="auto"/>
                  </w:divBdr>
                  <w:divsChild>
                    <w:div w:id="978997423">
                      <w:marLeft w:val="0"/>
                      <w:marRight w:val="0"/>
                      <w:marTop w:val="0"/>
                      <w:marBottom w:val="0"/>
                      <w:divBdr>
                        <w:top w:val="none" w:sz="0" w:space="0" w:color="auto"/>
                        <w:left w:val="none" w:sz="0" w:space="0" w:color="auto"/>
                        <w:bottom w:val="none" w:sz="0" w:space="0" w:color="auto"/>
                        <w:right w:val="none" w:sz="0" w:space="0" w:color="auto"/>
                      </w:divBdr>
                    </w:div>
                  </w:divsChild>
                </w:div>
                <w:div w:id="1787500575">
                  <w:marLeft w:val="0"/>
                  <w:marRight w:val="0"/>
                  <w:marTop w:val="0"/>
                  <w:marBottom w:val="0"/>
                  <w:divBdr>
                    <w:top w:val="none" w:sz="0" w:space="0" w:color="auto"/>
                    <w:left w:val="none" w:sz="0" w:space="0" w:color="auto"/>
                    <w:bottom w:val="none" w:sz="0" w:space="0" w:color="auto"/>
                    <w:right w:val="none" w:sz="0" w:space="0" w:color="auto"/>
                  </w:divBdr>
                  <w:divsChild>
                    <w:div w:id="1355962617">
                      <w:marLeft w:val="0"/>
                      <w:marRight w:val="0"/>
                      <w:marTop w:val="0"/>
                      <w:marBottom w:val="0"/>
                      <w:divBdr>
                        <w:top w:val="none" w:sz="0" w:space="0" w:color="auto"/>
                        <w:left w:val="none" w:sz="0" w:space="0" w:color="auto"/>
                        <w:bottom w:val="none" w:sz="0" w:space="0" w:color="auto"/>
                        <w:right w:val="none" w:sz="0" w:space="0" w:color="auto"/>
                      </w:divBdr>
                    </w:div>
                  </w:divsChild>
                </w:div>
                <w:div w:id="1803385204">
                  <w:marLeft w:val="0"/>
                  <w:marRight w:val="0"/>
                  <w:marTop w:val="0"/>
                  <w:marBottom w:val="0"/>
                  <w:divBdr>
                    <w:top w:val="none" w:sz="0" w:space="0" w:color="auto"/>
                    <w:left w:val="none" w:sz="0" w:space="0" w:color="auto"/>
                    <w:bottom w:val="none" w:sz="0" w:space="0" w:color="auto"/>
                    <w:right w:val="none" w:sz="0" w:space="0" w:color="auto"/>
                  </w:divBdr>
                  <w:divsChild>
                    <w:div w:id="933247703">
                      <w:marLeft w:val="0"/>
                      <w:marRight w:val="0"/>
                      <w:marTop w:val="0"/>
                      <w:marBottom w:val="0"/>
                      <w:divBdr>
                        <w:top w:val="none" w:sz="0" w:space="0" w:color="auto"/>
                        <w:left w:val="none" w:sz="0" w:space="0" w:color="auto"/>
                        <w:bottom w:val="none" w:sz="0" w:space="0" w:color="auto"/>
                        <w:right w:val="none" w:sz="0" w:space="0" w:color="auto"/>
                      </w:divBdr>
                    </w:div>
                  </w:divsChild>
                </w:div>
                <w:div w:id="1899969310">
                  <w:marLeft w:val="0"/>
                  <w:marRight w:val="0"/>
                  <w:marTop w:val="0"/>
                  <w:marBottom w:val="0"/>
                  <w:divBdr>
                    <w:top w:val="none" w:sz="0" w:space="0" w:color="auto"/>
                    <w:left w:val="none" w:sz="0" w:space="0" w:color="auto"/>
                    <w:bottom w:val="none" w:sz="0" w:space="0" w:color="auto"/>
                    <w:right w:val="none" w:sz="0" w:space="0" w:color="auto"/>
                  </w:divBdr>
                  <w:divsChild>
                    <w:div w:id="1687364757">
                      <w:marLeft w:val="0"/>
                      <w:marRight w:val="0"/>
                      <w:marTop w:val="0"/>
                      <w:marBottom w:val="0"/>
                      <w:divBdr>
                        <w:top w:val="none" w:sz="0" w:space="0" w:color="auto"/>
                        <w:left w:val="none" w:sz="0" w:space="0" w:color="auto"/>
                        <w:bottom w:val="none" w:sz="0" w:space="0" w:color="auto"/>
                        <w:right w:val="none" w:sz="0" w:space="0" w:color="auto"/>
                      </w:divBdr>
                    </w:div>
                  </w:divsChild>
                </w:div>
                <w:div w:id="1993828855">
                  <w:marLeft w:val="0"/>
                  <w:marRight w:val="0"/>
                  <w:marTop w:val="0"/>
                  <w:marBottom w:val="0"/>
                  <w:divBdr>
                    <w:top w:val="none" w:sz="0" w:space="0" w:color="auto"/>
                    <w:left w:val="none" w:sz="0" w:space="0" w:color="auto"/>
                    <w:bottom w:val="none" w:sz="0" w:space="0" w:color="auto"/>
                    <w:right w:val="none" w:sz="0" w:space="0" w:color="auto"/>
                  </w:divBdr>
                  <w:divsChild>
                    <w:div w:id="1301694092">
                      <w:marLeft w:val="0"/>
                      <w:marRight w:val="0"/>
                      <w:marTop w:val="0"/>
                      <w:marBottom w:val="0"/>
                      <w:divBdr>
                        <w:top w:val="none" w:sz="0" w:space="0" w:color="auto"/>
                        <w:left w:val="none" w:sz="0" w:space="0" w:color="auto"/>
                        <w:bottom w:val="none" w:sz="0" w:space="0" w:color="auto"/>
                        <w:right w:val="none" w:sz="0" w:space="0" w:color="auto"/>
                      </w:divBdr>
                    </w:div>
                  </w:divsChild>
                </w:div>
                <w:div w:id="2009013386">
                  <w:marLeft w:val="0"/>
                  <w:marRight w:val="0"/>
                  <w:marTop w:val="0"/>
                  <w:marBottom w:val="0"/>
                  <w:divBdr>
                    <w:top w:val="none" w:sz="0" w:space="0" w:color="auto"/>
                    <w:left w:val="none" w:sz="0" w:space="0" w:color="auto"/>
                    <w:bottom w:val="none" w:sz="0" w:space="0" w:color="auto"/>
                    <w:right w:val="none" w:sz="0" w:space="0" w:color="auto"/>
                  </w:divBdr>
                  <w:divsChild>
                    <w:div w:id="1697121417">
                      <w:marLeft w:val="0"/>
                      <w:marRight w:val="0"/>
                      <w:marTop w:val="0"/>
                      <w:marBottom w:val="0"/>
                      <w:divBdr>
                        <w:top w:val="none" w:sz="0" w:space="0" w:color="auto"/>
                        <w:left w:val="none" w:sz="0" w:space="0" w:color="auto"/>
                        <w:bottom w:val="none" w:sz="0" w:space="0" w:color="auto"/>
                        <w:right w:val="none" w:sz="0" w:space="0" w:color="auto"/>
                      </w:divBdr>
                    </w:div>
                  </w:divsChild>
                </w:div>
                <w:div w:id="2034333576">
                  <w:marLeft w:val="0"/>
                  <w:marRight w:val="0"/>
                  <w:marTop w:val="0"/>
                  <w:marBottom w:val="0"/>
                  <w:divBdr>
                    <w:top w:val="none" w:sz="0" w:space="0" w:color="auto"/>
                    <w:left w:val="none" w:sz="0" w:space="0" w:color="auto"/>
                    <w:bottom w:val="none" w:sz="0" w:space="0" w:color="auto"/>
                    <w:right w:val="none" w:sz="0" w:space="0" w:color="auto"/>
                  </w:divBdr>
                  <w:divsChild>
                    <w:div w:id="33427807">
                      <w:marLeft w:val="0"/>
                      <w:marRight w:val="0"/>
                      <w:marTop w:val="0"/>
                      <w:marBottom w:val="0"/>
                      <w:divBdr>
                        <w:top w:val="none" w:sz="0" w:space="0" w:color="auto"/>
                        <w:left w:val="none" w:sz="0" w:space="0" w:color="auto"/>
                        <w:bottom w:val="none" w:sz="0" w:space="0" w:color="auto"/>
                        <w:right w:val="none" w:sz="0" w:space="0" w:color="auto"/>
                      </w:divBdr>
                    </w:div>
                  </w:divsChild>
                </w:div>
                <w:div w:id="2057926523">
                  <w:marLeft w:val="0"/>
                  <w:marRight w:val="0"/>
                  <w:marTop w:val="0"/>
                  <w:marBottom w:val="0"/>
                  <w:divBdr>
                    <w:top w:val="none" w:sz="0" w:space="0" w:color="auto"/>
                    <w:left w:val="none" w:sz="0" w:space="0" w:color="auto"/>
                    <w:bottom w:val="none" w:sz="0" w:space="0" w:color="auto"/>
                    <w:right w:val="none" w:sz="0" w:space="0" w:color="auto"/>
                  </w:divBdr>
                  <w:divsChild>
                    <w:div w:id="19095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47910">
          <w:marLeft w:val="0"/>
          <w:marRight w:val="0"/>
          <w:marTop w:val="0"/>
          <w:marBottom w:val="0"/>
          <w:divBdr>
            <w:top w:val="none" w:sz="0" w:space="0" w:color="auto"/>
            <w:left w:val="none" w:sz="0" w:space="0" w:color="auto"/>
            <w:bottom w:val="none" w:sz="0" w:space="0" w:color="auto"/>
            <w:right w:val="none" w:sz="0" w:space="0" w:color="auto"/>
          </w:divBdr>
        </w:div>
        <w:div w:id="792477366">
          <w:marLeft w:val="0"/>
          <w:marRight w:val="0"/>
          <w:marTop w:val="0"/>
          <w:marBottom w:val="0"/>
          <w:divBdr>
            <w:top w:val="none" w:sz="0" w:space="0" w:color="auto"/>
            <w:left w:val="none" w:sz="0" w:space="0" w:color="auto"/>
            <w:bottom w:val="none" w:sz="0" w:space="0" w:color="auto"/>
            <w:right w:val="none" w:sz="0" w:space="0" w:color="auto"/>
          </w:divBdr>
        </w:div>
        <w:div w:id="835264469">
          <w:marLeft w:val="0"/>
          <w:marRight w:val="0"/>
          <w:marTop w:val="0"/>
          <w:marBottom w:val="0"/>
          <w:divBdr>
            <w:top w:val="none" w:sz="0" w:space="0" w:color="auto"/>
            <w:left w:val="none" w:sz="0" w:space="0" w:color="auto"/>
            <w:bottom w:val="none" w:sz="0" w:space="0" w:color="auto"/>
            <w:right w:val="none" w:sz="0" w:space="0" w:color="auto"/>
          </w:divBdr>
        </w:div>
        <w:div w:id="871920198">
          <w:marLeft w:val="0"/>
          <w:marRight w:val="0"/>
          <w:marTop w:val="0"/>
          <w:marBottom w:val="0"/>
          <w:divBdr>
            <w:top w:val="none" w:sz="0" w:space="0" w:color="auto"/>
            <w:left w:val="none" w:sz="0" w:space="0" w:color="auto"/>
            <w:bottom w:val="none" w:sz="0" w:space="0" w:color="auto"/>
            <w:right w:val="none" w:sz="0" w:space="0" w:color="auto"/>
          </w:divBdr>
        </w:div>
        <w:div w:id="1382053774">
          <w:marLeft w:val="0"/>
          <w:marRight w:val="0"/>
          <w:marTop w:val="0"/>
          <w:marBottom w:val="0"/>
          <w:divBdr>
            <w:top w:val="none" w:sz="0" w:space="0" w:color="auto"/>
            <w:left w:val="none" w:sz="0" w:space="0" w:color="auto"/>
            <w:bottom w:val="none" w:sz="0" w:space="0" w:color="auto"/>
            <w:right w:val="none" w:sz="0" w:space="0" w:color="auto"/>
          </w:divBdr>
          <w:divsChild>
            <w:div w:id="2034531566">
              <w:marLeft w:val="0"/>
              <w:marRight w:val="0"/>
              <w:marTop w:val="30"/>
              <w:marBottom w:val="30"/>
              <w:divBdr>
                <w:top w:val="none" w:sz="0" w:space="0" w:color="auto"/>
                <w:left w:val="none" w:sz="0" w:space="0" w:color="auto"/>
                <w:bottom w:val="none" w:sz="0" w:space="0" w:color="auto"/>
                <w:right w:val="none" w:sz="0" w:space="0" w:color="auto"/>
              </w:divBdr>
              <w:divsChild>
                <w:div w:id="39593743">
                  <w:marLeft w:val="0"/>
                  <w:marRight w:val="0"/>
                  <w:marTop w:val="0"/>
                  <w:marBottom w:val="0"/>
                  <w:divBdr>
                    <w:top w:val="none" w:sz="0" w:space="0" w:color="auto"/>
                    <w:left w:val="none" w:sz="0" w:space="0" w:color="auto"/>
                    <w:bottom w:val="none" w:sz="0" w:space="0" w:color="auto"/>
                    <w:right w:val="none" w:sz="0" w:space="0" w:color="auto"/>
                  </w:divBdr>
                  <w:divsChild>
                    <w:div w:id="1754161242">
                      <w:marLeft w:val="0"/>
                      <w:marRight w:val="0"/>
                      <w:marTop w:val="0"/>
                      <w:marBottom w:val="0"/>
                      <w:divBdr>
                        <w:top w:val="none" w:sz="0" w:space="0" w:color="auto"/>
                        <w:left w:val="none" w:sz="0" w:space="0" w:color="auto"/>
                        <w:bottom w:val="none" w:sz="0" w:space="0" w:color="auto"/>
                        <w:right w:val="none" w:sz="0" w:space="0" w:color="auto"/>
                      </w:divBdr>
                    </w:div>
                  </w:divsChild>
                </w:div>
                <w:div w:id="48655386">
                  <w:marLeft w:val="0"/>
                  <w:marRight w:val="0"/>
                  <w:marTop w:val="0"/>
                  <w:marBottom w:val="0"/>
                  <w:divBdr>
                    <w:top w:val="none" w:sz="0" w:space="0" w:color="auto"/>
                    <w:left w:val="none" w:sz="0" w:space="0" w:color="auto"/>
                    <w:bottom w:val="none" w:sz="0" w:space="0" w:color="auto"/>
                    <w:right w:val="none" w:sz="0" w:space="0" w:color="auto"/>
                  </w:divBdr>
                  <w:divsChild>
                    <w:div w:id="936207314">
                      <w:marLeft w:val="0"/>
                      <w:marRight w:val="0"/>
                      <w:marTop w:val="0"/>
                      <w:marBottom w:val="0"/>
                      <w:divBdr>
                        <w:top w:val="none" w:sz="0" w:space="0" w:color="auto"/>
                        <w:left w:val="none" w:sz="0" w:space="0" w:color="auto"/>
                        <w:bottom w:val="none" w:sz="0" w:space="0" w:color="auto"/>
                        <w:right w:val="none" w:sz="0" w:space="0" w:color="auto"/>
                      </w:divBdr>
                    </w:div>
                  </w:divsChild>
                </w:div>
                <w:div w:id="54133093">
                  <w:marLeft w:val="0"/>
                  <w:marRight w:val="0"/>
                  <w:marTop w:val="0"/>
                  <w:marBottom w:val="0"/>
                  <w:divBdr>
                    <w:top w:val="none" w:sz="0" w:space="0" w:color="auto"/>
                    <w:left w:val="none" w:sz="0" w:space="0" w:color="auto"/>
                    <w:bottom w:val="none" w:sz="0" w:space="0" w:color="auto"/>
                    <w:right w:val="none" w:sz="0" w:space="0" w:color="auto"/>
                  </w:divBdr>
                  <w:divsChild>
                    <w:div w:id="1023672417">
                      <w:marLeft w:val="0"/>
                      <w:marRight w:val="0"/>
                      <w:marTop w:val="0"/>
                      <w:marBottom w:val="0"/>
                      <w:divBdr>
                        <w:top w:val="none" w:sz="0" w:space="0" w:color="auto"/>
                        <w:left w:val="none" w:sz="0" w:space="0" w:color="auto"/>
                        <w:bottom w:val="none" w:sz="0" w:space="0" w:color="auto"/>
                        <w:right w:val="none" w:sz="0" w:space="0" w:color="auto"/>
                      </w:divBdr>
                    </w:div>
                  </w:divsChild>
                </w:div>
                <w:div w:id="64885324">
                  <w:marLeft w:val="0"/>
                  <w:marRight w:val="0"/>
                  <w:marTop w:val="0"/>
                  <w:marBottom w:val="0"/>
                  <w:divBdr>
                    <w:top w:val="none" w:sz="0" w:space="0" w:color="auto"/>
                    <w:left w:val="none" w:sz="0" w:space="0" w:color="auto"/>
                    <w:bottom w:val="none" w:sz="0" w:space="0" w:color="auto"/>
                    <w:right w:val="none" w:sz="0" w:space="0" w:color="auto"/>
                  </w:divBdr>
                  <w:divsChild>
                    <w:div w:id="702442644">
                      <w:marLeft w:val="0"/>
                      <w:marRight w:val="0"/>
                      <w:marTop w:val="0"/>
                      <w:marBottom w:val="0"/>
                      <w:divBdr>
                        <w:top w:val="none" w:sz="0" w:space="0" w:color="auto"/>
                        <w:left w:val="none" w:sz="0" w:space="0" w:color="auto"/>
                        <w:bottom w:val="none" w:sz="0" w:space="0" w:color="auto"/>
                        <w:right w:val="none" w:sz="0" w:space="0" w:color="auto"/>
                      </w:divBdr>
                    </w:div>
                  </w:divsChild>
                </w:div>
                <w:div w:id="93090096">
                  <w:marLeft w:val="0"/>
                  <w:marRight w:val="0"/>
                  <w:marTop w:val="0"/>
                  <w:marBottom w:val="0"/>
                  <w:divBdr>
                    <w:top w:val="none" w:sz="0" w:space="0" w:color="auto"/>
                    <w:left w:val="none" w:sz="0" w:space="0" w:color="auto"/>
                    <w:bottom w:val="none" w:sz="0" w:space="0" w:color="auto"/>
                    <w:right w:val="none" w:sz="0" w:space="0" w:color="auto"/>
                  </w:divBdr>
                  <w:divsChild>
                    <w:div w:id="1964461131">
                      <w:marLeft w:val="0"/>
                      <w:marRight w:val="0"/>
                      <w:marTop w:val="0"/>
                      <w:marBottom w:val="0"/>
                      <w:divBdr>
                        <w:top w:val="none" w:sz="0" w:space="0" w:color="auto"/>
                        <w:left w:val="none" w:sz="0" w:space="0" w:color="auto"/>
                        <w:bottom w:val="none" w:sz="0" w:space="0" w:color="auto"/>
                        <w:right w:val="none" w:sz="0" w:space="0" w:color="auto"/>
                      </w:divBdr>
                    </w:div>
                  </w:divsChild>
                </w:div>
                <w:div w:id="117652108">
                  <w:marLeft w:val="0"/>
                  <w:marRight w:val="0"/>
                  <w:marTop w:val="0"/>
                  <w:marBottom w:val="0"/>
                  <w:divBdr>
                    <w:top w:val="none" w:sz="0" w:space="0" w:color="auto"/>
                    <w:left w:val="none" w:sz="0" w:space="0" w:color="auto"/>
                    <w:bottom w:val="none" w:sz="0" w:space="0" w:color="auto"/>
                    <w:right w:val="none" w:sz="0" w:space="0" w:color="auto"/>
                  </w:divBdr>
                  <w:divsChild>
                    <w:div w:id="704523230">
                      <w:marLeft w:val="0"/>
                      <w:marRight w:val="0"/>
                      <w:marTop w:val="0"/>
                      <w:marBottom w:val="0"/>
                      <w:divBdr>
                        <w:top w:val="none" w:sz="0" w:space="0" w:color="auto"/>
                        <w:left w:val="none" w:sz="0" w:space="0" w:color="auto"/>
                        <w:bottom w:val="none" w:sz="0" w:space="0" w:color="auto"/>
                        <w:right w:val="none" w:sz="0" w:space="0" w:color="auto"/>
                      </w:divBdr>
                    </w:div>
                  </w:divsChild>
                </w:div>
                <w:div w:id="174267185">
                  <w:marLeft w:val="0"/>
                  <w:marRight w:val="0"/>
                  <w:marTop w:val="0"/>
                  <w:marBottom w:val="0"/>
                  <w:divBdr>
                    <w:top w:val="none" w:sz="0" w:space="0" w:color="auto"/>
                    <w:left w:val="none" w:sz="0" w:space="0" w:color="auto"/>
                    <w:bottom w:val="none" w:sz="0" w:space="0" w:color="auto"/>
                    <w:right w:val="none" w:sz="0" w:space="0" w:color="auto"/>
                  </w:divBdr>
                  <w:divsChild>
                    <w:div w:id="1556698235">
                      <w:marLeft w:val="0"/>
                      <w:marRight w:val="0"/>
                      <w:marTop w:val="0"/>
                      <w:marBottom w:val="0"/>
                      <w:divBdr>
                        <w:top w:val="none" w:sz="0" w:space="0" w:color="auto"/>
                        <w:left w:val="none" w:sz="0" w:space="0" w:color="auto"/>
                        <w:bottom w:val="none" w:sz="0" w:space="0" w:color="auto"/>
                        <w:right w:val="none" w:sz="0" w:space="0" w:color="auto"/>
                      </w:divBdr>
                    </w:div>
                  </w:divsChild>
                </w:div>
                <w:div w:id="179658864">
                  <w:marLeft w:val="0"/>
                  <w:marRight w:val="0"/>
                  <w:marTop w:val="0"/>
                  <w:marBottom w:val="0"/>
                  <w:divBdr>
                    <w:top w:val="none" w:sz="0" w:space="0" w:color="auto"/>
                    <w:left w:val="none" w:sz="0" w:space="0" w:color="auto"/>
                    <w:bottom w:val="none" w:sz="0" w:space="0" w:color="auto"/>
                    <w:right w:val="none" w:sz="0" w:space="0" w:color="auto"/>
                  </w:divBdr>
                  <w:divsChild>
                    <w:div w:id="1176654560">
                      <w:marLeft w:val="0"/>
                      <w:marRight w:val="0"/>
                      <w:marTop w:val="0"/>
                      <w:marBottom w:val="0"/>
                      <w:divBdr>
                        <w:top w:val="none" w:sz="0" w:space="0" w:color="auto"/>
                        <w:left w:val="none" w:sz="0" w:space="0" w:color="auto"/>
                        <w:bottom w:val="none" w:sz="0" w:space="0" w:color="auto"/>
                        <w:right w:val="none" w:sz="0" w:space="0" w:color="auto"/>
                      </w:divBdr>
                    </w:div>
                  </w:divsChild>
                </w:div>
                <w:div w:id="241065188">
                  <w:marLeft w:val="0"/>
                  <w:marRight w:val="0"/>
                  <w:marTop w:val="0"/>
                  <w:marBottom w:val="0"/>
                  <w:divBdr>
                    <w:top w:val="none" w:sz="0" w:space="0" w:color="auto"/>
                    <w:left w:val="none" w:sz="0" w:space="0" w:color="auto"/>
                    <w:bottom w:val="none" w:sz="0" w:space="0" w:color="auto"/>
                    <w:right w:val="none" w:sz="0" w:space="0" w:color="auto"/>
                  </w:divBdr>
                  <w:divsChild>
                    <w:div w:id="1135678966">
                      <w:marLeft w:val="0"/>
                      <w:marRight w:val="0"/>
                      <w:marTop w:val="0"/>
                      <w:marBottom w:val="0"/>
                      <w:divBdr>
                        <w:top w:val="none" w:sz="0" w:space="0" w:color="auto"/>
                        <w:left w:val="none" w:sz="0" w:space="0" w:color="auto"/>
                        <w:bottom w:val="none" w:sz="0" w:space="0" w:color="auto"/>
                        <w:right w:val="none" w:sz="0" w:space="0" w:color="auto"/>
                      </w:divBdr>
                    </w:div>
                  </w:divsChild>
                </w:div>
                <w:div w:id="451939772">
                  <w:marLeft w:val="0"/>
                  <w:marRight w:val="0"/>
                  <w:marTop w:val="0"/>
                  <w:marBottom w:val="0"/>
                  <w:divBdr>
                    <w:top w:val="none" w:sz="0" w:space="0" w:color="auto"/>
                    <w:left w:val="none" w:sz="0" w:space="0" w:color="auto"/>
                    <w:bottom w:val="none" w:sz="0" w:space="0" w:color="auto"/>
                    <w:right w:val="none" w:sz="0" w:space="0" w:color="auto"/>
                  </w:divBdr>
                  <w:divsChild>
                    <w:div w:id="564797683">
                      <w:marLeft w:val="0"/>
                      <w:marRight w:val="0"/>
                      <w:marTop w:val="0"/>
                      <w:marBottom w:val="0"/>
                      <w:divBdr>
                        <w:top w:val="none" w:sz="0" w:space="0" w:color="auto"/>
                        <w:left w:val="none" w:sz="0" w:space="0" w:color="auto"/>
                        <w:bottom w:val="none" w:sz="0" w:space="0" w:color="auto"/>
                        <w:right w:val="none" w:sz="0" w:space="0" w:color="auto"/>
                      </w:divBdr>
                    </w:div>
                  </w:divsChild>
                </w:div>
                <w:div w:id="485632114">
                  <w:marLeft w:val="0"/>
                  <w:marRight w:val="0"/>
                  <w:marTop w:val="0"/>
                  <w:marBottom w:val="0"/>
                  <w:divBdr>
                    <w:top w:val="none" w:sz="0" w:space="0" w:color="auto"/>
                    <w:left w:val="none" w:sz="0" w:space="0" w:color="auto"/>
                    <w:bottom w:val="none" w:sz="0" w:space="0" w:color="auto"/>
                    <w:right w:val="none" w:sz="0" w:space="0" w:color="auto"/>
                  </w:divBdr>
                  <w:divsChild>
                    <w:div w:id="1022588543">
                      <w:marLeft w:val="0"/>
                      <w:marRight w:val="0"/>
                      <w:marTop w:val="0"/>
                      <w:marBottom w:val="0"/>
                      <w:divBdr>
                        <w:top w:val="none" w:sz="0" w:space="0" w:color="auto"/>
                        <w:left w:val="none" w:sz="0" w:space="0" w:color="auto"/>
                        <w:bottom w:val="none" w:sz="0" w:space="0" w:color="auto"/>
                        <w:right w:val="none" w:sz="0" w:space="0" w:color="auto"/>
                      </w:divBdr>
                    </w:div>
                  </w:divsChild>
                </w:div>
                <w:div w:id="511918260">
                  <w:marLeft w:val="0"/>
                  <w:marRight w:val="0"/>
                  <w:marTop w:val="0"/>
                  <w:marBottom w:val="0"/>
                  <w:divBdr>
                    <w:top w:val="none" w:sz="0" w:space="0" w:color="auto"/>
                    <w:left w:val="none" w:sz="0" w:space="0" w:color="auto"/>
                    <w:bottom w:val="none" w:sz="0" w:space="0" w:color="auto"/>
                    <w:right w:val="none" w:sz="0" w:space="0" w:color="auto"/>
                  </w:divBdr>
                  <w:divsChild>
                    <w:div w:id="1018697707">
                      <w:marLeft w:val="0"/>
                      <w:marRight w:val="0"/>
                      <w:marTop w:val="0"/>
                      <w:marBottom w:val="0"/>
                      <w:divBdr>
                        <w:top w:val="none" w:sz="0" w:space="0" w:color="auto"/>
                        <w:left w:val="none" w:sz="0" w:space="0" w:color="auto"/>
                        <w:bottom w:val="none" w:sz="0" w:space="0" w:color="auto"/>
                        <w:right w:val="none" w:sz="0" w:space="0" w:color="auto"/>
                      </w:divBdr>
                    </w:div>
                  </w:divsChild>
                </w:div>
                <w:div w:id="542444910">
                  <w:marLeft w:val="0"/>
                  <w:marRight w:val="0"/>
                  <w:marTop w:val="0"/>
                  <w:marBottom w:val="0"/>
                  <w:divBdr>
                    <w:top w:val="none" w:sz="0" w:space="0" w:color="auto"/>
                    <w:left w:val="none" w:sz="0" w:space="0" w:color="auto"/>
                    <w:bottom w:val="none" w:sz="0" w:space="0" w:color="auto"/>
                    <w:right w:val="none" w:sz="0" w:space="0" w:color="auto"/>
                  </w:divBdr>
                  <w:divsChild>
                    <w:div w:id="1224607722">
                      <w:marLeft w:val="0"/>
                      <w:marRight w:val="0"/>
                      <w:marTop w:val="0"/>
                      <w:marBottom w:val="0"/>
                      <w:divBdr>
                        <w:top w:val="none" w:sz="0" w:space="0" w:color="auto"/>
                        <w:left w:val="none" w:sz="0" w:space="0" w:color="auto"/>
                        <w:bottom w:val="none" w:sz="0" w:space="0" w:color="auto"/>
                        <w:right w:val="none" w:sz="0" w:space="0" w:color="auto"/>
                      </w:divBdr>
                    </w:div>
                  </w:divsChild>
                </w:div>
                <w:div w:id="553203846">
                  <w:marLeft w:val="0"/>
                  <w:marRight w:val="0"/>
                  <w:marTop w:val="0"/>
                  <w:marBottom w:val="0"/>
                  <w:divBdr>
                    <w:top w:val="none" w:sz="0" w:space="0" w:color="auto"/>
                    <w:left w:val="none" w:sz="0" w:space="0" w:color="auto"/>
                    <w:bottom w:val="none" w:sz="0" w:space="0" w:color="auto"/>
                    <w:right w:val="none" w:sz="0" w:space="0" w:color="auto"/>
                  </w:divBdr>
                  <w:divsChild>
                    <w:div w:id="632171954">
                      <w:marLeft w:val="0"/>
                      <w:marRight w:val="0"/>
                      <w:marTop w:val="0"/>
                      <w:marBottom w:val="0"/>
                      <w:divBdr>
                        <w:top w:val="none" w:sz="0" w:space="0" w:color="auto"/>
                        <w:left w:val="none" w:sz="0" w:space="0" w:color="auto"/>
                        <w:bottom w:val="none" w:sz="0" w:space="0" w:color="auto"/>
                        <w:right w:val="none" w:sz="0" w:space="0" w:color="auto"/>
                      </w:divBdr>
                    </w:div>
                  </w:divsChild>
                </w:div>
                <w:div w:id="611286057">
                  <w:marLeft w:val="0"/>
                  <w:marRight w:val="0"/>
                  <w:marTop w:val="0"/>
                  <w:marBottom w:val="0"/>
                  <w:divBdr>
                    <w:top w:val="none" w:sz="0" w:space="0" w:color="auto"/>
                    <w:left w:val="none" w:sz="0" w:space="0" w:color="auto"/>
                    <w:bottom w:val="none" w:sz="0" w:space="0" w:color="auto"/>
                    <w:right w:val="none" w:sz="0" w:space="0" w:color="auto"/>
                  </w:divBdr>
                  <w:divsChild>
                    <w:div w:id="967972303">
                      <w:marLeft w:val="0"/>
                      <w:marRight w:val="0"/>
                      <w:marTop w:val="0"/>
                      <w:marBottom w:val="0"/>
                      <w:divBdr>
                        <w:top w:val="none" w:sz="0" w:space="0" w:color="auto"/>
                        <w:left w:val="none" w:sz="0" w:space="0" w:color="auto"/>
                        <w:bottom w:val="none" w:sz="0" w:space="0" w:color="auto"/>
                        <w:right w:val="none" w:sz="0" w:space="0" w:color="auto"/>
                      </w:divBdr>
                    </w:div>
                  </w:divsChild>
                </w:div>
                <w:div w:id="633945957">
                  <w:marLeft w:val="0"/>
                  <w:marRight w:val="0"/>
                  <w:marTop w:val="0"/>
                  <w:marBottom w:val="0"/>
                  <w:divBdr>
                    <w:top w:val="none" w:sz="0" w:space="0" w:color="auto"/>
                    <w:left w:val="none" w:sz="0" w:space="0" w:color="auto"/>
                    <w:bottom w:val="none" w:sz="0" w:space="0" w:color="auto"/>
                    <w:right w:val="none" w:sz="0" w:space="0" w:color="auto"/>
                  </w:divBdr>
                  <w:divsChild>
                    <w:div w:id="564612189">
                      <w:marLeft w:val="0"/>
                      <w:marRight w:val="0"/>
                      <w:marTop w:val="0"/>
                      <w:marBottom w:val="0"/>
                      <w:divBdr>
                        <w:top w:val="none" w:sz="0" w:space="0" w:color="auto"/>
                        <w:left w:val="none" w:sz="0" w:space="0" w:color="auto"/>
                        <w:bottom w:val="none" w:sz="0" w:space="0" w:color="auto"/>
                        <w:right w:val="none" w:sz="0" w:space="0" w:color="auto"/>
                      </w:divBdr>
                    </w:div>
                  </w:divsChild>
                </w:div>
                <w:div w:id="689838155">
                  <w:marLeft w:val="0"/>
                  <w:marRight w:val="0"/>
                  <w:marTop w:val="0"/>
                  <w:marBottom w:val="0"/>
                  <w:divBdr>
                    <w:top w:val="none" w:sz="0" w:space="0" w:color="auto"/>
                    <w:left w:val="none" w:sz="0" w:space="0" w:color="auto"/>
                    <w:bottom w:val="none" w:sz="0" w:space="0" w:color="auto"/>
                    <w:right w:val="none" w:sz="0" w:space="0" w:color="auto"/>
                  </w:divBdr>
                  <w:divsChild>
                    <w:div w:id="923414319">
                      <w:marLeft w:val="0"/>
                      <w:marRight w:val="0"/>
                      <w:marTop w:val="0"/>
                      <w:marBottom w:val="0"/>
                      <w:divBdr>
                        <w:top w:val="none" w:sz="0" w:space="0" w:color="auto"/>
                        <w:left w:val="none" w:sz="0" w:space="0" w:color="auto"/>
                        <w:bottom w:val="none" w:sz="0" w:space="0" w:color="auto"/>
                        <w:right w:val="none" w:sz="0" w:space="0" w:color="auto"/>
                      </w:divBdr>
                    </w:div>
                  </w:divsChild>
                </w:div>
                <w:div w:id="742682310">
                  <w:marLeft w:val="0"/>
                  <w:marRight w:val="0"/>
                  <w:marTop w:val="0"/>
                  <w:marBottom w:val="0"/>
                  <w:divBdr>
                    <w:top w:val="none" w:sz="0" w:space="0" w:color="auto"/>
                    <w:left w:val="none" w:sz="0" w:space="0" w:color="auto"/>
                    <w:bottom w:val="none" w:sz="0" w:space="0" w:color="auto"/>
                    <w:right w:val="none" w:sz="0" w:space="0" w:color="auto"/>
                  </w:divBdr>
                  <w:divsChild>
                    <w:div w:id="79447306">
                      <w:marLeft w:val="0"/>
                      <w:marRight w:val="0"/>
                      <w:marTop w:val="0"/>
                      <w:marBottom w:val="0"/>
                      <w:divBdr>
                        <w:top w:val="none" w:sz="0" w:space="0" w:color="auto"/>
                        <w:left w:val="none" w:sz="0" w:space="0" w:color="auto"/>
                        <w:bottom w:val="none" w:sz="0" w:space="0" w:color="auto"/>
                        <w:right w:val="none" w:sz="0" w:space="0" w:color="auto"/>
                      </w:divBdr>
                    </w:div>
                  </w:divsChild>
                </w:div>
                <w:div w:id="859243562">
                  <w:marLeft w:val="0"/>
                  <w:marRight w:val="0"/>
                  <w:marTop w:val="0"/>
                  <w:marBottom w:val="0"/>
                  <w:divBdr>
                    <w:top w:val="none" w:sz="0" w:space="0" w:color="auto"/>
                    <w:left w:val="none" w:sz="0" w:space="0" w:color="auto"/>
                    <w:bottom w:val="none" w:sz="0" w:space="0" w:color="auto"/>
                    <w:right w:val="none" w:sz="0" w:space="0" w:color="auto"/>
                  </w:divBdr>
                  <w:divsChild>
                    <w:div w:id="653294535">
                      <w:marLeft w:val="0"/>
                      <w:marRight w:val="0"/>
                      <w:marTop w:val="0"/>
                      <w:marBottom w:val="0"/>
                      <w:divBdr>
                        <w:top w:val="none" w:sz="0" w:space="0" w:color="auto"/>
                        <w:left w:val="none" w:sz="0" w:space="0" w:color="auto"/>
                        <w:bottom w:val="none" w:sz="0" w:space="0" w:color="auto"/>
                        <w:right w:val="none" w:sz="0" w:space="0" w:color="auto"/>
                      </w:divBdr>
                    </w:div>
                  </w:divsChild>
                </w:div>
                <w:div w:id="932055728">
                  <w:marLeft w:val="0"/>
                  <w:marRight w:val="0"/>
                  <w:marTop w:val="0"/>
                  <w:marBottom w:val="0"/>
                  <w:divBdr>
                    <w:top w:val="none" w:sz="0" w:space="0" w:color="auto"/>
                    <w:left w:val="none" w:sz="0" w:space="0" w:color="auto"/>
                    <w:bottom w:val="none" w:sz="0" w:space="0" w:color="auto"/>
                    <w:right w:val="none" w:sz="0" w:space="0" w:color="auto"/>
                  </w:divBdr>
                  <w:divsChild>
                    <w:div w:id="770472153">
                      <w:marLeft w:val="0"/>
                      <w:marRight w:val="0"/>
                      <w:marTop w:val="0"/>
                      <w:marBottom w:val="0"/>
                      <w:divBdr>
                        <w:top w:val="none" w:sz="0" w:space="0" w:color="auto"/>
                        <w:left w:val="none" w:sz="0" w:space="0" w:color="auto"/>
                        <w:bottom w:val="none" w:sz="0" w:space="0" w:color="auto"/>
                        <w:right w:val="none" w:sz="0" w:space="0" w:color="auto"/>
                      </w:divBdr>
                    </w:div>
                  </w:divsChild>
                </w:div>
                <w:div w:id="996957593">
                  <w:marLeft w:val="0"/>
                  <w:marRight w:val="0"/>
                  <w:marTop w:val="0"/>
                  <w:marBottom w:val="0"/>
                  <w:divBdr>
                    <w:top w:val="none" w:sz="0" w:space="0" w:color="auto"/>
                    <w:left w:val="none" w:sz="0" w:space="0" w:color="auto"/>
                    <w:bottom w:val="none" w:sz="0" w:space="0" w:color="auto"/>
                    <w:right w:val="none" w:sz="0" w:space="0" w:color="auto"/>
                  </w:divBdr>
                  <w:divsChild>
                    <w:div w:id="290206892">
                      <w:marLeft w:val="0"/>
                      <w:marRight w:val="0"/>
                      <w:marTop w:val="0"/>
                      <w:marBottom w:val="0"/>
                      <w:divBdr>
                        <w:top w:val="none" w:sz="0" w:space="0" w:color="auto"/>
                        <w:left w:val="none" w:sz="0" w:space="0" w:color="auto"/>
                        <w:bottom w:val="none" w:sz="0" w:space="0" w:color="auto"/>
                        <w:right w:val="none" w:sz="0" w:space="0" w:color="auto"/>
                      </w:divBdr>
                    </w:div>
                  </w:divsChild>
                </w:div>
                <w:div w:id="1032463053">
                  <w:marLeft w:val="0"/>
                  <w:marRight w:val="0"/>
                  <w:marTop w:val="0"/>
                  <w:marBottom w:val="0"/>
                  <w:divBdr>
                    <w:top w:val="none" w:sz="0" w:space="0" w:color="auto"/>
                    <w:left w:val="none" w:sz="0" w:space="0" w:color="auto"/>
                    <w:bottom w:val="none" w:sz="0" w:space="0" w:color="auto"/>
                    <w:right w:val="none" w:sz="0" w:space="0" w:color="auto"/>
                  </w:divBdr>
                  <w:divsChild>
                    <w:div w:id="1341202142">
                      <w:marLeft w:val="0"/>
                      <w:marRight w:val="0"/>
                      <w:marTop w:val="0"/>
                      <w:marBottom w:val="0"/>
                      <w:divBdr>
                        <w:top w:val="none" w:sz="0" w:space="0" w:color="auto"/>
                        <w:left w:val="none" w:sz="0" w:space="0" w:color="auto"/>
                        <w:bottom w:val="none" w:sz="0" w:space="0" w:color="auto"/>
                        <w:right w:val="none" w:sz="0" w:space="0" w:color="auto"/>
                      </w:divBdr>
                    </w:div>
                  </w:divsChild>
                </w:div>
                <w:div w:id="1049383747">
                  <w:marLeft w:val="0"/>
                  <w:marRight w:val="0"/>
                  <w:marTop w:val="0"/>
                  <w:marBottom w:val="0"/>
                  <w:divBdr>
                    <w:top w:val="none" w:sz="0" w:space="0" w:color="auto"/>
                    <w:left w:val="none" w:sz="0" w:space="0" w:color="auto"/>
                    <w:bottom w:val="none" w:sz="0" w:space="0" w:color="auto"/>
                    <w:right w:val="none" w:sz="0" w:space="0" w:color="auto"/>
                  </w:divBdr>
                  <w:divsChild>
                    <w:div w:id="175274818">
                      <w:marLeft w:val="0"/>
                      <w:marRight w:val="0"/>
                      <w:marTop w:val="0"/>
                      <w:marBottom w:val="0"/>
                      <w:divBdr>
                        <w:top w:val="none" w:sz="0" w:space="0" w:color="auto"/>
                        <w:left w:val="none" w:sz="0" w:space="0" w:color="auto"/>
                        <w:bottom w:val="none" w:sz="0" w:space="0" w:color="auto"/>
                        <w:right w:val="none" w:sz="0" w:space="0" w:color="auto"/>
                      </w:divBdr>
                    </w:div>
                  </w:divsChild>
                </w:div>
                <w:div w:id="1081607147">
                  <w:marLeft w:val="0"/>
                  <w:marRight w:val="0"/>
                  <w:marTop w:val="0"/>
                  <w:marBottom w:val="0"/>
                  <w:divBdr>
                    <w:top w:val="none" w:sz="0" w:space="0" w:color="auto"/>
                    <w:left w:val="none" w:sz="0" w:space="0" w:color="auto"/>
                    <w:bottom w:val="none" w:sz="0" w:space="0" w:color="auto"/>
                    <w:right w:val="none" w:sz="0" w:space="0" w:color="auto"/>
                  </w:divBdr>
                  <w:divsChild>
                    <w:div w:id="1754349991">
                      <w:marLeft w:val="0"/>
                      <w:marRight w:val="0"/>
                      <w:marTop w:val="0"/>
                      <w:marBottom w:val="0"/>
                      <w:divBdr>
                        <w:top w:val="none" w:sz="0" w:space="0" w:color="auto"/>
                        <w:left w:val="none" w:sz="0" w:space="0" w:color="auto"/>
                        <w:bottom w:val="none" w:sz="0" w:space="0" w:color="auto"/>
                        <w:right w:val="none" w:sz="0" w:space="0" w:color="auto"/>
                      </w:divBdr>
                    </w:div>
                  </w:divsChild>
                </w:div>
                <w:div w:id="1139879666">
                  <w:marLeft w:val="0"/>
                  <w:marRight w:val="0"/>
                  <w:marTop w:val="0"/>
                  <w:marBottom w:val="0"/>
                  <w:divBdr>
                    <w:top w:val="none" w:sz="0" w:space="0" w:color="auto"/>
                    <w:left w:val="none" w:sz="0" w:space="0" w:color="auto"/>
                    <w:bottom w:val="none" w:sz="0" w:space="0" w:color="auto"/>
                    <w:right w:val="none" w:sz="0" w:space="0" w:color="auto"/>
                  </w:divBdr>
                  <w:divsChild>
                    <w:div w:id="1885020279">
                      <w:marLeft w:val="0"/>
                      <w:marRight w:val="0"/>
                      <w:marTop w:val="0"/>
                      <w:marBottom w:val="0"/>
                      <w:divBdr>
                        <w:top w:val="none" w:sz="0" w:space="0" w:color="auto"/>
                        <w:left w:val="none" w:sz="0" w:space="0" w:color="auto"/>
                        <w:bottom w:val="none" w:sz="0" w:space="0" w:color="auto"/>
                        <w:right w:val="none" w:sz="0" w:space="0" w:color="auto"/>
                      </w:divBdr>
                    </w:div>
                    <w:div w:id="2145267617">
                      <w:marLeft w:val="0"/>
                      <w:marRight w:val="0"/>
                      <w:marTop w:val="0"/>
                      <w:marBottom w:val="0"/>
                      <w:divBdr>
                        <w:top w:val="none" w:sz="0" w:space="0" w:color="auto"/>
                        <w:left w:val="none" w:sz="0" w:space="0" w:color="auto"/>
                        <w:bottom w:val="none" w:sz="0" w:space="0" w:color="auto"/>
                        <w:right w:val="none" w:sz="0" w:space="0" w:color="auto"/>
                      </w:divBdr>
                    </w:div>
                  </w:divsChild>
                </w:div>
                <w:div w:id="1169758948">
                  <w:marLeft w:val="0"/>
                  <w:marRight w:val="0"/>
                  <w:marTop w:val="0"/>
                  <w:marBottom w:val="0"/>
                  <w:divBdr>
                    <w:top w:val="none" w:sz="0" w:space="0" w:color="auto"/>
                    <w:left w:val="none" w:sz="0" w:space="0" w:color="auto"/>
                    <w:bottom w:val="none" w:sz="0" w:space="0" w:color="auto"/>
                    <w:right w:val="none" w:sz="0" w:space="0" w:color="auto"/>
                  </w:divBdr>
                  <w:divsChild>
                    <w:div w:id="1139493338">
                      <w:marLeft w:val="0"/>
                      <w:marRight w:val="0"/>
                      <w:marTop w:val="0"/>
                      <w:marBottom w:val="0"/>
                      <w:divBdr>
                        <w:top w:val="none" w:sz="0" w:space="0" w:color="auto"/>
                        <w:left w:val="none" w:sz="0" w:space="0" w:color="auto"/>
                        <w:bottom w:val="none" w:sz="0" w:space="0" w:color="auto"/>
                        <w:right w:val="none" w:sz="0" w:space="0" w:color="auto"/>
                      </w:divBdr>
                    </w:div>
                  </w:divsChild>
                </w:div>
                <w:div w:id="1199901188">
                  <w:marLeft w:val="0"/>
                  <w:marRight w:val="0"/>
                  <w:marTop w:val="0"/>
                  <w:marBottom w:val="0"/>
                  <w:divBdr>
                    <w:top w:val="none" w:sz="0" w:space="0" w:color="auto"/>
                    <w:left w:val="none" w:sz="0" w:space="0" w:color="auto"/>
                    <w:bottom w:val="none" w:sz="0" w:space="0" w:color="auto"/>
                    <w:right w:val="none" w:sz="0" w:space="0" w:color="auto"/>
                  </w:divBdr>
                  <w:divsChild>
                    <w:div w:id="241061091">
                      <w:marLeft w:val="0"/>
                      <w:marRight w:val="0"/>
                      <w:marTop w:val="0"/>
                      <w:marBottom w:val="0"/>
                      <w:divBdr>
                        <w:top w:val="none" w:sz="0" w:space="0" w:color="auto"/>
                        <w:left w:val="none" w:sz="0" w:space="0" w:color="auto"/>
                        <w:bottom w:val="none" w:sz="0" w:space="0" w:color="auto"/>
                        <w:right w:val="none" w:sz="0" w:space="0" w:color="auto"/>
                      </w:divBdr>
                    </w:div>
                  </w:divsChild>
                </w:div>
                <w:div w:id="1243029620">
                  <w:marLeft w:val="0"/>
                  <w:marRight w:val="0"/>
                  <w:marTop w:val="0"/>
                  <w:marBottom w:val="0"/>
                  <w:divBdr>
                    <w:top w:val="none" w:sz="0" w:space="0" w:color="auto"/>
                    <w:left w:val="none" w:sz="0" w:space="0" w:color="auto"/>
                    <w:bottom w:val="none" w:sz="0" w:space="0" w:color="auto"/>
                    <w:right w:val="none" w:sz="0" w:space="0" w:color="auto"/>
                  </w:divBdr>
                  <w:divsChild>
                    <w:div w:id="837887184">
                      <w:marLeft w:val="0"/>
                      <w:marRight w:val="0"/>
                      <w:marTop w:val="0"/>
                      <w:marBottom w:val="0"/>
                      <w:divBdr>
                        <w:top w:val="none" w:sz="0" w:space="0" w:color="auto"/>
                        <w:left w:val="none" w:sz="0" w:space="0" w:color="auto"/>
                        <w:bottom w:val="none" w:sz="0" w:space="0" w:color="auto"/>
                        <w:right w:val="none" w:sz="0" w:space="0" w:color="auto"/>
                      </w:divBdr>
                    </w:div>
                  </w:divsChild>
                </w:div>
                <w:div w:id="1248491913">
                  <w:marLeft w:val="0"/>
                  <w:marRight w:val="0"/>
                  <w:marTop w:val="0"/>
                  <w:marBottom w:val="0"/>
                  <w:divBdr>
                    <w:top w:val="none" w:sz="0" w:space="0" w:color="auto"/>
                    <w:left w:val="none" w:sz="0" w:space="0" w:color="auto"/>
                    <w:bottom w:val="none" w:sz="0" w:space="0" w:color="auto"/>
                    <w:right w:val="none" w:sz="0" w:space="0" w:color="auto"/>
                  </w:divBdr>
                  <w:divsChild>
                    <w:div w:id="1418283292">
                      <w:marLeft w:val="0"/>
                      <w:marRight w:val="0"/>
                      <w:marTop w:val="0"/>
                      <w:marBottom w:val="0"/>
                      <w:divBdr>
                        <w:top w:val="none" w:sz="0" w:space="0" w:color="auto"/>
                        <w:left w:val="none" w:sz="0" w:space="0" w:color="auto"/>
                        <w:bottom w:val="none" w:sz="0" w:space="0" w:color="auto"/>
                        <w:right w:val="none" w:sz="0" w:space="0" w:color="auto"/>
                      </w:divBdr>
                    </w:div>
                  </w:divsChild>
                </w:div>
                <w:div w:id="1289772950">
                  <w:marLeft w:val="0"/>
                  <w:marRight w:val="0"/>
                  <w:marTop w:val="0"/>
                  <w:marBottom w:val="0"/>
                  <w:divBdr>
                    <w:top w:val="none" w:sz="0" w:space="0" w:color="auto"/>
                    <w:left w:val="none" w:sz="0" w:space="0" w:color="auto"/>
                    <w:bottom w:val="none" w:sz="0" w:space="0" w:color="auto"/>
                    <w:right w:val="none" w:sz="0" w:space="0" w:color="auto"/>
                  </w:divBdr>
                  <w:divsChild>
                    <w:div w:id="2003468162">
                      <w:marLeft w:val="0"/>
                      <w:marRight w:val="0"/>
                      <w:marTop w:val="0"/>
                      <w:marBottom w:val="0"/>
                      <w:divBdr>
                        <w:top w:val="none" w:sz="0" w:space="0" w:color="auto"/>
                        <w:left w:val="none" w:sz="0" w:space="0" w:color="auto"/>
                        <w:bottom w:val="none" w:sz="0" w:space="0" w:color="auto"/>
                        <w:right w:val="none" w:sz="0" w:space="0" w:color="auto"/>
                      </w:divBdr>
                    </w:div>
                  </w:divsChild>
                </w:div>
                <w:div w:id="1292397564">
                  <w:marLeft w:val="0"/>
                  <w:marRight w:val="0"/>
                  <w:marTop w:val="0"/>
                  <w:marBottom w:val="0"/>
                  <w:divBdr>
                    <w:top w:val="none" w:sz="0" w:space="0" w:color="auto"/>
                    <w:left w:val="none" w:sz="0" w:space="0" w:color="auto"/>
                    <w:bottom w:val="none" w:sz="0" w:space="0" w:color="auto"/>
                    <w:right w:val="none" w:sz="0" w:space="0" w:color="auto"/>
                  </w:divBdr>
                  <w:divsChild>
                    <w:div w:id="1692533539">
                      <w:marLeft w:val="0"/>
                      <w:marRight w:val="0"/>
                      <w:marTop w:val="0"/>
                      <w:marBottom w:val="0"/>
                      <w:divBdr>
                        <w:top w:val="none" w:sz="0" w:space="0" w:color="auto"/>
                        <w:left w:val="none" w:sz="0" w:space="0" w:color="auto"/>
                        <w:bottom w:val="none" w:sz="0" w:space="0" w:color="auto"/>
                        <w:right w:val="none" w:sz="0" w:space="0" w:color="auto"/>
                      </w:divBdr>
                    </w:div>
                  </w:divsChild>
                </w:div>
                <w:div w:id="1405028780">
                  <w:marLeft w:val="0"/>
                  <w:marRight w:val="0"/>
                  <w:marTop w:val="0"/>
                  <w:marBottom w:val="0"/>
                  <w:divBdr>
                    <w:top w:val="none" w:sz="0" w:space="0" w:color="auto"/>
                    <w:left w:val="none" w:sz="0" w:space="0" w:color="auto"/>
                    <w:bottom w:val="none" w:sz="0" w:space="0" w:color="auto"/>
                    <w:right w:val="none" w:sz="0" w:space="0" w:color="auto"/>
                  </w:divBdr>
                  <w:divsChild>
                    <w:div w:id="1922909735">
                      <w:marLeft w:val="0"/>
                      <w:marRight w:val="0"/>
                      <w:marTop w:val="0"/>
                      <w:marBottom w:val="0"/>
                      <w:divBdr>
                        <w:top w:val="none" w:sz="0" w:space="0" w:color="auto"/>
                        <w:left w:val="none" w:sz="0" w:space="0" w:color="auto"/>
                        <w:bottom w:val="none" w:sz="0" w:space="0" w:color="auto"/>
                        <w:right w:val="none" w:sz="0" w:space="0" w:color="auto"/>
                      </w:divBdr>
                    </w:div>
                  </w:divsChild>
                </w:div>
                <w:div w:id="1406105690">
                  <w:marLeft w:val="0"/>
                  <w:marRight w:val="0"/>
                  <w:marTop w:val="0"/>
                  <w:marBottom w:val="0"/>
                  <w:divBdr>
                    <w:top w:val="none" w:sz="0" w:space="0" w:color="auto"/>
                    <w:left w:val="none" w:sz="0" w:space="0" w:color="auto"/>
                    <w:bottom w:val="none" w:sz="0" w:space="0" w:color="auto"/>
                    <w:right w:val="none" w:sz="0" w:space="0" w:color="auto"/>
                  </w:divBdr>
                  <w:divsChild>
                    <w:div w:id="1349940811">
                      <w:marLeft w:val="0"/>
                      <w:marRight w:val="0"/>
                      <w:marTop w:val="0"/>
                      <w:marBottom w:val="0"/>
                      <w:divBdr>
                        <w:top w:val="none" w:sz="0" w:space="0" w:color="auto"/>
                        <w:left w:val="none" w:sz="0" w:space="0" w:color="auto"/>
                        <w:bottom w:val="none" w:sz="0" w:space="0" w:color="auto"/>
                        <w:right w:val="none" w:sz="0" w:space="0" w:color="auto"/>
                      </w:divBdr>
                    </w:div>
                  </w:divsChild>
                </w:div>
                <w:div w:id="1512835912">
                  <w:marLeft w:val="0"/>
                  <w:marRight w:val="0"/>
                  <w:marTop w:val="0"/>
                  <w:marBottom w:val="0"/>
                  <w:divBdr>
                    <w:top w:val="none" w:sz="0" w:space="0" w:color="auto"/>
                    <w:left w:val="none" w:sz="0" w:space="0" w:color="auto"/>
                    <w:bottom w:val="none" w:sz="0" w:space="0" w:color="auto"/>
                    <w:right w:val="none" w:sz="0" w:space="0" w:color="auto"/>
                  </w:divBdr>
                  <w:divsChild>
                    <w:div w:id="574323830">
                      <w:marLeft w:val="0"/>
                      <w:marRight w:val="0"/>
                      <w:marTop w:val="0"/>
                      <w:marBottom w:val="0"/>
                      <w:divBdr>
                        <w:top w:val="none" w:sz="0" w:space="0" w:color="auto"/>
                        <w:left w:val="none" w:sz="0" w:space="0" w:color="auto"/>
                        <w:bottom w:val="none" w:sz="0" w:space="0" w:color="auto"/>
                        <w:right w:val="none" w:sz="0" w:space="0" w:color="auto"/>
                      </w:divBdr>
                    </w:div>
                  </w:divsChild>
                </w:div>
                <w:div w:id="1556433469">
                  <w:marLeft w:val="0"/>
                  <w:marRight w:val="0"/>
                  <w:marTop w:val="0"/>
                  <w:marBottom w:val="0"/>
                  <w:divBdr>
                    <w:top w:val="none" w:sz="0" w:space="0" w:color="auto"/>
                    <w:left w:val="none" w:sz="0" w:space="0" w:color="auto"/>
                    <w:bottom w:val="none" w:sz="0" w:space="0" w:color="auto"/>
                    <w:right w:val="none" w:sz="0" w:space="0" w:color="auto"/>
                  </w:divBdr>
                  <w:divsChild>
                    <w:div w:id="1830369076">
                      <w:marLeft w:val="0"/>
                      <w:marRight w:val="0"/>
                      <w:marTop w:val="0"/>
                      <w:marBottom w:val="0"/>
                      <w:divBdr>
                        <w:top w:val="none" w:sz="0" w:space="0" w:color="auto"/>
                        <w:left w:val="none" w:sz="0" w:space="0" w:color="auto"/>
                        <w:bottom w:val="none" w:sz="0" w:space="0" w:color="auto"/>
                        <w:right w:val="none" w:sz="0" w:space="0" w:color="auto"/>
                      </w:divBdr>
                    </w:div>
                  </w:divsChild>
                </w:div>
                <w:div w:id="1662853226">
                  <w:marLeft w:val="0"/>
                  <w:marRight w:val="0"/>
                  <w:marTop w:val="0"/>
                  <w:marBottom w:val="0"/>
                  <w:divBdr>
                    <w:top w:val="none" w:sz="0" w:space="0" w:color="auto"/>
                    <w:left w:val="none" w:sz="0" w:space="0" w:color="auto"/>
                    <w:bottom w:val="none" w:sz="0" w:space="0" w:color="auto"/>
                    <w:right w:val="none" w:sz="0" w:space="0" w:color="auto"/>
                  </w:divBdr>
                  <w:divsChild>
                    <w:div w:id="1268199670">
                      <w:marLeft w:val="0"/>
                      <w:marRight w:val="0"/>
                      <w:marTop w:val="0"/>
                      <w:marBottom w:val="0"/>
                      <w:divBdr>
                        <w:top w:val="none" w:sz="0" w:space="0" w:color="auto"/>
                        <w:left w:val="none" w:sz="0" w:space="0" w:color="auto"/>
                        <w:bottom w:val="none" w:sz="0" w:space="0" w:color="auto"/>
                        <w:right w:val="none" w:sz="0" w:space="0" w:color="auto"/>
                      </w:divBdr>
                    </w:div>
                  </w:divsChild>
                </w:div>
                <w:div w:id="1673291300">
                  <w:marLeft w:val="0"/>
                  <w:marRight w:val="0"/>
                  <w:marTop w:val="0"/>
                  <w:marBottom w:val="0"/>
                  <w:divBdr>
                    <w:top w:val="none" w:sz="0" w:space="0" w:color="auto"/>
                    <w:left w:val="none" w:sz="0" w:space="0" w:color="auto"/>
                    <w:bottom w:val="none" w:sz="0" w:space="0" w:color="auto"/>
                    <w:right w:val="none" w:sz="0" w:space="0" w:color="auto"/>
                  </w:divBdr>
                  <w:divsChild>
                    <w:div w:id="366372768">
                      <w:marLeft w:val="0"/>
                      <w:marRight w:val="0"/>
                      <w:marTop w:val="0"/>
                      <w:marBottom w:val="0"/>
                      <w:divBdr>
                        <w:top w:val="none" w:sz="0" w:space="0" w:color="auto"/>
                        <w:left w:val="none" w:sz="0" w:space="0" w:color="auto"/>
                        <w:bottom w:val="none" w:sz="0" w:space="0" w:color="auto"/>
                        <w:right w:val="none" w:sz="0" w:space="0" w:color="auto"/>
                      </w:divBdr>
                    </w:div>
                    <w:div w:id="517088157">
                      <w:marLeft w:val="0"/>
                      <w:marRight w:val="0"/>
                      <w:marTop w:val="0"/>
                      <w:marBottom w:val="0"/>
                      <w:divBdr>
                        <w:top w:val="none" w:sz="0" w:space="0" w:color="auto"/>
                        <w:left w:val="none" w:sz="0" w:space="0" w:color="auto"/>
                        <w:bottom w:val="none" w:sz="0" w:space="0" w:color="auto"/>
                        <w:right w:val="none" w:sz="0" w:space="0" w:color="auto"/>
                      </w:divBdr>
                    </w:div>
                  </w:divsChild>
                </w:div>
                <w:div w:id="1768385779">
                  <w:marLeft w:val="0"/>
                  <w:marRight w:val="0"/>
                  <w:marTop w:val="0"/>
                  <w:marBottom w:val="0"/>
                  <w:divBdr>
                    <w:top w:val="none" w:sz="0" w:space="0" w:color="auto"/>
                    <w:left w:val="none" w:sz="0" w:space="0" w:color="auto"/>
                    <w:bottom w:val="none" w:sz="0" w:space="0" w:color="auto"/>
                    <w:right w:val="none" w:sz="0" w:space="0" w:color="auto"/>
                  </w:divBdr>
                  <w:divsChild>
                    <w:div w:id="1302347509">
                      <w:marLeft w:val="0"/>
                      <w:marRight w:val="0"/>
                      <w:marTop w:val="0"/>
                      <w:marBottom w:val="0"/>
                      <w:divBdr>
                        <w:top w:val="none" w:sz="0" w:space="0" w:color="auto"/>
                        <w:left w:val="none" w:sz="0" w:space="0" w:color="auto"/>
                        <w:bottom w:val="none" w:sz="0" w:space="0" w:color="auto"/>
                        <w:right w:val="none" w:sz="0" w:space="0" w:color="auto"/>
                      </w:divBdr>
                    </w:div>
                  </w:divsChild>
                </w:div>
                <w:div w:id="1865173826">
                  <w:marLeft w:val="0"/>
                  <w:marRight w:val="0"/>
                  <w:marTop w:val="0"/>
                  <w:marBottom w:val="0"/>
                  <w:divBdr>
                    <w:top w:val="none" w:sz="0" w:space="0" w:color="auto"/>
                    <w:left w:val="none" w:sz="0" w:space="0" w:color="auto"/>
                    <w:bottom w:val="none" w:sz="0" w:space="0" w:color="auto"/>
                    <w:right w:val="none" w:sz="0" w:space="0" w:color="auto"/>
                  </w:divBdr>
                  <w:divsChild>
                    <w:div w:id="1306162017">
                      <w:marLeft w:val="0"/>
                      <w:marRight w:val="0"/>
                      <w:marTop w:val="0"/>
                      <w:marBottom w:val="0"/>
                      <w:divBdr>
                        <w:top w:val="none" w:sz="0" w:space="0" w:color="auto"/>
                        <w:left w:val="none" w:sz="0" w:space="0" w:color="auto"/>
                        <w:bottom w:val="none" w:sz="0" w:space="0" w:color="auto"/>
                        <w:right w:val="none" w:sz="0" w:space="0" w:color="auto"/>
                      </w:divBdr>
                    </w:div>
                  </w:divsChild>
                </w:div>
                <w:div w:id="1888445785">
                  <w:marLeft w:val="0"/>
                  <w:marRight w:val="0"/>
                  <w:marTop w:val="0"/>
                  <w:marBottom w:val="0"/>
                  <w:divBdr>
                    <w:top w:val="none" w:sz="0" w:space="0" w:color="auto"/>
                    <w:left w:val="none" w:sz="0" w:space="0" w:color="auto"/>
                    <w:bottom w:val="none" w:sz="0" w:space="0" w:color="auto"/>
                    <w:right w:val="none" w:sz="0" w:space="0" w:color="auto"/>
                  </w:divBdr>
                  <w:divsChild>
                    <w:div w:id="555553196">
                      <w:marLeft w:val="0"/>
                      <w:marRight w:val="0"/>
                      <w:marTop w:val="0"/>
                      <w:marBottom w:val="0"/>
                      <w:divBdr>
                        <w:top w:val="none" w:sz="0" w:space="0" w:color="auto"/>
                        <w:left w:val="none" w:sz="0" w:space="0" w:color="auto"/>
                        <w:bottom w:val="none" w:sz="0" w:space="0" w:color="auto"/>
                        <w:right w:val="none" w:sz="0" w:space="0" w:color="auto"/>
                      </w:divBdr>
                    </w:div>
                  </w:divsChild>
                </w:div>
                <w:div w:id="1889026555">
                  <w:marLeft w:val="0"/>
                  <w:marRight w:val="0"/>
                  <w:marTop w:val="0"/>
                  <w:marBottom w:val="0"/>
                  <w:divBdr>
                    <w:top w:val="none" w:sz="0" w:space="0" w:color="auto"/>
                    <w:left w:val="none" w:sz="0" w:space="0" w:color="auto"/>
                    <w:bottom w:val="none" w:sz="0" w:space="0" w:color="auto"/>
                    <w:right w:val="none" w:sz="0" w:space="0" w:color="auto"/>
                  </w:divBdr>
                  <w:divsChild>
                    <w:div w:id="1100953230">
                      <w:marLeft w:val="0"/>
                      <w:marRight w:val="0"/>
                      <w:marTop w:val="0"/>
                      <w:marBottom w:val="0"/>
                      <w:divBdr>
                        <w:top w:val="none" w:sz="0" w:space="0" w:color="auto"/>
                        <w:left w:val="none" w:sz="0" w:space="0" w:color="auto"/>
                        <w:bottom w:val="none" w:sz="0" w:space="0" w:color="auto"/>
                        <w:right w:val="none" w:sz="0" w:space="0" w:color="auto"/>
                      </w:divBdr>
                    </w:div>
                  </w:divsChild>
                </w:div>
                <w:div w:id="1910534961">
                  <w:marLeft w:val="0"/>
                  <w:marRight w:val="0"/>
                  <w:marTop w:val="0"/>
                  <w:marBottom w:val="0"/>
                  <w:divBdr>
                    <w:top w:val="none" w:sz="0" w:space="0" w:color="auto"/>
                    <w:left w:val="none" w:sz="0" w:space="0" w:color="auto"/>
                    <w:bottom w:val="none" w:sz="0" w:space="0" w:color="auto"/>
                    <w:right w:val="none" w:sz="0" w:space="0" w:color="auto"/>
                  </w:divBdr>
                  <w:divsChild>
                    <w:div w:id="103504278">
                      <w:marLeft w:val="0"/>
                      <w:marRight w:val="0"/>
                      <w:marTop w:val="0"/>
                      <w:marBottom w:val="0"/>
                      <w:divBdr>
                        <w:top w:val="none" w:sz="0" w:space="0" w:color="auto"/>
                        <w:left w:val="none" w:sz="0" w:space="0" w:color="auto"/>
                        <w:bottom w:val="none" w:sz="0" w:space="0" w:color="auto"/>
                        <w:right w:val="none" w:sz="0" w:space="0" w:color="auto"/>
                      </w:divBdr>
                    </w:div>
                  </w:divsChild>
                </w:div>
                <w:div w:id="1953856444">
                  <w:marLeft w:val="0"/>
                  <w:marRight w:val="0"/>
                  <w:marTop w:val="0"/>
                  <w:marBottom w:val="0"/>
                  <w:divBdr>
                    <w:top w:val="none" w:sz="0" w:space="0" w:color="auto"/>
                    <w:left w:val="none" w:sz="0" w:space="0" w:color="auto"/>
                    <w:bottom w:val="none" w:sz="0" w:space="0" w:color="auto"/>
                    <w:right w:val="none" w:sz="0" w:space="0" w:color="auto"/>
                  </w:divBdr>
                  <w:divsChild>
                    <w:div w:id="1100956523">
                      <w:marLeft w:val="0"/>
                      <w:marRight w:val="0"/>
                      <w:marTop w:val="0"/>
                      <w:marBottom w:val="0"/>
                      <w:divBdr>
                        <w:top w:val="none" w:sz="0" w:space="0" w:color="auto"/>
                        <w:left w:val="none" w:sz="0" w:space="0" w:color="auto"/>
                        <w:bottom w:val="none" w:sz="0" w:space="0" w:color="auto"/>
                        <w:right w:val="none" w:sz="0" w:space="0" w:color="auto"/>
                      </w:divBdr>
                    </w:div>
                  </w:divsChild>
                </w:div>
                <w:div w:id="2018656125">
                  <w:marLeft w:val="0"/>
                  <w:marRight w:val="0"/>
                  <w:marTop w:val="0"/>
                  <w:marBottom w:val="0"/>
                  <w:divBdr>
                    <w:top w:val="none" w:sz="0" w:space="0" w:color="auto"/>
                    <w:left w:val="none" w:sz="0" w:space="0" w:color="auto"/>
                    <w:bottom w:val="none" w:sz="0" w:space="0" w:color="auto"/>
                    <w:right w:val="none" w:sz="0" w:space="0" w:color="auto"/>
                  </w:divBdr>
                  <w:divsChild>
                    <w:div w:id="1030766006">
                      <w:marLeft w:val="0"/>
                      <w:marRight w:val="0"/>
                      <w:marTop w:val="0"/>
                      <w:marBottom w:val="0"/>
                      <w:divBdr>
                        <w:top w:val="none" w:sz="0" w:space="0" w:color="auto"/>
                        <w:left w:val="none" w:sz="0" w:space="0" w:color="auto"/>
                        <w:bottom w:val="none" w:sz="0" w:space="0" w:color="auto"/>
                        <w:right w:val="none" w:sz="0" w:space="0" w:color="auto"/>
                      </w:divBdr>
                    </w:div>
                  </w:divsChild>
                </w:div>
                <w:div w:id="2076930229">
                  <w:marLeft w:val="0"/>
                  <w:marRight w:val="0"/>
                  <w:marTop w:val="0"/>
                  <w:marBottom w:val="0"/>
                  <w:divBdr>
                    <w:top w:val="none" w:sz="0" w:space="0" w:color="auto"/>
                    <w:left w:val="none" w:sz="0" w:space="0" w:color="auto"/>
                    <w:bottom w:val="none" w:sz="0" w:space="0" w:color="auto"/>
                    <w:right w:val="none" w:sz="0" w:space="0" w:color="auto"/>
                  </w:divBdr>
                  <w:divsChild>
                    <w:div w:id="1487355281">
                      <w:marLeft w:val="0"/>
                      <w:marRight w:val="0"/>
                      <w:marTop w:val="0"/>
                      <w:marBottom w:val="0"/>
                      <w:divBdr>
                        <w:top w:val="none" w:sz="0" w:space="0" w:color="auto"/>
                        <w:left w:val="none" w:sz="0" w:space="0" w:color="auto"/>
                        <w:bottom w:val="none" w:sz="0" w:space="0" w:color="auto"/>
                        <w:right w:val="none" w:sz="0" w:space="0" w:color="auto"/>
                      </w:divBdr>
                    </w:div>
                  </w:divsChild>
                </w:div>
                <w:div w:id="2106150959">
                  <w:marLeft w:val="0"/>
                  <w:marRight w:val="0"/>
                  <w:marTop w:val="0"/>
                  <w:marBottom w:val="0"/>
                  <w:divBdr>
                    <w:top w:val="none" w:sz="0" w:space="0" w:color="auto"/>
                    <w:left w:val="none" w:sz="0" w:space="0" w:color="auto"/>
                    <w:bottom w:val="none" w:sz="0" w:space="0" w:color="auto"/>
                    <w:right w:val="none" w:sz="0" w:space="0" w:color="auto"/>
                  </w:divBdr>
                  <w:divsChild>
                    <w:div w:id="12614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470">
          <w:marLeft w:val="0"/>
          <w:marRight w:val="0"/>
          <w:marTop w:val="0"/>
          <w:marBottom w:val="0"/>
          <w:divBdr>
            <w:top w:val="none" w:sz="0" w:space="0" w:color="auto"/>
            <w:left w:val="none" w:sz="0" w:space="0" w:color="auto"/>
            <w:bottom w:val="none" w:sz="0" w:space="0" w:color="auto"/>
            <w:right w:val="none" w:sz="0" w:space="0" w:color="auto"/>
          </w:divBdr>
        </w:div>
      </w:divsChild>
    </w:div>
    <w:div w:id="647365350">
      <w:bodyDiv w:val="1"/>
      <w:marLeft w:val="0"/>
      <w:marRight w:val="0"/>
      <w:marTop w:val="0"/>
      <w:marBottom w:val="0"/>
      <w:divBdr>
        <w:top w:val="none" w:sz="0" w:space="0" w:color="auto"/>
        <w:left w:val="none" w:sz="0" w:space="0" w:color="auto"/>
        <w:bottom w:val="none" w:sz="0" w:space="0" w:color="auto"/>
        <w:right w:val="none" w:sz="0" w:space="0" w:color="auto"/>
      </w:divBdr>
      <w:divsChild>
        <w:div w:id="175702216">
          <w:marLeft w:val="0"/>
          <w:marRight w:val="0"/>
          <w:marTop w:val="0"/>
          <w:marBottom w:val="0"/>
          <w:divBdr>
            <w:top w:val="none" w:sz="0" w:space="0" w:color="auto"/>
            <w:left w:val="none" w:sz="0" w:space="0" w:color="auto"/>
            <w:bottom w:val="none" w:sz="0" w:space="0" w:color="auto"/>
            <w:right w:val="none" w:sz="0" w:space="0" w:color="auto"/>
          </w:divBdr>
        </w:div>
        <w:div w:id="1010060716">
          <w:marLeft w:val="0"/>
          <w:marRight w:val="0"/>
          <w:marTop w:val="0"/>
          <w:marBottom w:val="0"/>
          <w:divBdr>
            <w:top w:val="none" w:sz="0" w:space="0" w:color="auto"/>
            <w:left w:val="none" w:sz="0" w:space="0" w:color="auto"/>
            <w:bottom w:val="none" w:sz="0" w:space="0" w:color="auto"/>
            <w:right w:val="none" w:sz="0" w:space="0" w:color="auto"/>
          </w:divBdr>
        </w:div>
        <w:div w:id="1736854407">
          <w:marLeft w:val="0"/>
          <w:marRight w:val="0"/>
          <w:marTop w:val="0"/>
          <w:marBottom w:val="0"/>
          <w:divBdr>
            <w:top w:val="none" w:sz="0" w:space="0" w:color="auto"/>
            <w:left w:val="none" w:sz="0" w:space="0" w:color="auto"/>
            <w:bottom w:val="none" w:sz="0" w:space="0" w:color="auto"/>
            <w:right w:val="none" w:sz="0" w:space="0" w:color="auto"/>
          </w:divBdr>
        </w:div>
        <w:div w:id="1793554172">
          <w:marLeft w:val="0"/>
          <w:marRight w:val="0"/>
          <w:marTop w:val="0"/>
          <w:marBottom w:val="0"/>
          <w:divBdr>
            <w:top w:val="none" w:sz="0" w:space="0" w:color="auto"/>
            <w:left w:val="none" w:sz="0" w:space="0" w:color="auto"/>
            <w:bottom w:val="none" w:sz="0" w:space="0" w:color="auto"/>
            <w:right w:val="none" w:sz="0" w:space="0" w:color="auto"/>
          </w:divBdr>
        </w:div>
      </w:divsChild>
    </w:div>
    <w:div w:id="654140283">
      <w:bodyDiv w:val="1"/>
      <w:marLeft w:val="0"/>
      <w:marRight w:val="0"/>
      <w:marTop w:val="0"/>
      <w:marBottom w:val="0"/>
      <w:divBdr>
        <w:top w:val="none" w:sz="0" w:space="0" w:color="auto"/>
        <w:left w:val="none" w:sz="0" w:space="0" w:color="auto"/>
        <w:bottom w:val="none" w:sz="0" w:space="0" w:color="auto"/>
        <w:right w:val="none" w:sz="0" w:space="0" w:color="auto"/>
      </w:divBdr>
    </w:div>
    <w:div w:id="662047682">
      <w:bodyDiv w:val="1"/>
      <w:marLeft w:val="0"/>
      <w:marRight w:val="0"/>
      <w:marTop w:val="0"/>
      <w:marBottom w:val="0"/>
      <w:divBdr>
        <w:top w:val="none" w:sz="0" w:space="0" w:color="auto"/>
        <w:left w:val="none" w:sz="0" w:space="0" w:color="auto"/>
        <w:bottom w:val="none" w:sz="0" w:space="0" w:color="auto"/>
        <w:right w:val="none" w:sz="0" w:space="0" w:color="auto"/>
      </w:divBdr>
      <w:divsChild>
        <w:div w:id="1708136400">
          <w:marLeft w:val="0"/>
          <w:marRight w:val="0"/>
          <w:marTop w:val="0"/>
          <w:marBottom w:val="0"/>
          <w:divBdr>
            <w:top w:val="none" w:sz="0" w:space="0" w:color="auto"/>
            <w:left w:val="none" w:sz="0" w:space="0" w:color="auto"/>
            <w:bottom w:val="none" w:sz="0" w:space="0" w:color="auto"/>
            <w:right w:val="none" w:sz="0" w:space="0" w:color="auto"/>
          </w:divBdr>
        </w:div>
      </w:divsChild>
    </w:div>
    <w:div w:id="675041138">
      <w:bodyDiv w:val="1"/>
      <w:marLeft w:val="0"/>
      <w:marRight w:val="0"/>
      <w:marTop w:val="0"/>
      <w:marBottom w:val="0"/>
      <w:divBdr>
        <w:top w:val="none" w:sz="0" w:space="0" w:color="auto"/>
        <w:left w:val="none" w:sz="0" w:space="0" w:color="auto"/>
        <w:bottom w:val="none" w:sz="0" w:space="0" w:color="auto"/>
        <w:right w:val="none" w:sz="0" w:space="0" w:color="auto"/>
      </w:divBdr>
    </w:div>
    <w:div w:id="706414515">
      <w:bodyDiv w:val="1"/>
      <w:marLeft w:val="0"/>
      <w:marRight w:val="0"/>
      <w:marTop w:val="0"/>
      <w:marBottom w:val="0"/>
      <w:divBdr>
        <w:top w:val="none" w:sz="0" w:space="0" w:color="auto"/>
        <w:left w:val="none" w:sz="0" w:space="0" w:color="auto"/>
        <w:bottom w:val="none" w:sz="0" w:space="0" w:color="auto"/>
        <w:right w:val="none" w:sz="0" w:space="0" w:color="auto"/>
      </w:divBdr>
      <w:divsChild>
        <w:div w:id="1217350395">
          <w:marLeft w:val="0"/>
          <w:marRight w:val="0"/>
          <w:marTop w:val="0"/>
          <w:marBottom w:val="0"/>
          <w:divBdr>
            <w:top w:val="none" w:sz="0" w:space="0" w:color="auto"/>
            <w:left w:val="none" w:sz="0" w:space="0" w:color="auto"/>
            <w:bottom w:val="none" w:sz="0" w:space="0" w:color="auto"/>
            <w:right w:val="none" w:sz="0" w:space="0" w:color="auto"/>
          </w:divBdr>
        </w:div>
      </w:divsChild>
    </w:div>
    <w:div w:id="714037321">
      <w:bodyDiv w:val="1"/>
      <w:marLeft w:val="0"/>
      <w:marRight w:val="0"/>
      <w:marTop w:val="0"/>
      <w:marBottom w:val="0"/>
      <w:divBdr>
        <w:top w:val="none" w:sz="0" w:space="0" w:color="auto"/>
        <w:left w:val="none" w:sz="0" w:space="0" w:color="auto"/>
        <w:bottom w:val="none" w:sz="0" w:space="0" w:color="auto"/>
        <w:right w:val="none" w:sz="0" w:space="0" w:color="auto"/>
      </w:divBdr>
      <w:divsChild>
        <w:div w:id="1139610873">
          <w:marLeft w:val="0"/>
          <w:marRight w:val="0"/>
          <w:marTop w:val="0"/>
          <w:marBottom w:val="0"/>
          <w:divBdr>
            <w:top w:val="none" w:sz="0" w:space="0" w:color="auto"/>
            <w:left w:val="none" w:sz="0" w:space="0" w:color="auto"/>
            <w:bottom w:val="none" w:sz="0" w:space="0" w:color="auto"/>
            <w:right w:val="none" w:sz="0" w:space="0" w:color="auto"/>
          </w:divBdr>
        </w:div>
      </w:divsChild>
    </w:div>
    <w:div w:id="737630278">
      <w:bodyDiv w:val="1"/>
      <w:marLeft w:val="0"/>
      <w:marRight w:val="0"/>
      <w:marTop w:val="0"/>
      <w:marBottom w:val="0"/>
      <w:divBdr>
        <w:top w:val="none" w:sz="0" w:space="0" w:color="auto"/>
        <w:left w:val="none" w:sz="0" w:space="0" w:color="auto"/>
        <w:bottom w:val="none" w:sz="0" w:space="0" w:color="auto"/>
        <w:right w:val="none" w:sz="0" w:space="0" w:color="auto"/>
      </w:divBdr>
      <w:divsChild>
        <w:div w:id="868373030">
          <w:marLeft w:val="0"/>
          <w:marRight w:val="0"/>
          <w:marTop w:val="0"/>
          <w:marBottom w:val="0"/>
          <w:divBdr>
            <w:top w:val="none" w:sz="0" w:space="0" w:color="auto"/>
            <w:left w:val="none" w:sz="0" w:space="0" w:color="auto"/>
            <w:bottom w:val="none" w:sz="0" w:space="0" w:color="auto"/>
            <w:right w:val="none" w:sz="0" w:space="0" w:color="auto"/>
          </w:divBdr>
        </w:div>
      </w:divsChild>
    </w:div>
    <w:div w:id="781455227">
      <w:bodyDiv w:val="1"/>
      <w:marLeft w:val="0"/>
      <w:marRight w:val="0"/>
      <w:marTop w:val="0"/>
      <w:marBottom w:val="0"/>
      <w:divBdr>
        <w:top w:val="none" w:sz="0" w:space="0" w:color="auto"/>
        <w:left w:val="none" w:sz="0" w:space="0" w:color="auto"/>
        <w:bottom w:val="none" w:sz="0" w:space="0" w:color="auto"/>
        <w:right w:val="none" w:sz="0" w:space="0" w:color="auto"/>
      </w:divBdr>
      <w:divsChild>
        <w:div w:id="1022050406">
          <w:marLeft w:val="0"/>
          <w:marRight w:val="0"/>
          <w:marTop w:val="0"/>
          <w:marBottom w:val="0"/>
          <w:divBdr>
            <w:top w:val="none" w:sz="0" w:space="0" w:color="auto"/>
            <w:left w:val="none" w:sz="0" w:space="0" w:color="auto"/>
            <w:bottom w:val="none" w:sz="0" w:space="0" w:color="auto"/>
            <w:right w:val="none" w:sz="0" w:space="0" w:color="auto"/>
          </w:divBdr>
        </w:div>
      </w:divsChild>
    </w:div>
    <w:div w:id="785000636">
      <w:bodyDiv w:val="1"/>
      <w:marLeft w:val="0"/>
      <w:marRight w:val="0"/>
      <w:marTop w:val="0"/>
      <w:marBottom w:val="0"/>
      <w:divBdr>
        <w:top w:val="none" w:sz="0" w:space="0" w:color="auto"/>
        <w:left w:val="none" w:sz="0" w:space="0" w:color="auto"/>
        <w:bottom w:val="none" w:sz="0" w:space="0" w:color="auto"/>
        <w:right w:val="none" w:sz="0" w:space="0" w:color="auto"/>
      </w:divBdr>
      <w:divsChild>
        <w:div w:id="1603221869">
          <w:marLeft w:val="0"/>
          <w:marRight w:val="0"/>
          <w:marTop w:val="0"/>
          <w:marBottom w:val="0"/>
          <w:divBdr>
            <w:top w:val="none" w:sz="0" w:space="0" w:color="auto"/>
            <w:left w:val="none" w:sz="0" w:space="0" w:color="auto"/>
            <w:bottom w:val="none" w:sz="0" w:space="0" w:color="auto"/>
            <w:right w:val="none" w:sz="0" w:space="0" w:color="auto"/>
          </w:divBdr>
        </w:div>
      </w:divsChild>
    </w:div>
    <w:div w:id="793057659">
      <w:bodyDiv w:val="1"/>
      <w:marLeft w:val="0"/>
      <w:marRight w:val="0"/>
      <w:marTop w:val="0"/>
      <w:marBottom w:val="0"/>
      <w:divBdr>
        <w:top w:val="none" w:sz="0" w:space="0" w:color="auto"/>
        <w:left w:val="none" w:sz="0" w:space="0" w:color="auto"/>
        <w:bottom w:val="none" w:sz="0" w:space="0" w:color="auto"/>
        <w:right w:val="none" w:sz="0" w:space="0" w:color="auto"/>
      </w:divBdr>
      <w:divsChild>
        <w:div w:id="320282200">
          <w:marLeft w:val="0"/>
          <w:marRight w:val="0"/>
          <w:marTop w:val="0"/>
          <w:marBottom w:val="0"/>
          <w:divBdr>
            <w:top w:val="none" w:sz="0" w:space="0" w:color="auto"/>
            <w:left w:val="none" w:sz="0" w:space="0" w:color="auto"/>
            <w:bottom w:val="none" w:sz="0" w:space="0" w:color="auto"/>
            <w:right w:val="none" w:sz="0" w:space="0" w:color="auto"/>
          </w:divBdr>
        </w:div>
      </w:divsChild>
    </w:div>
    <w:div w:id="797914135">
      <w:bodyDiv w:val="1"/>
      <w:marLeft w:val="0"/>
      <w:marRight w:val="0"/>
      <w:marTop w:val="0"/>
      <w:marBottom w:val="0"/>
      <w:divBdr>
        <w:top w:val="none" w:sz="0" w:space="0" w:color="auto"/>
        <w:left w:val="none" w:sz="0" w:space="0" w:color="auto"/>
        <w:bottom w:val="none" w:sz="0" w:space="0" w:color="auto"/>
        <w:right w:val="none" w:sz="0" w:space="0" w:color="auto"/>
      </w:divBdr>
      <w:divsChild>
        <w:div w:id="39405131">
          <w:marLeft w:val="0"/>
          <w:marRight w:val="0"/>
          <w:marTop w:val="0"/>
          <w:marBottom w:val="0"/>
          <w:divBdr>
            <w:top w:val="none" w:sz="0" w:space="0" w:color="auto"/>
            <w:left w:val="none" w:sz="0" w:space="0" w:color="auto"/>
            <w:bottom w:val="none" w:sz="0" w:space="0" w:color="auto"/>
            <w:right w:val="none" w:sz="0" w:space="0" w:color="auto"/>
          </w:divBdr>
          <w:divsChild>
            <w:div w:id="1970427466">
              <w:marLeft w:val="0"/>
              <w:marRight w:val="0"/>
              <w:marTop w:val="0"/>
              <w:marBottom w:val="0"/>
              <w:divBdr>
                <w:top w:val="none" w:sz="0" w:space="0" w:color="auto"/>
                <w:left w:val="none" w:sz="0" w:space="0" w:color="auto"/>
                <w:bottom w:val="none" w:sz="0" w:space="0" w:color="auto"/>
                <w:right w:val="none" w:sz="0" w:space="0" w:color="auto"/>
              </w:divBdr>
            </w:div>
          </w:divsChild>
        </w:div>
        <w:div w:id="115833192">
          <w:marLeft w:val="0"/>
          <w:marRight w:val="0"/>
          <w:marTop w:val="0"/>
          <w:marBottom w:val="0"/>
          <w:divBdr>
            <w:top w:val="none" w:sz="0" w:space="0" w:color="auto"/>
            <w:left w:val="none" w:sz="0" w:space="0" w:color="auto"/>
            <w:bottom w:val="none" w:sz="0" w:space="0" w:color="auto"/>
            <w:right w:val="none" w:sz="0" w:space="0" w:color="auto"/>
          </w:divBdr>
          <w:divsChild>
            <w:div w:id="624697573">
              <w:marLeft w:val="0"/>
              <w:marRight w:val="0"/>
              <w:marTop w:val="0"/>
              <w:marBottom w:val="0"/>
              <w:divBdr>
                <w:top w:val="none" w:sz="0" w:space="0" w:color="auto"/>
                <w:left w:val="none" w:sz="0" w:space="0" w:color="auto"/>
                <w:bottom w:val="none" w:sz="0" w:space="0" w:color="auto"/>
                <w:right w:val="none" w:sz="0" w:space="0" w:color="auto"/>
              </w:divBdr>
            </w:div>
          </w:divsChild>
        </w:div>
        <w:div w:id="159737675">
          <w:marLeft w:val="0"/>
          <w:marRight w:val="0"/>
          <w:marTop w:val="0"/>
          <w:marBottom w:val="0"/>
          <w:divBdr>
            <w:top w:val="none" w:sz="0" w:space="0" w:color="auto"/>
            <w:left w:val="none" w:sz="0" w:space="0" w:color="auto"/>
            <w:bottom w:val="none" w:sz="0" w:space="0" w:color="auto"/>
            <w:right w:val="none" w:sz="0" w:space="0" w:color="auto"/>
          </w:divBdr>
          <w:divsChild>
            <w:div w:id="905526600">
              <w:marLeft w:val="0"/>
              <w:marRight w:val="0"/>
              <w:marTop w:val="0"/>
              <w:marBottom w:val="0"/>
              <w:divBdr>
                <w:top w:val="none" w:sz="0" w:space="0" w:color="auto"/>
                <w:left w:val="none" w:sz="0" w:space="0" w:color="auto"/>
                <w:bottom w:val="none" w:sz="0" w:space="0" w:color="auto"/>
                <w:right w:val="none" w:sz="0" w:space="0" w:color="auto"/>
              </w:divBdr>
            </w:div>
          </w:divsChild>
        </w:div>
        <w:div w:id="231815695">
          <w:marLeft w:val="0"/>
          <w:marRight w:val="0"/>
          <w:marTop w:val="0"/>
          <w:marBottom w:val="0"/>
          <w:divBdr>
            <w:top w:val="none" w:sz="0" w:space="0" w:color="auto"/>
            <w:left w:val="none" w:sz="0" w:space="0" w:color="auto"/>
            <w:bottom w:val="none" w:sz="0" w:space="0" w:color="auto"/>
            <w:right w:val="none" w:sz="0" w:space="0" w:color="auto"/>
          </w:divBdr>
          <w:divsChild>
            <w:div w:id="1155147005">
              <w:marLeft w:val="0"/>
              <w:marRight w:val="0"/>
              <w:marTop w:val="0"/>
              <w:marBottom w:val="0"/>
              <w:divBdr>
                <w:top w:val="none" w:sz="0" w:space="0" w:color="auto"/>
                <w:left w:val="none" w:sz="0" w:space="0" w:color="auto"/>
                <w:bottom w:val="none" w:sz="0" w:space="0" w:color="auto"/>
                <w:right w:val="none" w:sz="0" w:space="0" w:color="auto"/>
              </w:divBdr>
            </w:div>
          </w:divsChild>
        </w:div>
        <w:div w:id="242223287">
          <w:marLeft w:val="0"/>
          <w:marRight w:val="0"/>
          <w:marTop w:val="0"/>
          <w:marBottom w:val="0"/>
          <w:divBdr>
            <w:top w:val="none" w:sz="0" w:space="0" w:color="auto"/>
            <w:left w:val="none" w:sz="0" w:space="0" w:color="auto"/>
            <w:bottom w:val="none" w:sz="0" w:space="0" w:color="auto"/>
            <w:right w:val="none" w:sz="0" w:space="0" w:color="auto"/>
          </w:divBdr>
          <w:divsChild>
            <w:div w:id="175273569">
              <w:marLeft w:val="0"/>
              <w:marRight w:val="0"/>
              <w:marTop w:val="0"/>
              <w:marBottom w:val="0"/>
              <w:divBdr>
                <w:top w:val="none" w:sz="0" w:space="0" w:color="auto"/>
                <w:left w:val="none" w:sz="0" w:space="0" w:color="auto"/>
                <w:bottom w:val="none" w:sz="0" w:space="0" w:color="auto"/>
                <w:right w:val="none" w:sz="0" w:space="0" w:color="auto"/>
              </w:divBdr>
            </w:div>
          </w:divsChild>
        </w:div>
        <w:div w:id="291639896">
          <w:marLeft w:val="0"/>
          <w:marRight w:val="0"/>
          <w:marTop w:val="0"/>
          <w:marBottom w:val="0"/>
          <w:divBdr>
            <w:top w:val="none" w:sz="0" w:space="0" w:color="auto"/>
            <w:left w:val="none" w:sz="0" w:space="0" w:color="auto"/>
            <w:bottom w:val="none" w:sz="0" w:space="0" w:color="auto"/>
            <w:right w:val="none" w:sz="0" w:space="0" w:color="auto"/>
          </w:divBdr>
          <w:divsChild>
            <w:div w:id="1360736847">
              <w:marLeft w:val="0"/>
              <w:marRight w:val="0"/>
              <w:marTop w:val="0"/>
              <w:marBottom w:val="0"/>
              <w:divBdr>
                <w:top w:val="none" w:sz="0" w:space="0" w:color="auto"/>
                <w:left w:val="none" w:sz="0" w:space="0" w:color="auto"/>
                <w:bottom w:val="none" w:sz="0" w:space="0" w:color="auto"/>
                <w:right w:val="none" w:sz="0" w:space="0" w:color="auto"/>
              </w:divBdr>
            </w:div>
          </w:divsChild>
        </w:div>
        <w:div w:id="340157520">
          <w:marLeft w:val="0"/>
          <w:marRight w:val="0"/>
          <w:marTop w:val="0"/>
          <w:marBottom w:val="0"/>
          <w:divBdr>
            <w:top w:val="none" w:sz="0" w:space="0" w:color="auto"/>
            <w:left w:val="none" w:sz="0" w:space="0" w:color="auto"/>
            <w:bottom w:val="none" w:sz="0" w:space="0" w:color="auto"/>
            <w:right w:val="none" w:sz="0" w:space="0" w:color="auto"/>
          </w:divBdr>
          <w:divsChild>
            <w:div w:id="1618221385">
              <w:marLeft w:val="0"/>
              <w:marRight w:val="0"/>
              <w:marTop w:val="0"/>
              <w:marBottom w:val="0"/>
              <w:divBdr>
                <w:top w:val="none" w:sz="0" w:space="0" w:color="auto"/>
                <w:left w:val="none" w:sz="0" w:space="0" w:color="auto"/>
                <w:bottom w:val="none" w:sz="0" w:space="0" w:color="auto"/>
                <w:right w:val="none" w:sz="0" w:space="0" w:color="auto"/>
              </w:divBdr>
            </w:div>
          </w:divsChild>
        </w:div>
        <w:div w:id="375206410">
          <w:marLeft w:val="0"/>
          <w:marRight w:val="0"/>
          <w:marTop w:val="0"/>
          <w:marBottom w:val="0"/>
          <w:divBdr>
            <w:top w:val="none" w:sz="0" w:space="0" w:color="auto"/>
            <w:left w:val="none" w:sz="0" w:space="0" w:color="auto"/>
            <w:bottom w:val="none" w:sz="0" w:space="0" w:color="auto"/>
            <w:right w:val="none" w:sz="0" w:space="0" w:color="auto"/>
          </w:divBdr>
          <w:divsChild>
            <w:div w:id="1923369726">
              <w:marLeft w:val="0"/>
              <w:marRight w:val="0"/>
              <w:marTop w:val="0"/>
              <w:marBottom w:val="0"/>
              <w:divBdr>
                <w:top w:val="none" w:sz="0" w:space="0" w:color="auto"/>
                <w:left w:val="none" w:sz="0" w:space="0" w:color="auto"/>
                <w:bottom w:val="none" w:sz="0" w:space="0" w:color="auto"/>
                <w:right w:val="none" w:sz="0" w:space="0" w:color="auto"/>
              </w:divBdr>
            </w:div>
          </w:divsChild>
        </w:div>
        <w:div w:id="435756557">
          <w:marLeft w:val="0"/>
          <w:marRight w:val="0"/>
          <w:marTop w:val="0"/>
          <w:marBottom w:val="0"/>
          <w:divBdr>
            <w:top w:val="none" w:sz="0" w:space="0" w:color="auto"/>
            <w:left w:val="none" w:sz="0" w:space="0" w:color="auto"/>
            <w:bottom w:val="none" w:sz="0" w:space="0" w:color="auto"/>
            <w:right w:val="none" w:sz="0" w:space="0" w:color="auto"/>
          </w:divBdr>
          <w:divsChild>
            <w:div w:id="1911186686">
              <w:marLeft w:val="0"/>
              <w:marRight w:val="0"/>
              <w:marTop w:val="0"/>
              <w:marBottom w:val="0"/>
              <w:divBdr>
                <w:top w:val="none" w:sz="0" w:space="0" w:color="auto"/>
                <w:left w:val="none" w:sz="0" w:space="0" w:color="auto"/>
                <w:bottom w:val="none" w:sz="0" w:space="0" w:color="auto"/>
                <w:right w:val="none" w:sz="0" w:space="0" w:color="auto"/>
              </w:divBdr>
            </w:div>
          </w:divsChild>
        </w:div>
        <w:div w:id="443042299">
          <w:marLeft w:val="0"/>
          <w:marRight w:val="0"/>
          <w:marTop w:val="0"/>
          <w:marBottom w:val="0"/>
          <w:divBdr>
            <w:top w:val="none" w:sz="0" w:space="0" w:color="auto"/>
            <w:left w:val="none" w:sz="0" w:space="0" w:color="auto"/>
            <w:bottom w:val="none" w:sz="0" w:space="0" w:color="auto"/>
            <w:right w:val="none" w:sz="0" w:space="0" w:color="auto"/>
          </w:divBdr>
          <w:divsChild>
            <w:div w:id="1678341669">
              <w:marLeft w:val="0"/>
              <w:marRight w:val="0"/>
              <w:marTop w:val="0"/>
              <w:marBottom w:val="0"/>
              <w:divBdr>
                <w:top w:val="none" w:sz="0" w:space="0" w:color="auto"/>
                <w:left w:val="none" w:sz="0" w:space="0" w:color="auto"/>
                <w:bottom w:val="none" w:sz="0" w:space="0" w:color="auto"/>
                <w:right w:val="none" w:sz="0" w:space="0" w:color="auto"/>
              </w:divBdr>
            </w:div>
          </w:divsChild>
        </w:div>
        <w:div w:id="506941755">
          <w:marLeft w:val="0"/>
          <w:marRight w:val="0"/>
          <w:marTop w:val="0"/>
          <w:marBottom w:val="0"/>
          <w:divBdr>
            <w:top w:val="none" w:sz="0" w:space="0" w:color="auto"/>
            <w:left w:val="none" w:sz="0" w:space="0" w:color="auto"/>
            <w:bottom w:val="none" w:sz="0" w:space="0" w:color="auto"/>
            <w:right w:val="none" w:sz="0" w:space="0" w:color="auto"/>
          </w:divBdr>
          <w:divsChild>
            <w:div w:id="1198618116">
              <w:marLeft w:val="0"/>
              <w:marRight w:val="0"/>
              <w:marTop w:val="0"/>
              <w:marBottom w:val="0"/>
              <w:divBdr>
                <w:top w:val="none" w:sz="0" w:space="0" w:color="auto"/>
                <w:left w:val="none" w:sz="0" w:space="0" w:color="auto"/>
                <w:bottom w:val="none" w:sz="0" w:space="0" w:color="auto"/>
                <w:right w:val="none" w:sz="0" w:space="0" w:color="auto"/>
              </w:divBdr>
            </w:div>
          </w:divsChild>
        </w:div>
        <w:div w:id="600145077">
          <w:marLeft w:val="0"/>
          <w:marRight w:val="0"/>
          <w:marTop w:val="0"/>
          <w:marBottom w:val="0"/>
          <w:divBdr>
            <w:top w:val="none" w:sz="0" w:space="0" w:color="auto"/>
            <w:left w:val="none" w:sz="0" w:space="0" w:color="auto"/>
            <w:bottom w:val="none" w:sz="0" w:space="0" w:color="auto"/>
            <w:right w:val="none" w:sz="0" w:space="0" w:color="auto"/>
          </w:divBdr>
          <w:divsChild>
            <w:div w:id="414861238">
              <w:marLeft w:val="0"/>
              <w:marRight w:val="0"/>
              <w:marTop w:val="0"/>
              <w:marBottom w:val="0"/>
              <w:divBdr>
                <w:top w:val="none" w:sz="0" w:space="0" w:color="auto"/>
                <w:left w:val="none" w:sz="0" w:space="0" w:color="auto"/>
                <w:bottom w:val="none" w:sz="0" w:space="0" w:color="auto"/>
                <w:right w:val="none" w:sz="0" w:space="0" w:color="auto"/>
              </w:divBdr>
            </w:div>
          </w:divsChild>
        </w:div>
        <w:div w:id="629820674">
          <w:marLeft w:val="0"/>
          <w:marRight w:val="0"/>
          <w:marTop w:val="0"/>
          <w:marBottom w:val="0"/>
          <w:divBdr>
            <w:top w:val="none" w:sz="0" w:space="0" w:color="auto"/>
            <w:left w:val="none" w:sz="0" w:space="0" w:color="auto"/>
            <w:bottom w:val="none" w:sz="0" w:space="0" w:color="auto"/>
            <w:right w:val="none" w:sz="0" w:space="0" w:color="auto"/>
          </w:divBdr>
          <w:divsChild>
            <w:div w:id="1274677239">
              <w:marLeft w:val="0"/>
              <w:marRight w:val="0"/>
              <w:marTop w:val="0"/>
              <w:marBottom w:val="0"/>
              <w:divBdr>
                <w:top w:val="none" w:sz="0" w:space="0" w:color="auto"/>
                <w:left w:val="none" w:sz="0" w:space="0" w:color="auto"/>
                <w:bottom w:val="none" w:sz="0" w:space="0" w:color="auto"/>
                <w:right w:val="none" w:sz="0" w:space="0" w:color="auto"/>
              </w:divBdr>
            </w:div>
          </w:divsChild>
        </w:div>
        <w:div w:id="695347381">
          <w:marLeft w:val="0"/>
          <w:marRight w:val="0"/>
          <w:marTop w:val="0"/>
          <w:marBottom w:val="0"/>
          <w:divBdr>
            <w:top w:val="none" w:sz="0" w:space="0" w:color="auto"/>
            <w:left w:val="none" w:sz="0" w:space="0" w:color="auto"/>
            <w:bottom w:val="none" w:sz="0" w:space="0" w:color="auto"/>
            <w:right w:val="none" w:sz="0" w:space="0" w:color="auto"/>
          </w:divBdr>
          <w:divsChild>
            <w:div w:id="1391230462">
              <w:marLeft w:val="0"/>
              <w:marRight w:val="0"/>
              <w:marTop w:val="0"/>
              <w:marBottom w:val="0"/>
              <w:divBdr>
                <w:top w:val="none" w:sz="0" w:space="0" w:color="auto"/>
                <w:left w:val="none" w:sz="0" w:space="0" w:color="auto"/>
                <w:bottom w:val="none" w:sz="0" w:space="0" w:color="auto"/>
                <w:right w:val="none" w:sz="0" w:space="0" w:color="auto"/>
              </w:divBdr>
            </w:div>
          </w:divsChild>
        </w:div>
        <w:div w:id="729496991">
          <w:marLeft w:val="0"/>
          <w:marRight w:val="0"/>
          <w:marTop w:val="0"/>
          <w:marBottom w:val="0"/>
          <w:divBdr>
            <w:top w:val="none" w:sz="0" w:space="0" w:color="auto"/>
            <w:left w:val="none" w:sz="0" w:space="0" w:color="auto"/>
            <w:bottom w:val="none" w:sz="0" w:space="0" w:color="auto"/>
            <w:right w:val="none" w:sz="0" w:space="0" w:color="auto"/>
          </w:divBdr>
          <w:divsChild>
            <w:div w:id="637148200">
              <w:marLeft w:val="0"/>
              <w:marRight w:val="0"/>
              <w:marTop w:val="0"/>
              <w:marBottom w:val="0"/>
              <w:divBdr>
                <w:top w:val="none" w:sz="0" w:space="0" w:color="auto"/>
                <w:left w:val="none" w:sz="0" w:space="0" w:color="auto"/>
                <w:bottom w:val="none" w:sz="0" w:space="0" w:color="auto"/>
                <w:right w:val="none" w:sz="0" w:space="0" w:color="auto"/>
              </w:divBdr>
            </w:div>
          </w:divsChild>
        </w:div>
        <w:div w:id="775758007">
          <w:marLeft w:val="0"/>
          <w:marRight w:val="0"/>
          <w:marTop w:val="0"/>
          <w:marBottom w:val="0"/>
          <w:divBdr>
            <w:top w:val="none" w:sz="0" w:space="0" w:color="auto"/>
            <w:left w:val="none" w:sz="0" w:space="0" w:color="auto"/>
            <w:bottom w:val="none" w:sz="0" w:space="0" w:color="auto"/>
            <w:right w:val="none" w:sz="0" w:space="0" w:color="auto"/>
          </w:divBdr>
          <w:divsChild>
            <w:div w:id="528225559">
              <w:marLeft w:val="0"/>
              <w:marRight w:val="0"/>
              <w:marTop w:val="0"/>
              <w:marBottom w:val="0"/>
              <w:divBdr>
                <w:top w:val="none" w:sz="0" w:space="0" w:color="auto"/>
                <w:left w:val="none" w:sz="0" w:space="0" w:color="auto"/>
                <w:bottom w:val="none" w:sz="0" w:space="0" w:color="auto"/>
                <w:right w:val="none" w:sz="0" w:space="0" w:color="auto"/>
              </w:divBdr>
            </w:div>
          </w:divsChild>
        </w:div>
        <w:div w:id="808016039">
          <w:marLeft w:val="0"/>
          <w:marRight w:val="0"/>
          <w:marTop w:val="0"/>
          <w:marBottom w:val="0"/>
          <w:divBdr>
            <w:top w:val="none" w:sz="0" w:space="0" w:color="auto"/>
            <w:left w:val="none" w:sz="0" w:space="0" w:color="auto"/>
            <w:bottom w:val="none" w:sz="0" w:space="0" w:color="auto"/>
            <w:right w:val="none" w:sz="0" w:space="0" w:color="auto"/>
          </w:divBdr>
          <w:divsChild>
            <w:div w:id="225998410">
              <w:marLeft w:val="0"/>
              <w:marRight w:val="0"/>
              <w:marTop w:val="0"/>
              <w:marBottom w:val="0"/>
              <w:divBdr>
                <w:top w:val="none" w:sz="0" w:space="0" w:color="auto"/>
                <w:left w:val="none" w:sz="0" w:space="0" w:color="auto"/>
                <w:bottom w:val="none" w:sz="0" w:space="0" w:color="auto"/>
                <w:right w:val="none" w:sz="0" w:space="0" w:color="auto"/>
              </w:divBdr>
            </w:div>
          </w:divsChild>
        </w:div>
        <w:div w:id="858587359">
          <w:marLeft w:val="0"/>
          <w:marRight w:val="0"/>
          <w:marTop w:val="0"/>
          <w:marBottom w:val="0"/>
          <w:divBdr>
            <w:top w:val="none" w:sz="0" w:space="0" w:color="auto"/>
            <w:left w:val="none" w:sz="0" w:space="0" w:color="auto"/>
            <w:bottom w:val="none" w:sz="0" w:space="0" w:color="auto"/>
            <w:right w:val="none" w:sz="0" w:space="0" w:color="auto"/>
          </w:divBdr>
          <w:divsChild>
            <w:div w:id="1680808139">
              <w:marLeft w:val="0"/>
              <w:marRight w:val="0"/>
              <w:marTop w:val="0"/>
              <w:marBottom w:val="0"/>
              <w:divBdr>
                <w:top w:val="none" w:sz="0" w:space="0" w:color="auto"/>
                <w:left w:val="none" w:sz="0" w:space="0" w:color="auto"/>
                <w:bottom w:val="none" w:sz="0" w:space="0" w:color="auto"/>
                <w:right w:val="none" w:sz="0" w:space="0" w:color="auto"/>
              </w:divBdr>
            </w:div>
          </w:divsChild>
        </w:div>
        <w:div w:id="897712528">
          <w:marLeft w:val="0"/>
          <w:marRight w:val="0"/>
          <w:marTop w:val="0"/>
          <w:marBottom w:val="0"/>
          <w:divBdr>
            <w:top w:val="none" w:sz="0" w:space="0" w:color="auto"/>
            <w:left w:val="none" w:sz="0" w:space="0" w:color="auto"/>
            <w:bottom w:val="none" w:sz="0" w:space="0" w:color="auto"/>
            <w:right w:val="none" w:sz="0" w:space="0" w:color="auto"/>
          </w:divBdr>
          <w:divsChild>
            <w:div w:id="356197740">
              <w:marLeft w:val="0"/>
              <w:marRight w:val="0"/>
              <w:marTop w:val="0"/>
              <w:marBottom w:val="0"/>
              <w:divBdr>
                <w:top w:val="none" w:sz="0" w:space="0" w:color="auto"/>
                <w:left w:val="none" w:sz="0" w:space="0" w:color="auto"/>
                <w:bottom w:val="none" w:sz="0" w:space="0" w:color="auto"/>
                <w:right w:val="none" w:sz="0" w:space="0" w:color="auto"/>
              </w:divBdr>
            </w:div>
          </w:divsChild>
        </w:div>
        <w:div w:id="909342590">
          <w:marLeft w:val="0"/>
          <w:marRight w:val="0"/>
          <w:marTop w:val="0"/>
          <w:marBottom w:val="0"/>
          <w:divBdr>
            <w:top w:val="none" w:sz="0" w:space="0" w:color="auto"/>
            <w:left w:val="none" w:sz="0" w:space="0" w:color="auto"/>
            <w:bottom w:val="none" w:sz="0" w:space="0" w:color="auto"/>
            <w:right w:val="none" w:sz="0" w:space="0" w:color="auto"/>
          </w:divBdr>
          <w:divsChild>
            <w:div w:id="1563717224">
              <w:marLeft w:val="0"/>
              <w:marRight w:val="0"/>
              <w:marTop w:val="0"/>
              <w:marBottom w:val="0"/>
              <w:divBdr>
                <w:top w:val="none" w:sz="0" w:space="0" w:color="auto"/>
                <w:left w:val="none" w:sz="0" w:space="0" w:color="auto"/>
                <w:bottom w:val="none" w:sz="0" w:space="0" w:color="auto"/>
                <w:right w:val="none" w:sz="0" w:space="0" w:color="auto"/>
              </w:divBdr>
            </w:div>
          </w:divsChild>
        </w:div>
        <w:div w:id="923804061">
          <w:marLeft w:val="0"/>
          <w:marRight w:val="0"/>
          <w:marTop w:val="0"/>
          <w:marBottom w:val="0"/>
          <w:divBdr>
            <w:top w:val="none" w:sz="0" w:space="0" w:color="auto"/>
            <w:left w:val="none" w:sz="0" w:space="0" w:color="auto"/>
            <w:bottom w:val="none" w:sz="0" w:space="0" w:color="auto"/>
            <w:right w:val="none" w:sz="0" w:space="0" w:color="auto"/>
          </w:divBdr>
          <w:divsChild>
            <w:div w:id="2057922815">
              <w:marLeft w:val="0"/>
              <w:marRight w:val="0"/>
              <w:marTop w:val="0"/>
              <w:marBottom w:val="0"/>
              <w:divBdr>
                <w:top w:val="none" w:sz="0" w:space="0" w:color="auto"/>
                <w:left w:val="none" w:sz="0" w:space="0" w:color="auto"/>
                <w:bottom w:val="none" w:sz="0" w:space="0" w:color="auto"/>
                <w:right w:val="none" w:sz="0" w:space="0" w:color="auto"/>
              </w:divBdr>
            </w:div>
          </w:divsChild>
        </w:div>
        <w:div w:id="926041566">
          <w:marLeft w:val="0"/>
          <w:marRight w:val="0"/>
          <w:marTop w:val="0"/>
          <w:marBottom w:val="0"/>
          <w:divBdr>
            <w:top w:val="none" w:sz="0" w:space="0" w:color="auto"/>
            <w:left w:val="none" w:sz="0" w:space="0" w:color="auto"/>
            <w:bottom w:val="none" w:sz="0" w:space="0" w:color="auto"/>
            <w:right w:val="none" w:sz="0" w:space="0" w:color="auto"/>
          </w:divBdr>
          <w:divsChild>
            <w:div w:id="111290179">
              <w:marLeft w:val="0"/>
              <w:marRight w:val="0"/>
              <w:marTop w:val="0"/>
              <w:marBottom w:val="0"/>
              <w:divBdr>
                <w:top w:val="none" w:sz="0" w:space="0" w:color="auto"/>
                <w:left w:val="none" w:sz="0" w:space="0" w:color="auto"/>
                <w:bottom w:val="none" w:sz="0" w:space="0" w:color="auto"/>
                <w:right w:val="none" w:sz="0" w:space="0" w:color="auto"/>
              </w:divBdr>
            </w:div>
          </w:divsChild>
        </w:div>
        <w:div w:id="952440539">
          <w:marLeft w:val="0"/>
          <w:marRight w:val="0"/>
          <w:marTop w:val="0"/>
          <w:marBottom w:val="0"/>
          <w:divBdr>
            <w:top w:val="none" w:sz="0" w:space="0" w:color="auto"/>
            <w:left w:val="none" w:sz="0" w:space="0" w:color="auto"/>
            <w:bottom w:val="none" w:sz="0" w:space="0" w:color="auto"/>
            <w:right w:val="none" w:sz="0" w:space="0" w:color="auto"/>
          </w:divBdr>
          <w:divsChild>
            <w:div w:id="428355712">
              <w:marLeft w:val="0"/>
              <w:marRight w:val="0"/>
              <w:marTop w:val="0"/>
              <w:marBottom w:val="0"/>
              <w:divBdr>
                <w:top w:val="none" w:sz="0" w:space="0" w:color="auto"/>
                <w:left w:val="none" w:sz="0" w:space="0" w:color="auto"/>
                <w:bottom w:val="none" w:sz="0" w:space="0" w:color="auto"/>
                <w:right w:val="none" w:sz="0" w:space="0" w:color="auto"/>
              </w:divBdr>
            </w:div>
          </w:divsChild>
        </w:div>
        <w:div w:id="961620367">
          <w:marLeft w:val="0"/>
          <w:marRight w:val="0"/>
          <w:marTop w:val="0"/>
          <w:marBottom w:val="0"/>
          <w:divBdr>
            <w:top w:val="none" w:sz="0" w:space="0" w:color="auto"/>
            <w:left w:val="none" w:sz="0" w:space="0" w:color="auto"/>
            <w:bottom w:val="none" w:sz="0" w:space="0" w:color="auto"/>
            <w:right w:val="none" w:sz="0" w:space="0" w:color="auto"/>
          </w:divBdr>
          <w:divsChild>
            <w:div w:id="941032943">
              <w:marLeft w:val="0"/>
              <w:marRight w:val="0"/>
              <w:marTop w:val="0"/>
              <w:marBottom w:val="0"/>
              <w:divBdr>
                <w:top w:val="none" w:sz="0" w:space="0" w:color="auto"/>
                <w:left w:val="none" w:sz="0" w:space="0" w:color="auto"/>
                <w:bottom w:val="none" w:sz="0" w:space="0" w:color="auto"/>
                <w:right w:val="none" w:sz="0" w:space="0" w:color="auto"/>
              </w:divBdr>
            </w:div>
          </w:divsChild>
        </w:div>
        <w:div w:id="965164963">
          <w:marLeft w:val="0"/>
          <w:marRight w:val="0"/>
          <w:marTop w:val="0"/>
          <w:marBottom w:val="0"/>
          <w:divBdr>
            <w:top w:val="none" w:sz="0" w:space="0" w:color="auto"/>
            <w:left w:val="none" w:sz="0" w:space="0" w:color="auto"/>
            <w:bottom w:val="none" w:sz="0" w:space="0" w:color="auto"/>
            <w:right w:val="none" w:sz="0" w:space="0" w:color="auto"/>
          </w:divBdr>
          <w:divsChild>
            <w:div w:id="1935897876">
              <w:marLeft w:val="0"/>
              <w:marRight w:val="0"/>
              <w:marTop w:val="0"/>
              <w:marBottom w:val="0"/>
              <w:divBdr>
                <w:top w:val="none" w:sz="0" w:space="0" w:color="auto"/>
                <w:left w:val="none" w:sz="0" w:space="0" w:color="auto"/>
                <w:bottom w:val="none" w:sz="0" w:space="0" w:color="auto"/>
                <w:right w:val="none" w:sz="0" w:space="0" w:color="auto"/>
              </w:divBdr>
            </w:div>
          </w:divsChild>
        </w:div>
        <w:div w:id="1080903104">
          <w:marLeft w:val="0"/>
          <w:marRight w:val="0"/>
          <w:marTop w:val="0"/>
          <w:marBottom w:val="0"/>
          <w:divBdr>
            <w:top w:val="none" w:sz="0" w:space="0" w:color="auto"/>
            <w:left w:val="none" w:sz="0" w:space="0" w:color="auto"/>
            <w:bottom w:val="none" w:sz="0" w:space="0" w:color="auto"/>
            <w:right w:val="none" w:sz="0" w:space="0" w:color="auto"/>
          </w:divBdr>
          <w:divsChild>
            <w:div w:id="1448964175">
              <w:marLeft w:val="0"/>
              <w:marRight w:val="0"/>
              <w:marTop w:val="0"/>
              <w:marBottom w:val="0"/>
              <w:divBdr>
                <w:top w:val="none" w:sz="0" w:space="0" w:color="auto"/>
                <w:left w:val="none" w:sz="0" w:space="0" w:color="auto"/>
                <w:bottom w:val="none" w:sz="0" w:space="0" w:color="auto"/>
                <w:right w:val="none" w:sz="0" w:space="0" w:color="auto"/>
              </w:divBdr>
            </w:div>
          </w:divsChild>
        </w:div>
        <w:div w:id="1081952206">
          <w:marLeft w:val="0"/>
          <w:marRight w:val="0"/>
          <w:marTop w:val="0"/>
          <w:marBottom w:val="0"/>
          <w:divBdr>
            <w:top w:val="none" w:sz="0" w:space="0" w:color="auto"/>
            <w:left w:val="none" w:sz="0" w:space="0" w:color="auto"/>
            <w:bottom w:val="none" w:sz="0" w:space="0" w:color="auto"/>
            <w:right w:val="none" w:sz="0" w:space="0" w:color="auto"/>
          </w:divBdr>
          <w:divsChild>
            <w:div w:id="742605460">
              <w:marLeft w:val="0"/>
              <w:marRight w:val="0"/>
              <w:marTop w:val="0"/>
              <w:marBottom w:val="0"/>
              <w:divBdr>
                <w:top w:val="none" w:sz="0" w:space="0" w:color="auto"/>
                <w:left w:val="none" w:sz="0" w:space="0" w:color="auto"/>
                <w:bottom w:val="none" w:sz="0" w:space="0" w:color="auto"/>
                <w:right w:val="none" w:sz="0" w:space="0" w:color="auto"/>
              </w:divBdr>
            </w:div>
          </w:divsChild>
        </w:div>
        <w:div w:id="1105346768">
          <w:marLeft w:val="0"/>
          <w:marRight w:val="0"/>
          <w:marTop w:val="0"/>
          <w:marBottom w:val="0"/>
          <w:divBdr>
            <w:top w:val="none" w:sz="0" w:space="0" w:color="auto"/>
            <w:left w:val="none" w:sz="0" w:space="0" w:color="auto"/>
            <w:bottom w:val="none" w:sz="0" w:space="0" w:color="auto"/>
            <w:right w:val="none" w:sz="0" w:space="0" w:color="auto"/>
          </w:divBdr>
          <w:divsChild>
            <w:div w:id="926960467">
              <w:marLeft w:val="0"/>
              <w:marRight w:val="0"/>
              <w:marTop w:val="0"/>
              <w:marBottom w:val="0"/>
              <w:divBdr>
                <w:top w:val="none" w:sz="0" w:space="0" w:color="auto"/>
                <w:left w:val="none" w:sz="0" w:space="0" w:color="auto"/>
                <w:bottom w:val="none" w:sz="0" w:space="0" w:color="auto"/>
                <w:right w:val="none" w:sz="0" w:space="0" w:color="auto"/>
              </w:divBdr>
            </w:div>
          </w:divsChild>
        </w:div>
        <w:div w:id="1195727993">
          <w:marLeft w:val="0"/>
          <w:marRight w:val="0"/>
          <w:marTop w:val="0"/>
          <w:marBottom w:val="0"/>
          <w:divBdr>
            <w:top w:val="none" w:sz="0" w:space="0" w:color="auto"/>
            <w:left w:val="none" w:sz="0" w:space="0" w:color="auto"/>
            <w:bottom w:val="none" w:sz="0" w:space="0" w:color="auto"/>
            <w:right w:val="none" w:sz="0" w:space="0" w:color="auto"/>
          </w:divBdr>
          <w:divsChild>
            <w:div w:id="2038120544">
              <w:marLeft w:val="0"/>
              <w:marRight w:val="0"/>
              <w:marTop w:val="0"/>
              <w:marBottom w:val="0"/>
              <w:divBdr>
                <w:top w:val="none" w:sz="0" w:space="0" w:color="auto"/>
                <w:left w:val="none" w:sz="0" w:space="0" w:color="auto"/>
                <w:bottom w:val="none" w:sz="0" w:space="0" w:color="auto"/>
                <w:right w:val="none" w:sz="0" w:space="0" w:color="auto"/>
              </w:divBdr>
            </w:div>
          </w:divsChild>
        </w:div>
        <w:div w:id="1214779391">
          <w:marLeft w:val="0"/>
          <w:marRight w:val="0"/>
          <w:marTop w:val="0"/>
          <w:marBottom w:val="0"/>
          <w:divBdr>
            <w:top w:val="none" w:sz="0" w:space="0" w:color="auto"/>
            <w:left w:val="none" w:sz="0" w:space="0" w:color="auto"/>
            <w:bottom w:val="none" w:sz="0" w:space="0" w:color="auto"/>
            <w:right w:val="none" w:sz="0" w:space="0" w:color="auto"/>
          </w:divBdr>
          <w:divsChild>
            <w:div w:id="1050223036">
              <w:marLeft w:val="0"/>
              <w:marRight w:val="0"/>
              <w:marTop w:val="0"/>
              <w:marBottom w:val="0"/>
              <w:divBdr>
                <w:top w:val="none" w:sz="0" w:space="0" w:color="auto"/>
                <w:left w:val="none" w:sz="0" w:space="0" w:color="auto"/>
                <w:bottom w:val="none" w:sz="0" w:space="0" w:color="auto"/>
                <w:right w:val="none" w:sz="0" w:space="0" w:color="auto"/>
              </w:divBdr>
            </w:div>
          </w:divsChild>
        </w:div>
        <w:div w:id="1218009176">
          <w:marLeft w:val="0"/>
          <w:marRight w:val="0"/>
          <w:marTop w:val="0"/>
          <w:marBottom w:val="0"/>
          <w:divBdr>
            <w:top w:val="none" w:sz="0" w:space="0" w:color="auto"/>
            <w:left w:val="none" w:sz="0" w:space="0" w:color="auto"/>
            <w:bottom w:val="none" w:sz="0" w:space="0" w:color="auto"/>
            <w:right w:val="none" w:sz="0" w:space="0" w:color="auto"/>
          </w:divBdr>
          <w:divsChild>
            <w:div w:id="612395631">
              <w:marLeft w:val="0"/>
              <w:marRight w:val="0"/>
              <w:marTop w:val="0"/>
              <w:marBottom w:val="0"/>
              <w:divBdr>
                <w:top w:val="none" w:sz="0" w:space="0" w:color="auto"/>
                <w:left w:val="none" w:sz="0" w:space="0" w:color="auto"/>
                <w:bottom w:val="none" w:sz="0" w:space="0" w:color="auto"/>
                <w:right w:val="none" w:sz="0" w:space="0" w:color="auto"/>
              </w:divBdr>
            </w:div>
          </w:divsChild>
        </w:div>
        <w:div w:id="1308893926">
          <w:marLeft w:val="0"/>
          <w:marRight w:val="0"/>
          <w:marTop w:val="0"/>
          <w:marBottom w:val="0"/>
          <w:divBdr>
            <w:top w:val="none" w:sz="0" w:space="0" w:color="auto"/>
            <w:left w:val="none" w:sz="0" w:space="0" w:color="auto"/>
            <w:bottom w:val="none" w:sz="0" w:space="0" w:color="auto"/>
            <w:right w:val="none" w:sz="0" w:space="0" w:color="auto"/>
          </w:divBdr>
          <w:divsChild>
            <w:div w:id="1027409385">
              <w:marLeft w:val="0"/>
              <w:marRight w:val="0"/>
              <w:marTop w:val="0"/>
              <w:marBottom w:val="0"/>
              <w:divBdr>
                <w:top w:val="none" w:sz="0" w:space="0" w:color="auto"/>
                <w:left w:val="none" w:sz="0" w:space="0" w:color="auto"/>
                <w:bottom w:val="none" w:sz="0" w:space="0" w:color="auto"/>
                <w:right w:val="none" w:sz="0" w:space="0" w:color="auto"/>
              </w:divBdr>
            </w:div>
          </w:divsChild>
        </w:div>
        <w:div w:id="1317496502">
          <w:marLeft w:val="0"/>
          <w:marRight w:val="0"/>
          <w:marTop w:val="0"/>
          <w:marBottom w:val="0"/>
          <w:divBdr>
            <w:top w:val="none" w:sz="0" w:space="0" w:color="auto"/>
            <w:left w:val="none" w:sz="0" w:space="0" w:color="auto"/>
            <w:bottom w:val="none" w:sz="0" w:space="0" w:color="auto"/>
            <w:right w:val="none" w:sz="0" w:space="0" w:color="auto"/>
          </w:divBdr>
          <w:divsChild>
            <w:div w:id="1218124343">
              <w:marLeft w:val="0"/>
              <w:marRight w:val="0"/>
              <w:marTop w:val="0"/>
              <w:marBottom w:val="0"/>
              <w:divBdr>
                <w:top w:val="none" w:sz="0" w:space="0" w:color="auto"/>
                <w:left w:val="none" w:sz="0" w:space="0" w:color="auto"/>
                <w:bottom w:val="none" w:sz="0" w:space="0" w:color="auto"/>
                <w:right w:val="none" w:sz="0" w:space="0" w:color="auto"/>
              </w:divBdr>
            </w:div>
          </w:divsChild>
        </w:div>
        <w:div w:id="1397388710">
          <w:marLeft w:val="0"/>
          <w:marRight w:val="0"/>
          <w:marTop w:val="0"/>
          <w:marBottom w:val="0"/>
          <w:divBdr>
            <w:top w:val="none" w:sz="0" w:space="0" w:color="auto"/>
            <w:left w:val="none" w:sz="0" w:space="0" w:color="auto"/>
            <w:bottom w:val="none" w:sz="0" w:space="0" w:color="auto"/>
            <w:right w:val="none" w:sz="0" w:space="0" w:color="auto"/>
          </w:divBdr>
          <w:divsChild>
            <w:div w:id="1177770993">
              <w:marLeft w:val="0"/>
              <w:marRight w:val="0"/>
              <w:marTop w:val="0"/>
              <w:marBottom w:val="0"/>
              <w:divBdr>
                <w:top w:val="none" w:sz="0" w:space="0" w:color="auto"/>
                <w:left w:val="none" w:sz="0" w:space="0" w:color="auto"/>
                <w:bottom w:val="none" w:sz="0" w:space="0" w:color="auto"/>
                <w:right w:val="none" w:sz="0" w:space="0" w:color="auto"/>
              </w:divBdr>
            </w:div>
          </w:divsChild>
        </w:div>
        <w:div w:id="1463772916">
          <w:marLeft w:val="0"/>
          <w:marRight w:val="0"/>
          <w:marTop w:val="0"/>
          <w:marBottom w:val="0"/>
          <w:divBdr>
            <w:top w:val="none" w:sz="0" w:space="0" w:color="auto"/>
            <w:left w:val="none" w:sz="0" w:space="0" w:color="auto"/>
            <w:bottom w:val="none" w:sz="0" w:space="0" w:color="auto"/>
            <w:right w:val="none" w:sz="0" w:space="0" w:color="auto"/>
          </w:divBdr>
          <w:divsChild>
            <w:div w:id="1608584385">
              <w:marLeft w:val="0"/>
              <w:marRight w:val="0"/>
              <w:marTop w:val="0"/>
              <w:marBottom w:val="0"/>
              <w:divBdr>
                <w:top w:val="none" w:sz="0" w:space="0" w:color="auto"/>
                <w:left w:val="none" w:sz="0" w:space="0" w:color="auto"/>
                <w:bottom w:val="none" w:sz="0" w:space="0" w:color="auto"/>
                <w:right w:val="none" w:sz="0" w:space="0" w:color="auto"/>
              </w:divBdr>
            </w:div>
          </w:divsChild>
        </w:div>
        <w:div w:id="1604922069">
          <w:marLeft w:val="0"/>
          <w:marRight w:val="0"/>
          <w:marTop w:val="0"/>
          <w:marBottom w:val="0"/>
          <w:divBdr>
            <w:top w:val="none" w:sz="0" w:space="0" w:color="auto"/>
            <w:left w:val="none" w:sz="0" w:space="0" w:color="auto"/>
            <w:bottom w:val="none" w:sz="0" w:space="0" w:color="auto"/>
            <w:right w:val="none" w:sz="0" w:space="0" w:color="auto"/>
          </w:divBdr>
          <w:divsChild>
            <w:div w:id="932663281">
              <w:marLeft w:val="0"/>
              <w:marRight w:val="0"/>
              <w:marTop w:val="0"/>
              <w:marBottom w:val="0"/>
              <w:divBdr>
                <w:top w:val="none" w:sz="0" w:space="0" w:color="auto"/>
                <w:left w:val="none" w:sz="0" w:space="0" w:color="auto"/>
                <w:bottom w:val="none" w:sz="0" w:space="0" w:color="auto"/>
                <w:right w:val="none" w:sz="0" w:space="0" w:color="auto"/>
              </w:divBdr>
            </w:div>
          </w:divsChild>
        </w:div>
        <w:div w:id="1621447165">
          <w:marLeft w:val="0"/>
          <w:marRight w:val="0"/>
          <w:marTop w:val="0"/>
          <w:marBottom w:val="0"/>
          <w:divBdr>
            <w:top w:val="none" w:sz="0" w:space="0" w:color="auto"/>
            <w:left w:val="none" w:sz="0" w:space="0" w:color="auto"/>
            <w:bottom w:val="none" w:sz="0" w:space="0" w:color="auto"/>
            <w:right w:val="none" w:sz="0" w:space="0" w:color="auto"/>
          </w:divBdr>
          <w:divsChild>
            <w:div w:id="1489902309">
              <w:marLeft w:val="0"/>
              <w:marRight w:val="0"/>
              <w:marTop w:val="0"/>
              <w:marBottom w:val="0"/>
              <w:divBdr>
                <w:top w:val="none" w:sz="0" w:space="0" w:color="auto"/>
                <w:left w:val="none" w:sz="0" w:space="0" w:color="auto"/>
                <w:bottom w:val="none" w:sz="0" w:space="0" w:color="auto"/>
                <w:right w:val="none" w:sz="0" w:space="0" w:color="auto"/>
              </w:divBdr>
            </w:div>
          </w:divsChild>
        </w:div>
        <w:div w:id="1629362380">
          <w:marLeft w:val="0"/>
          <w:marRight w:val="0"/>
          <w:marTop w:val="0"/>
          <w:marBottom w:val="0"/>
          <w:divBdr>
            <w:top w:val="none" w:sz="0" w:space="0" w:color="auto"/>
            <w:left w:val="none" w:sz="0" w:space="0" w:color="auto"/>
            <w:bottom w:val="none" w:sz="0" w:space="0" w:color="auto"/>
            <w:right w:val="none" w:sz="0" w:space="0" w:color="auto"/>
          </w:divBdr>
          <w:divsChild>
            <w:div w:id="1723096370">
              <w:marLeft w:val="0"/>
              <w:marRight w:val="0"/>
              <w:marTop w:val="0"/>
              <w:marBottom w:val="0"/>
              <w:divBdr>
                <w:top w:val="none" w:sz="0" w:space="0" w:color="auto"/>
                <w:left w:val="none" w:sz="0" w:space="0" w:color="auto"/>
                <w:bottom w:val="none" w:sz="0" w:space="0" w:color="auto"/>
                <w:right w:val="none" w:sz="0" w:space="0" w:color="auto"/>
              </w:divBdr>
            </w:div>
          </w:divsChild>
        </w:div>
        <w:div w:id="1640652648">
          <w:marLeft w:val="0"/>
          <w:marRight w:val="0"/>
          <w:marTop w:val="0"/>
          <w:marBottom w:val="0"/>
          <w:divBdr>
            <w:top w:val="none" w:sz="0" w:space="0" w:color="auto"/>
            <w:left w:val="none" w:sz="0" w:space="0" w:color="auto"/>
            <w:bottom w:val="none" w:sz="0" w:space="0" w:color="auto"/>
            <w:right w:val="none" w:sz="0" w:space="0" w:color="auto"/>
          </w:divBdr>
          <w:divsChild>
            <w:div w:id="1370108841">
              <w:marLeft w:val="0"/>
              <w:marRight w:val="0"/>
              <w:marTop w:val="0"/>
              <w:marBottom w:val="0"/>
              <w:divBdr>
                <w:top w:val="none" w:sz="0" w:space="0" w:color="auto"/>
                <w:left w:val="none" w:sz="0" w:space="0" w:color="auto"/>
                <w:bottom w:val="none" w:sz="0" w:space="0" w:color="auto"/>
                <w:right w:val="none" w:sz="0" w:space="0" w:color="auto"/>
              </w:divBdr>
            </w:div>
          </w:divsChild>
        </w:div>
        <w:div w:id="1714187132">
          <w:marLeft w:val="0"/>
          <w:marRight w:val="0"/>
          <w:marTop w:val="0"/>
          <w:marBottom w:val="0"/>
          <w:divBdr>
            <w:top w:val="none" w:sz="0" w:space="0" w:color="auto"/>
            <w:left w:val="none" w:sz="0" w:space="0" w:color="auto"/>
            <w:bottom w:val="none" w:sz="0" w:space="0" w:color="auto"/>
            <w:right w:val="none" w:sz="0" w:space="0" w:color="auto"/>
          </w:divBdr>
          <w:divsChild>
            <w:div w:id="1858037026">
              <w:marLeft w:val="0"/>
              <w:marRight w:val="0"/>
              <w:marTop w:val="0"/>
              <w:marBottom w:val="0"/>
              <w:divBdr>
                <w:top w:val="none" w:sz="0" w:space="0" w:color="auto"/>
                <w:left w:val="none" w:sz="0" w:space="0" w:color="auto"/>
                <w:bottom w:val="none" w:sz="0" w:space="0" w:color="auto"/>
                <w:right w:val="none" w:sz="0" w:space="0" w:color="auto"/>
              </w:divBdr>
            </w:div>
          </w:divsChild>
        </w:div>
        <w:div w:id="1790513215">
          <w:marLeft w:val="0"/>
          <w:marRight w:val="0"/>
          <w:marTop w:val="0"/>
          <w:marBottom w:val="0"/>
          <w:divBdr>
            <w:top w:val="none" w:sz="0" w:space="0" w:color="auto"/>
            <w:left w:val="none" w:sz="0" w:space="0" w:color="auto"/>
            <w:bottom w:val="none" w:sz="0" w:space="0" w:color="auto"/>
            <w:right w:val="none" w:sz="0" w:space="0" w:color="auto"/>
          </w:divBdr>
          <w:divsChild>
            <w:div w:id="1764448725">
              <w:marLeft w:val="0"/>
              <w:marRight w:val="0"/>
              <w:marTop w:val="0"/>
              <w:marBottom w:val="0"/>
              <w:divBdr>
                <w:top w:val="none" w:sz="0" w:space="0" w:color="auto"/>
                <w:left w:val="none" w:sz="0" w:space="0" w:color="auto"/>
                <w:bottom w:val="none" w:sz="0" w:space="0" w:color="auto"/>
                <w:right w:val="none" w:sz="0" w:space="0" w:color="auto"/>
              </w:divBdr>
            </w:div>
          </w:divsChild>
        </w:div>
        <w:div w:id="1799176282">
          <w:marLeft w:val="0"/>
          <w:marRight w:val="0"/>
          <w:marTop w:val="0"/>
          <w:marBottom w:val="0"/>
          <w:divBdr>
            <w:top w:val="none" w:sz="0" w:space="0" w:color="auto"/>
            <w:left w:val="none" w:sz="0" w:space="0" w:color="auto"/>
            <w:bottom w:val="none" w:sz="0" w:space="0" w:color="auto"/>
            <w:right w:val="none" w:sz="0" w:space="0" w:color="auto"/>
          </w:divBdr>
          <w:divsChild>
            <w:div w:id="1326396162">
              <w:marLeft w:val="0"/>
              <w:marRight w:val="0"/>
              <w:marTop w:val="0"/>
              <w:marBottom w:val="0"/>
              <w:divBdr>
                <w:top w:val="none" w:sz="0" w:space="0" w:color="auto"/>
                <w:left w:val="none" w:sz="0" w:space="0" w:color="auto"/>
                <w:bottom w:val="none" w:sz="0" w:space="0" w:color="auto"/>
                <w:right w:val="none" w:sz="0" w:space="0" w:color="auto"/>
              </w:divBdr>
            </w:div>
          </w:divsChild>
        </w:div>
        <w:div w:id="1849178489">
          <w:marLeft w:val="0"/>
          <w:marRight w:val="0"/>
          <w:marTop w:val="0"/>
          <w:marBottom w:val="0"/>
          <w:divBdr>
            <w:top w:val="none" w:sz="0" w:space="0" w:color="auto"/>
            <w:left w:val="none" w:sz="0" w:space="0" w:color="auto"/>
            <w:bottom w:val="none" w:sz="0" w:space="0" w:color="auto"/>
            <w:right w:val="none" w:sz="0" w:space="0" w:color="auto"/>
          </w:divBdr>
          <w:divsChild>
            <w:div w:id="312755745">
              <w:marLeft w:val="0"/>
              <w:marRight w:val="0"/>
              <w:marTop w:val="0"/>
              <w:marBottom w:val="0"/>
              <w:divBdr>
                <w:top w:val="none" w:sz="0" w:space="0" w:color="auto"/>
                <w:left w:val="none" w:sz="0" w:space="0" w:color="auto"/>
                <w:bottom w:val="none" w:sz="0" w:space="0" w:color="auto"/>
                <w:right w:val="none" w:sz="0" w:space="0" w:color="auto"/>
              </w:divBdr>
            </w:div>
          </w:divsChild>
        </w:div>
        <w:div w:id="1927491517">
          <w:marLeft w:val="0"/>
          <w:marRight w:val="0"/>
          <w:marTop w:val="0"/>
          <w:marBottom w:val="0"/>
          <w:divBdr>
            <w:top w:val="none" w:sz="0" w:space="0" w:color="auto"/>
            <w:left w:val="none" w:sz="0" w:space="0" w:color="auto"/>
            <w:bottom w:val="none" w:sz="0" w:space="0" w:color="auto"/>
            <w:right w:val="none" w:sz="0" w:space="0" w:color="auto"/>
          </w:divBdr>
          <w:divsChild>
            <w:div w:id="1965385281">
              <w:marLeft w:val="0"/>
              <w:marRight w:val="0"/>
              <w:marTop w:val="0"/>
              <w:marBottom w:val="0"/>
              <w:divBdr>
                <w:top w:val="none" w:sz="0" w:space="0" w:color="auto"/>
                <w:left w:val="none" w:sz="0" w:space="0" w:color="auto"/>
                <w:bottom w:val="none" w:sz="0" w:space="0" w:color="auto"/>
                <w:right w:val="none" w:sz="0" w:space="0" w:color="auto"/>
              </w:divBdr>
            </w:div>
          </w:divsChild>
        </w:div>
        <w:div w:id="1952937557">
          <w:marLeft w:val="0"/>
          <w:marRight w:val="0"/>
          <w:marTop w:val="0"/>
          <w:marBottom w:val="0"/>
          <w:divBdr>
            <w:top w:val="none" w:sz="0" w:space="0" w:color="auto"/>
            <w:left w:val="none" w:sz="0" w:space="0" w:color="auto"/>
            <w:bottom w:val="none" w:sz="0" w:space="0" w:color="auto"/>
            <w:right w:val="none" w:sz="0" w:space="0" w:color="auto"/>
          </w:divBdr>
          <w:divsChild>
            <w:div w:id="1758747731">
              <w:marLeft w:val="0"/>
              <w:marRight w:val="0"/>
              <w:marTop w:val="0"/>
              <w:marBottom w:val="0"/>
              <w:divBdr>
                <w:top w:val="none" w:sz="0" w:space="0" w:color="auto"/>
                <w:left w:val="none" w:sz="0" w:space="0" w:color="auto"/>
                <w:bottom w:val="none" w:sz="0" w:space="0" w:color="auto"/>
                <w:right w:val="none" w:sz="0" w:space="0" w:color="auto"/>
              </w:divBdr>
            </w:div>
          </w:divsChild>
        </w:div>
        <w:div w:id="1957101848">
          <w:marLeft w:val="0"/>
          <w:marRight w:val="0"/>
          <w:marTop w:val="0"/>
          <w:marBottom w:val="0"/>
          <w:divBdr>
            <w:top w:val="none" w:sz="0" w:space="0" w:color="auto"/>
            <w:left w:val="none" w:sz="0" w:space="0" w:color="auto"/>
            <w:bottom w:val="none" w:sz="0" w:space="0" w:color="auto"/>
            <w:right w:val="none" w:sz="0" w:space="0" w:color="auto"/>
          </w:divBdr>
          <w:divsChild>
            <w:div w:id="1522666436">
              <w:marLeft w:val="0"/>
              <w:marRight w:val="0"/>
              <w:marTop w:val="0"/>
              <w:marBottom w:val="0"/>
              <w:divBdr>
                <w:top w:val="none" w:sz="0" w:space="0" w:color="auto"/>
                <w:left w:val="none" w:sz="0" w:space="0" w:color="auto"/>
                <w:bottom w:val="none" w:sz="0" w:space="0" w:color="auto"/>
                <w:right w:val="none" w:sz="0" w:space="0" w:color="auto"/>
              </w:divBdr>
            </w:div>
          </w:divsChild>
        </w:div>
        <w:div w:id="1982464348">
          <w:marLeft w:val="0"/>
          <w:marRight w:val="0"/>
          <w:marTop w:val="0"/>
          <w:marBottom w:val="0"/>
          <w:divBdr>
            <w:top w:val="none" w:sz="0" w:space="0" w:color="auto"/>
            <w:left w:val="none" w:sz="0" w:space="0" w:color="auto"/>
            <w:bottom w:val="none" w:sz="0" w:space="0" w:color="auto"/>
            <w:right w:val="none" w:sz="0" w:space="0" w:color="auto"/>
          </w:divBdr>
          <w:divsChild>
            <w:div w:id="1716462721">
              <w:marLeft w:val="0"/>
              <w:marRight w:val="0"/>
              <w:marTop w:val="0"/>
              <w:marBottom w:val="0"/>
              <w:divBdr>
                <w:top w:val="none" w:sz="0" w:space="0" w:color="auto"/>
                <w:left w:val="none" w:sz="0" w:space="0" w:color="auto"/>
                <w:bottom w:val="none" w:sz="0" w:space="0" w:color="auto"/>
                <w:right w:val="none" w:sz="0" w:space="0" w:color="auto"/>
              </w:divBdr>
            </w:div>
          </w:divsChild>
        </w:div>
        <w:div w:id="2015447906">
          <w:marLeft w:val="0"/>
          <w:marRight w:val="0"/>
          <w:marTop w:val="0"/>
          <w:marBottom w:val="0"/>
          <w:divBdr>
            <w:top w:val="none" w:sz="0" w:space="0" w:color="auto"/>
            <w:left w:val="none" w:sz="0" w:space="0" w:color="auto"/>
            <w:bottom w:val="none" w:sz="0" w:space="0" w:color="auto"/>
            <w:right w:val="none" w:sz="0" w:space="0" w:color="auto"/>
          </w:divBdr>
          <w:divsChild>
            <w:div w:id="10968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1325">
      <w:bodyDiv w:val="1"/>
      <w:marLeft w:val="0"/>
      <w:marRight w:val="0"/>
      <w:marTop w:val="0"/>
      <w:marBottom w:val="0"/>
      <w:divBdr>
        <w:top w:val="none" w:sz="0" w:space="0" w:color="auto"/>
        <w:left w:val="none" w:sz="0" w:space="0" w:color="auto"/>
        <w:bottom w:val="none" w:sz="0" w:space="0" w:color="auto"/>
        <w:right w:val="none" w:sz="0" w:space="0" w:color="auto"/>
      </w:divBdr>
    </w:div>
    <w:div w:id="815338142">
      <w:bodyDiv w:val="1"/>
      <w:marLeft w:val="0"/>
      <w:marRight w:val="0"/>
      <w:marTop w:val="0"/>
      <w:marBottom w:val="0"/>
      <w:divBdr>
        <w:top w:val="none" w:sz="0" w:space="0" w:color="auto"/>
        <w:left w:val="none" w:sz="0" w:space="0" w:color="auto"/>
        <w:bottom w:val="none" w:sz="0" w:space="0" w:color="auto"/>
        <w:right w:val="none" w:sz="0" w:space="0" w:color="auto"/>
      </w:divBdr>
    </w:div>
    <w:div w:id="839154247">
      <w:bodyDiv w:val="1"/>
      <w:marLeft w:val="0"/>
      <w:marRight w:val="0"/>
      <w:marTop w:val="0"/>
      <w:marBottom w:val="0"/>
      <w:divBdr>
        <w:top w:val="none" w:sz="0" w:space="0" w:color="auto"/>
        <w:left w:val="none" w:sz="0" w:space="0" w:color="auto"/>
        <w:bottom w:val="none" w:sz="0" w:space="0" w:color="auto"/>
        <w:right w:val="none" w:sz="0" w:space="0" w:color="auto"/>
      </w:divBdr>
    </w:div>
    <w:div w:id="868496664">
      <w:bodyDiv w:val="1"/>
      <w:marLeft w:val="0"/>
      <w:marRight w:val="0"/>
      <w:marTop w:val="0"/>
      <w:marBottom w:val="0"/>
      <w:divBdr>
        <w:top w:val="none" w:sz="0" w:space="0" w:color="auto"/>
        <w:left w:val="none" w:sz="0" w:space="0" w:color="auto"/>
        <w:bottom w:val="none" w:sz="0" w:space="0" w:color="auto"/>
        <w:right w:val="none" w:sz="0" w:space="0" w:color="auto"/>
      </w:divBdr>
      <w:divsChild>
        <w:div w:id="517816699">
          <w:marLeft w:val="0"/>
          <w:marRight w:val="0"/>
          <w:marTop w:val="0"/>
          <w:marBottom w:val="0"/>
          <w:divBdr>
            <w:top w:val="none" w:sz="0" w:space="0" w:color="auto"/>
            <w:left w:val="none" w:sz="0" w:space="0" w:color="auto"/>
            <w:bottom w:val="none" w:sz="0" w:space="0" w:color="auto"/>
            <w:right w:val="none" w:sz="0" w:space="0" w:color="auto"/>
          </w:divBdr>
        </w:div>
      </w:divsChild>
    </w:div>
    <w:div w:id="870530420">
      <w:bodyDiv w:val="1"/>
      <w:marLeft w:val="0"/>
      <w:marRight w:val="0"/>
      <w:marTop w:val="0"/>
      <w:marBottom w:val="0"/>
      <w:divBdr>
        <w:top w:val="none" w:sz="0" w:space="0" w:color="auto"/>
        <w:left w:val="none" w:sz="0" w:space="0" w:color="auto"/>
        <w:bottom w:val="none" w:sz="0" w:space="0" w:color="auto"/>
        <w:right w:val="none" w:sz="0" w:space="0" w:color="auto"/>
      </w:divBdr>
      <w:divsChild>
        <w:div w:id="1278830881">
          <w:marLeft w:val="0"/>
          <w:marRight w:val="0"/>
          <w:marTop w:val="0"/>
          <w:marBottom w:val="0"/>
          <w:divBdr>
            <w:top w:val="none" w:sz="0" w:space="0" w:color="auto"/>
            <w:left w:val="none" w:sz="0" w:space="0" w:color="auto"/>
            <w:bottom w:val="none" w:sz="0" w:space="0" w:color="auto"/>
            <w:right w:val="none" w:sz="0" w:space="0" w:color="auto"/>
          </w:divBdr>
        </w:div>
      </w:divsChild>
    </w:div>
    <w:div w:id="875892605">
      <w:bodyDiv w:val="1"/>
      <w:marLeft w:val="0"/>
      <w:marRight w:val="0"/>
      <w:marTop w:val="0"/>
      <w:marBottom w:val="0"/>
      <w:divBdr>
        <w:top w:val="none" w:sz="0" w:space="0" w:color="auto"/>
        <w:left w:val="none" w:sz="0" w:space="0" w:color="auto"/>
        <w:bottom w:val="none" w:sz="0" w:space="0" w:color="auto"/>
        <w:right w:val="none" w:sz="0" w:space="0" w:color="auto"/>
      </w:divBdr>
      <w:divsChild>
        <w:div w:id="1601791211">
          <w:marLeft w:val="0"/>
          <w:marRight w:val="0"/>
          <w:marTop w:val="0"/>
          <w:marBottom w:val="0"/>
          <w:divBdr>
            <w:top w:val="none" w:sz="0" w:space="0" w:color="auto"/>
            <w:left w:val="none" w:sz="0" w:space="0" w:color="auto"/>
            <w:bottom w:val="none" w:sz="0" w:space="0" w:color="auto"/>
            <w:right w:val="none" w:sz="0" w:space="0" w:color="auto"/>
          </w:divBdr>
        </w:div>
      </w:divsChild>
    </w:div>
    <w:div w:id="902326307">
      <w:bodyDiv w:val="1"/>
      <w:marLeft w:val="0"/>
      <w:marRight w:val="0"/>
      <w:marTop w:val="0"/>
      <w:marBottom w:val="0"/>
      <w:divBdr>
        <w:top w:val="none" w:sz="0" w:space="0" w:color="auto"/>
        <w:left w:val="none" w:sz="0" w:space="0" w:color="auto"/>
        <w:bottom w:val="none" w:sz="0" w:space="0" w:color="auto"/>
        <w:right w:val="none" w:sz="0" w:space="0" w:color="auto"/>
      </w:divBdr>
    </w:div>
    <w:div w:id="915431645">
      <w:bodyDiv w:val="1"/>
      <w:marLeft w:val="0"/>
      <w:marRight w:val="0"/>
      <w:marTop w:val="0"/>
      <w:marBottom w:val="0"/>
      <w:divBdr>
        <w:top w:val="none" w:sz="0" w:space="0" w:color="auto"/>
        <w:left w:val="none" w:sz="0" w:space="0" w:color="auto"/>
        <w:bottom w:val="none" w:sz="0" w:space="0" w:color="auto"/>
        <w:right w:val="none" w:sz="0" w:space="0" w:color="auto"/>
      </w:divBdr>
    </w:div>
    <w:div w:id="917901543">
      <w:bodyDiv w:val="1"/>
      <w:marLeft w:val="0"/>
      <w:marRight w:val="0"/>
      <w:marTop w:val="0"/>
      <w:marBottom w:val="0"/>
      <w:divBdr>
        <w:top w:val="none" w:sz="0" w:space="0" w:color="auto"/>
        <w:left w:val="none" w:sz="0" w:space="0" w:color="auto"/>
        <w:bottom w:val="none" w:sz="0" w:space="0" w:color="auto"/>
        <w:right w:val="none" w:sz="0" w:space="0" w:color="auto"/>
      </w:divBdr>
      <w:divsChild>
        <w:div w:id="136923112">
          <w:marLeft w:val="0"/>
          <w:marRight w:val="0"/>
          <w:marTop w:val="0"/>
          <w:marBottom w:val="0"/>
          <w:divBdr>
            <w:top w:val="none" w:sz="0" w:space="0" w:color="auto"/>
            <w:left w:val="none" w:sz="0" w:space="0" w:color="auto"/>
            <w:bottom w:val="none" w:sz="0" w:space="0" w:color="auto"/>
            <w:right w:val="none" w:sz="0" w:space="0" w:color="auto"/>
          </w:divBdr>
        </w:div>
      </w:divsChild>
    </w:div>
    <w:div w:id="920867454">
      <w:bodyDiv w:val="1"/>
      <w:marLeft w:val="0"/>
      <w:marRight w:val="0"/>
      <w:marTop w:val="0"/>
      <w:marBottom w:val="0"/>
      <w:divBdr>
        <w:top w:val="none" w:sz="0" w:space="0" w:color="auto"/>
        <w:left w:val="none" w:sz="0" w:space="0" w:color="auto"/>
        <w:bottom w:val="none" w:sz="0" w:space="0" w:color="auto"/>
        <w:right w:val="none" w:sz="0" w:space="0" w:color="auto"/>
      </w:divBdr>
      <w:divsChild>
        <w:div w:id="1206676816">
          <w:marLeft w:val="0"/>
          <w:marRight w:val="0"/>
          <w:marTop w:val="0"/>
          <w:marBottom w:val="0"/>
          <w:divBdr>
            <w:top w:val="none" w:sz="0" w:space="0" w:color="auto"/>
            <w:left w:val="none" w:sz="0" w:space="0" w:color="auto"/>
            <w:bottom w:val="none" w:sz="0" w:space="0" w:color="auto"/>
            <w:right w:val="none" w:sz="0" w:space="0" w:color="auto"/>
          </w:divBdr>
        </w:div>
      </w:divsChild>
    </w:div>
    <w:div w:id="96234589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88">
          <w:marLeft w:val="0"/>
          <w:marRight w:val="0"/>
          <w:marTop w:val="0"/>
          <w:marBottom w:val="0"/>
          <w:divBdr>
            <w:top w:val="none" w:sz="0" w:space="0" w:color="auto"/>
            <w:left w:val="none" w:sz="0" w:space="0" w:color="auto"/>
            <w:bottom w:val="none" w:sz="0" w:space="0" w:color="auto"/>
            <w:right w:val="none" w:sz="0" w:space="0" w:color="auto"/>
          </w:divBdr>
        </w:div>
      </w:divsChild>
    </w:div>
    <w:div w:id="980499579">
      <w:bodyDiv w:val="1"/>
      <w:marLeft w:val="0"/>
      <w:marRight w:val="0"/>
      <w:marTop w:val="0"/>
      <w:marBottom w:val="0"/>
      <w:divBdr>
        <w:top w:val="none" w:sz="0" w:space="0" w:color="auto"/>
        <w:left w:val="none" w:sz="0" w:space="0" w:color="auto"/>
        <w:bottom w:val="none" w:sz="0" w:space="0" w:color="auto"/>
        <w:right w:val="none" w:sz="0" w:space="0" w:color="auto"/>
      </w:divBdr>
      <w:divsChild>
        <w:div w:id="2019232073">
          <w:marLeft w:val="0"/>
          <w:marRight w:val="0"/>
          <w:marTop w:val="0"/>
          <w:marBottom w:val="0"/>
          <w:divBdr>
            <w:top w:val="none" w:sz="0" w:space="0" w:color="auto"/>
            <w:left w:val="none" w:sz="0" w:space="0" w:color="auto"/>
            <w:bottom w:val="none" w:sz="0" w:space="0" w:color="auto"/>
            <w:right w:val="none" w:sz="0" w:space="0" w:color="auto"/>
          </w:divBdr>
        </w:div>
      </w:divsChild>
    </w:div>
    <w:div w:id="984705371">
      <w:bodyDiv w:val="1"/>
      <w:marLeft w:val="0"/>
      <w:marRight w:val="0"/>
      <w:marTop w:val="0"/>
      <w:marBottom w:val="0"/>
      <w:divBdr>
        <w:top w:val="none" w:sz="0" w:space="0" w:color="auto"/>
        <w:left w:val="none" w:sz="0" w:space="0" w:color="auto"/>
        <w:bottom w:val="none" w:sz="0" w:space="0" w:color="auto"/>
        <w:right w:val="none" w:sz="0" w:space="0" w:color="auto"/>
      </w:divBdr>
      <w:divsChild>
        <w:div w:id="991525901">
          <w:marLeft w:val="0"/>
          <w:marRight w:val="0"/>
          <w:marTop w:val="0"/>
          <w:marBottom w:val="0"/>
          <w:divBdr>
            <w:top w:val="none" w:sz="0" w:space="0" w:color="auto"/>
            <w:left w:val="none" w:sz="0" w:space="0" w:color="auto"/>
            <w:bottom w:val="none" w:sz="0" w:space="0" w:color="auto"/>
            <w:right w:val="none" w:sz="0" w:space="0" w:color="auto"/>
          </w:divBdr>
        </w:div>
      </w:divsChild>
    </w:div>
    <w:div w:id="1036811512">
      <w:bodyDiv w:val="1"/>
      <w:marLeft w:val="0"/>
      <w:marRight w:val="0"/>
      <w:marTop w:val="0"/>
      <w:marBottom w:val="0"/>
      <w:divBdr>
        <w:top w:val="none" w:sz="0" w:space="0" w:color="auto"/>
        <w:left w:val="none" w:sz="0" w:space="0" w:color="auto"/>
        <w:bottom w:val="none" w:sz="0" w:space="0" w:color="auto"/>
        <w:right w:val="none" w:sz="0" w:space="0" w:color="auto"/>
      </w:divBdr>
    </w:div>
    <w:div w:id="1050150334">
      <w:bodyDiv w:val="1"/>
      <w:marLeft w:val="0"/>
      <w:marRight w:val="0"/>
      <w:marTop w:val="0"/>
      <w:marBottom w:val="0"/>
      <w:divBdr>
        <w:top w:val="none" w:sz="0" w:space="0" w:color="auto"/>
        <w:left w:val="none" w:sz="0" w:space="0" w:color="auto"/>
        <w:bottom w:val="none" w:sz="0" w:space="0" w:color="auto"/>
        <w:right w:val="none" w:sz="0" w:space="0" w:color="auto"/>
      </w:divBdr>
      <w:divsChild>
        <w:div w:id="2974754">
          <w:marLeft w:val="0"/>
          <w:marRight w:val="0"/>
          <w:marTop w:val="0"/>
          <w:marBottom w:val="0"/>
          <w:divBdr>
            <w:top w:val="none" w:sz="0" w:space="0" w:color="auto"/>
            <w:left w:val="none" w:sz="0" w:space="0" w:color="auto"/>
            <w:bottom w:val="none" w:sz="0" w:space="0" w:color="auto"/>
            <w:right w:val="none" w:sz="0" w:space="0" w:color="auto"/>
          </w:divBdr>
          <w:divsChild>
            <w:div w:id="863321763">
              <w:marLeft w:val="0"/>
              <w:marRight w:val="0"/>
              <w:marTop w:val="0"/>
              <w:marBottom w:val="0"/>
              <w:divBdr>
                <w:top w:val="none" w:sz="0" w:space="0" w:color="auto"/>
                <w:left w:val="none" w:sz="0" w:space="0" w:color="auto"/>
                <w:bottom w:val="none" w:sz="0" w:space="0" w:color="auto"/>
                <w:right w:val="none" w:sz="0" w:space="0" w:color="auto"/>
              </w:divBdr>
            </w:div>
          </w:divsChild>
        </w:div>
        <w:div w:id="29116715">
          <w:marLeft w:val="0"/>
          <w:marRight w:val="0"/>
          <w:marTop w:val="0"/>
          <w:marBottom w:val="0"/>
          <w:divBdr>
            <w:top w:val="none" w:sz="0" w:space="0" w:color="auto"/>
            <w:left w:val="none" w:sz="0" w:space="0" w:color="auto"/>
            <w:bottom w:val="none" w:sz="0" w:space="0" w:color="auto"/>
            <w:right w:val="none" w:sz="0" w:space="0" w:color="auto"/>
          </w:divBdr>
          <w:divsChild>
            <w:div w:id="1099061474">
              <w:marLeft w:val="0"/>
              <w:marRight w:val="0"/>
              <w:marTop w:val="0"/>
              <w:marBottom w:val="0"/>
              <w:divBdr>
                <w:top w:val="none" w:sz="0" w:space="0" w:color="auto"/>
                <w:left w:val="none" w:sz="0" w:space="0" w:color="auto"/>
                <w:bottom w:val="none" w:sz="0" w:space="0" w:color="auto"/>
                <w:right w:val="none" w:sz="0" w:space="0" w:color="auto"/>
              </w:divBdr>
            </w:div>
          </w:divsChild>
        </w:div>
        <w:div w:id="34429918">
          <w:marLeft w:val="0"/>
          <w:marRight w:val="0"/>
          <w:marTop w:val="0"/>
          <w:marBottom w:val="0"/>
          <w:divBdr>
            <w:top w:val="none" w:sz="0" w:space="0" w:color="auto"/>
            <w:left w:val="none" w:sz="0" w:space="0" w:color="auto"/>
            <w:bottom w:val="none" w:sz="0" w:space="0" w:color="auto"/>
            <w:right w:val="none" w:sz="0" w:space="0" w:color="auto"/>
          </w:divBdr>
          <w:divsChild>
            <w:div w:id="1567259613">
              <w:marLeft w:val="0"/>
              <w:marRight w:val="0"/>
              <w:marTop w:val="0"/>
              <w:marBottom w:val="0"/>
              <w:divBdr>
                <w:top w:val="none" w:sz="0" w:space="0" w:color="auto"/>
                <w:left w:val="none" w:sz="0" w:space="0" w:color="auto"/>
                <w:bottom w:val="none" w:sz="0" w:space="0" w:color="auto"/>
                <w:right w:val="none" w:sz="0" w:space="0" w:color="auto"/>
              </w:divBdr>
            </w:div>
          </w:divsChild>
        </w:div>
        <w:div w:id="36050394">
          <w:marLeft w:val="0"/>
          <w:marRight w:val="0"/>
          <w:marTop w:val="0"/>
          <w:marBottom w:val="0"/>
          <w:divBdr>
            <w:top w:val="none" w:sz="0" w:space="0" w:color="auto"/>
            <w:left w:val="none" w:sz="0" w:space="0" w:color="auto"/>
            <w:bottom w:val="none" w:sz="0" w:space="0" w:color="auto"/>
            <w:right w:val="none" w:sz="0" w:space="0" w:color="auto"/>
          </w:divBdr>
          <w:divsChild>
            <w:div w:id="125514409">
              <w:marLeft w:val="0"/>
              <w:marRight w:val="0"/>
              <w:marTop w:val="0"/>
              <w:marBottom w:val="0"/>
              <w:divBdr>
                <w:top w:val="none" w:sz="0" w:space="0" w:color="auto"/>
                <w:left w:val="none" w:sz="0" w:space="0" w:color="auto"/>
                <w:bottom w:val="none" w:sz="0" w:space="0" w:color="auto"/>
                <w:right w:val="none" w:sz="0" w:space="0" w:color="auto"/>
              </w:divBdr>
            </w:div>
          </w:divsChild>
        </w:div>
        <w:div w:id="75060637">
          <w:marLeft w:val="0"/>
          <w:marRight w:val="0"/>
          <w:marTop w:val="0"/>
          <w:marBottom w:val="0"/>
          <w:divBdr>
            <w:top w:val="none" w:sz="0" w:space="0" w:color="auto"/>
            <w:left w:val="none" w:sz="0" w:space="0" w:color="auto"/>
            <w:bottom w:val="none" w:sz="0" w:space="0" w:color="auto"/>
            <w:right w:val="none" w:sz="0" w:space="0" w:color="auto"/>
          </w:divBdr>
          <w:divsChild>
            <w:div w:id="1839540367">
              <w:marLeft w:val="0"/>
              <w:marRight w:val="0"/>
              <w:marTop w:val="0"/>
              <w:marBottom w:val="0"/>
              <w:divBdr>
                <w:top w:val="none" w:sz="0" w:space="0" w:color="auto"/>
                <w:left w:val="none" w:sz="0" w:space="0" w:color="auto"/>
                <w:bottom w:val="none" w:sz="0" w:space="0" w:color="auto"/>
                <w:right w:val="none" w:sz="0" w:space="0" w:color="auto"/>
              </w:divBdr>
            </w:div>
          </w:divsChild>
        </w:div>
        <w:div w:id="85465253">
          <w:marLeft w:val="0"/>
          <w:marRight w:val="0"/>
          <w:marTop w:val="0"/>
          <w:marBottom w:val="0"/>
          <w:divBdr>
            <w:top w:val="none" w:sz="0" w:space="0" w:color="auto"/>
            <w:left w:val="none" w:sz="0" w:space="0" w:color="auto"/>
            <w:bottom w:val="none" w:sz="0" w:space="0" w:color="auto"/>
            <w:right w:val="none" w:sz="0" w:space="0" w:color="auto"/>
          </w:divBdr>
          <w:divsChild>
            <w:div w:id="282003013">
              <w:marLeft w:val="0"/>
              <w:marRight w:val="0"/>
              <w:marTop w:val="0"/>
              <w:marBottom w:val="0"/>
              <w:divBdr>
                <w:top w:val="none" w:sz="0" w:space="0" w:color="auto"/>
                <w:left w:val="none" w:sz="0" w:space="0" w:color="auto"/>
                <w:bottom w:val="none" w:sz="0" w:space="0" w:color="auto"/>
                <w:right w:val="none" w:sz="0" w:space="0" w:color="auto"/>
              </w:divBdr>
            </w:div>
          </w:divsChild>
        </w:div>
        <w:div w:id="96947137">
          <w:marLeft w:val="0"/>
          <w:marRight w:val="0"/>
          <w:marTop w:val="0"/>
          <w:marBottom w:val="0"/>
          <w:divBdr>
            <w:top w:val="none" w:sz="0" w:space="0" w:color="auto"/>
            <w:left w:val="none" w:sz="0" w:space="0" w:color="auto"/>
            <w:bottom w:val="none" w:sz="0" w:space="0" w:color="auto"/>
            <w:right w:val="none" w:sz="0" w:space="0" w:color="auto"/>
          </w:divBdr>
          <w:divsChild>
            <w:div w:id="754939125">
              <w:marLeft w:val="0"/>
              <w:marRight w:val="0"/>
              <w:marTop w:val="0"/>
              <w:marBottom w:val="0"/>
              <w:divBdr>
                <w:top w:val="none" w:sz="0" w:space="0" w:color="auto"/>
                <w:left w:val="none" w:sz="0" w:space="0" w:color="auto"/>
                <w:bottom w:val="none" w:sz="0" w:space="0" w:color="auto"/>
                <w:right w:val="none" w:sz="0" w:space="0" w:color="auto"/>
              </w:divBdr>
            </w:div>
          </w:divsChild>
        </w:div>
        <w:div w:id="97335264">
          <w:marLeft w:val="0"/>
          <w:marRight w:val="0"/>
          <w:marTop w:val="0"/>
          <w:marBottom w:val="0"/>
          <w:divBdr>
            <w:top w:val="none" w:sz="0" w:space="0" w:color="auto"/>
            <w:left w:val="none" w:sz="0" w:space="0" w:color="auto"/>
            <w:bottom w:val="none" w:sz="0" w:space="0" w:color="auto"/>
            <w:right w:val="none" w:sz="0" w:space="0" w:color="auto"/>
          </w:divBdr>
          <w:divsChild>
            <w:div w:id="2012680747">
              <w:marLeft w:val="0"/>
              <w:marRight w:val="0"/>
              <w:marTop w:val="0"/>
              <w:marBottom w:val="0"/>
              <w:divBdr>
                <w:top w:val="none" w:sz="0" w:space="0" w:color="auto"/>
                <w:left w:val="none" w:sz="0" w:space="0" w:color="auto"/>
                <w:bottom w:val="none" w:sz="0" w:space="0" w:color="auto"/>
                <w:right w:val="none" w:sz="0" w:space="0" w:color="auto"/>
              </w:divBdr>
            </w:div>
          </w:divsChild>
        </w:div>
        <w:div w:id="102917672">
          <w:marLeft w:val="0"/>
          <w:marRight w:val="0"/>
          <w:marTop w:val="0"/>
          <w:marBottom w:val="0"/>
          <w:divBdr>
            <w:top w:val="none" w:sz="0" w:space="0" w:color="auto"/>
            <w:left w:val="none" w:sz="0" w:space="0" w:color="auto"/>
            <w:bottom w:val="none" w:sz="0" w:space="0" w:color="auto"/>
            <w:right w:val="none" w:sz="0" w:space="0" w:color="auto"/>
          </w:divBdr>
          <w:divsChild>
            <w:div w:id="1531067857">
              <w:marLeft w:val="0"/>
              <w:marRight w:val="0"/>
              <w:marTop w:val="0"/>
              <w:marBottom w:val="0"/>
              <w:divBdr>
                <w:top w:val="none" w:sz="0" w:space="0" w:color="auto"/>
                <w:left w:val="none" w:sz="0" w:space="0" w:color="auto"/>
                <w:bottom w:val="none" w:sz="0" w:space="0" w:color="auto"/>
                <w:right w:val="none" w:sz="0" w:space="0" w:color="auto"/>
              </w:divBdr>
            </w:div>
          </w:divsChild>
        </w:div>
        <w:div w:id="114326590">
          <w:marLeft w:val="0"/>
          <w:marRight w:val="0"/>
          <w:marTop w:val="0"/>
          <w:marBottom w:val="0"/>
          <w:divBdr>
            <w:top w:val="none" w:sz="0" w:space="0" w:color="auto"/>
            <w:left w:val="none" w:sz="0" w:space="0" w:color="auto"/>
            <w:bottom w:val="none" w:sz="0" w:space="0" w:color="auto"/>
            <w:right w:val="none" w:sz="0" w:space="0" w:color="auto"/>
          </w:divBdr>
          <w:divsChild>
            <w:div w:id="1143691007">
              <w:marLeft w:val="0"/>
              <w:marRight w:val="0"/>
              <w:marTop w:val="0"/>
              <w:marBottom w:val="0"/>
              <w:divBdr>
                <w:top w:val="none" w:sz="0" w:space="0" w:color="auto"/>
                <w:left w:val="none" w:sz="0" w:space="0" w:color="auto"/>
                <w:bottom w:val="none" w:sz="0" w:space="0" w:color="auto"/>
                <w:right w:val="none" w:sz="0" w:space="0" w:color="auto"/>
              </w:divBdr>
            </w:div>
          </w:divsChild>
        </w:div>
        <w:div w:id="151261535">
          <w:marLeft w:val="0"/>
          <w:marRight w:val="0"/>
          <w:marTop w:val="0"/>
          <w:marBottom w:val="0"/>
          <w:divBdr>
            <w:top w:val="none" w:sz="0" w:space="0" w:color="auto"/>
            <w:left w:val="none" w:sz="0" w:space="0" w:color="auto"/>
            <w:bottom w:val="none" w:sz="0" w:space="0" w:color="auto"/>
            <w:right w:val="none" w:sz="0" w:space="0" w:color="auto"/>
          </w:divBdr>
          <w:divsChild>
            <w:div w:id="175467034">
              <w:marLeft w:val="0"/>
              <w:marRight w:val="0"/>
              <w:marTop w:val="0"/>
              <w:marBottom w:val="0"/>
              <w:divBdr>
                <w:top w:val="none" w:sz="0" w:space="0" w:color="auto"/>
                <w:left w:val="none" w:sz="0" w:space="0" w:color="auto"/>
                <w:bottom w:val="none" w:sz="0" w:space="0" w:color="auto"/>
                <w:right w:val="none" w:sz="0" w:space="0" w:color="auto"/>
              </w:divBdr>
            </w:div>
          </w:divsChild>
        </w:div>
        <w:div w:id="165751501">
          <w:marLeft w:val="0"/>
          <w:marRight w:val="0"/>
          <w:marTop w:val="0"/>
          <w:marBottom w:val="0"/>
          <w:divBdr>
            <w:top w:val="none" w:sz="0" w:space="0" w:color="auto"/>
            <w:left w:val="none" w:sz="0" w:space="0" w:color="auto"/>
            <w:bottom w:val="none" w:sz="0" w:space="0" w:color="auto"/>
            <w:right w:val="none" w:sz="0" w:space="0" w:color="auto"/>
          </w:divBdr>
          <w:divsChild>
            <w:div w:id="1268661432">
              <w:marLeft w:val="0"/>
              <w:marRight w:val="0"/>
              <w:marTop w:val="0"/>
              <w:marBottom w:val="0"/>
              <w:divBdr>
                <w:top w:val="none" w:sz="0" w:space="0" w:color="auto"/>
                <w:left w:val="none" w:sz="0" w:space="0" w:color="auto"/>
                <w:bottom w:val="none" w:sz="0" w:space="0" w:color="auto"/>
                <w:right w:val="none" w:sz="0" w:space="0" w:color="auto"/>
              </w:divBdr>
            </w:div>
          </w:divsChild>
        </w:div>
        <w:div w:id="167210358">
          <w:marLeft w:val="0"/>
          <w:marRight w:val="0"/>
          <w:marTop w:val="0"/>
          <w:marBottom w:val="0"/>
          <w:divBdr>
            <w:top w:val="none" w:sz="0" w:space="0" w:color="auto"/>
            <w:left w:val="none" w:sz="0" w:space="0" w:color="auto"/>
            <w:bottom w:val="none" w:sz="0" w:space="0" w:color="auto"/>
            <w:right w:val="none" w:sz="0" w:space="0" w:color="auto"/>
          </w:divBdr>
          <w:divsChild>
            <w:div w:id="1296721637">
              <w:marLeft w:val="0"/>
              <w:marRight w:val="0"/>
              <w:marTop w:val="0"/>
              <w:marBottom w:val="0"/>
              <w:divBdr>
                <w:top w:val="none" w:sz="0" w:space="0" w:color="auto"/>
                <w:left w:val="none" w:sz="0" w:space="0" w:color="auto"/>
                <w:bottom w:val="none" w:sz="0" w:space="0" w:color="auto"/>
                <w:right w:val="none" w:sz="0" w:space="0" w:color="auto"/>
              </w:divBdr>
            </w:div>
          </w:divsChild>
        </w:div>
        <w:div w:id="193424324">
          <w:marLeft w:val="0"/>
          <w:marRight w:val="0"/>
          <w:marTop w:val="0"/>
          <w:marBottom w:val="0"/>
          <w:divBdr>
            <w:top w:val="none" w:sz="0" w:space="0" w:color="auto"/>
            <w:left w:val="none" w:sz="0" w:space="0" w:color="auto"/>
            <w:bottom w:val="none" w:sz="0" w:space="0" w:color="auto"/>
            <w:right w:val="none" w:sz="0" w:space="0" w:color="auto"/>
          </w:divBdr>
          <w:divsChild>
            <w:div w:id="399911525">
              <w:marLeft w:val="0"/>
              <w:marRight w:val="0"/>
              <w:marTop w:val="0"/>
              <w:marBottom w:val="0"/>
              <w:divBdr>
                <w:top w:val="none" w:sz="0" w:space="0" w:color="auto"/>
                <w:left w:val="none" w:sz="0" w:space="0" w:color="auto"/>
                <w:bottom w:val="none" w:sz="0" w:space="0" w:color="auto"/>
                <w:right w:val="none" w:sz="0" w:space="0" w:color="auto"/>
              </w:divBdr>
            </w:div>
          </w:divsChild>
        </w:div>
        <w:div w:id="206845516">
          <w:marLeft w:val="0"/>
          <w:marRight w:val="0"/>
          <w:marTop w:val="0"/>
          <w:marBottom w:val="0"/>
          <w:divBdr>
            <w:top w:val="none" w:sz="0" w:space="0" w:color="auto"/>
            <w:left w:val="none" w:sz="0" w:space="0" w:color="auto"/>
            <w:bottom w:val="none" w:sz="0" w:space="0" w:color="auto"/>
            <w:right w:val="none" w:sz="0" w:space="0" w:color="auto"/>
          </w:divBdr>
          <w:divsChild>
            <w:div w:id="2027294094">
              <w:marLeft w:val="0"/>
              <w:marRight w:val="0"/>
              <w:marTop w:val="0"/>
              <w:marBottom w:val="0"/>
              <w:divBdr>
                <w:top w:val="none" w:sz="0" w:space="0" w:color="auto"/>
                <w:left w:val="none" w:sz="0" w:space="0" w:color="auto"/>
                <w:bottom w:val="none" w:sz="0" w:space="0" w:color="auto"/>
                <w:right w:val="none" w:sz="0" w:space="0" w:color="auto"/>
              </w:divBdr>
            </w:div>
          </w:divsChild>
        </w:div>
        <w:div w:id="235821416">
          <w:marLeft w:val="0"/>
          <w:marRight w:val="0"/>
          <w:marTop w:val="0"/>
          <w:marBottom w:val="0"/>
          <w:divBdr>
            <w:top w:val="none" w:sz="0" w:space="0" w:color="auto"/>
            <w:left w:val="none" w:sz="0" w:space="0" w:color="auto"/>
            <w:bottom w:val="none" w:sz="0" w:space="0" w:color="auto"/>
            <w:right w:val="none" w:sz="0" w:space="0" w:color="auto"/>
          </w:divBdr>
          <w:divsChild>
            <w:div w:id="2093358409">
              <w:marLeft w:val="0"/>
              <w:marRight w:val="0"/>
              <w:marTop w:val="0"/>
              <w:marBottom w:val="0"/>
              <w:divBdr>
                <w:top w:val="none" w:sz="0" w:space="0" w:color="auto"/>
                <w:left w:val="none" w:sz="0" w:space="0" w:color="auto"/>
                <w:bottom w:val="none" w:sz="0" w:space="0" w:color="auto"/>
                <w:right w:val="none" w:sz="0" w:space="0" w:color="auto"/>
              </w:divBdr>
            </w:div>
          </w:divsChild>
        </w:div>
        <w:div w:id="256987931">
          <w:marLeft w:val="0"/>
          <w:marRight w:val="0"/>
          <w:marTop w:val="0"/>
          <w:marBottom w:val="0"/>
          <w:divBdr>
            <w:top w:val="none" w:sz="0" w:space="0" w:color="auto"/>
            <w:left w:val="none" w:sz="0" w:space="0" w:color="auto"/>
            <w:bottom w:val="none" w:sz="0" w:space="0" w:color="auto"/>
            <w:right w:val="none" w:sz="0" w:space="0" w:color="auto"/>
          </w:divBdr>
          <w:divsChild>
            <w:div w:id="475877469">
              <w:marLeft w:val="0"/>
              <w:marRight w:val="0"/>
              <w:marTop w:val="0"/>
              <w:marBottom w:val="0"/>
              <w:divBdr>
                <w:top w:val="none" w:sz="0" w:space="0" w:color="auto"/>
                <w:left w:val="none" w:sz="0" w:space="0" w:color="auto"/>
                <w:bottom w:val="none" w:sz="0" w:space="0" w:color="auto"/>
                <w:right w:val="none" w:sz="0" w:space="0" w:color="auto"/>
              </w:divBdr>
            </w:div>
          </w:divsChild>
        </w:div>
        <w:div w:id="268127899">
          <w:marLeft w:val="0"/>
          <w:marRight w:val="0"/>
          <w:marTop w:val="0"/>
          <w:marBottom w:val="0"/>
          <w:divBdr>
            <w:top w:val="none" w:sz="0" w:space="0" w:color="auto"/>
            <w:left w:val="none" w:sz="0" w:space="0" w:color="auto"/>
            <w:bottom w:val="none" w:sz="0" w:space="0" w:color="auto"/>
            <w:right w:val="none" w:sz="0" w:space="0" w:color="auto"/>
          </w:divBdr>
          <w:divsChild>
            <w:div w:id="1481732601">
              <w:marLeft w:val="0"/>
              <w:marRight w:val="0"/>
              <w:marTop w:val="0"/>
              <w:marBottom w:val="0"/>
              <w:divBdr>
                <w:top w:val="none" w:sz="0" w:space="0" w:color="auto"/>
                <w:left w:val="none" w:sz="0" w:space="0" w:color="auto"/>
                <w:bottom w:val="none" w:sz="0" w:space="0" w:color="auto"/>
                <w:right w:val="none" w:sz="0" w:space="0" w:color="auto"/>
              </w:divBdr>
            </w:div>
          </w:divsChild>
        </w:div>
        <w:div w:id="275020932">
          <w:marLeft w:val="0"/>
          <w:marRight w:val="0"/>
          <w:marTop w:val="0"/>
          <w:marBottom w:val="0"/>
          <w:divBdr>
            <w:top w:val="none" w:sz="0" w:space="0" w:color="auto"/>
            <w:left w:val="none" w:sz="0" w:space="0" w:color="auto"/>
            <w:bottom w:val="none" w:sz="0" w:space="0" w:color="auto"/>
            <w:right w:val="none" w:sz="0" w:space="0" w:color="auto"/>
          </w:divBdr>
          <w:divsChild>
            <w:div w:id="929385998">
              <w:marLeft w:val="0"/>
              <w:marRight w:val="0"/>
              <w:marTop w:val="0"/>
              <w:marBottom w:val="0"/>
              <w:divBdr>
                <w:top w:val="none" w:sz="0" w:space="0" w:color="auto"/>
                <w:left w:val="none" w:sz="0" w:space="0" w:color="auto"/>
                <w:bottom w:val="none" w:sz="0" w:space="0" w:color="auto"/>
                <w:right w:val="none" w:sz="0" w:space="0" w:color="auto"/>
              </w:divBdr>
            </w:div>
          </w:divsChild>
        </w:div>
        <w:div w:id="275720623">
          <w:marLeft w:val="0"/>
          <w:marRight w:val="0"/>
          <w:marTop w:val="0"/>
          <w:marBottom w:val="0"/>
          <w:divBdr>
            <w:top w:val="none" w:sz="0" w:space="0" w:color="auto"/>
            <w:left w:val="none" w:sz="0" w:space="0" w:color="auto"/>
            <w:bottom w:val="none" w:sz="0" w:space="0" w:color="auto"/>
            <w:right w:val="none" w:sz="0" w:space="0" w:color="auto"/>
          </w:divBdr>
          <w:divsChild>
            <w:div w:id="926693884">
              <w:marLeft w:val="0"/>
              <w:marRight w:val="0"/>
              <w:marTop w:val="0"/>
              <w:marBottom w:val="0"/>
              <w:divBdr>
                <w:top w:val="none" w:sz="0" w:space="0" w:color="auto"/>
                <w:left w:val="none" w:sz="0" w:space="0" w:color="auto"/>
                <w:bottom w:val="none" w:sz="0" w:space="0" w:color="auto"/>
                <w:right w:val="none" w:sz="0" w:space="0" w:color="auto"/>
              </w:divBdr>
            </w:div>
          </w:divsChild>
        </w:div>
        <w:div w:id="299770798">
          <w:marLeft w:val="0"/>
          <w:marRight w:val="0"/>
          <w:marTop w:val="0"/>
          <w:marBottom w:val="0"/>
          <w:divBdr>
            <w:top w:val="none" w:sz="0" w:space="0" w:color="auto"/>
            <w:left w:val="none" w:sz="0" w:space="0" w:color="auto"/>
            <w:bottom w:val="none" w:sz="0" w:space="0" w:color="auto"/>
            <w:right w:val="none" w:sz="0" w:space="0" w:color="auto"/>
          </w:divBdr>
          <w:divsChild>
            <w:div w:id="452553559">
              <w:marLeft w:val="0"/>
              <w:marRight w:val="0"/>
              <w:marTop w:val="0"/>
              <w:marBottom w:val="0"/>
              <w:divBdr>
                <w:top w:val="none" w:sz="0" w:space="0" w:color="auto"/>
                <w:left w:val="none" w:sz="0" w:space="0" w:color="auto"/>
                <w:bottom w:val="none" w:sz="0" w:space="0" w:color="auto"/>
                <w:right w:val="none" w:sz="0" w:space="0" w:color="auto"/>
              </w:divBdr>
            </w:div>
          </w:divsChild>
        </w:div>
        <w:div w:id="299775623">
          <w:marLeft w:val="0"/>
          <w:marRight w:val="0"/>
          <w:marTop w:val="0"/>
          <w:marBottom w:val="0"/>
          <w:divBdr>
            <w:top w:val="none" w:sz="0" w:space="0" w:color="auto"/>
            <w:left w:val="none" w:sz="0" w:space="0" w:color="auto"/>
            <w:bottom w:val="none" w:sz="0" w:space="0" w:color="auto"/>
            <w:right w:val="none" w:sz="0" w:space="0" w:color="auto"/>
          </w:divBdr>
          <w:divsChild>
            <w:div w:id="184368086">
              <w:marLeft w:val="0"/>
              <w:marRight w:val="0"/>
              <w:marTop w:val="0"/>
              <w:marBottom w:val="0"/>
              <w:divBdr>
                <w:top w:val="none" w:sz="0" w:space="0" w:color="auto"/>
                <w:left w:val="none" w:sz="0" w:space="0" w:color="auto"/>
                <w:bottom w:val="none" w:sz="0" w:space="0" w:color="auto"/>
                <w:right w:val="none" w:sz="0" w:space="0" w:color="auto"/>
              </w:divBdr>
            </w:div>
          </w:divsChild>
        </w:div>
        <w:div w:id="309527336">
          <w:marLeft w:val="0"/>
          <w:marRight w:val="0"/>
          <w:marTop w:val="0"/>
          <w:marBottom w:val="0"/>
          <w:divBdr>
            <w:top w:val="none" w:sz="0" w:space="0" w:color="auto"/>
            <w:left w:val="none" w:sz="0" w:space="0" w:color="auto"/>
            <w:bottom w:val="none" w:sz="0" w:space="0" w:color="auto"/>
            <w:right w:val="none" w:sz="0" w:space="0" w:color="auto"/>
          </w:divBdr>
          <w:divsChild>
            <w:div w:id="77749031">
              <w:marLeft w:val="0"/>
              <w:marRight w:val="0"/>
              <w:marTop w:val="0"/>
              <w:marBottom w:val="0"/>
              <w:divBdr>
                <w:top w:val="none" w:sz="0" w:space="0" w:color="auto"/>
                <w:left w:val="none" w:sz="0" w:space="0" w:color="auto"/>
                <w:bottom w:val="none" w:sz="0" w:space="0" w:color="auto"/>
                <w:right w:val="none" w:sz="0" w:space="0" w:color="auto"/>
              </w:divBdr>
            </w:div>
          </w:divsChild>
        </w:div>
        <w:div w:id="319623733">
          <w:marLeft w:val="0"/>
          <w:marRight w:val="0"/>
          <w:marTop w:val="0"/>
          <w:marBottom w:val="0"/>
          <w:divBdr>
            <w:top w:val="none" w:sz="0" w:space="0" w:color="auto"/>
            <w:left w:val="none" w:sz="0" w:space="0" w:color="auto"/>
            <w:bottom w:val="none" w:sz="0" w:space="0" w:color="auto"/>
            <w:right w:val="none" w:sz="0" w:space="0" w:color="auto"/>
          </w:divBdr>
          <w:divsChild>
            <w:div w:id="92165483">
              <w:marLeft w:val="0"/>
              <w:marRight w:val="0"/>
              <w:marTop w:val="0"/>
              <w:marBottom w:val="0"/>
              <w:divBdr>
                <w:top w:val="none" w:sz="0" w:space="0" w:color="auto"/>
                <w:left w:val="none" w:sz="0" w:space="0" w:color="auto"/>
                <w:bottom w:val="none" w:sz="0" w:space="0" w:color="auto"/>
                <w:right w:val="none" w:sz="0" w:space="0" w:color="auto"/>
              </w:divBdr>
            </w:div>
          </w:divsChild>
        </w:div>
        <w:div w:id="362364854">
          <w:marLeft w:val="0"/>
          <w:marRight w:val="0"/>
          <w:marTop w:val="0"/>
          <w:marBottom w:val="0"/>
          <w:divBdr>
            <w:top w:val="none" w:sz="0" w:space="0" w:color="auto"/>
            <w:left w:val="none" w:sz="0" w:space="0" w:color="auto"/>
            <w:bottom w:val="none" w:sz="0" w:space="0" w:color="auto"/>
            <w:right w:val="none" w:sz="0" w:space="0" w:color="auto"/>
          </w:divBdr>
          <w:divsChild>
            <w:div w:id="771826881">
              <w:marLeft w:val="0"/>
              <w:marRight w:val="0"/>
              <w:marTop w:val="0"/>
              <w:marBottom w:val="0"/>
              <w:divBdr>
                <w:top w:val="none" w:sz="0" w:space="0" w:color="auto"/>
                <w:left w:val="none" w:sz="0" w:space="0" w:color="auto"/>
                <w:bottom w:val="none" w:sz="0" w:space="0" w:color="auto"/>
                <w:right w:val="none" w:sz="0" w:space="0" w:color="auto"/>
              </w:divBdr>
            </w:div>
          </w:divsChild>
        </w:div>
        <w:div w:id="419061767">
          <w:marLeft w:val="0"/>
          <w:marRight w:val="0"/>
          <w:marTop w:val="0"/>
          <w:marBottom w:val="0"/>
          <w:divBdr>
            <w:top w:val="none" w:sz="0" w:space="0" w:color="auto"/>
            <w:left w:val="none" w:sz="0" w:space="0" w:color="auto"/>
            <w:bottom w:val="none" w:sz="0" w:space="0" w:color="auto"/>
            <w:right w:val="none" w:sz="0" w:space="0" w:color="auto"/>
          </w:divBdr>
          <w:divsChild>
            <w:div w:id="1857650644">
              <w:marLeft w:val="0"/>
              <w:marRight w:val="0"/>
              <w:marTop w:val="0"/>
              <w:marBottom w:val="0"/>
              <w:divBdr>
                <w:top w:val="none" w:sz="0" w:space="0" w:color="auto"/>
                <w:left w:val="none" w:sz="0" w:space="0" w:color="auto"/>
                <w:bottom w:val="none" w:sz="0" w:space="0" w:color="auto"/>
                <w:right w:val="none" w:sz="0" w:space="0" w:color="auto"/>
              </w:divBdr>
            </w:div>
          </w:divsChild>
        </w:div>
        <w:div w:id="484977307">
          <w:marLeft w:val="0"/>
          <w:marRight w:val="0"/>
          <w:marTop w:val="0"/>
          <w:marBottom w:val="0"/>
          <w:divBdr>
            <w:top w:val="none" w:sz="0" w:space="0" w:color="auto"/>
            <w:left w:val="none" w:sz="0" w:space="0" w:color="auto"/>
            <w:bottom w:val="none" w:sz="0" w:space="0" w:color="auto"/>
            <w:right w:val="none" w:sz="0" w:space="0" w:color="auto"/>
          </w:divBdr>
          <w:divsChild>
            <w:div w:id="795101577">
              <w:marLeft w:val="0"/>
              <w:marRight w:val="0"/>
              <w:marTop w:val="0"/>
              <w:marBottom w:val="0"/>
              <w:divBdr>
                <w:top w:val="none" w:sz="0" w:space="0" w:color="auto"/>
                <w:left w:val="none" w:sz="0" w:space="0" w:color="auto"/>
                <w:bottom w:val="none" w:sz="0" w:space="0" w:color="auto"/>
                <w:right w:val="none" w:sz="0" w:space="0" w:color="auto"/>
              </w:divBdr>
            </w:div>
          </w:divsChild>
        </w:div>
        <w:div w:id="551818096">
          <w:marLeft w:val="0"/>
          <w:marRight w:val="0"/>
          <w:marTop w:val="0"/>
          <w:marBottom w:val="0"/>
          <w:divBdr>
            <w:top w:val="none" w:sz="0" w:space="0" w:color="auto"/>
            <w:left w:val="none" w:sz="0" w:space="0" w:color="auto"/>
            <w:bottom w:val="none" w:sz="0" w:space="0" w:color="auto"/>
            <w:right w:val="none" w:sz="0" w:space="0" w:color="auto"/>
          </w:divBdr>
          <w:divsChild>
            <w:div w:id="1037974369">
              <w:marLeft w:val="0"/>
              <w:marRight w:val="0"/>
              <w:marTop w:val="0"/>
              <w:marBottom w:val="0"/>
              <w:divBdr>
                <w:top w:val="none" w:sz="0" w:space="0" w:color="auto"/>
                <w:left w:val="none" w:sz="0" w:space="0" w:color="auto"/>
                <w:bottom w:val="none" w:sz="0" w:space="0" w:color="auto"/>
                <w:right w:val="none" w:sz="0" w:space="0" w:color="auto"/>
              </w:divBdr>
            </w:div>
          </w:divsChild>
        </w:div>
        <w:div w:id="552040885">
          <w:marLeft w:val="0"/>
          <w:marRight w:val="0"/>
          <w:marTop w:val="0"/>
          <w:marBottom w:val="0"/>
          <w:divBdr>
            <w:top w:val="none" w:sz="0" w:space="0" w:color="auto"/>
            <w:left w:val="none" w:sz="0" w:space="0" w:color="auto"/>
            <w:bottom w:val="none" w:sz="0" w:space="0" w:color="auto"/>
            <w:right w:val="none" w:sz="0" w:space="0" w:color="auto"/>
          </w:divBdr>
          <w:divsChild>
            <w:div w:id="284386609">
              <w:marLeft w:val="0"/>
              <w:marRight w:val="0"/>
              <w:marTop w:val="0"/>
              <w:marBottom w:val="0"/>
              <w:divBdr>
                <w:top w:val="none" w:sz="0" w:space="0" w:color="auto"/>
                <w:left w:val="none" w:sz="0" w:space="0" w:color="auto"/>
                <w:bottom w:val="none" w:sz="0" w:space="0" w:color="auto"/>
                <w:right w:val="none" w:sz="0" w:space="0" w:color="auto"/>
              </w:divBdr>
            </w:div>
          </w:divsChild>
        </w:div>
        <w:div w:id="553271536">
          <w:marLeft w:val="0"/>
          <w:marRight w:val="0"/>
          <w:marTop w:val="0"/>
          <w:marBottom w:val="0"/>
          <w:divBdr>
            <w:top w:val="none" w:sz="0" w:space="0" w:color="auto"/>
            <w:left w:val="none" w:sz="0" w:space="0" w:color="auto"/>
            <w:bottom w:val="none" w:sz="0" w:space="0" w:color="auto"/>
            <w:right w:val="none" w:sz="0" w:space="0" w:color="auto"/>
          </w:divBdr>
          <w:divsChild>
            <w:div w:id="346257564">
              <w:marLeft w:val="0"/>
              <w:marRight w:val="0"/>
              <w:marTop w:val="0"/>
              <w:marBottom w:val="0"/>
              <w:divBdr>
                <w:top w:val="none" w:sz="0" w:space="0" w:color="auto"/>
                <w:left w:val="none" w:sz="0" w:space="0" w:color="auto"/>
                <w:bottom w:val="none" w:sz="0" w:space="0" w:color="auto"/>
                <w:right w:val="none" w:sz="0" w:space="0" w:color="auto"/>
              </w:divBdr>
            </w:div>
          </w:divsChild>
        </w:div>
        <w:div w:id="554396836">
          <w:marLeft w:val="0"/>
          <w:marRight w:val="0"/>
          <w:marTop w:val="0"/>
          <w:marBottom w:val="0"/>
          <w:divBdr>
            <w:top w:val="none" w:sz="0" w:space="0" w:color="auto"/>
            <w:left w:val="none" w:sz="0" w:space="0" w:color="auto"/>
            <w:bottom w:val="none" w:sz="0" w:space="0" w:color="auto"/>
            <w:right w:val="none" w:sz="0" w:space="0" w:color="auto"/>
          </w:divBdr>
          <w:divsChild>
            <w:div w:id="2010986644">
              <w:marLeft w:val="0"/>
              <w:marRight w:val="0"/>
              <w:marTop w:val="0"/>
              <w:marBottom w:val="0"/>
              <w:divBdr>
                <w:top w:val="none" w:sz="0" w:space="0" w:color="auto"/>
                <w:left w:val="none" w:sz="0" w:space="0" w:color="auto"/>
                <w:bottom w:val="none" w:sz="0" w:space="0" w:color="auto"/>
                <w:right w:val="none" w:sz="0" w:space="0" w:color="auto"/>
              </w:divBdr>
            </w:div>
          </w:divsChild>
        </w:div>
        <w:div w:id="588972819">
          <w:marLeft w:val="0"/>
          <w:marRight w:val="0"/>
          <w:marTop w:val="0"/>
          <w:marBottom w:val="0"/>
          <w:divBdr>
            <w:top w:val="none" w:sz="0" w:space="0" w:color="auto"/>
            <w:left w:val="none" w:sz="0" w:space="0" w:color="auto"/>
            <w:bottom w:val="none" w:sz="0" w:space="0" w:color="auto"/>
            <w:right w:val="none" w:sz="0" w:space="0" w:color="auto"/>
          </w:divBdr>
          <w:divsChild>
            <w:div w:id="734814449">
              <w:marLeft w:val="0"/>
              <w:marRight w:val="0"/>
              <w:marTop w:val="0"/>
              <w:marBottom w:val="0"/>
              <w:divBdr>
                <w:top w:val="none" w:sz="0" w:space="0" w:color="auto"/>
                <w:left w:val="none" w:sz="0" w:space="0" w:color="auto"/>
                <w:bottom w:val="none" w:sz="0" w:space="0" w:color="auto"/>
                <w:right w:val="none" w:sz="0" w:space="0" w:color="auto"/>
              </w:divBdr>
            </w:div>
          </w:divsChild>
        </w:div>
        <w:div w:id="631715408">
          <w:marLeft w:val="0"/>
          <w:marRight w:val="0"/>
          <w:marTop w:val="0"/>
          <w:marBottom w:val="0"/>
          <w:divBdr>
            <w:top w:val="none" w:sz="0" w:space="0" w:color="auto"/>
            <w:left w:val="none" w:sz="0" w:space="0" w:color="auto"/>
            <w:bottom w:val="none" w:sz="0" w:space="0" w:color="auto"/>
            <w:right w:val="none" w:sz="0" w:space="0" w:color="auto"/>
          </w:divBdr>
          <w:divsChild>
            <w:div w:id="1989631153">
              <w:marLeft w:val="0"/>
              <w:marRight w:val="0"/>
              <w:marTop w:val="0"/>
              <w:marBottom w:val="0"/>
              <w:divBdr>
                <w:top w:val="none" w:sz="0" w:space="0" w:color="auto"/>
                <w:left w:val="none" w:sz="0" w:space="0" w:color="auto"/>
                <w:bottom w:val="none" w:sz="0" w:space="0" w:color="auto"/>
                <w:right w:val="none" w:sz="0" w:space="0" w:color="auto"/>
              </w:divBdr>
            </w:div>
          </w:divsChild>
        </w:div>
        <w:div w:id="634335898">
          <w:marLeft w:val="0"/>
          <w:marRight w:val="0"/>
          <w:marTop w:val="0"/>
          <w:marBottom w:val="0"/>
          <w:divBdr>
            <w:top w:val="none" w:sz="0" w:space="0" w:color="auto"/>
            <w:left w:val="none" w:sz="0" w:space="0" w:color="auto"/>
            <w:bottom w:val="none" w:sz="0" w:space="0" w:color="auto"/>
            <w:right w:val="none" w:sz="0" w:space="0" w:color="auto"/>
          </w:divBdr>
          <w:divsChild>
            <w:div w:id="864756019">
              <w:marLeft w:val="0"/>
              <w:marRight w:val="0"/>
              <w:marTop w:val="0"/>
              <w:marBottom w:val="0"/>
              <w:divBdr>
                <w:top w:val="none" w:sz="0" w:space="0" w:color="auto"/>
                <w:left w:val="none" w:sz="0" w:space="0" w:color="auto"/>
                <w:bottom w:val="none" w:sz="0" w:space="0" w:color="auto"/>
                <w:right w:val="none" w:sz="0" w:space="0" w:color="auto"/>
              </w:divBdr>
            </w:div>
          </w:divsChild>
        </w:div>
        <w:div w:id="703284617">
          <w:marLeft w:val="0"/>
          <w:marRight w:val="0"/>
          <w:marTop w:val="0"/>
          <w:marBottom w:val="0"/>
          <w:divBdr>
            <w:top w:val="none" w:sz="0" w:space="0" w:color="auto"/>
            <w:left w:val="none" w:sz="0" w:space="0" w:color="auto"/>
            <w:bottom w:val="none" w:sz="0" w:space="0" w:color="auto"/>
            <w:right w:val="none" w:sz="0" w:space="0" w:color="auto"/>
          </w:divBdr>
          <w:divsChild>
            <w:div w:id="2050373387">
              <w:marLeft w:val="0"/>
              <w:marRight w:val="0"/>
              <w:marTop w:val="0"/>
              <w:marBottom w:val="0"/>
              <w:divBdr>
                <w:top w:val="none" w:sz="0" w:space="0" w:color="auto"/>
                <w:left w:val="none" w:sz="0" w:space="0" w:color="auto"/>
                <w:bottom w:val="none" w:sz="0" w:space="0" w:color="auto"/>
                <w:right w:val="none" w:sz="0" w:space="0" w:color="auto"/>
              </w:divBdr>
            </w:div>
          </w:divsChild>
        </w:div>
        <w:div w:id="723869452">
          <w:marLeft w:val="0"/>
          <w:marRight w:val="0"/>
          <w:marTop w:val="0"/>
          <w:marBottom w:val="0"/>
          <w:divBdr>
            <w:top w:val="none" w:sz="0" w:space="0" w:color="auto"/>
            <w:left w:val="none" w:sz="0" w:space="0" w:color="auto"/>
            <w:bottom w:val="none" w:sz="0" w:space="0" w:color="auto"/>
            <w:right w:val="none" w:sz="0" w:space="0" w:color="auto"/>
          </w:divBdr>
          <w:divsChild>
            <w:div w:id="65422245">
              <w:marLeft w:val="0"/>
              <w:marRight w:val="0"/>
              <w:marTop w:val="0"/>
              <w:marBottom w:val="0"/>
              <w:divBdr>
                <w:top w:val="none" w:sz="0" w:space="0" w:color="auto"/>
                <w:left w:val="none" w:sz="0" w:space="0" w:color="auto"/>
                <w:bottom w:val="none" w:sz="0" w:space="0" w:color="auto"/>
                <w:right w:val="none" w:sz="0" w:space="0" w:color="auto"/>
              </w:divBdr>
            </w:div>
          </w:divsChild>
        </w:div>
        <w:div w:id="739180591">
          <w:marLeft w:val="0"/>
          <w:marRight w:val="0"/>
          <w:marTop w:val="0"/>
          <w:marBottom w:val="0"/>
          <w:divBdr>
            <w:top w:val="none" w:sz="0" w:space="0" w:color="auto"/>
            <w:left w:val="none" w:sz="0" w:space="0" w:color="auto"/>
            <w:bottom w:val="none" w:sz="0" w:space="0" w:color="auto"/>
            <w:right w:val="none" w:sz="0" w:space="0" w:color="auto"/>
          </w:divBdr>
          <w:divsChild>
            <w:div w:id="1178348078">
              <w:marLeft w:val="0"/>
              <w:marRight w:val="0"/>
              <w:marTop w:val="0"/>
              <w:marBottom w:val="0"/>
              <w:divBdr>
                <w:top w:val="none" w:sz="0" w:space="0" w:color="auto"/>
                <w:left w:val="none" w:sz="0" w:space="0" w:color="auto"/>
                <w:bottom w:val="none" w:sz="0" w:space="0" w:color="auto"/>
                <w:right w:val="none" w:sz="0" w:space="0" w:color="auto"/>
              </w:divBdr>
            </w:div>
          </w:divsChild>
        </w:div>
        <w:div w:id="789787587">
          <w:marLeft w:val="0"/>
          <w:marRight w:val="0"/>
          <w:marTop w:val="0"/>
          <w:marBottom w:val="0"/>
          <w:divBdr>
            <w:top w:val="none" w:sz="0" w:space="0" w:color="auto"/>
            <w:left w:val="none" w:sz="0" w:space="0" w:color="auto"/>
            <w:bottom w:val="none" w:sz="0" w:space="0" w:color="auto"/>
            <w:right w:val="none" w:sz="0" w:space="0" w:color="auto"/>
          </w:divBdr>
          <w:divsChild>
            <w:div w:id="1502504291">
              <w:marLeft w:val="0"/>
              <w:marRight w:val="0"/>
              <w:marTop w:val="0"/>
              <w:marBottom w:val="0"/>
              <w:divBdr>
                <w:top w:val="none" w:sz="0" w:space="0" w:color="auto"/>
                <w:left w:val="none" w:sz="0" w:space="0" w:color="auto"/>
                <w:bottom w:val="none" w:sz="0" w:space="0" w:color="auto"/>
                <w:right w:val="none" w:sz="0" w:space="0" w:color="auto"/>
              </w:divBdr>
            </w:div>
          </w:divsChild>
        </w:div>
        <w:div w:id="790899678">
          <w:marLeft w:val="0"/>
          <w:marRight w:val="0"/>
          <w:marTop w:val="0"/>
          <w:marBottom w:val="0"/>
          <w:divBdr>
            <w:top w:val="none" w:sz="0" w:space="0" w:color="auto"/>
            <w:left w:val="none" w:sz="0" w:space="0" w:color="auto"/>
            <w:bottom w:val="none" w:sz="0" w:space="0" w:color="auto"/>
            <w:right w:val="none" w:sz="0" w:space="0" w:color="auto"/>
          </w:divBdr>
          <w:divsChild>
            <w:div w:id="1893230026">
              <w:marLeft w:val="0"/>
              <w:marRight w:val="0"/>
              <w:marTop w:val="0"/>
              <w:marBottom w:val="0"/>
              <w:divBdr>
                <w:top w:val="none" w:sz="0" w:space="0" w:color="auto"/>
                <w:left w:val="none" w:sz="0" w:space="0" w:color="auto"/>
                <w:bottom w:val="none" w:sz="0" w:space="0" w:color="auto"/>
                <w:right w:val="none" w:sz="0" w:space="0" w:color="auto"/>
              </w:divBdr>
            </w:div>
          </w:divsChild>
        </w:div>
        <w:div w:id="824853295">
          <w:marLeft w:val="0"/>
          <w:marRight w:val="0"/>
          <w:marTop w:val="0"/>
          <w:marBottom w:val="0"/>
          <w:divBdr>
            <w:top w:val="none" w:sz="0" w:space="0" w:color="auto"/>
            <w:left w:val="none" w:sz="0" w:space="0" w:color="auto"/>
            <w:bottom w:val="none" w:sz="0" w:space="0" w:color="auto"/>
            <w:right w:val="none" w:sz="0" w:space="0" w:color="auto"/>
          </w:divBdr>
          <w:divsChild>
            <w:div w:id="1329746340">
              <w:marLeft w:val="0"/>
              <w:marRight w:val="0"/>
              <w:marTop w:val="0"/>
              <w:marBottom w:val="0"/>
              <w:divBdr>
                <w:top w:val="none" w:sz="0" w:space="0" w:color="auto"/>
                <w:left w:val="none" w:sz="0" w:space="0" w:color="auto"/>
                <w:bottom w:val="none" w:sz="0" w:space="0" w:color="auto"/>
                <w:right w:val="none" w:sz="0" w:space="0" w:color="auto"/>
              </w:divBdr>
            </w:div>
          </w:divsChild>
        </w:div>
        <w:div w:id="884878199">
          <w:marLeft w:val="0"/>
          <w:marRight w:val="0"/>
          <w:marTop w:val="0"/>
          <w:marBottom w:val="0"/>
          <w:divBdr>
            <w:top w:val="none" w:sz="0" w:space="0" w:color="auto"/>
            <w:left w:val="none" w:sz="0" w:space="0" w:color="auto"/>
            <w:bottom w:val="none" w:sz="0" w:space="0" w:color="auto"/>
            <w:right w:val="none" w:sz="0" w:space="0" w:color="auto"/>
          </w:divBdr>
          <w:divsChild>
            <w:div w:id="147943363">
              <w:marLeft w:val="0"/>
              <w:marRight w:val="0"/>
              <w:marTop w:val="0"/>
              <w:marBottom w:val="0"/>
              <w:divBdr>
                <w:top w:val="none" w:sz="0" w:space="0" w:color="auto"/>
                <w:left w:val="none" w:sz="0" w:space="0" w:color="auto"/>
                <w:bottom w:val="none" w:sz="0" w:space="0" w:color="auto"/>
                <w:right w:val="none" w:sz="0" w:space="0" w:color="auto"/>
              </w:divBdr>
            </w:div>
          </w:divsChild>
        </w:div>
        <w:div w:id="894854242">
          <w:marLeft w:val="0"/>
          <w:marRight w:val="0"/>
          <w:marTop w:val="0"/>
          <w:marBottom w:val="0"/>
          <w:divBdr>
            <w:top w:val="none" w:sz="0" w:space="0" w:color="auto"/>
            <w:left w:val="none" w:sz="0" w:space="0" w:color="auto"/>
            <w:bottom w:val="none" w:sz="0" w:space="0" w:color="auto"/>
            <w:right w:val="none" w:sz="0" w:space="0" w:color="auto"/>
          </w:divBdr>
          <w:divsChild>
            <w:div w:id="475025211">
              <w:marLeft w:val="0"/>
              <w:marRight w:val="0"/>
              <w:marTop w:val="0"/>
              <w:marBottom w:val="0"/>
              <w:divBdr>
                <w:top w:val="none" w:sz="0" w:space="0" w:color="auto"/>
                <w:left w:val="none" w:sz="0" w:space="0" w:color="auto"/>
                <w:bottom w:val="none" w:sz="0" w:space="0" w:color="auto"/>
                <w:right w:val="none" w:sz="0" w:space="0" w:color="auto"/>
              </w:divBdr>
            </w:div>
          </w:divsChild>
        </w:div>
        <w:div w:id="898203008">
          <w:marLeft w:val="0"/>
          <w:marRight w:val="0"/>
          <w:marTop w:val="0"/>
          <w:marBottom w:val="0"/>
          <w:divBdr>
            <w:top w:val="none" w:sz="0" w:space="0" w:color="auto"/>
            <w:left w:val="none" w:sz="0" w:space="0" w:color="auto"/>
            <w:bottom w:val="none" w:sz="0" w:space="0" w:color="auto"/>
            <w:right w:val="none" w:sz="0" w:space="0" w:color="auto"/>
          </w:divBdr>
          <w:divsChild>
            <w:div w:id="1339650239">
              <w:marLeft w:val="0"/>
              <w:marRight w:val="0"/>
              <w:marTop w:val="0"/>
              <w:marBottom w:val="0"/>
              <w:divBdr>
                <w:top w:val="none" w:sz="0" w:space="0" w:color="auto"/>
                <w:left w:val="none" w:sz="0" w:space="0" w:color="auto"/>
                <w:bottom w:val="none" w:sz="0" w:space="0" w:color="auto"/>
                <w:right w:val="none" w:sz="0" w:space="0" w:color="auto"/>
              </w:divBdr>
            </w:div>
            <w:div w:id="1977828975">
              <w:marLeft w:val="0"/>
              <w:marRight w:val="0"/>
              <w:marTop w:val="0"/>
              <w:marBottom w:val="0"/>
              <w:divBdr>
                <w:top w:val="none" w:sz="0" w:space="0" w:color="auto"/>
                <w:left w:val="none" w:sz="0" w:space="0" w:color="auto"/>
                <w:bottom w:val="none" w:sz="0" w:space="0" w:color="auto"/>
                <w:right w:val="none" w:sz="0" w:space="0" w:color="auto"/>
              </w:divBdr>
            </w:div>
          </w:divsChild>
        </w:div>
        <w:div w:id="958562142">
          <w:marLeft w:val="0"/>
          <w:marRight w:val="0"/>
          <w:marTop w:val="0"/>
          <w:marBottom w:val="0"/>
          <w:divBdr>
            <w:top w:val="none" w:sz="0" w:space="0" w:color="auto"/>
            <w:left w:val="none" w:sz="0" w:space="0" w:color="auto"/>
            <w:bottom w:val="none" w:sz="0" w:space="0" w:color="auto"/>
            <w:right w:val="none" w:sz="0" w:space="0" w:color="auto"/>
          </w:divBdr>
          <w:divsChild>
            <w:div w:id="807892451">
              <w:marLeft w:val="0"/>
              <w:marRight w:val="0"/>
              <w:marTop w:val="0"/>
              <w:marBottom w:val="0"/>
              <w:divBdr>
                <w:top w:val="none" w:sz="0" w:space="0" w:color="auto"/>
                <w:left w:val="none" w:sz="0" w:space="0" w:color="auto"/>
                <w:bottom w:val="none" w:sz="0" w:space="0" w:color="auto"/>
                <w:right w:val="none" w:sz="0" w:space="0" w:color="auto"/>
              </w:divBdr>
            </w:div>
          </w:divsChild>
        </w:div>
        <w:div w:id="1010522868">
          <w:marLeft w:val="0"/>
          <w:marRight w:val="0"/>
          <w:marTop w:val="0"/>
          <w:marBottom w:val="0"/>
          <w:divBdr>
            <w:top w:val="none" w:sz="0" w:space="0" w:color="auto"/>
            <w:left w:val="none" w:sz="0" w:space="0" w:color="auto"/>
            <w:bottom w:val="none" w:sz="0" w:space="0" w:color="auto"/>
            <w:right w:val="none" w:sz="0" w:space="0" w:color="auto"/>
          </w:divBdr>
          <w:divsChild>
            <w:div w:id="417406045">
              <w:marLeft w:val="0"/>
              <w:marRight w:val="0"/>
              <w:marTop w:val="0"/>
              <w:marBottom w:val="0"/>
              <w:divBdr>
                <w:top w:val="none" w:sz="0" w:space="0" w:color="auto"/>
                <w:left w:val="none" w:sz="0" w:space="0" w:color="auto"/>
                <w:bottom w:val="none" w:sz="0" w:space="0" w:color="auto"/>
                <w:right w:val="none" w:sz="0" w:space="0" w:color="auto"/>
              </w:divBdr>
            </w:div>
          </w:divsChild>
        </w:div>
        <w:div w:id="1031226372">
          <w:marLeft w:val="0"/>
          <w:marRight w:val="0"/>
          <w:marTop w:val="0"/>
          <w:marBottom w:val="0"/>
          <w:divBdr>
            <w:top w:val="none" w:sz="0" w:space="0" w:color="auto"/>
            <w:left w:val="none" w:sz="0" w:space="0" w:color="auto"/>
            <w:bottom w:val="none" w:sz="0" w:space="0" w:color="auto"/>
            <w:right w:val="none" w:sz="0" w:space="0" w:color="auto"/>
          </w:divBdr>
          <w:divsChild>
            <w:div w:id="1719159688">
              <w:marLeft w:val="0"/>
              <w:marRight w:val="0"/>
              <w:marTop w:val="0"/>
              <w:marBottom w:val="0"/>
              <w:divBdr>
                <w:top w:val="none" w:sz="0" w:space="0" w:color="auto"/>
                <w:left w:val="none" w:sz="0" w:space="0" w:color="auto"/>
                <w:bottom w:val="none" w:sz="0" w:space="0" w:color="auto"/>
                <w:right w:val="none" w:sz="0" w:space="0" w:color="auto"/>
              </w:divBdr>
            </w:div>
          </w:divsChild>
        </w:div>
        <w:div w:id="1038240622">
          <w:marLeft w:val="0"/>
          <w:marRight w:val="0"/>
          <w:marTop w:val="0"/>
          <w:marBottom w:val="0"/>
          <w:divBdr>
            <w:top w:val="none" w:sz="0" w:space="0" w:color="auto"/>
            <w:left w:val="none" w:sz="0" w:space="0" w:color="auto"/>
            <w:bottom w:val="none" w:sz="0" w:space="0" w:color="auto"/>
            <w:right w:val="none" w:sz="0" w:space="0" w:color="auto"/>
          </w:divBdr>
          <w:divsChild>
            <w:div w:id="1882354551">
              <w:marLeft w:val="0"/>
              <w:marRight w:val="0"/>
              <w:marTop w:val="0"/>
              <w:marBottom w:val="0"/>
              <w:divBdr>
                <w:top w:val="none" w:sz="0" w:space="0" w:color="auto"/>
                <w:left w:val="none" w:sz="0" w:space="0" w:color="auto"/>
                <w:bottom w:val="none" w:sz="0" w:space="0" w:color="auto"/>
                <w:right w:val="none" w:sz="0" w:space="0" w:color="auto"/>
              </w:divBdr>
            </w:div>
          </w:divsChild>
        </w:div>
        <w:div w:id="1046837826">
          <w:marLeft w:val="0"/>
          <w:marRight w:val="0"/>
          <w:marTop w:val="0"/>
          <w:marBottom w:val="0"/>
          <w:divBdr>
            <w:top w:val="none" w:sz="0" w:space="0" w:color="auto"/>
            <w:left w:val="none" w:sz="0" w:space="0" w:color="auto"/>
            <w:bottom w:val="none" w:sz="0" w:space="0" w:color="auto"/>
            <w:right w:val="none" w:sz="0" w:space="0" w:color="auto"/>
          </w:divBdr>
          <w:divsChild>
            <w:div w:id="1169831331">
              <w:marLeft w:val="0"/>
              <w:marRight w:val="0"/>
              <w:marTop w:val="0"/>
              <w:marBottom w:val="0"/>
              <w:divBdr>
                <w:top w:val="none" w:sz="0" w:space="0" w:color="auto"/>
                <w:left w:val="none" w:sz="0" w:space="0" w:color="auto"/>
                <w:bottom w:val="none" w:sz="0" w:space="0" w:color="auto"/>
                <w:right w:val="none" w:sz="0" w:space="0" w:color="auto"/>
              </w:divBdr>
            </w:div>
          </w:divsChild>
        </w:div>
        <w:div w:id="1279215026">
          <w:marLeft w:val="0"/>
          <w:marRight w:val="0"/>
          <w:marTop w:val="0"/>
          <w:marBottom w:val="0"/>
          <w:divBdr>
            <w:top w:val="none" w:sz="0" w:space="0" w:color="auto"/>
            <w:left w:val="none" w:sz="0" w:space="0" w:color="auto"/>
            <w:bottom w:val="none" w:sz="0" w:space="0" w:color="auto"/>
            <w:right w:val="none" w:sz="0" w:space="0" w:color="auto"/>
          </w:divBdr>
          <w:divsChild>
            <w:div w:id="1101415204">
              <w:marLeft w:val="0"/>
              <w:marRight w:val="0"/>
              <w:marTop w:val="0"/>
              <w:marBottom w:val="0"/>
              <w:divBdr>
                <w:top w:val="none" w:sz="0" w:space="0" w:color="auto"/>
                <w:left w:val="none" w:sz="0" w:space="0" w:color="auto"/>
                <w:bottom w:val="none" w:sz="0" w:space="0" w:color="auto"/>
                <w:right w:val="none" w:sz="0" w:space="0" w:color="auto"/>
              </w:divBdr>
            </w:div>
          </w:divsChild>
        </w:div>
        <w:div w:id="1360014298">
          <w:marLeft w:val="0"/>
          <w:marRight w:val="0"/>
          <w:marTop w:val="0"/>
          <w:marBottom w:val="0"/>
          <w:divBdr>
            <w:top w:val="none" w:sz="0" w:space="0" w:color="auto"/>
            <w:left w:val="none" w:sz="0" w:space="0" w:color="auto"/>
            <w:bottom w:val="none" w:sz="0" w:space="0" w:color="auto"/>
            <w:right w:val="none" w:sz="0" w:space="0" w:color="auto"/>
          </w:divBdr>
          <w:divsChild>
            <w:div w:id="511460536">
              <w:marLeft w:val="0"/>
              <w:marRight w:val="0"/>
              <w:marTop w:val="0"/>
              <w:marBottom w:val="0"/>
              <w:divBdr>
                <w:top w:val="none" w:sz="0" w:space="0" w:color="auto"/>
                <w:left w:val="none" w:sz="0" w:space="0" w:color="auto"/>
                <w:bottom w:val="none" w:sz="0" w:space="0" w:color="auto"/>
                <w:right w:val="none" w:sz="0" w:space="0" w:color="auto"/>
              </w:divBdr>
            </w:div>
          </w:divsChild>
        </w:div>
        <w:div w:id="1381053432">
          <w:marLeft w:val="0"/>
          <w:marRight w:val="0"/>
          <w:marTop w:val="0"/>
          <w:marBottom w:val="0"/>
          <w:divBdr>
            <w:top w:val="none" w:sz="0" w:space="0" w:color="auto"/>
            <w:left w:val="none" w:sz="0" w:space="0" w:color="auto"/>
            <w:bottom w:val="none" w:sz="0" w:space="0" w:color="auto"/>
            <w:right w:val="none" w:sz="0" w:space="0" w:color="auto"/>
          </w:divBdr>
          <w:divsChild>
            <w:div w:id="984088958">
              <w:marLeft w:val="0"/>
              <w:marRight w:val="0"/>
              <w:marTop w:val="0"/>
              <w:marBottom w:val="0"/>
              <w:divBdr>
                <w:top w:val="none" w:sz="0" w:space="0" w:color="auto"/>
                <w:left w:val="none" w:sz="0" w:space="0" w:color="auto"/>
                <w:bottom w:val="none" w:sz="0" w:space="0" w:color="auto"/>
                <w:right w:val="none" w:sz="0" w:space="0" w:color="auto"/>
              </w:divBdr>
            </w:div>
          </w:divsChild>
        </w:div>
        <w:div w:id="1447575261">
          <w:marLeft w:val="0"/>
          <w:marRight w:val="0"/>
          <w:marTop w:val="0"/>
          <w:marBottom w:val="0"/>
          <w:divBdr>
            <w:top w:val="none" w:sz="0" w:space="0" w:color="auto"/>
            <w:left w:val="none" w:sz="0" w:space="0" w:color="auto"/>
            <w:bottom w:val="none" w:sz="0" w:space="0" w:color="auto"/>
            <w:right w:val="none" w:sz="0" w:space="0" w:color="auto"/>
          </w:divBdr>
          <w:divsChild>
            <w:div w:id="314064722">
              <w:marLeft w:val="0"/>
              <w:marRight w:val="0"/>
              <w:marTop w:val="0"/>
              <w:marBottom w:val="0"/>
              <w:divBdr>
                <w:top w:val="none" w:sz="0" w:space="0" w:color="auto"/>
                <w:left w:val="none" w:sz="0" w:space="0" w:color="auto"/>
                <w:bottom w:val="none" w:sz="0" w:space="0" w:color="auto"/>
                <w:right w:val="none" w:sz="0" w:space="0" w:color="auto"/>
              </w:divBdr>
            </w:div>
          </w:divsChild>
        </w:div>
        <w:div w:id="1476213982">
          <w:marLeft w:val="0"/>
          <w:marRight w:val="0"/>
          <w:marTop w:val="0"/>
          <w:marBottom w:val="0"/>
          <w:divBdr>
            <w:top w:val="none" w:sz="0" w:space="0" w:color="auto"/>
            <w:left w:val="none" w:sz="0" w:space="0" w:color="auto"/>
            <w:bottom w:val="none" w:sz="0" w:space="0" w:color="auto"/>
            <w:right w:val="none" w:sz="0" w:space="0" w:color="auto"/>
          </w:divBdr>
          <w:divsChild>
            <w:div w:id="1926185027">
              <w:marLeft w:val="0"/>
              <w:marRight w:val="0"/>
              <w:marTop w:val="0"/>
              <w:marBottom w:val="0"/>
              <w:divBdr>
                <w:top w:val="none" w:sz="0" w:space="0" w:color="auto"/>
                <w:left w:val="none" w:sz="0" w:space="0" w:color="auto"/>
                <w:bottom w:val="none" w:sz="0" w:space="0" w:color="auto"/>
                <w:right w:val="none" w:sz="0" w:space="0" w:color="auto"/>
              </w:divBdr>
            </w:div>
          </w:divsChild>
        </w:div>
        <w:div w:id="1542287292">
          <w:marLeft w:val="0"/>
          <w:marRight w:val="0"/>
          <w:marTop w:val="0"/>
          <w:marBottom w:val="0"/>
          <w:divBdr>
            <w:top w:val="none" w:sz="0" w:space="0" w:color="auto"/>
            <w:left w:val="none" w:sz="0" w:space="0" w:color="auto"/>
            <w:bottom w:val="none" w:sz="0" w:space="0" w:color="auto"/>
            <w:right w:val="none" w:sz="0" w:space="0" w:color="auto"/>
          </w:divBdr>
          <w:divsChild>
            <w:div w:id="1666126498">
              <w:marLeft w:val="0"/>
              <w:marRight w:val="0"/>
              <w:marTop w:val="0"/>
              <w:marBottom w:val="0"/>
              <w:divBdr>
                <w:top w:val="none" w:sz="0" w:space="0" w:color="auto"/>
                <w:left w:val="none" w:sz="0" w:space="0" w:color="auto"/>
                <w:bottom w:val="none" w:sz="0" w:space="0" w:color="auto"/>
                <w:right w:val="none" w:sz="0" w:space="0" w:color="auto"/>
              </w:divBdr>
            </w:div>
          </w:divsChild>
        </w:div>
        <w:div w:id="1544245790">
          <w:marLeft w:val="0"/>
          <w:marRight w:val="0"/>
          <w:marTop w:val="0"/>
          <w:marBottom w:val="0"/>
          <w:divBdr>
            <w:top w:val="none" w:sz="0" w:space="0" w:color="auto"/>
            <w:left w:val="none" w:sz="0" w:space="0" w:color="auto"/>
            <w:bottom w:val="none" w:sz="0" w:space="0" w:color="auto"/>
            <w:right w:val="none" w:sz="0" w:space="0" w:color="auto"/>
          </w:divBdr>
          <w:divsChild>
            <w:div w:id="1290549137">
              <w:marLeft w:val="0"/>
              <w:marRight w:val="0"/>
              <w:marTop w:val="0"/>
              <w:marBottom w:val="0"/>
              <w:divBdr>
                <w:top w:val="none" w:sz="0" w:space="0" w:color="auto"/>
                <w:left w:val="none" w:sz="0" w:space="0" w:color="auto"/>
                <w:bottom w:val="none" w:sz="0" w:space="0" w:color="auto"/>
                <w:right w:val="none" w:sz="0" w:space="0" w:color="auto"/>
              </w:divBdr>
            </w:div>
          </w:divsChild>
        </w:div>
        <w:div w:id="1547062161">
          <w:marLeft w:val="0"/>
          <w:marRight w:val="0"/>
          <w:marTop w:val="0"/>
          <w:marBottom w:val="0"/>
          <w:divBdr>
            <w:top w:val="none" w:sz="0" w:space="0" w:color="auto"/>
            <w:left w:val="none" w:sz="0" w:space="0" w:color="auto"/>
            <w:bottom w:val="none" w:sz="0" w:space="0" w:color="auto"/>
            <w:right w:val="none" w:sz="0" w:space="0" w:color="auto"/>
          </w:divBdr>
          <w:divsChild>
            <w:div w:id="779765280">
              <w:marLeft w:val="0"/>
              <w:marRight w:val="0"/>
              <w:marTop w:val="0"/>
              <w:marBottom w:val="0"/>
              <w:divBdr>
                <w:top w:val="none" w:sz="0" w:space="0" w:color="auto"/>
                <w:left w:val="none" w:sz="0" w:space="0" w:color="auto"/>
                <w:bottom w:val="none" w:sz="0" w:space="0" w:color="auto"/>
                <w:right w:val="none" w:sz="0" w:space="0" w:color="auto"/>
              </w:divBdr>
            </w:div>
          </w:divsChild>
        </w:div>
        <w:div w:id="1564367908">
          <w:marLeft w:val="0"/>
          <w:marRight w:val="0"/>
          <w:marTop w:val="0"/>
          <w:marBottom w:val="0"/>
          <w:divBdr>
            <w:top w:val="none" w:sz="0" w:space="0" w:color="auto"/>
            <w:left w:val="none" w:sz="0" w:space="0" w:color="auto"/>
            <w:bottom w:val="none" w:sz="0" w:space="0" w:color="auto"/>
            <w:right w:val="none" w:sz="0" w:space="0" w:color="auto"/>
          </w:divBdr>
          <w:divsChild>
            <w:div w:id="1995912201">
              <w:marLeft w:val="0"/>
              <w:marRight w:val="0"/>
              <w:marTop w:val="0"/>
              <w:marBottom w:val="0"/>
              <w:divBdr>
                <w:top w:val="none" w:sz="0" w:space="0" w:color="auto"/>
                <w:left w:val="none" w:sz="0" w:space="0" w:color="auto"/>
                <w:bottom w:val="none" w:sz="0" w:space="0" w:color="auto"/>
                <w:right w:val="none" w:sz="0" w:space="0" w:color="auto"/>
              </w:divBdr>
            </w:div>
          </w:divsChild>
        </w:div>
        <w:div w:id="1569413915">
          <w:marLeft w:val="0"/>
          <w:marRight w:val="0"/>
          <w:marTop w:val="0"/>
          <w:marBottom w:val="0"/>
          <w:divBdr>
            <w:top w:val="none" w:sz="0" w:space="0" w:color="auto"/>
            <w:left w:val="none" w:sz="0" w:space="0" w:color="auto"/>
            <w:bottom w:val="none" w:sz="0" w:space="0" w:color="auto"/>
            <w:right w:val="none" w:sz="0" w:space="0" w:color="auto"/>
          </w:divBdr>
          <w:divsChild>
            <w:div w:id="1982035745">
              <w:marLeft w:val="0"/>
              <w:marRight w:val="0"/>
              <w:marTop w:val="0"/>
              <w:marBottom w:val="0"/>
              <w:divBdr>
                <w:top w:val="none" w:sz="0" w:space="0" w:color="auto"/>
                <w:left w:val="none" w:sz="0" w:space="0" w:color="auto"/>
                <w:bottom w:val="none" w:sz="0" w:space="0" w:color="auto"/>
                <w:right w:val="none" w:sz="0" w:space="0" w:color="auto"/>
              </w:divBdr>
            </w:div>
          </w:divsChild>
        </w:div>
        <w:div w:id="1583179097">
          <w:marLeft w:val="0"/>
          <w:marRight w:val="0"/>
          <w:marTop w:val="0"/>
          <w:marBottom w:val="0"/>
          <w:divBdr>
            <w:top w:val="none" w:sz="0" w:space="0" w:color="auto"/>
            <w:left w:val="none" w:sz="0" w:space="0" w:color="auto"/>
            <w:bottom w:val="none" w:sz="0" w:space="0" w:color="auto"/>
            <w:right w:val="none" w:sz="0" w:space="0" w:color="auto"/>
          </w:divBdr>
          <w:divsChild>
            <w:div w:id="1519393142">
              <w:marLeft w:val="0"/>
              <w:marRight w:val="0"/>
              <w:marTop w:val="0"/>
              <w:marBottom w:val="0"/>
              <w:divBdr>
                <w:top w:val="none" w:sz="0" w:space="0" w:color="auto"/>
                <w:left w:val="none" w:sz="0" w:space="0" w:color="auto"/>
                <w:bottom w:val="none" w:sz="0" w:space="0" w:color="auto"/>
                <w:right w:val="none" w:sz="0" w:space="0" w:color="auto"/>
              </w:divBdr>
            </w:div>
          </w:divsChild>
        </w:div>
        <w:div w:id="1636064192">
          <w:marLeft w:val="0"/>
          <w:marRight w:val="0"/>
          <w:marTop w:val="0"/>
          <w:marBottom w:val="0"/>
          <w:divBdr>
            <w:top w:val="none" w:sz="0" w:space="0" w:color="auto"/>
            <w:left w:val="none" w:sz="0" w:space="0" w:color="auto"/>
            <w:bottom w:val="none" w:sz="0" w:space="0" w:color="auto"/>
            <w:right w:val="none" w:sz="0" w:space="0" w:color="auto"/>
          </w:divBdr>
          <w:divsChild>
            <w:div w:id="577715577">
              <w:marLeft w:val="0"/>
              <w:marRight w:val="0"/>
              <w:marTop w:val="0"/>
              <w:marBottom w:val="0"/>
              <w:divBdr>
                <w:top w:val="none" w:sz="0" w:space="0" w:color="auto"/>
                <w:left w:val="none" w:sz="0" w:space="0" w:color="auto"/>
                <w:bottom w:val="none" w:sz="0" w:space="0" w:color="auto"/>
                <w:right w:val="none" w:sz="0" w:space="0" w:color="auto"/>
              </w:divBdr>
            </w:div>
          </w:divsChild>
        </w:div>
        <w:div w:id="1711149697">
          <w:marLeft w:val="0"/>
          <w:marRight w:val="0"/>
          <w:marTop w:val="0"/>
          <w:marBottom w:val="0"/>
          <w:divBdr>
            <w:top w:val="none" w:sz="0" w:space="0" w:color="auto"/>
            <w:left w:val="none" w:sz="0" w:space="0" w:color="auto"/>
            <w:bottom w:val="none" w:sz="0" w:space="0" w:color="auto"/>
            <w:right w:val="none" w:sz="0" w:space="0" w:color="auto"/>
          </w:divBdr>
          <w:divsChild>
            <w:div w:id="393435695">
              <w:marLeft w:val="0"/>
              <w:marRight w:val="0"/>
              <w:marTop w:val="0"/>
              <w:marBottom w:val="0"/>
              <w:divBdr>
                <w:top w:val="none" w:sz="0" w:space="0" w:color="auto"/>
                <w:left w:val="none" w:sz="0" w:space="0" w:color="auto"/>
                <w:bottom w:val="none" w:sz="0" w:space="0" w:color="auto"/>
                <w:right w:val="none" w:sz="0" w:space="0" w:color="auto"/>
              </w:divBdr>
            </w:div>
          </w:divsChild>
        </w:div>
        <w:div w:id="1712654034">
          <w:marLeft w:val="0"/>
          <w:marRight w:val="0"/>
          <w:marTop w:val="0"/>
          <w:marBottom w:val="0"/>
          <w:divBdr>
            <w:top w:val="none" w:sz="0" w:space="0" w:color="auto"/>
            <w:left w:val="none" w:sz="0" w:space="0" w:color="auto"/>
            <w:bottom w:val="none" w:sz="0" w:space="0" w:color="auto"/>
            <w:right w:val="none" w:sz="0" w:space="0" w:color="auto"/>
          </w:divBdr>
          <w:divsChild>
            <w:div w:id="286620320">
              <w:marLeft w:val="0"/>
              <w:marRight w:val="0"/>
              <w:marTop w:val="0"/>
              <w:marBottom w:val="0"/>
              <w:divBdr>
                <w:top w:val="none" w:sz="0" w:space="0" w:color="auto"/>
                <w:left w:val="none" w:sz="0" w:space="0" w:color="auto"/>
                <w:bottom w:val="none" w:sz="0" w:space="0" w:color="auto"/>
                <w:right w:val="none" w:sz="0" w:space="0" w:color="auto"/>
              </w:divBdr>
            </w:div>
          </w:divsChild>
        </w:div>
        <w:div w:id="1722555320">
          <w:marLeft w:val="0"/>
          <w:marRight w:val="0"/>
          <w:marTop w:val="0"/>
          <w:marBottom w:val="0"/>
          <w:divBdr>
            <w:top w:val="none" w:sz="0" w:space="0" w:color="auto"/>
            <w:left w:val="none" w:sz="0" w:space="0" w:color="auto"/>
            <w:bottom w:val="none" w:sz="0" w:space="0" w:color="auto"/>
            <w:right w:val="none" w:sz="0" w:space="0" w:color="auto"/>
          </w:divBdr>
          <w:divsChild>
            <w:div w:id="1868326064">
              <w:marLeft w:val="0"/>
              <w:marRight w:val="0"/>
              <w:marTop w:val="0"/>
              <w:marBottom w:val="0"/>
              <w:divBdr>
                <w:top w:val="none" w:sz="0" w:space="0" w:color="auto"/>
                <w:left w:val="none" w:sz="0" w:space="0" w:color="auto"/>
                <w:bottom w:val="none" w:sz="0" w:space="0" w:color="auto"/>
                <w:right w:val="none" w:sz="0" w:space="0" w:color="auto"/>
              </w:divBdr>
            </w:div>
          </w:divsChild>
        </w:div>
        <w:div w:id="1727099674">
          <w:marLeft w:val="0"/>
          <w:marRight w:val="0"/>
          <w:marTop w:val="0"/>
          <w:marBottom w:val="0"/>
          <w:divBdr>
            <w:top w:val="none" w:sz="0" w:space="0" w:color="auto"/>
            <w:left w:val="none" w:sz="0" w:space="0" w:color="auto"/>
            <w:bottom w:val="none" w:sz="0" w:space="0" w:color="auto"/>
            <w:right w:val="none" w:sz="0" w:space="0" w:color="auto"/>
          </w:divBdr>
          <w:divsChild>
            <w:div w:id="293830541">
              <w:marLeft w:val="0"/>
              <w:marRight w:val="0"/>
              <w:marTop w:val="0"/>
              <w:marBottom w:val="0"/>
              <w:divBdr>
                <w:top w:val="none" w:sz="0" w:space="0" w:color="auto"/>
                <w:left w:val="none" w:sz="0" w:space="0" w:color="auto"/>
                <w:bottom w:val="none" w:sz="0" w:space="0" w:color="auto"/>
                <w:right w:val="none" w:sz="0" w:space="0" w:color="auto"/>
              </w:divBdr>
            </w:div>
          </w:divsChild>
        </w:div>
        <w:div w:id="1730224927">
          <w:marLeft w:val="0"/>
          <w:marRight w:val="0"/>
          <w:marTop w:val="0"/>
          <w:marBottom w:val="0"/>
          <w:divBdr>
            <w:top w:val="none" w:sz="0" w:space="0" w:color="auto"/>
            <w:left w:val="none" w:sz="0" w:space="0" w:color="auto"/>
            <w:bottom w:val="none" w:sz="0" w:space="0" w:color="auto"/>
            <w:right w:val="none" w:sz="0" w:space="0" w:color="auto"/>
          </w:divBdr>
          <w:divsChild>
            <w:div w:id="2002780383">
              <w:marLeft w:val="0"/>
              <w:marRight w:val="0"/>
              <w:marTop w:val="0"/>
              <w:marBottom w:val="0"/>
              <w:divBdr>
                <w:top w:val="none" w:sz="0" w:space="0" w:color="auto"/>
                <w:left w:val="none" w:sz="0" w:space="0" w:color="auto"/>
                <w:bottom w:val="none" w:sz="0" w:space="0" w:color="auto"/>
                <w:right w:val="none" w:sz="0" w:space="0" w:color="auto"/>
              </w:divBdr>
            </w:div>
          </w:divsChild>
        </w:div>
        <w:div w:id="1740130790">
          <w:marLeft w:val="0"/>
          <w:marRight w:val="0"/>
          <w:marTop w:val="0"/>
          <w:marBottom w:val="0"/>
          <w:divBdr>
            <w:top w:val="none" w:sz="0" w:space="0" w:color="auto"/>
            <w:left w:val="none" w:sz="0" w:space="0" w:color="auto"/>
            <w:bottom w:val="none" w:sz="0" w:space="0" w:color="auto"/>
            <w:right w:val="none" w:sz="0" w:space="0" w:color="auto"/>
          </w:divBdr>
          <w:divsChild>
            <w:div w:id="946546733">
              <w:marLeft w:val="0"/>
              <w:marRight w:val="0"/>
              <w:marTop w:val="0"/>
              <w:marBottom w:val="0"/>
              <w:divBdr>
                <w:top w:val="none" w:sz="0" w:space="0" w:color="auto"/>
                <w:left w:val="none" w:sz="0" w:space="0" w:color="auto"/>
                <w:bottom w:val="none" w:sz="0" w:space="0" w:color="auto"/>
                <w:right w:val="none" w:sz="0" w:space="0" w:color="auto"/>
              </w:divBdr>
            </w:div>
          </w:divsChild>
        </w:div>
        <w:div w:id="1786193146">
          <w:marLeft w:val="0"/>
          <w:marRight w:val="0"/>
          <w:marTop w:val="0"/>
          <w:marBottom w:val="0"/>
          <w:divBdr>
            <w:top w:val="none" w:sz="0" w:space="0" w:color="auto"/>
            <w:left w:val="none" w:sz="0" w:space="0" w:color="auto"/>
            <w:bottom w:val="none" w:sz="0" w:space="0" w:color="auto"/>
            <w:right w:val="none" w:sz="0" w:space="0" w:color="auto"/>
          </w:divBdr>
          <w:divsChild>
            <w:div w:id="2081244037">
              <w:marLeft w:val="0"/>
              <w:marRight w:val="0"/>
              <w:marTop w:val="0"/>
              <w:marBottom w:val="0"/>
              <w:divBdr>
                <w:top w:val="none" w:sz="0" w:space="0" w:color="auto"/>
                <w:left w:val="none" w:sz="0" w:space="0" w:color="auto"/>
                <w:bottom w:val="none" w:sz="0" w:space="0" w:color="auto"/>
                <w:right w:val="none" w:sz="0" w:space="0" w:color="auto"/>
              </w:divBdr>
            </w:div>
          </w:divsChild>
        </w:div>
        <w:div w:id="1811482371">
          <w:marLeft w:val="0"/>
          <w:marRight w:val="0"/>
          <w:marTop w:val="0"/>
          <w:marBottom w:val="0"/>
          <w:divBdr>
            <w:top w:val="none" w:sz="0" w:space="0" w:color="auto"/>
            <w:left w:val="none" w:sz="0" w:space="0" w:color="auto"/>
            <w:bottom w:val="none" w:sz="0" w:space="0" w:color="auto"/>
            <w:right w:val="none" w:sz="0" w:space="0" w:color="auto"/>
          </w:divBdr>
          <w:divsChild>
            <w:div w:id="1545942793">
              <w:marLeft w:val="0"/>
              <w:marRight w:val="0"/>
              <w:marTop w:val="0"/>
              <w:marBottom w:val="0"/>
              <w:divBdr>
                <w:top w:val="none" w:sz="0" w:space="0" w:color="auto"/>
                <w:left w:val="none" w:sz="0" w:space="0" w:color="auto"/>
                <w:bottom w:val="none" w:sz="0" w:space="0" w:color="auto"/>
                <w:right w:val="none" w:sz="0" w:space="0" w:color="auto"/>
              </w:divBdr>
            </w:div>
          </w:divsChild>
        </w:div>
        <w:div w:id="1827473259">
          <w:marLeft w:val="0"/>
          <w:marRight w:val="0"/>
          <w:marTop w:val="0"/>
          <w:marBottom w:val="0"/>
          <w:divBdr>
            <w:top w:val="none" w:sz="0" w:space="0" w:color="auto"/>
            <w:left w:val="none" w:sz="0" w:space="0" w:color="auto"/>
            <w:bottom w:val="none" w:sz="0" w:space="0" w:color="auto"/>
            <w:right w:val="none" w:sz="0" w:space="0" w:color="auto"/>
          </w:divBdr>
          <w:divsChild>
            <w:div w:id="1295210785">
              <w:marLeft w:val="0"/>
              <w:marRight w:val="0"/>
              <w:marTop w:val="0"/>
              <w:marBottom w:val="0"/>
              <w:divBdr>
                <w:top w:val="none" w:sz="0" w:space="0" w:color="auto"/>
                <w:left w:val="none" w:sz="0" w:space="0" w:color="auto"/>
                <w:bottom w:val="none" w:sz="0" w:space="0" w:color="auto"/>
                <w:right w:val="none" w:sz="0" w:space="0" w:color="auto"/>
              </w:divBdr>
            </w:div>
          </w:divsChild>
        </w:div>
        <w:div w:id="1830947162">
          <w:marLeft w:val="0"/>
          <w:marRight w:val="0"/>
          <w:marTop w:val="0"/>
          <w:marBottom w:val="0"/>
          <w:divBdr>
            <w:top w:val="none" w:sz="0" w:space="0" w:color="auto"/>
            <w:left w:val="none" w:sz="0" w:space="0" w:color="auto"/>
            <w:bottom w:val="none" w:sz="0" w:space="0" w:color="auto"/>
            <w:right w:val="none" w:sz="0" w:space="0" w:color="auto"/>
          </w:divBdr>
          <w:divsChild>
            <w:div w:id="818306211">
              <w:marLeft w:val="0"/>
              <w:marRight w:val="0"/>
              <w:marTop w:val="0"/>
              <w:marBottom w:val="0"/>
              <w:divBdr>
                <w:top w:val="none" w:sz="0" w:space="0" w:color="auto"/>
                <w:left w:val="none" w:sz="0" w:space="0" w:color="auto"/>
                <w:bottom w:val="none" w:sz="0" w:space="0" w:color="auto"/>
                <w:right w:val="none" w:sz="0" w:space="0" w:color="auto"/>
              </w:divBdr>
            </w:div>
          </w:divsChild>
        </w:div>
        <w:div w:id="1844930484">
          <w:marLeft w:val="0"/>
          <w:marRight w:val="0"/>
          <w:marTop w:val="0"/>
          <w:marBottom w:val="0"/>
          <w:divBdr>
            <w:top w:val="none" w:sz="0" w:space="0" w:color="auto"/>
            <w:left w:val="none" w:sz="0" w:space="0" w:color="auto"/>
            <w:bottom w:val="none" w:sz="0" w:space="0" w:color="auto"/>
            <w:right w:val="none" w:sz="0" w:space="0" w:color="auto"/>
          </w:divBdr>
          <w:divsChild>
            <w:div w:id="1909681636">
              <w:marLeft w:val="0"/>
              <w:marRight w:val="0"/>
              <w:marTop w:val="0"/>
              <w:marBottom w:val="0"/>
              <w:divBdr>
                <w:top w:val="none" w:sz="0" w:space="0" w:color="auto"/>
                <w:left w:val="none" w:sz="0" w:space="0" w:color="auto"/>
                <w:bottom w:val="none" w:sz="0" w:space="0" w:color="auto"/>
                <w:right w:val="none" w:sz="0" w:space="0" w:color="auto"/>
              </w:divBdr>
            </w:div>
          </w:divsChild>
        </w:div>
        <w:div w:id="1887330989">
          <w:marLeft w:val="0"/>
          <w:marRight w:val="0"/>
          <w:marTop w:val="0"/>
          <w:marBottom w:val="0"/>
          <w:divBdr>
            <w:top w:val="none" w:sz="0" w:space="0" w:color="auto"/>
            <w:left w:val="none" w:sz="0" w:space="0" w:color="auto"/>
            <w:bottom w:val="none" w:sz="0" w:space="0" w:color="auto"/>
            <w:right w:val="none" w:sz="0" w:space="0" w:color="auto"/>
          </w:divBdr>
          <w:divsChild>
            <w:div w:id="1668240296">
              <w:marLeft w:val="0"/>
              <w:marRight w:val="0"/>
              <w:marTop w:val="0"/>
              <w:marBottom w:val="0"/>
              <w:divBdr>
                <w:top w:val="none" w:sz="0" w:space="0" w:color="auto"/>
                <w:left w:val="none" w:sz="0" w:space="0" w:color="auto"/>
                <w:bottom w:val="none" w:sz="0" w:space="0" w:color="auto"/>
                <w:right w:val="none" w:sz="0" w:space="0" w:color="auto"/>
              </w:divBdr>
            </w:div>
          </w:divsChild>
        </w:div>
        <w:div w:id="1922252692">
          <w:marLeft w:val="0"/>
          <w:marRight w:val="0"/>
          <w:marTop w:val="0"/>
          <w:marBottom w:val="0"/>
          <w:divBdr>
            <w:top w:val="none" w:sz="0" w:space="0" w:color="auto"/>
            <w:left w:val="none" w:sz="0" w:space="0" w:color="auto"/>
            <w:bottom w:val="none" w:sz="0" w:space="0" w:color="auto"/>
            <w:right w:val="none" w:sz="0" w:space="0" w:color="auto"/>
          </w:divBdr>
          <w:divsChild>
            <w:div w:id="1639804285">
              <w:marLeft w:val="0"/>
              <w:marRight w:val="0"/>
              <w:marTop w:val="0"/>
              <w:marBottom w:val="0"/>
              <w:divBdr>
                <w:top w:val="none" w:sz="0" w:space="0" w:color="auto"/>
                <w:left w:val="none" w:sz="0" w:space="0" w:color="auto"/>
                <w:bottom w:val="none" w:sz="0" w:space="0" w:color="auto"/>
                <w:right w:val="none" w:sz="0" w:space="0" w:color="auto"/>
              </w:divBdr>
            </w:div>
          </w:divsChild>
        </w:div>
        <w:div w:id="1932858204">
          <w:marLeft w:val="0"/>
          <w:marRight w:val="0"/>
          <w:marTop w:val="0"/>
          <w:marBottom w:val="0"/>
          <w:divBdr>
            <w:top w:val="none" w:sz="0" w:space="0" w:color="auto"/>
            <w:left w:val="none" w:sz="0" w:space="0" w:color="auto"/>
            <w:bottom w:val="none" w:sz="0" w:space="0" w:color="auto"/>
            <w:right w:val="none" w:sz="0" w:space="0" w:color="auto"/>
          </w:divBdr>
          <w:divsChild>
            <w:div w:id="1505777346">
              <w:marLeft w:val="0"/>
              <w:marRight w:val="0"/>
              <w:marTop w:val="0"/>
              <w:marBottom w:val="0"/>
              <w:divBdr>
                <w:top w:val="none" w:sz="0" w:space="0" w:color="auto"/>
                <w:left w:val="none" w:sz="0" w:space="0" w:color="auto"/>
                <w:bottom w:val="none" w:sz="0" w:space="0" w:color="auto"/>
                <w:right w:val="none" w:sz="0" w:space="0" w:color="auto"/>
              </w:divBdr>
            </w:div>
          </w:divsChild>
        </w:div>
        <w:div w:id="2020081835">
          <w:marLeft w:val="0"/>
          <w:marRight w:val="0"/>
          <w:marTop w:val="0"/>
          <w:marBottom w:val="0"/>
          <w:divBdr>
            <w:top w:val="none" w:sz="0" w:space="0" w:color="auto"/>
            <w:left w:val="none" w:sz="0" w:space="0" w:color="auto"/>
            <w:bottom w:val="none" w:sz="0" w:space="0" w:color="auto"/>
            <w:right w:val="none" w:sz="0" w:space="0" w:color="auto"/>
          </w:divBdr>
          <w:divsChild>
            <w:div w:id="874077507">
              <w:marLeft w:val="0"/>
              <w:marRight w:val="0"/>
              <w:marTop w:val="0"/>
              <w:marBottom w:val="0"/>
              <w:divBdr>
                <w:top w:val="none" w:sz="0" w:space="0" w:color="auto"/>
                <w:left w:val="none" w:sz="0" w:space="0" w:color="auto"/>
                <w:bottom w:val="none" w:sz="0" w:space="0" w:color="auto"/>
                <w:right w:val="none" w:sz="0" w:space="0" w:color="auto"/>
              </w:divBdr>
            </w:div>
          </w:divsChild>
        </w:div>
        <w:div w:id="2076050621">
          <w:marLeft w:val="0"/>
          <w:marRight w:val="0"/>
          <w:marTop w:val="0"/>
          <w:marBottom w:val="0"/>
          <w:divBdr>
            <w:top w:val="none" w:sz="0" w:space="0" w:color="auto"/>
            <w:left w:val="none" w:sz="0" w:space="0" w:color="auto"/>
            <w:bottom w:val="none" w:sz="0" w:space="0" w:color="auto"/>
            <w:right w:val="none" w:sz="0" w:space="0" w:color="auto"/>
          </w:divBdr>
          <w:divsChild>
            <w:div w:id="109904372">
              <w:marLeft w:val="0"/>
              <w:marRight w:val="0"/>
              <w:marTop w:val="0"/>
              <w:marBottom w:val="0"/>
              <w:divBdr>
                <w:top w:val="none" w:sz="0" w:space="0" w:color="auto"/>
                <w:left w:val="none" w:sz="0" w:space="0" w:color="auto"/>
                <w:bottom w:val="none" w:sz="0" w:space="0" w:color="auto"/>
                <w:right w:val="none" w:sz="0" w:space="0" w:color="auto"/>
              </w:divBdr>
            </w:div>
          </w:divsChild>
        </w:div>
        <w:div w:id="2092506061">
          <w:marLeft w:val="0"/>
          <w:marRight w:val="0"/>
          <w:marTop w:val="0"/>
          <w:marBottom w:val="0"/>
          <w:divBdr>
            <w:top w:val="none" w:sz="0" w:space="0" w:color="auto"/>
            <w:left w:val="none" w:sz="0" w:space="0" w:color="auto"/>
            <w:bottom w:val="none" w:sz="0" w:space="0" w:color="auto"/>
            <w:right w:val="none" w:sz="0" w:space="0" w:color="auto"/>
          </w:divBdr>
          <w:divsChild>
            <w:div w:id="1132095178">
              <w:marLeft w:val="0"/>
              <w:marRight w:val="0"/>
              <w:marTop w:val="0"/>
              <w:marBottom w:val="0"/>
              <w:divBdr>
                <w:top w:val="none" w:sz="0" w:space="0" w:color="auto"/>
                <w:left w:val="none" w:sz="0" w:space="0" w:color="auto"/>
                <w:bottom w:val="none" w:sz="0" w:space="0" w:color="auto"/>
                <w:right w:val="none" w:sz="0" w:space="0" w:color="auto"/>
              </w:divBdr>
            </w:div>
          </w:divsChild>
        </w:div>
        <w:div w:id="2106293902">
          <w:marLeft w:val="0"/>
          <w:marRight w:val="0"/>
          <w:marTop w:val="0"/>
          <w:marBottom w:val="0"/>
          <w:divBdr>
            <w:top w:val="none" w:sz="0" w:space="0" w:color="auto"/>
            <w:left w:val="none" w:sz="0" w:space="0" w:color="auto"/>
            <w:bottom w:val="none" w:sz="0" w:space="0" w:color="auto"/>
            <w:right w:val="none" w:sz="0" w:space="0" w:color="auto"/>
          </w:divBdr>
          <w:divsChild>
            <w:div w:id="364522435">
              <w:marLeft w:val="0"/>
              <w:marRight w:val="0"/>
              <w:marTop w:val="0"/>
              <w:marBottom w:val="0"/>
              <w:divBdr>
                <w:top w:val="none" w:sz="0" w:space="0" w:color="auto"/>
                <w:left w:val="none" w:sz="0" w:space="0" w:color="auto"/>
                <w:bottom w:val="none" w:sz="0" w:space="0" w:color="auto"/>
                <w:right w:val="none" w:sz="0" w:space="0" w:color="auto"/>
              </w:divBdr>
            </w:div>
          </w:divsChild>
        </w:div>
        <w:div w:id="2139059771">
          <w:marLeft w:val="0"/>
          <w:marRight w:val="0"/>
          <w:marTop w:val="0"/>
          <w:marBottom w:val="0"/>
          <w:divBdr>
            <w:top w:val="none" w:sz="0" w:space="0" w:color="auto"/>
            <w:left w:val="none" w:sz="0" w:space="0" w:color="auto"/>
            <w:bottom w:val="none" w:sz="0" w:space="0" w:color="auto"/>
            <w:right w:val="none" w:sz="0" w:space="0" w:color="auto"/>
          </w:divBdr>
          <w:divsChild>
            <w:div w:id="5601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2524">
      <w:bodyDiv w:val="1"/>
      <w:marLeft w:val="0"/>
      <w:marRight w:val="0"/>
      <w:marTop w:val="0"/>
      <w:marBottom w:val="0"/>
      <w:divBdr>
        <w:top w:val="none" w:sz="0" w:space="0" w:color="auto"/>
        <w:left w:val="none" w:sz="0" w:space="0" w:color="auto"/>
        <w:bottom w:val="none" w:sz="0" w:space="0" w:color="auto"/>
        <w:right w:val="none" w:sz="0" w:space="0" w:color="auto"/>
      </w:divBdr>
      <w:divsChild>
        <w:div w:id="1863088041">
          <w:marLeft w:val="0"/>
          <w:marRight w:val="0"/>
          <w:marTop w:val="0"/>
          <w:marBottom w:val="0"/>
          <w:divBdr>
            <w:top w:val="none" w:sz="0" w:space="0" w:color="auto"/>
            <w:left w:val="none" w:sz="0" w:space="0" w:color="auto"/>
            <w:bottom w:val="none" w:sz="0" w:space="0" w:color="auto"/>
            <w:right w:val="none" w:sz="0" w:space="0" w:color="auto"/>
          </w:divBdr>
        </w:div>
      </w:divsChild>
    </w:div>
    <w:div w:id="1082146419">
      <w:bodyDiv w:val="1"/>
      <w:marLeft w:val="0"/>
      <w:marRight w:val="0"/>
      <w:marTop w:val="0"/>
      <w:marBottom w:val="0"/>
      <w:divBdr>
        <w:top w:val="none" w:sz="0" w:space="0" w:color="auto"/>
        <w:left w:val="none" w:sz="0" w:space="0" w:color="auto"/>
        <w:bottom w:val="none" w:sz="0" w:space="0" w:color="auto"/>
        <w:right w:val="none" w:sz="0" w:space="0" w:color="auto"/>
      </w:divBdr>
      <w:divsChild>
        <w:div w:id="1951012650">
          <w:marLeft w:val="0"/>
          <w:marRight w:val="0"/>
          <w:marTop w:val="0"/>
          <w:marBottom w:val="0"/>
          <w:divBdr>
            <w:top w:val="none" w:sz="0" w:space="0" w:color="auto"/>
            <w:left w:val="none" w:sz="0" w:space="0" w:color="auto"/>
            <w:bottom w:val="none" w:sz="0" w:space="0" w:color="auto"/>
            <w:right w:val="none" w:sz="0" w:space="0" w:color="auto"/>
          </w:divBdr>
        </w:div>
      </w:divsChild>
    </w:div>
    <w:div w:id="1097943556">
      <w:bodyDiv w:val="1"/>
      <w:marLeft w:val="0"/>
      <w:marRight w:val="0"/>
      <w:marTop w:val="0"/>
      <w:marBottom w:val="0"/>
      <w:divBdr>
        <w:top w:val="none" w:sz="0" w:space="0" w:color="auto"/>
        <w:left w:val="none" w:sz="0" w:space="0" w:color="auto"/>
        <w:bottom w:val="none" w:sz="0" w:space="0" w:color="auto"/>
        <w:right w:val="none" w:sz="0" w:space="0" w:color="auto"/>
      </w:divBdr>
      <w:divsChild>
        <w:div w:id="1044870854">
          <w:marLeft w:val="0"/>
          <w:marRight w:val="0"/>
          <w:marTop w:val="0"/>
          <w:marBottom w:val="0"/>
          <w:divBdr>
            <w:top w:val="none" w:sz="0" w:space="0" w:color="auto"/>
            <w:left w:val="none" w:sz="0" w:space="0" w:color="auto"/>
            <w:bottom w:val="none" w:sz="0" w:space="0" w:color="auto"/>
            <w:right w:val="none" w:sz="0" w:space="0" w:color="auto"/>
          </w:divBdr>
        </w:div>
      </w:divsChild>
    </w:div>
    <w:div w:id="1127550334">
      <w:bodyDiv w:val="1"/>
      <w:marLeft w:val="0"/>
      <w:marRight w:val="0"/>
      <w:marTop w:val="0"/>
      <w:marBottom w:val="0"/>
      <w:divBdr>
        <w:top w:val="none" w:sz="0" w:space="0" w:color="auto"/>
        <w:left w:val="none" w:sz="0" w:space="0" w:color="auto"/>
        <w:bottom w:val="none" w:sz="0" w:space="0" w:color="auto"/>
        <w:right w:val="none" w:sz="0" w:space="0" w:color="auto"/>
      </w:divBdr>
      <w:divsChild>
        <w:div w:id="1203982086">
          <w:marLeft w:val="0"/>
          <w:marRight w:val="0"/>
          <w:marTop w:val="0"/>
          <w:marBottom w:val="0"/>
          <w:divBdr>
            <w:top w:val="none" w:sz="0" w:space="0" w:color="auto"/>
            <w:left w:val="none" w:sz="0" w:space="0" w:color="auto"/>
            <w:bottom w:val="none" w:sz="0" w:space="0" w:color="auto"/>
            <w:right w:val="none" w:sz="0" w:space="0" w:color="auto"/>
          </w:divBdr>
        </w:div>
      </w:divsChild>
    </w:div>
    <w:div w:id="1156726738">
      <w:bodyDiv w:val="1"/>
      <w:marLeft w:val="0"/>
      <w:marRight w:val="0"/>
      <w:marTop w:val="0"/>
      <w:marBottom w:val="0"/>
      <w:divBdr>
        <w:top w:val="none" w:sz="0" w:space="0" w:color="auto"/>
        <w:left w:val="none" w:sz="0" w:space="0" w:color="auto"/>
        <w:bottom w:val="none" w:sz="0" w:space="0" w:color="auto"/>
        <w:right w:val="none" w:sz="0" w:space="0" w:color="auto"/>
      </w:divBdr>
    </w:div>
    <w:div w:id="1163397725">
      <w:bodyDiv w:val="1"/>
      <w:marLeft w:val="0"/>
      <w:marRight w:val="0"/>
      <w:marTop w:val="0"/>
      <w:marBottom w:val="0"/>
      <w:divBdr>
        <w:top w:val="none" w:sz="0" w:space="0" w:color="auto"/>
        <w:left w:val="none" w:sz="0" w:space="0" w:color="auto"/>
        <w:bottom w:val="none" w:sz="0" w:space="0" w:color="auto"/>
        <w:right w:val="none" w:sz="0" w:space="0" w:color="auto"/>
      </w:divBdr>
    </w:div>
    <w:div w:id="1183324311">
      <w:bodyDiv w:val="1"/>
      <w:marLeft w:val="0"/>
      <w:marRight w:val="0"/>
      <w:marTop w:val="0"/>
      <w:marBottom w:val="0"/>
      <w:divBdr>
        <w:top w:val="none" w:sz="0" w:space="0" w:color="auto"/>
        <w:left w:val="none" w:sz="0" w:space="0" w:color="auto"/>
        <w:bottom w:val="none" w:sz="0" w:space="0" w:color="auto"/>
        <w:right w:val="none" w:sz="0" w:space="0" w:color="auto"/>
      </w:divBdr>
    </w:div>
    <w:div w:id="1185554469">
      <w:bodyDiv w:val="1"/>
      <w:marLeft w:val="0"/>
      <w:marRight w:val="0"/>
      <w:marTop w:val="0"/>
      <w:marBottom w:val="0"/>
      <w:divBdr>
        <w:top w:val="none" w:sz="0" w:space="0" w:color="auto"/>
        <w:left w:val="none" w:sz="0" w:space="0" w:color="auto"/>
        <w:bottom w:val="none" w:sz="0" w:space="0" w:color="auto"/>
        <w:right w:val="none" w:sz="0" w:space="0" w:color="auto"/>
      </w:divBdr>
      <w:divsChild>
        <w:div w:id="1238634522">
          <w:marLeft w:val="0"/>
          <w:marRight w:val="0"/>
          <w:marTop w:val="0"/>
          <w:marBottom w:val="0"/>
          <w:divBdr>
            <w:top w:val="none" w:sz="0" w:space="0" w:color="auto"/>
            <w:left w:val="none" w:sz="0" w:space="0" w:color="auto"/>
            <w:bottom w:val="none" w:sz="0" w:space="0" w:color="auto"/>
            <w:right w:val="none" w:sz="0" w:space="0" w:color="auto"/>
          </w:divBdr>
        </w:div>
      </w:divsChild>
    </w:div>
    <w:div w:id="1187139463">
      <w:bodyDiv w:val="1"/>
      <w:marLeft w:val="0"/>
      <w:marRight w:val="0"/>
      <w:marTop w:val="0"/>
      <w:marBottom w:val="0"/>
      <w:divBdr>
        <w:top w:val="none" w:sz="0" w:space="0" w:color="auto"/>
        <w:left w:val="none" w:sz="0" w:space="0" w:color="auto"/>
        <w:bottom w:val="none" w:sz="0" w:space="0" w:color="auto"/>
        <w:right w:val="none" w:sz="0" w:space="0" w:color="auto"/>
      </w:divBdr>
    </w:div>
    <w:div w:id="1216434214">
      <w:bodyDiv w:val="1"/>
      <w:marLeft w:val="0"/>
      <w:marRight w:val="0"/>
      <w:marTop w:val="0"/>
      <w:marBottom w:val="0"/>
      <w:divBdr>
        <w:top w:val="none" w:sz="0" w:space="0" w:color="auto"/>
        <w:left w:val="none" w:sz="0" w:space="0" w:color="auto"/>
        <w:bottom w:val="none" w:sz="0" w:space="0" w:color="auto"/>
        <w:right w:val="none" w:sz="0" w:space="0" w:color="auto"/>
      </w:divBdr>
      <w:divsChild>
        <w:div w:id="1973293055">
          <w:marLeft w:val="0"/>
          <w:marRight w:val="0"/>
          <w:marTop w:val="0"/>
          <w:marBottom w:val="0"/>
          <w:divBdr>
            <w:top w:val="none" w:sz="0" w:space="0" w:color="auto"/>
            <w:left w:val="none" w:sz="0" w:space="0" w:color="auto"/>
            <w:bottom w:val="none" w:sz="0" w:space="0" w:color="auto"/>
            <w:right w:val="none" w:sz="0" w:space="0" w:color="auto"/>
          </w:divBdr>
        </w:div>
      </w:divsChild>
    </w:div>
    <w:div w:id="1227492814">
      <w:bodyDiv w:val="1"/>
      <w:marLeft w:val="0"/>
      <w:marRight w:val="0"/>
      <w:marTop w:val="0"/>
      <w:marBottom w:val="0"/>
      <w:divBdr>
        <w:top w:val="none" w:sz="0" w:space="0" w:color="auto"/>
        <w:left w:val="none" w:sz="0" w:space="0" w:color="auto"/>
        <w:bottom w:val="none" w:sz="0" w:space="0" w:color="auto"/>
        <w:right w:val="none" w:sz="0" w:space="0" w:color="auto"/>
      </w:divBdr>
      <w:divsChild>
        <w:div w:id="1489052353">
          <w:marLeft w:val="0"/>
          <w:marRight w:val="0"/>
          <w:marTop w:val="0"/>
          <w:marBottom w:val="0"/>
          <w:divBdr>
            <w:top w:val="none" w:sz="0" w:space="0" w:color="auto"/>
            <w:left w:val="none" w:sz="0" w:space="0" w:color="auto"/>
            <w:bottom w:val="none" w:sz="0" w:space="0" w:color="auto"/>
            <w:right w:val="none" w:sz="0" w:space="0" w:color="auto"/>
          </w:divBdr>
        </w:div>
      </w:divsChild>
    </w:div>
    <w:div w:id="1243685118">
      <w:bodyDiv w:val="1"/>
      <w:marLeft w:val="0"/>
      <w:marRight w:val="0"/>
      <w:marTop w:val="0"/>
      <w:marBottom w:val="0"/>
      <w:divBdr>
        <w:top w:val="none" w:sz="0" w:space="0" w:color="auto"/>
        <w:left w:val="none" w:sz="0" w:space="0" w:color="auto"/>
        <w:bottom w:val="none" w:sz="0" w:space="0" w:color="auto"/>
        <w:right w:val="none" w:sz="0" w:space="0" w:color="auto"/>
      </w:divBdr>
    </w:div>
    <w:div w:id="1251082408">
      <w:bodyDiv w:val="1"/>
      <w:marLeft w:val="0"/>
      <w:marRight w:val="0"/>
      <w:marTop w:val="0"/>
      <w:marBottom w:val="0"/>
      <w:divBdr>
        <w:top w:val="none" w:sz="0" w:space="0" w:color="auto"/>
        <w:left w:val="none" w:sz="0" w:space="0" w:color="auto"/>
        <w:bottom w:val="none" w:sz="0" w:space="0" w:color="auto"/>
        <w:right w:val="none" w:sz="0" w:space="0" w:color="auto"/>
      </w:divBdr>
    </w:div>
    <w:div w:id="1284532647">
      <w:bodyDiv w:val="1"/>
      <w:marLeft w:val="0"/>
      <w:marRight w:val="0"/>
      <w:marTop w:val="0"/>
      <w:marBottom w:val="0"/>
      <w:divBdr>
        <w:top w:val="none" w:sz="0" w:space="0" w:color="auto"/>
        <w:left w:val="none" w:sz="0" w:space="0" w:color="auto"/>
        <w:bottom w:val="none" w:sz="0" w:space="0" w:color="auto"/>
        <w:right w:val="none" w:sz="0" w:space="0" w:color="auto"/>
      </w:divBdr>
      <w:divsChild>
        <w:div w:id="45184571">
          <w:marLeft w:val="0"/>
          <w:marRight w:val="0"/>
          <w:marTop w:val="0"/>
          <w:marBottom w:val="0"/>
          <w:divBdr>
            <w:top w:val="none" w:sz="0" w:space="0" w:color="auto"/>
            <w:left w:val="none" w:sz="0" w:space="0" w:color="auto"/>
            <w:bottom w:val="none" w:sz="0" w:space="0" w:color="auto"/>
            <w:right w:val="none" w:sz="0" w:space="0" w:color="auto"/>
          </w:divBdr>
          <w:divsChild>
            <w:div w:id="1023477804">
              <w:marLeft w:val="0"/>
              <w:marRight w:val="0"/>
              <w:marTop w:val="0"/>
              <w:marBottom w:val="0"/>
              <w:divBdr>
                <w:top w:val="none" w:sz="0" w:space="0" w:color="auto"/>
                <w:left w:val="none" w:sz="0" w:space="0" w:color="auto"/>
                <w:bottom w:val="none" w:sz="0" w:space="0" w:color="auto"/>
                <w:right w:val="none" w:sz="0" w:space="0" w:color="auto"/>
              </w:divBdr>
            </w:div>
          </w:divsChild>
        </w:div>
        <w:div w:id="74406126">
          <w:marLeft w:val="0"/>
          <w:marRight w:val="0"/>
          <w:marTop w:val="0"/>
          <w:marBottom w:val="0"/>
          <w:divBdr>
            <w:top w:val="none" w:sz="0" w:space="0" w:color="auto"/>
            <w:left w:val="none" w:sz="0" w:space="0" w:color="auto"/>
            <w:bottom w:val="none" w:sz="0" w:space="0" w:color="auto"/>
            <w:right w:val="none" w:sz="0" w:space="0" w:color="auto"/>
          </w:divBdr>
          <w:divsChild>
            <w:div w:id="353966509">
              <w:marLeft w:val="0"/>
              <w:marRight w:val="0"/>
              <w:marTop w:val="0"/>
              <w:marBottom w:val="0"/>
              <w:divBdr>
                <w:top w:val="none" w:sz="0" w:space="0" w:color="auto"/>
                <w:left w:val="none" w:sz="0" w:space="0" w:color="auto"/>
                <w:bottom w:val="none" w:sz="0" w:space="0" w:color="auto"/>
                <w:right w:val="none" w:sz="0" w:space="0" w:color="auto"/>
              </w:divBdr>
            </w:div>
          </w:divsChild>
        </w:div>
        <w:div w:id="91823957">
          <w:marLeft w:val="0"/>
          <w:marRight w:val="0"/>
          <w:marTop w:val="0"/>
          <w:marBottom w:val="0"/>
          <w:divBdr>
            <w:top w:val="none" w:sz="0" w:space="0" w:color="auto"/>
            <w:left w:val="none" w:sz="0" w:space="0" w:color="auto"/>
            <w:bottom w:val="none" w:sz="0" w:space="0" w:color="auto"/>
            <w:right w:val="none" w:sz="0" w:space="0" w:color="auto"/>
          </w:divBdr>
          <w:divsChild>
            <w:div w:id="400174897">
              <w:marLeft w:val="0"/>
              <w:marRight w:val="0"/>
              <w:marTop w:val="0"/>
              <w:marBottom w:val="0"/>
              <w:divBdr>
                <w:top w:val="none" w:sz="0" w:space="0" w:color="auto"/>
                <w:left w:val="none" w:sz="0" w:space="0" w:color="auto"/>
                <w:bottom w:val="none" w:sz="0" w:space="0" w:color="auto"/>
                <w:right w:val="none" w:sz="0" w:space="0" w:color="auto"/>
              </w:divBdr>
            </w:div>
          </w:divsChild>
        </w:div>
        <w:div w:id="115874485">
          <w:marLeft w:val="0"/>
          <w:marRight w:val="0"/>
          <w:marTop w:val="0"/>
          <w:marBottom w:val="0"/>
          <w:divBdr>
            <w:top w:val="none" w:sz="0" w:space="0" w:color="auto"/>
            <w:left w:val="none" w:sz="0" w:space="0" w:color="auto"/>
            <w:bottom w:val="none" w:sz="0" w:space="0" w:color="auto"/>
            <w:right w:val="none" w:sz="0" w:space="0" w:color="auto"/>
          </w:divBdr>
          <w:divsChild>
            <w:div w:id="1422407517">
              <w:marLeft w:val="0"/>
              <w:marRight w:val="0"/>
              <w:marTop w:val="0"/>
              <w:marBottom w:val="0"/>
              <w:divBdr>
                <w:top w:val="none" w:sz="0" w:space="0" w:color="auto"/>
                <w:left w:val="none" w:sz="0" w:space="0" w:color="auto"/>
                <w:bottom w:val="none" w:sz="0" w:space="0" w:color="auto"/>
                <w:right w:val="none" w:sz="0" w:space="0" w:color="auto"/>
              </w:divBdr>
            </w:div>
          </w:divsChild>
        </w:div>
        <w:div w:id="118963631">
          <w:marLeft w:val="0"/>
          <w:marRight w:val="0"/>
          <w:marTop w:val="0"/>
          <w:marBottom w:val="0"/>
          <w:divBdr>
            <w:top w:val="none" w:sz="0" w:space="0" w:color="auto"/>
            <w:left w:val="none" w:sz="0" w:space="0" w:color="auto"/>
            <w:bottom w:val="none" w:sz="0" w:space="0" w:color="auto"/>
            <w:right w:val="none" w:sz="0" w:space="0" w:color="auto"/>
          </w:divBdr>
          <w:divsChild>
            <w:div w:id="865874651">
              <w:marLeft w:val="0"/>
              <w:marRight w:val="0"/>
              <w:marTop w:val="0"/>
              <w:marBottom w:val="0"/>
              <w:divBdr>
                <w:top w:val="none" w:sz="0" w:space="0" w:color="auto"/>
                <w:left w:val="none" w:sz="0" w:space="0" w:color="auto"/>
                <w:bottom w:val="none" w:sz="0" w:space="0" w:color="auto"/>
                <w:right w:val="none" w:sz="0" w:space="0" w:color="auto"/>
              </w:divBdr>
            </w:div>
          </w:divsChild>
        </w:div>
        <w:div w:id="135880778">
          <w:marLeft w:val="0"/>
          <w:marRight w:val="0"/>
          <w:marTop w:val="0"/>
          <w:marBottom w:val="0"/>
          <w:divBdr>
            <w:top w:val="none" w:sz="0" w:space="0" w:color="auto"/>
            <w:left w:val="none" w:sz="0" w:space="0" w:color="auto"/>
            <w:bottom w:val="none" w:sz="0" w:space="0" w:color="auto"/>
            <w:right w:val="none" w:sz="0" w:space="0" w:color="auto"/>
          </w:divBdr>
          <w:divsChild>
            <w:div w:id="1356806592">
              <w:marLeft w:val="0"/>
              <w:marRight w:val="0"/>
              <w:marTop w:val="0"/>
              <w:marBottom w:val="0"/>
              <w:divBdr>
                <w:top w:val="none" w:sz="0" w:space="0" w:color="auto"/>
                <w:left w:val="none" w:sz="0" w:space="0" w:color="auto"/>
                <w:bottom w:val="none" w:sz="0" w:space="0" w:color="auto"/>
                <w:right w:val="none" w:sz="0" w:space="0" w:color="auto"/>
              </w:divBdr>
            </w:div>
          </w:divsChild>
        </w:div>
        <w:div w:id="187062735">
          <w:marLeft w:val="0"/>
          <w:marRight w:val="0"/>
          <w:marTop w:val="0"/>
          <w:marBottom w:val="0"/>
          <w:divBdr>
            <w:top w:val="none" w:sz="0" w:space="0" w:color="auto"/>
            <w:left w:val="none" w:sz="0" w:space="0" w:color="auto"/>
            <w:bottom w:val="none" w:sz="0" w:space="0" w:color="auto"/>
            <w:right w:val="none" w:sz="0" w:space="0" w:color="auto"/>
          </w:divBdr>
          <w:divsChild>
            <w:div w:id="1573420525">
              <w:marLeft w:val="0"/>
              <w:marRight w:val="0"/>
              <w:marTop w:val="0"/>
              <w:marBottom w:val="0"/>
              <w:divBdr>
                <w:top w:val="none" w:sz="0" w:space="0" w:color="auto"/>
                <w:left w:val="none" w:sz="0" w:space="0" w:color="auto"/>
                <w:bottom w:val="none" w:sz="0" w:space="0" w:color="auto"/>
                <w:right w:val="none" w:sz="0" w:space="0" w:color="auto"/>
              </w:divBdr>
            </w:div>
          </w:divsChild>
        </w:div>
        <w:div w:id="188491908">
          <w:marLeft w:val="0"/>
          <w:marRight w:val="0"/>
          <w:marTop w:val="0"/>
          <w:marBottom w:val="0"/>
          <w:divBdr>
            <w:top w:val="none" w:sz="0" w:space="0" w:color="auto"/>
            <w:left w:val="none" w:sz="0" w:space="0" w:color="auto"/>
            <w:bottom w:val="none" w:sz="0" w:space="0" w:color="auto"/>
            <w:right w:val="none" w:sz="0" w:space="0" w:color="auto"/>
          </w:divBdr>
          <w:divsChild>
            <w:div w:id="610556654">
              <w:marLeft w:val="0"/>
              <w:marRight w:val="0"/>
              <w:marTop w:val="0"/>
              <w:marBottom w:val="0"/>
              <w:divBdr>
                <w:top w:val="none" w:sz="0" w:space="0" w:color="auto"/>
                <w:left w:val="none" w:sz="0" w:space="0" w:color="auto"/>
                <w:bottom w:val="none" w:sz="0" w:space="0" w:color="auto"/>
                <w:right w:val="none" w:sz="0" w:space="0" w:color="auto"/>
              </w:divBdr>
            </w:div>
          </w:divsChild>
        </w:div>
        <w:div w:id="236131076">
          <w:marLeft w:val="0"/>
          <w:marRight w:val="0"/>
          <w:marTop w:val="0"/>
          <w:marBottom w:val="0"/>
          <w:divBdr>
            <w:top w:val="none" w:sz="0" w:space="0" w:color="auto"/>
            <w:left w:val="none" w:sz="0" w:space="0" w:color="auto"/>
            <w:bottom w:val="none" w:sz="0" w:space="0" w:color="auto"/>
            <w:right w:val="none" w:sz="0" w:space="0" w:color="auto"/>
          </w:divBdr>
          <w:divsChild>
            <w:div w:id="363557606">
              <w:marLeft w:val="0"/>
              <w:marRight w:val="0"/>
              <w:marTop w:val="0"/>
              <w:marBottom w:val="0"/>
              <w:divBdr>
                <w:top w:val="none" w:sz="0" w:space="0" w:color="auto"/>
                <w:left w:val="none" w:sz="0" w:space="0" w:color="auto"/>
                <w:bottom w:val="none" w:sz="0" w:space="0" w:color="auto"/>
                <w:right w:val="none" w:sz="0" w:space="0" w:color="auto"/>
              </w:divBdr>
            </w:div>
          </w:divsChild>
        </w:div>
        <w:div w:id="349725043">
          <w:marLeft w:val="0"/>
          <w:marRight w:val="0"/>
          <w:marTop w:val="0"/>
          <w:marBottom w:val="0"/>
          <w:divBdr>
            <w:top w:val="none" w:sz="0" w:space="0" w:color="auto"/>
            <w:left w:val="none" w:sz="0" w:space="0" w:color="auto"/>
            <w:bottom w:val="none" w:sz="0" w:space="0" w:color="auto"/>
            <w:right w:val="none" w:sz="0" w:space="0" w:color="auto"/>
          </w:divBdr>
          <w:divsChild>
            <w:div w:id="479735011">
              <w:marLeft w:val="0"/>
              <w:marRight w:val="0"/>
              <w:marTop w:val="0"/>
              <w:marBottom w:val="0"/>
              <w:divBdr>
                <w:top w:val="none" w:sz="0" w:space="0" w:color="auto"/>
                <w:left w:val="none" w:sz="0" w:space="0" w:color="auto"/>
                <w:bottom w:val="none" w:sz="0" w:space="0" w:color="auto"/>
                <w:right w:val="none" w:sz="0" w:space="0" w:color="auto"/>
              </w:divBdr>
            </w:div>
          </w:divsChild>
        </w:div>
        <w:div w:id="365299880">
          <w:marLeft w:val="0"/>
          <w:marRight w:val="0"/>
          <w:marTop w:val="0"/>
          <w:marBottom w:val="0"/>
          <w:divBdr>
            <w:top w:val="none" w:sz="0" w:space="0" w:color="auto"/>
            <w:left w:val="none" w:sz="0" w:space="0" w:color="auto"/>
            <w:bottom w:val="none" w:sz="0" w:space="0" w:color="auto"/>
            <w:right w:val="none" w:sz="0" w:space="0" w:color="auto"/>
          </w:divBdr>
          <w:divsChild>
            <w:div w:id="465514119">
              <w:marLeft w:val="0"/>
              <w:marRight w:val="0"/>
              <w:marTop w:val="0"/>
              <w:marBottom w:val="0"/>
              <w:divBdr>
                <w:top w:val="none" w:sz="0" w:space="0" w:color="auto"/>
                <w:left w:val="none" w:sz="0" w:space="0" w:color="auto"/>
                <w:bottom w:val="none" w:sz="0" w:space="0" w:color="auto"/>
                <w:right w:val="none" w:sz="0" w:space="0" w:color="auto"/>
              </w:divBdr>
            </w:div>
          </w:divsChild>
        </w:div>
        <w:div w:id="384380391">
          <w:marLeft w:val="0"/>
          <w:marRight w:val="0"/>
          <w:marTop w:val="0"/>
          <w:marBottom w:val="0"/>
          <w:divBdr>
            <w:top w:val="none" w:sz="0" w:space="0" w:color="auto"/>
            <w:left w:val="none" w:sz="0" w:space="0" w:color="auto"/>
            <w:bottom w:val="none" w:sz="0" w:space="0" w:color="auto"/>
            <w:right w:val="none" w:sz="0" w:space="0" w:color="auto"/>
          </w:divBdr>
          <w:divsChild>
            <w:div w:id="781413664">
              <w:marLeft w:val="0"/>
              <w:marRight w:val="0"/>
              <w:marTop w:val="0"/>
              <w:marBottom w:val="0"/>
              <w:divBdr>
                <w:top w:val="none" w:sz="0" w:space="0" w:color="auto"/>
                <w:left w:val="none" w:sz="0" w:space="0" w:color="auto"/>
                <w:bottom w:val="none" w:sz="0" w:space="0" w:color="auto"/>
                <w:right w:val="none" w:sz="0" w:space="0" w:color="auto"/>
              </w:divBdr>
            </w:div>
          </w:divsChild>
        </w:div>
        <w:div w:id="400567426">
          <w:marLeft w:val="0"/>
          <w:marRight w:val="0"/>
          <w:marTop w:val="0"/>
          <w:marBottom w:val="0"/>
          <w:divBdr>
            <w:top w:val="none" w:sz="0" w:space="0" w:color="auto"/>
            <w:left w:val="none" w:sz="0" w:space="0" w:color="auto"/>
            <w:bottom w:val="none" w:sz="0" w:space="0" w:color="auto"/>
            <w:right w:val="none" w:sz="0" w:space="0" w:color="auto"/>
          </w:divBdr>
          <w:divsChild>
            <w:div w:id="1915894655">
              <w:marLeft w:val="0"/>
              <w:marRight w:val="0"/>
              <w:marTop w:val="0"/>
              <w:marBottom w:val="0"/>
              <w:divBdr>
                <w:top w:val="none" w:sz="0" w:space="0" w:color="auto"/>
                <w:left w:val="none" w:sz="0" w:space="0" w:color="auto"/>
                <w:bottom w:val="none" w:sz="0" w:space="0" w:color="auto"/>
                <w:right w:val="none" w:sz="0" w:space="0" w:color="auto"/>
              </w:divBdr>
            </w:div>
          </w:divsChild>
        </w:div>
        <w:div w:id="408356086">
          <w:marLeft w:val="0"/>
          <w:marRight w:val="0"/>
          <w:marTop w:val="0"/>
          <w:marBottom w:val="0"/>
          <w:divBdr>
            <w:top w:val="none" w:sz="0" w:space="0" w:color="auto"/>
            <w:left w:val="none" w:sz="0" w:space="0" w:color="auto"/>
            <w:bottom w:val="none" w:sz="0" w:space="0" w:color="auto"/>
            <w:right w:val="none" w:sz="0" w:space="0" w:color="auto"/>
          </w:divBdr>
          <w:divsChild>
            <w:div w:id="251092362">
              <w:marLeft w:val="0"/>
              <w:marRight w:val="0"/>
              <w:marTop w:val="0"/>
              <w:marBottom w:val="0"/>
              <w:divBdr>
                <w:top w:val="none" w:sz="0" w:space="0" w:color="auto"/>
                <w:left w:val="none" w:sz="0" w:space="0" w:color="auto"/>
                <w:bottom w:val="none" w:sz="0" w:space="0" w:color="auto"/>
                <w:right w:val="none" w:sz="0" w:space="0" w:color="auto"/>
              </w:divBdr>
            </w:div>
          </w:divsChild>
        </w:div>
        <w:div w:id="498735153">
          <w:marLeft w:val="0"/>
          <w:marRight w:val="0"/>
          <w:marTop w:val="0"/>
          <w:marBottom w:val="0"/>
          <w:divBdr>
            <w:top w:val="none" w:sz="0" w:space="0" w:color="auto"/>
            <w:left w:val="none" w:sz="0" w:space="0" w:color="auto"/>
            <w:bottom w:val="none" w:sz="0" w:space="0" w:color="auto"/>
            <w:right w:val="none" w:sz="0" w:space="0" w:color="auto"/>
          </w:divBdr>
          <w:divsChild>
            <w:div w:id="1582062122">
              <w:marLeft w:val="0"/>
              <w:marRight w:val="0"/>
              <w:marTop w:val="0"/>
              <w:marBottom w:val="0"/>
              <w:divBdr>
                <w:top w:val="none" w:sz="0" w:space="0" w:color="auto"/>
                <w:left w:val="none" w:sz="0" w:space="0" w:color="auto"/>
                <w:bottom w:val="none" w:sz="0" w:space="0" w:color="auto"/>
                <w:right w:val="none" w:sz="0" w:space="0" w:color="auto"/>
              </w:divBdr>
            </w:div>
          </w:divsChild>
        </w:div>
        <w:div w:id="530146669">
          <w:marLeft w:val="0"/>
          <w:marRight w:val="0"/>
          <w:marTop w:val="0"/>
          <w:marBottom w:val="0"/>
          <w:divBdr>
            <w:top w:val="none" w:sz="0" w:space="0" w:color="auto"/>
            <w:left w:val="none" w:sz="0" w:space="0" w:color="auto"/>
            <w:bottom w:val="none" w:sz="0" w:space="0" w:color="auto"/>
            <w:right w:val="none" w:sz="0" w:space="0" w:color="auto"/>
          </w:divBdr>
          <w:divsChild>
            <w:div w:id="646667728">
              <w:marLeft w:val="0"/>
              <w:marRight w:val="0"/>
              <w:marTop w:val="0"/>
              <w:marBottom w:val="0"/>
              <w:divBdr>
                <w:top w:val="none" w:sz="0" w:space="0" w:color="auto"/>
                <w:left w:val="none" w:sz="0" w:space="0" w:color="auto"/>
                <w:bottom w:val="none" w:sz="0" w:space="0" w:color="auto"/>
                <w:right w:val="none" w:sz="0" w:space="0" w:color="auto"/>
              </w:divBdr>
            </w:div>
          </w:divsChild>
        </w:div>
        <w:div w:id="570968528">
          <w:marLeft w:val="0"/>
          <w:marRight w:val="0"/>
          <w:marTop w:val="0"/>
          <w:marBottom w:val="0"/>
          <w:divBdr>
            <w:top w:val="none" w:sz="0" w:space="0" w:color="auto"/>
            <w:left w:val="none" w:sz="0" w:space="0" w:color="auto"/>
            <w:bottom w:val="none" w:sz="0" w:space="0" w:color="auto"/>
            <w:right w:val="none" w:sz="0" w:space="0" w:color="auto"/>
          </w:divBdr>
          <w:divsChild>
            <w:div w:id="1007368727">
              <w:marLeft w:val="0"/>
              <w:marRight w:val="0"/>
              <w:marTop w:val="0"/>
              <w:marBottom w:val="0"/>
              <w:divBdr>
                <w:top w:val="none" w:sz="0" w:space="0" w:color="auto"/>
                <w:left w:val="none" w:sz="0" w:space="0" w:color="auto"/>
                <w:bottom w:val="none" w:sz="0" w:space="0" w:color="auto"/>
                <w:right w:val="none" w:sz="0" w:space="0" w:color="auto"/>
              </w:divBdr>
            </w:div>
          </w:divsChild>
        </w:div>
        <w:div w:id="595409842">
          <w:marLeft w:val="0"/>
          <w:marRight w:val="0"/>
          <w:marTop w:val="0"/>
          <w:marBottom w:val="0"/>
          <w:divBdr>
            <w:top w:val="none" w:sz="0" w:space="0" w:color="auto"/>
            <w:left w:val="none" w:sz="0" w:space="0" w:color="auto"/>
            <w:bottom w:val="none" w:sz="0" w:space="0" w:color="auto"/>
            <w:right w:val="none" w:sz="0" w:space="0" w:color="auto"/>
          </w:divBdr>
          <w:divsChild>
            <w:div w:id="1686593103">
              <w:marLeft w:val="0"/>
              <w:marRight w:val="0"/>
              <w:marTop w:val="0"/>
              <w:marBottom w:val="0"/>
              <w:divBdr>
                <w:top w:val="none" w:sz="0" w:space="0" w:color="auto"/>
                <w:left w:val="none" w:sz="0" w:space="0" w:color="auto"/>
                <w:bottom w:val="none" w:sz="0" w:space="0" w:color="auto"/>
                <w:right w:val="none" w:sz="0" w:space="0" w:color="auto"/>
              </w:divBdr>
            </w:div>
          </w:divsChild>
        </w:div>
        <w:div w:id="609700941">
          <w:marLeft w:val="0"/>
          <w:marRight w:val="0"/>
          <w:marTop w:val="0"/>
          <w:marBottom w:val="0"/>
          <w:divBdr>
            <w:top w:val="none" w:sz="0" w:space="0" w:color="auto"/>
            <w:left w:val="none" w:sz="0" w:space="0" w:color="auto"/>
            <w:bottom w:val="none" w:sz="0" w:space="0" w:color="auto"/>
            <w:right w:val="none" w:sz="0" w:space="0" w:color="auto"/>
          </w:divBdr>
          <w:divsChild>
            <w:div w:id="1110466851">
              <w:marLeft w:val="0"/>
              <w:marRight w:val="0"/>
              <w:marTop w:val="0"/>
              <w:marBottom w:val="0"/>
              <w:divBdr>
                <w:top w:val="none" w:sz="0" w:space="0" w:color="auto"/>
                <w:left w:val="none" w:sz="0" w:space="0" w:color="auto"/>
                <w:bottom w:val="none" w:sz="0" w:space="0" w:color="auto"/>
                <w:right w:val="none" w:sz="0" w:space="0" w:color="auto"/>
              </w:divBdr>
            </w:div>
          </w:divsChild>
        </w:div>
        <w:div w:id="658774779">
          <w:marLeft w:val="0"/>
          <w:marRight w:val="0"/>
          <w:marTop w:val="0"/>
          <w:marBottom w:val="0"/>
          <w:divBdr>
            <w:top w:val="none" w:sz="0" w:space="0" w:color="auto"/>
            <w:left w:val="none" w:sz="0" w:space="0" w:color="auto"/>
            <w:bottom w:val="none" w:sz="0" w:space="0" w:color="auto"/>
            <w:right w:val="none" w:sz="0" w:space="0" w:color="auto"/>
          </w:divBdr>
          <w:divsChild>
            <w:div w:id="1381903391">
              <w:marLeft w:val="0"/>
              <w:marRight w:val="0"/>
              <w:marTop w:val="0"/>
              <w:marBottom w:val="0"/>
              <w:divBdr>
                <w:top w:val="none" w:sz="0" w:space="0" w:color="auto"/>
                <w:left w:val="none" w:sz="0" w:space="0" w:color="auto"/>
                <w:bottom w:val="none" w:sz="0" w:space="0" w:color="auto"/>
                <w:right w:val="none" w:sz="0" w:space="0" w:color="auto"/>
              </w:divBdr>
            </w:div>
          </w:divsChild>
        </w:div>
        <w:div w:id="669022655">
          <w:marLeft w:val="0"/>
          <w:marRight w:val="0"/>
          <w:marTop w:val="0"/>
          <w:marBottom w:val="0"/>
          <w:divBdr>
            <w:top w:val="none" w:sz="0" w:space="0" w:color="auto"/>
            <w:left w:val="none" w:sz="0" w:space="0" w:color="auto"/>
            <w:bottom w:val="none" w:sz="0" w:space="0" w:color="auto"/>
            <w:right w:val="none" w:sz="0" w:space="0" w:color="auto"/>
          </w:divBdr>
          <w:divsChild>
            <w:div w:id="1075587943">
              <w:marLeft w:val="0"/>
              <w:marRight w:val="0"/>
              <w:marTop w:val="0"/>
              <w:marBottom w:val="0"/>
              <w:divBdr>
                <w:top w:val="none" w:sz="0" w:space="0" w:color="auto"/>
                <w:left w:val="none" w:sz="0" w:space="0" w:color="auto"/>
                <w:bottom w:val="none" w:sz="0" w:space="0" w:color="auto"/>
                <w:right w:val="none" w:sz="0" w:space="0" w:color="auto"/>
              </w:divBdr>
            </w:div>
          </w:divsChild>
        </w:div>
        <w:div w:id="685523798">
          <w:marLeft w:val="0"/>
          <w:marRight w:val="0"/>
          <w:marTop w:val="0"/>
          <w:marBottom w:val="0"/>
          <w:divBdr>
            <w:top w:val="none" w:sz="0" w:space="0" w:color="auto"/>
            <w:left w:val="none" w:sz="0" w:space="0" w:color="auto"/>
            <w:bottom w:val="none" w:sz="0" w:space="0" w:color="auto"/>
            <w:right w:val="none" w:sz="0" w:space="0" w:color="auto"/>
          </w:divBdr>
          <w:divsChild>
            <w:div w:id="1972709500">
              <w:marLeft w:val="0"/>
              <w:marRight w:val="0"/>
              <w:marTop w:val="0"/>
              <w:marBottom w:val="0"/>
              <w:divBdr>
                <w:top w:val="none" w:sz="0" w:space="0" w:color="auto"/>
                <w:left w:val="none" w:sz="0" w:space="0" w:color="auto"/>
                <w:bottom w:val="none" w:sz="0" w:space="0" w:color="auto"/>
                <w:right w:val="none" w:sz="0" w:space="0" w:color="auto"/>
              </w:divBdr>
            </w:div>
          </w:divsChild>
        </w:div>
        <w:div w:id="695156769">
          <w:marLeft w:val="0"/>
          <w:marRight w:val="0"/>
          <w:marTop w:val="0"/>
          <w:marBottom w:val="0"/>
          <w:divBdr>
            <w:top w:val="none" w:sz="0" w:space="0" w:color="auto"/>
            <w:left w:val="none" w:sz="0" w:space="0" w:color="auto"/>
            <w:bottom w:val="none" w:sz="0" w:space="0" w:color="auto"/>
            <w:right w:val="none" w:sz="0" w:space="0" w:color="auto"/>
          </w:divBdr>
          <w:divsChild>
            <w:div w:id="1471744439">
              <w:marLeft w:val="0"/>
              <w:marRight w:val="0"/>
              <w:marTop w:val="0"/>
              <w:marBottom w:val="0"/>
              <w:divBdr>
                <w:top w:val="none" w:sz="0" w:space="0" w:color="auto"/>
                <w:left w:val="none" w:sz="0" w:space="0" w:color="auto"/>
                <w:bottom w:val="none" w:sz="0" w:space="0" w:color="auto"/>
                <w:right w:val="none" w:sz="0" w:space="0" w:color="auto"/>
              </w:divBdr>
            </w:div>
          </w:divsChild>
        </w:div>
        <w:div w:id="713971420">
          <w:marLeft w:val="0"/>
          <w:marRight w:val="0"/>
          <w:marTop w:val="0"/>
          <w:marBottom w:val="0"/>
          <w:divBdr>
            <w:top w:val="none" w:sz="0" w:space="0" w:color="auto"/>
            <w:left w:val="none" w:sz="0" w:space="0" w:color="auto"/>
            <w:bottom w:val="none" w:sz="0" w:space="0" w:color="auto"/>
            <w:right w:val="none" w:sz="0" w:space="0" w:color="auto"/>
          </w:divBdr>
          <w:divsChild>
            <w:div w:id="1487894190">
              <w:marLeft w:val="0"/>
              <w:marRight w:val="0"/>
              <w:marTop w:val="0"/>
              <w:marBottom w:val="0"/>
              <w:divBdr>
                <w:top w:val="none" w:sz="0" w:space="0" w:color="auto"/>
                <w:left w:val="none" w:sz="0" w:space="0" w:color="auto"/>
                <w:bottom w:val="none" w:sz="0" w:space="0" w:color="auto"/>
                <w:right w:val="none" w:sz="0" w:space="0" w:color="auto"/>
              </w:divBdr>
            </w:div>
          </w:divsChild>
        </w:div>
        <w:div w:id="735518490">
          <w:marLeft w:val="0"/>
          <w:marRight w:val="0"/>
          <w:marTop w:val="0"/>
          <w:marBottom w:val="0"/>
          <w:divBdr>
            <w:top w:val="none" w:sz="0" w:space="0" w:color="auto"/>
            <w:left w:val="none" w:sz="0" w:space="0" w:color="auto"/>
            <w:bottom w:val="none" w:sz="0" w:space="0" w:color="auto"/>
            <w:right w:val="none" w:sz="0" w:space="0" w:color="auto"/>
          </w:divBdr>
          <w:divsChild>
            <w:div w:id="56519258">
              <w:marLeft w:val="0"/>
              <w:marRight w:val="0"/>
              <w:marTop w:val="0"/>
              <w:marBottom w:val="0"/>
              <w:divBdr>
                <w:top w:val="none" w:sz="0" w:space="0" w:color="auto"/>
                <w:left w:val="none" w:sz="0" w:space="0" w:color="auto"/>
                <w:bottom w:val="none" w:sz="0" w:space="0" w:color="auto"/>
                <w:right w:val="none" w:sz="0" w:space="0" w:color="auto"/>
              </w:divBdr>
            </w:div>
          </w:divsChild>
        </w:div>
        <w:div w:id="741026684">
          <w:marLeft w:val="0"/>
          <w:marRight w:val="0"/>
          <w:marTop w:val="0"/>
          <w:marBottom w:val="0"/>
          <w:divBdr>
            <w:top w:val="none" w:sz="0" w:space="0" w:color="auto"/>
            <w:left w:val="none" w:sz="0" w:space="0" w:color="auto"/>
            <w:bottom w:val="none" w:sz="0" w:space="0" w:color="auto"/>
            <w:right w:val="none" w:sz="0" w:space="0" w:color="auto"/>
          </w:divBdr>
          <w:divsChild>
            <w:div w:id="721908862">
              <w:marLeft w:val="0"/>
              <w:marRight w:val="0"/>
              <w:marTop w:val="0"/>
              <w:marBottom w:val="0"/>
              <w:divBdr>
                <w:top w:val="none" w:sz="0" w:space="0" w:color="auto"/>
                <w:left w:val="none" w:sz="0" w:space="0" w:color="auto"/>
                <w:bottom w:val="none" w:sz="0" w:space="0" w:color="auto"/>
                <w:right w:val="none" w:sz="0" w:space="0" w:color="auto"/>
              </w:divBdr>
            </w:div>
          </w:divsChild>
        </w:div>
        <w:div w:id="763234406">
          <w:marLeft w:val="0"/>
          <w:marRight w:val="0"/>
          <w:marTop w:val="0"/>
          <w:marBottom w:val="0"/>
          <w:divBdr>
            <w:top w:val="none" w:sz="0" w:space="0" w:color="auto"/>
            <w:left w:val="none" w:sz="0" w:space="0" w:color="auto"/>
            <w:bottom w:val="none" w:sz="0" w:space="0" w:color="auto"/>
            <w:right w:val="none" w:sz="0" w:space="0" w:color="auto"/>
          </w:divBdr>
          <w:divsChild>
            <w:div w:id="1397973260">
              <w:marLeft w:val="0"/>
              <w:marRight w:val="0"/>
              <w:marTop w:val="0"/>
              <w:marBottom w:val="0"/>
              <w:divBdr>
                <w:top w:val="none" w:sz="0" w:space="0" w:color="auto"/>
                <w:left w:val="none" w:sz="0" w:space="0" w:color="auto"/>
                <w:bottom w:val="none" w:sz="0" w:space="0" w:color="auto"/>
                <w:right w:val="none" w:sz="0" w:space="0" w:color="auto"/>
              </w:divBdr>
            </w:div>
          </w:divsChild>
        </w:div>
        <w:div w:id="794833502">
          <w:marLeft w:val="0"/>
          <w:marRight w:val="0"/>
          <w:marTop w:val="0"/>
          <w:marBottom w:val="0"/>
          <w:divBdr>
            <w:top w:val="none" w:sz="0" w:space="0" w:color="auto"/>
            <w:left w:val="none" w:sz="0" w:space="0" w:color="auto"/>
            <w:bottom w:val="none" w:sz="0" w:space="0" w:color="auto"/>
            <w:right w:val="none" w:sz="0" w:space="0" w:color="auto"/>
          </w:divBdr>
          <w:divsChild>
            <w:div w:id="1670021117">
              <w:marLeft w:val="0"/>
              <w:marRight w:val="0"/>
              <w:marTop w:val="0"/>
              <w:marBottom w:val="0"/>
              <w:divBdr>
                <w:top w:val="none" w:sz="0" w:space="0" w:color="auto"/>
                <w:left w:val="none" w:sz="0" w:space="0" w:color="auto"/>
                <w:bottom w:val="none" w:sz="0" w:space="0" w:color="auto"/>
                <w:right w:val="none" w:sz="0" w:space="0" w:color="auto"/>
              </w:divBdr>
            </w:div>
          </w:divsChild>
        </w:div>
        <w:div w:id="802776130">
          <w:marLeft w:val="0"/>
          <w:marRight w:val="0"/>
          <w:marTop w:val="0"/>
          <w:marBottom w:val="0"/>
          <w:divBdr>
            <w:top w:val="none" w:sz="0" w:space="0" w:color="auto"/>
            <w:left w:val="none" w:sz="0" w:space="0" w:color="auto"/>
            <w:bottom w:val="none" w:sz="0" w:space="0" w:color="auto"/>
            <w:right w:val="none" w:sz="0" w:space="0" w:color="auto"/>
          </w:divBdr>
          <w:divsChild>
            <w:div w:id="809244775">
              <w:marLeft w:val="0"/>
              <w:marRight w:val="0"/>
              <w:marTop w:val="0"/>
              <w:marBottom w:val="0"/>
              <w:divBdr>
                <w:top w:val="none" w:sz="0" w:space="0" w:color="auto"/>
                <w:left w:val="none" w:sz="0" w:space="0" w:color="auto"/>
                <w:bottom w:val="none" w:sz="0" w:space="0" w:color="auto"/>
                <w:right w:val="none" w:sz="0" w:space="0" w:color="auto"/>
              </w:divBdr>
            </w:div>
          </w:divsChild>
        </w:div>
        <w:div w:id="834078765">
          <w:marLeft w:val="0"/>
          <w:marRight w:val="0"/>
          <w:marTop w:val="0"/>
          <w:marBottom w:val="0"/>
          <w:divBdr>
            <w:top w:val="none" w:sz="0" w:space="0" w:color="auto"/>
            <w:left w:val="none" w:sz="0" w:space="0" w:color="auto"/>
            <w:bottom w:val="none" w:sz="0" w:space="0" w:color="auto"/>
            <w:right w:val="none" w:sz="0" w:space="0" w:color="auto"/>
          </w:divBdr>
          <w:divsChild>
            <w:div w:id="1708293150">
              <w:marLeft w:val="0"/>
              <w:marRight w:val="0"/>
              <w:marTop w:val="0"/>
              <w:marBottom w:val="0"/>
              <w:divBdr>
                <w:top w:val="none" w:sz="0" w:space="0" w:color="auto"/>
                <w:left w:val="none" w:sz="0" w:space="0" w:color="auto"/>
                <w:bottom w:val="none" w:sz="0" w:space="0" w:color="auto"/>
                <w:right w:val="none" w:sz="0" w:space="0" w:color="auto"/>
              </w:divBdr>
            </w:div>
          </w:divsChild>
        </w:div>
        <w:div w:id="858542923">
          <w:marLeft w:val="0"/>
          <w:marRight w:val="0"/>
          <w:marTop w:val="0"/>
          <w:marBottom w:val="0"/>
          <w:divBdr>
            <w:top w:val="none" w:sz="0" w:space="0" w:color="auto"/>
            <w:left w:val="none" w:sz="0" w:space="0" w:color="auto"/>
            <w:bottom w:val="none" w:sz="0" w:space="0" w:color="auto"/>
            <w:right w:val="none" w:sz="0" w:space="0" w:color="auto"/>
          </w:divBdr>
          <w:divsChild>
            <w:div w:id="1309438438">
              <w:marLeft w:val="0"/>
              <w:marRight w:val="0"/>
              <w:marTop w:val="0"/>
              <w:marBottom w:val="0"/>
              <w:divBdr>
                <w:top w:val="none" w:sz="0" w:space="0" w:color="auto"/>
                <w:left w:val="none" w:sz="0" w:space="0" w:color="auto"/>
                <w:bottom w:val="none" w:sz="0" w:space="0" w:color="auto"/>
                <w:right w:val="none" w:sz="0" w:space="0" w:color="auto"/>
              </w:divBdr>
            </w:div>
          </w:divsChild>
        </w:div>
        <w:div w:id="872377558">
          <w:marLeft w:val="0"/>
          <w:marRight w:val="0"/>
          <w:marTop w:val="0"/>
          <w:marBottom w:val="0"/>
          <w:divBdr>
            <w:top w:val="none" w:sz="0" w:space="0" w:color="auto"/>
            <w:left w:val="none" w:sz="0" w:space="0" w:color="auto"/>
            <w:bottom w:val="none" w:sz="0" w:space="0" w:color="auto"/>
            <w:right w:val="none" w:sz="0" w:space="0" w:color="auto"/>
          </w:divBdr>
          <w:divsChild>
            <w:div w:id="1979610318">
              <w:marLeft w:val="0"/>
              <w:marRight w:val="0"/>
              <w:marTop w:val="0"/>
              <w:marBottom w:val="0"/>
              <w:divBdr>
                <w:top w:val="none" w:sz="0" w:space="0" w:color="auto"/>
                <w:left w:val="none" w:sz="0" w:space="0" w:color="auto"/>
                <w:bottom w:val="none" w:sz="0" w:space="0" w:color="auto"/>
                <w:right w:val="none" w:sz="0" w:space="0" w:color="auto"/>
              </w:divBdr>
            </w:div>
          </w:divsChild>
        </w:div>
        <w:div w:id="880358739">
          <w:marLeft w:val="0"/>
          <w:marRight w:val="0"/>
          <w:marTop w:val="0"/>
          <w:marBottom w:val="0"/>
          <w:divBdr>
            <w:top w:val="none" w:sz="0" w:space="0" w:color="auto"/>
            <w:left w:val="none" w:sz="0" w:space="0" w:color="auto"/>
            <w:bottom w:val="none" w:sz="0" w:space="0" w:color="auto"/>
            <w:right w:val="none" w:sz="0" w:space="0" w:color="auto"/>
          </w:divBdr>
          <w:divsChild>
            <w:div w:id="575634048">
              <w:marLeft w:val="0"/>
              <w:marRight w:val="0"/>
              <w:marTop w:val="0"/>
              <w:marBottom w:val="0"/>
              <w:divBdr>
                <w:top w:val="none" w:sz="0" w:space="0" w:color="auto"/>
                <w:left w:val="none" w:sz="0" w:space="0" w:color="auto"/>
                <w:bottom w:val="none" w:sz="0" w:space="0" w:color="auto"/>
                <w:right w:val="none" w:sz="0" w:space="0" w:color="auto"/>
              </w:divBdr>
            </w:div>
          </w:divsChild>
        </w:div>
        <w:div w:id="882205543">
          <w:marLeft w:val="0"/>
          <w:marRight w:val="0"/>
          <w:marTop w:val="0"/>
          <w:marBottom w:val="0"/>
          <w:divBdr>
            <w:top w:val="none" w:sz="0" w:space="0" w:color="auto"/>
            <w:left w:val="none" w:sz="0" w:space="0" w:color="auto"/>
            <w:bottom w:val="none" w:sz="0" w:space="0" w:color="auto"/>
            <w:right w:val="none" w:sz="0" w:space="0" w:color="auto"/>
          </w:divBdr>
          <w:divsChild>
            <w:div w:id="693842171">
              <w:marLeft w:val="0"/>
              <w:marRight w:val="0"/>
              <w:marTop w:val="0"/>
              <w:marBottom w:val="0"/>
              <w:divBdr>
                <w:top w:val="none" w:sz="0" w:space="0" w:color="auto"/>
                <w:left w:val="none" w:sz="0" w:space="0" w:color="auto"/>
                <w:bottom w:val="none" w:sz="0" w:space="0" w:color="auto"/>
                <w:right w:val="none" w:sz="0" w:space="0" w:color="auto"/>
              </w:divBdr>
            </w:div>
          </w:divsChild>
        </w:div>
        <w:div w:id="890768980">
          <w:marLeft w:val="0"/>
          <w:marRight w:val="0"/>
          <w:marTop w:val="0"/>
          <w:marBottom w:val="0"/>
          <w:divBdr>
            <w:top w:val="none" w:sz="0" w:space="0" w:color="auto"/>
            <w:left w:val="none" w:sz="0" w:space="0" w:color="auto"/>
            <w:bottom w:val="none" w:sz="0" w:space="0" w:color="auto"/>
            <w:right w:val="none" w:sz="0" w:space="0" w:color="auto"/>
          </w:divBdr>
          <w:divsChild>
            <w:div w:id="454956699">
              <w:marLeft w:val="0"/>
              <w:marRight w:val="0"/>
              <w:marTop w:val="0"/>
              <w:marBottom w:val="0"/>
              <w:divBdr>
                <w:top w:val="none" w:sz="0" w:space="0" w:color="auto"/>
                <w:left w:val="none" w:sz="0" w:space="0" w:color="auto"/>
                <w:bottom w:val="none" w:sz="0" w:space="0" w:color="auto"/>
                <w:right w:val="none" w:sz="0" w:space="0" w:color="auto"/>
              </w:divBdr>
            </w:div>
          </w:divsChild>
        </w:div>
        <w:div w:id="921451633">
          <w:marLeft w:val="0"/>
          <w:marRight w:val="0"/>
          <w:marTop w:val="0"/>
          <w:marBottom w:val="0"/>
          <w:divBdr>
            <w:top w:val="none" w:sz="0" w:space="0" w:color="auto"/>
            <w:left w:val="none" w:sz="0" w:space="0" w:color="auto"/>
            <w:bottom w:val="none" w:sz="0" w:space="0" w:color="auto"/>
            <w:right w:val="none" w:sz="0" w:space="0" w:color="auto"/>
          </w:divBdr>
          <w:divsChild>
            <w:div w:id="140387102">
              <w:marLeft w:val="0"/>
              <w:marRight w:val="0"/>
              <w:marTop w:val="0"/>
              <w:marBottom w:val="0"/>
              <w:divBdr>
                <w:top w:val="none" w:sz="0" w:space="0" w:color="auto"/>
                <w:left w:val="none" w:sz="0" w:space="0" w:color="auto"/>
                <w:bottom w:val="none" w:sz="0" w:space="0" w:color="auto"/>
                <w:right w:val="none" w:sz="0" w:space="0" w:color="auto"/>
              </w:divBdr>
            </w:div>
          </w:divsChild>
        </w:div>
        <w:div w:id="938610129">
          <w:marLeft w:val="0"/>
          <w:marRight w:val="0"/>
          <w:marTop w:val="0"/>
          <w:marBottom w:val="0"/>
          <w:divBdr>
            <w:top w:val="none" w:sz="0" w:space="0" w:color="auto"/>
            <w:left w:val="none" w:sz="0" w:space="0" w:color="auto"/>
            <w:bottom w:val="none" w:sz="0" w:space="0" w:color="auto"/>
            <w:right w:val="none" w:sz="0" w:space="0" w:color="auto"/>
          </w:divBdr>
          <w:divsChild>
            <w:div w:id="1564099397">
              <w:marLeft w:val="0"/>
              <w:marRight w:val="0"/>
              <w:marTop w:val="0"/>
              <w:marBottom w:val="0"/>
              <w:divBdr>
                <w:top w:val="none" w:sz="0" w:space="0" w:color="auto"/>
                <w:left w:val="none" w:sz="0" w:space="0" w:color="auto"/>
                <w:bottom w:val="none" w:sz="0" w:space="0" w:color="auto"/>
                <w:right w:val="none" w:sz="0" w:space="0" w:color="auto"/>
              </w:divBdr>
            </w:div>
          </w:divsChild>
        </w:div>
        <w:div w:id="946275129">
          <w:marLeft w:val="0"/>
          <w:marRight w:val="0"/>
          <w:marTop w:val="0"/>
          <w:marBottom w:val="0"/>
          <w:divBdr>
            <w:top w:val="none" w:sz="0" w:space="0" w:color="auto"/>
            <w:left w:val="none" w:sz="0" w:space="0" w:color="auto"/>
            <w:bottom w:val="none" w:sz="0" w:space="0" w:color="auto"/>
            <w:right w:val="none" w:sz="0" w:space="0" w:color="auto"/>
          </w:divBdr>
          <w:divsChild>
            <w:div w:id="58556176">
              <w:marLeft w:val="0"/>
              <w:marRight w:val="0"/>
              <w:marTop w:val="0"/>
              <w:marBottom w:val="0"/>
              <w:divBdr>
                <w:top w:val="none" w:sz="0" w:space="0" w:color="auto"/>
                <w:left w:val="none" w:sz="0" w:space="0" w:color="auto"/>
                <w:bottom w:val="none" w:sz="0" w:space="0" w:color="auto"/>
                <w:right w:val="none" w:sz="0" w:space="0" w:color="auto"/>
              </w:divBdr>
            </w:div>
          </w:divsChild>
        </w:div>
        <w:div w:id="963467448">
          <w:marLeft w:val="0"/>
          <w:marRight w:val="0"/>
          <w:marTop w:val="0"/>
          <w:marBottom w:val="0"/>
          <w:divBdr>
            <w:top w:val="none" w:sz="0" w:space="0" w:color="auto"/>
            <w:left w:val="none" w:sz="0" w:space="0" w:color="auto"/>
            <w:bottom w:val="none" w:sz="0" w:space="0" w:color="auto"/>
            <w:right w:val="none" w:sz="0" w:space="0" w:color="auto"/>
          </w:divBdr>
          <w:divsChild>
            <w:div w:id="154760789">
              <w:marLeft w:val="0"/>
              <w:marRight w:val="0"/>
              <w:marTop w:val="0"/>
              <w:marBottom w:val="0"/>
              <w:divBdr>
                <w:top w:val="none" w:sz="0" w:space="0" w:color="auto"/>
                <w:left w:val="none" w:sz="0" w:space="0" w:color="auto"/>
                <w:bottom w:val="none" w:sz="0" w:space="0" w:color="auto"/>
                <w:right w:val="none" w:sz="0" w:space="0" w:color="auto"/>
              </w:divBdr>
            </w:div>
          </w:divsChild>
        </w:div>
        <w:div w:id="983390590">
          <w:marLeft w:val="0"/>
          <w:marRight w:val="0"/>
          <w:marTop w:val="0"/>
          <w:marBottom w:val="0"/>
          <w:divBdr>
            <w:top w:val="none" w:sz="0" w:space="0" w:color="auto"/>
            <w:left w:val="none" w:sz="0" w:space="0" w:color="auto"/>
            <w:bottom w:val="none" w:sz="0" w:space="0" w:color="auto"/>
            <w:right w:val="none" w:sz="0" w:space="0" w:color="auto"/>
          </w:divBdr>
          <w:divsChild>
            <w:div w:id="87822532">
              <w:marLeft w:val="0"/>
              <w:marRight w:val="0"/>
              <w:marTop w:val="0"/>
              <w:marBottom w:val="0"/>
              <w:divBdr>
                <w:top w:val="none" w:sz="0" w:space="0" w:color="auto"/>
                <w:left w:val="none" w:sz="0" w:space="0" w:color="auto"/>
                <w:bottom w:val="none" w:sz="0" w:space="0" w:color="auto"/>
                <w:right w:val="none" w:sz="0" w:space="0" w:color="auto"/>
              </w:divBdr>
            </w:div>
          </w:divsChild>
        </w:div>
        <w:div w:id="984747465">
          <w:marLeft w:val="0"/>
          <w:marRight w:val="0"/>
          <w:marTop w:val="0"/>
          <w:marBottom w:val="0"/>
          <w:divBdr>
            <w:top w:val="none" w:sz="0" w:space="0" w:color="auto"/>
            <w:left w:val="none" w:sz="0" w:space="0" w:color="auto"/>
            <w:bottom w:val="none" w:sz="0" w:space="0" w:color="auto"/>
            <w:right w:val="none" w:sz="0" w:space="0" w:color="auto"/>
          </w:divBdr>
          <w:divsChild>
            <w:div w:id="2011366722">
              <w:marLeft w:val="0"/>
              <w:marRight w:val="0"/>
              <w:marTop w:val="0"/>
              <w:marBottom w:val="0"/>
              <w:divBdr>
                <w:top w:val="none" w:sz="0" w:space="0" w:color="auto"/>
                <w:left w:val="none" w:sz="0" w:space="0" w:color="auto"/>
                <w:bottom w:val="none" w:sz="0" w:space="0" w:color="auto"/>
                <w:right w:val="none" w:sz="0" w:space="0" w:color="auto"/>
              </w:divBdr>
            </w:div>
          </w:divsChild>
        </w:div>
        <w:div w:id="1037662523">
          <w:marLeft w:val="0"/>
          <w:marRight w:val="0"/>
          <w:marTop w:val="0"/>
          <w:marBottom w:val="0"/>
          <w:divBdr>
            <w:top w:val="none" w:sz="0" w:space="0" w:color="auto"/>
            <w:left w:val="none" w:sz="0" w:space="0" w:color="auto"/>
            <w:bottom w:val="none" w:sz="0" w:space="0" w:color="auto"/>
            <w:right w:val="none" w:sz="0" w:space="0" w:color="auto"/>
          </w:divBdr>
          <w:divsChild>
            <w:div w:id="631714457">
              <w:marLeft w:val="0"/>
              <w:marRight w:val="0"/>
              <w:marTop w:val="0"/>
              <w:marBottom w:val="0"/>
              <w:divBdr>
                <w:top w:val="none" w:sz="0" w:space="0" w:color="auto"/>
                <w:left w:val="none" w:sz="0" w:space="0" w:color="auto"/>
                <w:bottom w:val="none" w:sz="0" w:space="0" w:color="auto"/>
                <w:right w:val="none" w:sz="0" w:space="0" w:color="auto"/>
              </w:divBdr>
            </w:div>
          </w:divsChild>
        </w:div>
        <w:div w:id="1047682568">
          <w:marLeft w:val="0"/>
          <w:marRight w:val="0"/>
          <w:marTop w:val="0"/>
          <w:marBottom w:val="0"/>
          <w:divBdr>
            <w:top w:val="none" w:sz="0" w:space="0" w:color="auto"/>
            <w:left w:val="none" w:sz="0" w:space="0" w:color="auto"/>
            <w:bottom w:val="none" w:sz="0" w:space="0" w:color="auto"/>
            <w:right w:val="none" w:sz="0" w:space="0" w:color="auto"/>
          </w:divBdr>
          <w:divsChild>
            <w:div w:id="1208683159">
              <w:marLeft w:val="0"/>
              <w:marRight w:val="0"/>
              <w:marTop w:val="0"/>
              <w:marBottom w:val="0"/>
              <w:divBdr>
                <w:top w:val="none" w:sz="0" w:space="0" w:color="auto"/>
                <w:left w:val="none" w:sz="0" w:space="0" w:color="auto"/>
                <w:bottom w:val="none" w:sz="0" w:space="0" w:color="auto"/>
                <w:right w:val="none" w:sz="0" w:space="0" w:color="auto"/>
              </w:divBdr>
            </w:div>
          </w:divsChild>
        </w:div>
        <w:div w:id="1067529869">
          <w:marLeft w:val="0"/>
          <w:marRight w:val="0"/>
          <w:marTop w:val="0"/>
          <w:marBottom w:val="0"/>
          <w:divBdr>
            <w:top w:val="none" w:sz="0" w:space="0" w:color="auto"/>
            <w:left w:val="none" w:sz="0" w:space="0" w:color="auto"/>
            <w:bottom w:val="none" w:sz="0" w:space="0" w:color="auto"/>
            <w:right w:val="none" w:sz="0" w:space="0" w:color="auto"/>
          </w:divBdr>
          <w:divsChild>
            <w:div w:id="1764570955">
              <w:marLeft w:val="0"/>
              <w:marRight w:val="0"/>
              <w:marTop w:val="0"/>
              <w:marBottom w:val="0"/>
              <w:divBdr>
                <w:top w:val="none" w:sz="0" w:space="0" w:color="auto"/>
                <w:left w:val="none" w:sz="0" w:space="0" w:color="auto"/>
                <w:bottom w:val="none" w:sz="0" w:space="0" w:color="auto"/>
                <w:right w:val="none" w:sz="0" w:space="0" w:color="auto"/>
              </w:divBdr>
            </w:div>
          </w:divsChild>
        </w:div>
        <w:div w:id="1079401136">
          <w:marLeft w:val="0"/>
          <w:marRight w:val="0"/>
          <w:marTop w:val="0"/>
          <w:marBottom w:val="0"/>
          <w:divBdr>
            <w:top w:val="none" w:sz="0" w:space="0" w:color="auto"/>
            <w:left w:val="none" w:sz="0" w:space="0" w:color="auto"/>
            <w:bottom w:val="none" w:sz="0" w:space="0" w:color="auto"/>
            <w:right w:val="none" w:sz="0" w:space="0" w:color="auto"/>
          </w:divBdr>
          <w:divsChild>
            <w:div w:id="1988590682">
              <w:marLeft w:val="0"/>
              <w:marRight w:val="0"/>
              <w:marTop w:val="0"/>
              <w:marBottom w:val="0"/>
              <w:divBdr>
                <w:top w:val="none" w:sz="0" w:space="0" w:color="auto"/>
                <w:left w:val="none" w:sz="0" w:space="0" w:color="auto"/>
                <w:bottom w:val="none" w:sz="0" w:space="0" w:color="auto"/>
                <w:right w:val="none" w:sz="0" w:space="0" w:color="auto"/>
              </w:divBdr>
            </w:div>
          </w:divsChild>
        </w:div>
        <w:div w:id="1146816206">
          <w:marLeft w:val="0"/>
          <w:marRight w:val="0"/>
          <w:marTop w:val="0"/>
          <w:marBottom w:val="0"/>
          <w:divBdr>
            <w:top w:val="none" w:sz="0" w:space="0" w:color="auto"/>
            <w:left w:val="none" w:sz="0" w:space="0" w:color="auto"/>
            <w:bottom w:val="none" w:sz="0" w:space="0" w:color="auto"/>
            <w:right w:val="none" w:sz="0" w:space="0" w:color="auto"/>
          </w:divBdr>
          <w:divsChild>
            <w:div w:id="380640530">
              <w:marLeft w:val="0"/>
              <w:marRight w:val="0"/>
              <w:marTop w:val="0"/>
              <w:marBottom w:val="0"/>
              <w:divBdr>
                <w:top w:val="none" w:sz="0" w:space="0" w:color="auto"/>
                <w:left w:val="none" w:sz="0" w:space="0" w:color="auto"/>
                <w:bottom w:val="none" w:sz="0" w:space="0" w:color="auto"/>
                <w:right w:val="none" w:sz="0" w:space="0" w:color="auto"/>
              </w:divBdr>
            </w:div>
          </w:divsChild>
        </w:div>
        <w:div w:id="1178616776">
          <w:marLeft w:val="0"/>
          <w:marRight w:val="0"/>
          <w:marTop w:val="0"/>
          <w:marBottom w:val="0"/>
          <w:divBdr>
            <w:top w:val="none" w:sz="0" w:space="0" w:color="auto"/>
            <w:left w:val="none" w:sz="0" w:space="0" w:color="auto"/>
            <w:bottom w:val="none" w:sz="0" w:space="0" w:color="auto"/>
            <w:right w:val="none" w:sz="0" w:space="0" w:color="auto"/>
          </w:divBdr>
          <w:divsChild>
            <w:div w:id="151682065">
              <w:marLeft w:val="0"/>
              <w:marRight w:val="0"/>
              <w:marTop w:val="0"/>
              <w:marBottom w:val="0"/>
              <w:divBdr>
                <w:top w:val="none" w:sz="0" w:space="0" w:color="auto"/>
                <w:left w:val="none" w:sz="0" w:space="0" w:color="auto"/>
                <w:bottom w:val="none" w:sz="0" w:space="0" w:color="auto"/>
                <w:right w:val="none" w:sz="0" w:space="0" w:color="auto"/>
              </w:divBdr>
            </w:div>
          </w:divsChild>
        </w:div>
        <w:div w:id="1217816350">
          <w:marLeft w:val="0"/>
          <w:marRight w:val="0"/>
          <w:marTop w:val="0"/>
          <w:marBottom w:val="0"/>
          <w:divBdr>
            <w:top w:val="none" w:sz="0" w:space="0" w:color="auto"/>
            <w:left w:val="none" w:sz="0" w:space="0" w:color="auto"/>
            <w:bottom w:val="none" w:sz="0" w:space="0" w:color="auto"/>
            <w:right w:val="none" w:sz="0" w:space="0" w:color="auto"/>
          </w:divBdr>
          <w:divsChild>
            <w:div w:id="728114280">
              <w:marLeft w:val="0"/>
              <w:marRight w:val="0"/>
              <w:marTop w:val="0"/>
              <w:marBottom w:val="0"/>
              <w:divBdr>
                <w:top w:val="none" w:sz="0" w:space="0" w:color="auto"/>
                <w:left w:val="none" w:sz="0" w:space="0" w:color="auto"/>
                <w:bottom w:val="none" w:sz="0" w:space="0" w:color="auto"/>
                <w:right w:val="none" w:sz="0" w:space="0" w:color="auto"/>
              </w:divBdr>
            </w:div>
          </w:divsChild>
        </w:div>
        <w:div w:id="1235508888">
          <w:marLeft w:val="0"/>
          <w:marRight w:val="0"/>
          <w:marTop w:val="0"/>
          <w:marBottom w:val="0"/>
          <w:divBdr>
            <w:top w:val="none" w:sz="0" w:space="0" w:color="auto"/>
            <w:left w:val="none" w:sz="0" w:space="0" w:color="auto"/>
            <w:bottom w:val="none" w:sz="0" w:space="0" w:color="auto"/>
            <w:right w:val="none" w:sz="0" w:space="0" w:color="auto"/>
          </w:divBdr>
          <w:divsChild>
            <w:div w:id="1495074822">
              <w:marLeft w:val="0"/>
              <w:marRight w:val="0"/>
              <w:marTop w:val="0"/>
              <w:marBottom w:val="0"/>
              <w:divBdr>
                <w:top w:val="none" w:sz="0" w:space="0" w:color="auto"/>
                <w:left w:val="none" w:sz="0" w:space="0" w:color="auto"/>
                <w:bottom w:val="none" w:sz="0" w:space="0" w:color="auto"/>
                <w:right w:val="none" w:sz="0" w:space="0" w:color="auto"/>
              </w:divBdr>
            </w:div>
          </w:divsChild>
        </w:div>
        <w:div w:id="1243831775">
          <w:marLeft w:val="0"/>
          <w:marRight w:val="0"/>
          <w:marTop w:val="0"/>
          <w:marBottom w:val="0"/>
          <w:divBdr>
            <w:top w:val="none" w:sz="0" w:space="0" w:color="auto"/>
            <w:left w:val="none" w:sz="0" w:space="0" w:color="auto"/>
            <w:bottom w:val="none" w:sz="0" w:space="0" w:color="auto"/>
            <w:right w:val="none" w:sz="0" w:space="0" w:color="auto"/>
          </w:divBdr>
          <w:divsChild>
            <w:div w:id="1835605663">
              <w:marLeft w:val="0"/>
              <w:marRight w:val="0"/>
              <w:marTop w:val="0"/>
              <w:marBottom w:val="0"/>
              <w:divBdr>
                <w:top w:val="none" w:sz="0" w:space="0" w:color="auto"/>
                <w:left w:val="none" w:sz="0" w:space="0" w:color="auto"/>
                <w:bottom w:val="none" w:sz="0" w:space="0" w:color="auto"/>
                <w:right w:val="none" w:sz="0" w:space="0" w:color="auto"/>
              </w:divBdr>
            </w:div>
          </w:divsChild>
        </w:div>
        <w:div w:id="1413970759">
          <w:marLeft w:val="0"/>
          <w:marRight w:val="0"/>
          <w:marTop w:val="0"/>
          <w:marBottom w:val="0"/>
          <w:divBdr>
            <w:top w:val="none" w:sz="0" w:space="0" w:color="auto"/>
            <w:left w:val="none" w:sz="0" w:space="0" w:color="auto"/>
            <w:bottom w:val="none" w:sz="0" w:space="0" w:color="auto"/>
            <w:right w:val="none" w:sz="0" w:space="0" w:color="auto"/>
          </w:divBdr>
          <w:divsChild>
            <w:div w:id="590621528">
              <w:marLeft w:val="0"/>
              <w:marRight w:val="0"/>
              <w:marTop w:val="0"/>
              <w:marBottom w:val="0"/>
              <w:divBdr>
                <w:top w:val="none" w:sz="0" w:space="0" w:color="auto"/>
                <w:left w:val="none" w:sz="0" w:space="0" w:color="auto"/>
                <w:bottom w:val="none" w:sz="0" w:space="0" w:color="auto"/>
                <w:right w:val="none" w:sz="0" w:space="0" w:color="auto"/>
              </w:divBdr>
            </w:div>
          </w:divsChild>
        </w:div>
        <w:div w:id="1428503567">
          <w:marLeft w:val="0"/>
          <w:marRight w:val="0"/>
          <w:marTop w:val="0"/>
          <w:marBottom w:val="0"/>
          <w:divBdr>
            <w:top w:val="none" w:sz="0" w:space="0" w:color="auto"/>
            <w:left w:val="none" w:sz="0" w:space="0" w:color="auto"/>
            <w:bottom w:val="none" w:sz="0" w:space="0" w:color="auto"/>
            <w:right w:val="none" w:sz="0" w:space="0" w:color="auto"/>
          </w:divBdr>
          <w:divsChild>
            <w:div w:id="1166558689">
              <w:marLeft w:val="0"/>
              <w:marRight w:val="0"/>
              <w:marTop w:val="0"/>
              <w:marBottom w:val="0"/>
              <w:divBdr>
                <w:top w:val="none" w:sz="0" w:space="0" w:color="auto"/>
                <w:left w:val="none" w:sz="0" w:space="0" w:color="auto"/>
                <w:bottom w:val="none" w:sz="0" w:space="0" w:color="auto"/>
                <w:right w:val="none" w:sz="0" w:space="0" w:color="auto"/>
              </w:divBdr>
            </w:div>
          </w:divsChild>
        </w:div>
        <w:div w:id="1430932312">
          <w:marLeft w:val="0"/>
          <w:marRight w:val="0"/>
          <w:marTop w:val="0"/>
          <w:marBottom w:val="0"/>
          <w:divBdr>
            <w:top w:val="none" w:sz="0" w:space="0" w:color="auto"/>
            <w:left w:val="none" w:sz="0" w:space="0" w:color="auto"/>
            <w:bottom w:val="none" w:sz="0" w:space="0" w:color="auto"/>
            <w:right w:val="none" w:sz="0" w:space="0" w:color="auto"/>
          </w:divBdr>
          <w:divsChild>
            <w:div w:id="127361513">
              <w:marLeft w:val="0"/>
              <w:marRight w:val="0"/>
              <w:marTop w:val="0"/>
              <w:marBottom w:val="0"/>
              <w:divBdr>
                <w:top w:val="none" w:sz="0" w:space="0" w:color="auto"/>
                <w:left w:val="none" w:sz="0" w:space="0" w:color="auto"/>
                <w:bottom w:val="none" w:sz="0" w:space="0" w:color="auto"/>
                <w:right w:val="none" w:sz="0" w:space="0" w:color="auto"/>
              </w:divBdr>
            </w:div>
          </w:divsChild>
        </w:div>
        <w:div w:id="1448042123">
          <w:marLeft w:val="0"/>
          <w:marRight w:val="0"/>
          <w:marTop w:val="0"/>
          <w:marBottom w:val="0"/>
          <w:divBdr>
            <w:top w:val="none" w:sz="0" w:space="0" w:color="auto"/>
            <w:left w:val="none" w:sz="0" w:space="0" w:color="auto"/>
            <w:bottom w:val="none" w:sz="0" w:space="0" w:color="auto"/>
            <w:right w:val="none" w:sz="0" w:space="0" w:color="auto"/>
          </w:divBdr>
          <w:divsChild>
            <w:div w:id="944847204">
              <w:marLeft w:val="0"/>
              <w:marRight w:val="0"/>
              <w:marTop w:val="0"/>
              <w:marBottom w:val="0"/>
              <w:divBdr>
                <w:top w:val="none" w:sz="0" w:space="0" w:color="auto"/>
                <w:left w:val="none" w:sz="0" w:space="0" w:color="auto"/>
                <w:bottom w:val="none" w:sz="0" w:space="0" w:color="auto"/>
                <w:right w:val="none" w:sz="0" w:space="0" w:color="auto"/>
              </w:divBdr>
            </w:div>
          </w:divsChild>
        </w:div>
        <w:div w:id="1450853989">
          <w:marLeft w:val="0"/>
          <w:marRight w:val="0"/>
          <w:marTop w:val="0"/>
          <w:marBottom w:val="0"/>
          <w:divBdr>
            <w:top w:val="none" w:sz="0" w:space="0" w:color="auto"/>
            <w:left w:val="none" w:sz="0" w:space="0" w:color="auto"/>
            <w:bottom w:val="none" w:sz="0" w:space="0" w:color="auto"/>
            <w:right w:val="none" w:sz="0" w:space="0" w:color="auto"/>
          </w:divBdr>
          <w:divsChild>
            <w:div w:id="652031095">
              <w:marLeft w:val="0"/>
              <w:marRight w:val="0"/>
              <w:marTop w:val="0"/>
              <w:marBottom w:val="0"/>
              <w:divBdr>
                <w:top w:val="none" w:sz="0" w:space="0" w:color="auto"/>
                <w:left w:val="none" w:sz="0" w:space="0" w:color="auto"/>
                <w:bottom w:val="none" w:sz="0" w:space="0" w:color="auto"/>
                <w:right w:val="none" w:sz="0" w:space="0" w:color="auto"/>
              </w:divBdr>
            </w:div>
          </w:divsChild>
        </w:div>
        <w:div w:id="1469931185">
          <w:marLeft w:val="0"/>
          <w:marRight w:val="0"/>
          <w:marTop w:val="0"/>
          <w:marBottom w:val="0"/>
          <w:divBdr>
            <w:top w:val="none" w:sz="0" w:space="0" w:color="auto"/>
            <w:left w:val="none" w:sz="0" w:space="0" w:color="auto"/>
            <w:bottom w:val="none" w:sz="0" w:space="0" w:color="auto"/>
            <w:right w:val="none" w:sz="0" w:space="0" w:color="auto"/>
          </w:divBdr>
          <w:divsChild>
            <w:div w:id="1232354654">
              <w:marLeft w:val="0"/>
              <w:marRight w:val="0"/>
              <w:marTop w:val="0"/>
              <w:marBottom w:val="0"/>
              <w:divBdr>
                <w:top w:val="none" w:sz="0" w:space="0" w:color="auto"/>
                <w:left w:val="none" w:sz="0" w:space="0" w:color="auto"/>
                <w:bottom w:val="none" w:sz="0" w:space="0" w:color="auto"/>
                <w:right w:val="none" w:sz="0" w:space="0" w:color="auto"/>
              </w:divBdr>
            </w:div>
          </w:divsChild>
        </w:div>
        <w:div w:id="1478766195">
          <w:marLeft w:val="0"/>
          <w:marRight w:val="0"/>
          <w:marTop w:val="0"/>
          <w:marBottom w:val="0"/>
          <w:divBdr>
            <w:top w:val="none" w:sz="0" w:space="0" w:color="auto"/>
            <w:left w:val="none" w:sz="0" w:space="0" w:color="auto"/>
            <w:bottom w:val="none" w:sz="0" w:space="0" w:color="auto"/>
            <w:right w:val="none" w:sz="0" w:space="0" w:color="auto"/>
          </w:divBdr>
          <w:divsChild>
            <w:div w:id="943075384">
              <w:marLeft w:val="0"/>
              <w:marRight w:val="0"/>
              <w:marTop w:val="0"/>
              <w:marBottom w:val="0"/>
              <w:divBdr>
                <w:top w:val="none" w:sz="0" w:space="0" w:color="auto"/>
                <w:left w:val="none" w:sz="0" w:space="0" w:color="auto"/>
                <w:bottom w:val="none" w:sz="0" w:space="0" w:color="auto"/>
                <w:right w:val="none" w:sz="0" w:space="0" w:color="auto"/>
              </w:divBdr>
            </w:div>
          </w:divsChild>
        </w:div>
        <w:div w:id="1501656428">
          <w:marLeft w:val="0"/>
          <w:marRight w:val="0"/>
          <w:marTop w:val="0"/>
          <w:marBottom w:val="0"/>
          <w:divBdr>
            <w:top w:val="none" w:sz="0" w:space="0" w:color="auto"/>
            <w:left w:val="none" w:sz="0" w:space="0" w:color="auto"/>
            <w:bottom w:val="none" w:sz="0" w:space="0" w:color="auto"/>
            <w:right w:val="none" w:sz="0" w:space="0" w:color="auto"/>
          </w:divBdr>
          <w:divsChild>
            <w:div w:id="2075467453">
              <w:marLeft w:val="0"/>
              <w:marRight w:val="0"/>
              <w:marTop w:val="0"/>
              <w:marBottom w:val="0"/>
              <w:divBdr>
                <w:top w:val="none" w:sz="0" w:space="0" w:color="auto"/>
                <w:left w:val="none" w:sz="0" w:space="0" w:color="auto"/>
                <w:bottom w:val="none" w:sz="0" w:space="0" w:color="auto"/>
                <w:right w:val="none" w:sz="0" w:space="0" w:color="auto"/>
              </w:divBdr>
            </w:div>
          </w:divsChild>
        </w:div>
        <w:div w:id="1529757897">
          <w:marLeft w:val="0"/>
          <w:marRight w:val="0"/>
          <w:marTop w:val="0"/>
          <w:marBottom w:val="0"/>
          <w:divBdr>
            <w:top w:val="none" w:sz="0" w:space="0" w:color="auto"/>
            <w:left w:val="none" w:sz="0" w:space="0" w:color="auto"/>
            <w:bottom w:val="none" w:sz="0" w:space="0" w:color="auto"/>
            <w:right w:val="none" w:sz="0" w:space="0" w:color="auto"/>
          </w:divBdr>
          <w:divsChild>
            <w:div w:id="1770082112">
              <w:marLeft w:val="0"/>
              <w:marRight w:val="0"/>
              <w:marTop w:val="0"/>
              <w:marBottom w:val="0"/>
              <w:divBdr>
                <w:top w:val="none" w:sz="0" w:space="0" w:color="auto"/>
                <w:left w:val="none" w:sz="0" w:space="0" w:color="auto"/>
                <w:bottom w:val="none" w:sz="0" w:space="0" w:color="auto"/>
                <w:right w:val="none" w:sz="0" w:space="0" w:color="auto"/>
              </w:divBdr>
            </w:div>
          </w:divsChild>
        </w:div>
        <w:div w:id="1581910866">
          <w:marLeft w:val="0"/>
          <w:marRight w:val="0"/>
          <w:marTop w:val="0"/>
          <w:marBottom w:val="0"/>
          <w:divBdr>
            <w:top w:val="none" w:sz="0" w:space="0" w:color="auto"/>
            <w:left w:val="none" w:sz="0" w:space="0" w:color="auto"/>
            <w:bottom w:val="none" w:sz="0" w:space="0" w:color="auto"/>
            <w:right w:val="none" w:sz="0" w:space="0" w:color="auto"/>
          </w:divBdr>
          <w:divsChild>
            <w:div w:id="39943119">
              <w:marLeft w:val="0"/>
              <w:marRight w:val="0"/>
              <w:marTop w:val="0"/>
              <w:marBottom w:val="0"/>
              <w:divBdr>
                <w:top w:val="none" w:sz="0" w:space="0" w:color="auto"/>
                <w:left w:val="none" w:sz="0" w:space="0" w:color="auto"/>
                <w:bottom w:val="none" w:sz="0" w:space="0" w:color="auto"/>
                <w:right w:val="none" w:sz="0" w:space="0" w:color="auto"/>
              </w:divBdr>
            </w:div>
          </w:divsChild>
        </w:div>
        <w:div w:id="1651708251">
          <w:marLeft w:val="0"/>
          <w:marRight w:val="0"/>
          <w:marTop w:val="0"/>
          <w:marBottom w:val="0"/>
          <w:divBdr>
            <w:top w:val="none" w:sz="0" w:space="0" w:color="auto"/>
            <w:left w:val="none" w:sz="0" w:space="0" w:color="auto"/>
            <w:bottom w:val="none" w:sz="0" w:space="0" w:color="auto"/>
            <w:right w:val="none" w:sz="0" w:space="0" w:color="auto"/>
          </w:divBdr>
          <w:divsChild>
            <w:div w:id="438793880">
              <w:marLeft w:val="0"/>
              <w:marRight w:val="0"/>
              <w:marTop w:val="0"/>
              <w:marBottom w:val="0"/>
              <w:divBdr>
                <w:top w:val="none" w:sz="0" w:space="0" w:color="auto"/>
                <w:left w:val="none" w:sz="0" w:space="0" w:color="auto"/>
                <w:bottom w:val="none" w:sz="0" w:space="0" w:color="auto"/>
                <w:right w:val="none" w:sz="0" w:space="0" w:color="auto"/>
              </w:divBdr>
            </w:div>
          </w:divsChild>
        </w:div>
        <w:div w:id="1670406506">
          <w:marLeft w:val="0"/>
          <w:marRight w:val="0"/>
          <w:marTop w:val="0"/>
          <w:marBottom w:val="0"/>
          <w:divBdr>
            <w:top w:val="none" w:sz="0" w:space="0" w:color="auto"/>
            <w:left w:val="none" w:sz="0" w:space="0" w:color="auto"/>
            <w:bottom w:val="none" w:sz="0" w:space="0" w:color="auto"/>
            <w:right w:val="none" w:sz="0" w:space="0" w:color="auto"/>
          </w:divBdr>
          <w:divsChild>
            <w:div w:id="189530612">
              <w:marLeft w:val="0"/>
              <w:marRight w:val="0"/>
              <w:marTop w:val="0"/>
              <w:marBottom w:val="0"/>
              <w:divBdr>
                <w:top w:val="none" w:sz="0" w:space="0" w:color="auto"/>
                <w:left w:val="none" w:sz="0" w:space="0" w:color="auto"/>
                <w:bottom w:val="none" w:sz="0" w:space="0" w:color="auto"/>
                <w:right w:val="none" w:sz="0" w:space="0" w:color="auto"/>
              </w:divBdr>
            </w:div>
            <w:div w:id="788012775">
              <w:marLeft w:val="0"/>
              <w:marRight w:val="0"/>
              <w:marTop w:val="0"/>
              <w:marBottom w:val="0"/>
              <w:divBdr>
                <w:top w:val="none" w:sz="0" w:space="0" w:color="auto"/>
                <w:left w:val="none" w:sz="0" w:space="0" w:color="auto"/>
                <w:bottom w:val="none" w:sz="0" w:space="0" w:color="auto"/>
                <w:right w:val="none" w:sz="0" w:space="0" w:color="auto"/>
              </w:divBdr>
            </w:div>
          </w:divsChild>
        </w:div>
        <w:div w:id="1687246357">
          <w:marLeft w:val="0"/>
          <w:marRight w:val="0"/>
          <w:marTop w:val="0"/>
          <w:marBottom w:val="0"/>
          <w:divBdr>
            <w:top w:val="none" w:sz="0" w:space="0" w:color="auto"/>
            <w:left w:val="none" w:sz="0" w:space="0" w:color="auto"/>
            <w:bottom w:val="none" w:sz="0" w:space="0" w:color="auto"/>
            <w:right w:val="none" w:sz="0" w:space="0" w:color="auto"/>
          </w:divBdr>
          <w:divsChild>
            <w:div w:id="748312331">
              <w:marLeft w:val="0"/>
              <w:marRight w:val="0"/>
              <w:marTop w:val="0"/>
              <w:marBottom w:val="0"/>
              <w:divBdr>
                <w:top w:val="none" w:sz="0" w:space="0" w:color="auto"/>
                <w:left w:val="none" w:sz="0" w:space="0" w:color="auto"/>
                <w:bottom w:val="none" w:sz="0" w:space="0" w:color="auto"/>
                <w:right w:val="none" w:sz="0" w:space="0" w:color="auto"/>
              </w:divBdr>
            </w:div>
          </w:divsChild>
        </w:div>
        <w:div w:id="1706514839">
          <w:marLeft w:val="0"/>
          <w:marRight w:val="0"/>
          <w:marTop w:val="0"/>
          <w:marBottom w:val="0"/>
          <w:divBdr>
            <w:top w:val="none" w:sz="0" w:space="0" w:color="auto"/>
            <w:left w:val="none" w:sz="0" w:space="0" w:color="auto"/>
            <w:bottom w:val="none" w:sz="0" w:space="0" w:color="auto"/>
            <w:right w:val="none" w:sz="0" w:space="0" w:color="auto"/>
          </w:divBdr>
          <w:divsChild>
            <w:div w:id="263223153">
              <w:marLeft w:val="0"/>
              <w:marRight w:val="0"/>
              <w:marTop w:val="0"/>
              <w:marBottom w:val="0"/>
              <w:divBdr>
                <w:top w:val="none" w:sz="0" w:space="0" w:color="auto"/>
                <w:left w:val="none" w:sz="0" w:space="0" w:color="auto"/>
                <w:bottom w:val="none" w:sz="0" w:space="0" w:color="auto"/>
                <w:right w:val="none" w:sz="0" w:space="0" w:color="auto"/>
              </w:divBdr>
            </w:div>
          </w:divsChild>
        </w:div>
        <w:div w:id="1725443645">
          <w:marLeft w:val="0"/>
          <w:marRight w:val="0"/>
          <w:marTop w:val="0"/>
          <w:marBottom w:val="0"/>
          <w:divBdr>
            <w:top w:val="none" w:sz="0" w:space="0" w:color="auto"/>
            <w:left w:val="none" w:sz="0" w:space="0" w:color="auto"/>
            <w:bottom w:val="none" w:sz="0" w:space="0" w:color="auto"/>
            <w:right w:val="none" w:sz="0" w:space="0" w:color="auto"/>
          </w:divBdr>
          <w:divsChild>
            <w:div w:id="1410620882">
              <w:marLeft w:val="0"/>
              <w:marRight w:val="0"/>
              <w:marTop w:val="0"/>
              <w:marBottom w:val="0"/>
              <w:divBdr>
                <w:top w:val="none" w:sz="0" w:space="0" w:color="auto"/>
                <w:left w:val="none" w:sz="0" w:space="0" w:color="auto"/>
                <w:bottom w:val="none" w:sz="0" w:space="0" w:color="auto"/>
                <w:right w:val="none" w:sz="0" w:space="0" w:color="auto"/>
              </w:divBdr>
            </w:div>
          </w:divsChild>
        </w:div>
        <w:div w:id="1773551354">
          <w:marLeft w:val="0"/>
          <w:marRight w:val="0"/>
          <w:marTop w:val="0"/>
          <w:marBottom w:val="0"/>
          <w:divBdr>
            <w:top w:val="none" w:sz="0" w:space="0" w:color="auto"/>
            <w:left w:val="none" w:sz="0" w:space="0" w:color="auto"/>
            <w:bottom w:val="none" w:sz="0" w:space="0" w:color="auto"/>
            <w:right w:val="none" w:sz="0" w:space="0" w:color="auto"/>
          </w:divBdr>
          <w:divsChild>
            <w:div w:id="1089696398">
              <w:marLeft w:val="0"/>
              <w:marRight w:val="0"/>
              <w:marTop w:val="0"/>
              <w:marBottom w:val="0"/>
              <w:divBdr>
                <w:top w:val="none" w:sz="0" w:space="0" w:color="auto"/>
                <w:left w:val="none" w:sz="0" w:space="0" w:color="auto"/>
                <w:bottom w:val="none" w:sz="0" w:space="0" w:color="auto"/>
                <w:right w:val="none" w:sz="0" w:space="0" w:color="auto"/>
              </w:divBdr>
            </w:div>
          </w:divsChild>
        </w:div>
        <w:div w:id="1824856512">
          <w:marLeft w:val="0"/>
          <w:marRight w:val="0"/>
          <w:marTop w:val="0"/>
          <w:marBottom w:val="0"/>
          <w:divBdr>
            <w:top w:val="none" w:sz="0" w:space="0" w:color="auto"/>
            <w:left w:val="none" w:sz="0" w:space="0" w:color="auto"/>
            <w:bottom w:val="none" w:sz="0" w:space="0" w:color="auto"/>
            <w:right w:val="none" w:sz="0" w:space="0" w:color="auto"/>
          </w:divBdr>
          <w:divsChild>
            <w:div w:id="303236746">
              <w:marLeft w:val="0"/>
              <w:marRight w:val="0"/>
              <w:marTop w:val="0"/>
              <w:marBottom w:val="0"/>
              <w:divBdr>
                <w:top w:val="none" w:sz="0" w:space="0" w:color="auto"/>
                <w:left w:val="none" w:sz="0" w:space="0" w:color="auto"/>
                <w:bottom w:val="none" w:sz="0" w:space="0" w:color="auto"/>
                <w:right w:val="none" w:sz="0" w:space="0" w:color="auto"/>
              </w:divBdr>
            </w:div>
          </w:divsChild>
        </w:div>
        <w:div w:id="1891768668">
          <w:marLeft w:val="0"/>
          <w:marRight w:val="0"/>
          <w:marTop w:val="0"/>
          <w:marBottom w:val="0"/>
          <w:divBdr>
            <w:top w:val="none" w:sz="0" w:space="0" w:color="auto"/>
            <w:left w:val="none" w:sz="0" w:space="0" w:color="auto"/>
            <w:bottom w:val="none" w:sz="0" w:space="0" w:color="auto"/>
            <w:right w:val="none" w:sz="0" w:space="0" w:color="auto"/>
          </w:divBdr>
          <w:divsChild>
            <w:div w:id="94056818">
              <w:marLeft w:val="0"/>
              <w:marRight w:val="0"/>
              <w:marTop w:val="0"/>
              <w:marBottom w:val="0"/>
              <w:divBdr>
                <w:top w:val="none" w:sz="0" w:space="0" w:color="auto"/>
                <w:left w:val="none" w:sz="0" w:space="0" w:color="auto"/>
                <w:bottom w:val="none" w:sz="0" w:space="0" w:color="auto"/>
                <w:right w:val="none" w:sz="0" w:space="0" w:color="auto"/>
              </w:divBdr>
            </w:div>
          </w:divsChild>
        </w:div>
        <w:div w:id="1922449204">
          <w:marLeft w:val="0"/>
          <w:marRight w:val="0"/>
          <w:marTop w:val="0"/>
          <w:marBottom w:val="0"/>
          <w:divBdr>
            <w:top w:val="none" w:sz="0" w:space="0" w:color="auto"/>
            <w:left w:val="none" w:sz="0" w:space="0" w:color="auto"/>
            <w:bottom w:val="none" w:sz="0" w:space="0" w:color="auto"/>
            <w:right w:val="none" w:sz="0" w:space="0" w:color="auto"/>
          </w:divBdr>
          <w:divsChild>
            <w:div w:id="892273730">
              <w:marLeft w:val="0"/>
              <w:marRight w:val="0"/>
              <w:marTop w:val="0"/>
              <w:marBottom w:val="0"/>
              <w:divBdr>
                <w:top w:val="none" w:sz="0" w:space="0" w:color="auto"/>
                <w:left w:val="none" w:sz="0" w:space="0" w:color="auto"/>
                <w:bottom w:val="none" w:sz="0" w:space="0" w:color="auto"/>
                <w:right w:val="none" w:sz="0" w:space="0" w:color="auto"/>
              </w:divBdr>
            </w:div>
          </w:divsChild>
        </w:div>
        <w:div w:id="1928687197">
          <w:marLeft w:val="0"/>
          <w:marRight w:val="0"/>
          <w:marTop w:val="0"/>
          <w:marBottom w:val="0"/>
          <w:divBdr>
            <w:top w:val="none" w:sz="0" w:space="0" w:color="auto"/>
            <w:left w:val="none" w:sz="0" w:space="0" w:color="auto"/>
            <w:bottom w:val="none" w:sz="0" w:space="0" w:color="auto"/>
            <w:right w:val="none" w:sz="0" w:space="0" w:color="auto"/>
          </w:divBdr>
          <w:divsChild>
            <w:div w:id="848298564">
              <w:marLeft w:val="0"/>
              <w:marRight w:val="0"/>
              <w:marTop w:val="0"/>
              <w:marBottom w:val="0"/>
              <w:divBdr>
                <w:top w:val="none" w:sz="0" w:space="0" w:color="auto"/>
                <w:left w:val="none" w:sz="0" w:space="0" w:color="auto"/>
                <w:bottom w:val="none" w:sz="0" w:space="0" w:color="auto"/>
                <w:right w:val="none" w:sz="0" w:space="0" w:color="auto"/>
              </w:divBdr>
            </w:div>
          </w:divsChild>
        </w:div>
        <w:div w:id="1936205580">
          <w:marLeft w:val="0"/>
          <w:marRight w:val="0"/>
          <w:marTop w:val="0"/>
          <w:marBottom w:val="0"/>
          <w:divBdr>
            <w:top w:val="none" w:sz="0" w:space="0" w:color="auto"/>
            <w:left w:val="none" w:sz="0" w:space="0" w:color="auto"/>
            <w:bottom w:val="none" w:sz="0" w:space="0" w:color="auto"/>
            <w:right w:val="none" w:sz="0" w:space="0" w:color="auto"/>
          </w:divBdr>
          <w:divsChild>
            <w:div w:id="326908068">
              <w:marLeft w:val="0"/>
              <w:marRight w:val="0"/>
              <w:marTop w:val="0"/>
              <w:marBottom w:val="0"/>
              <w:divBdr>
                <w:top w:val="none" w:sz="0" w:space="0" w:color="auto"/>
                <w:left w:val="none" w:sz="0" w:space="0" w:color="auto"/>
                <w:bottom w:val="none" w:sz="0" w:space="0" w:color="auto"/>
                <w:right w:val="none" w:sz="0" w:space="0" w:color="auto"/>
              </w:divBdr>
            </w:div>
          </w:divsChild>
        </w:div>
        <w:div w:id="1951468497">
          <w:marLeft w:val="0"/>
          <w:marRight w:val="0"/>
          <w:marTop w:val="0"/>
          <w:marBottom w:val="0"/>
          <w:divBdr>
            <w:top w:val="none" w:sz="0" w:space="0" w:color="auto"/>
            <w:left w:val="none" w:sz="0" w:space="0" w:color="auto"/>
            <w:bottom w:val="none" w:sz="0" w:space="0" w:color="auto"/>
            <w:right w:val="none" w:sz="0" w:space="0" w:color="auto"/>
          </w:divBdr>
          <w:divsChild>
            <w:div w:id="1822694361">
              <w:marLeft w:val="0"/>
              <w:marRight w:val="0"/>
              <w:marTop w:val="0"/>
              <w:marBottom w:val="0"/>
              <w:divBdr>
                <w:top w:val="none" w:sz="0" w:space="0" w:color="auto"/>
                <w:left w:val="none" w:sz="0" w:space="0" w:color="auto"/>
                <w:bottom w:val="none" w:sz="0" w:space="0" w:color="auto"/>
                <w:right w:val="none" w:sz="0" w:space="0" w:color="auto"/>
              </w:divBdr>
            </w:div>
          </w:divsChild>
        </w:div>
        <w:div w:id="1985700508">
          <w:marLeft w:val="0"/>
          <w:marRight w:val="0"/>
          <w:marTop w:val="0"/>
          <w:marBottom w:val="0"/>
          <w:divBdr>
            <w:top w:val="none" w:sz="0" w:space="0" w:color="auto"/>
            <w:left w:val="none" w:sz="0" w:space="0" w:color="auto"/>
            <w:bottom w:val="none" w:sz="0" w:space="0" w:color="auto"/>
            <w:right w:val="none" w:sz="0" w:space="0" w:color="auto"/>
          </w:divBdr>
          <w:divsChild>
            <w:div w:id="21056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4690">
      <w:bodyDiv w:val="1"/>
      <w:marLeft w:val="0"/>
      <w:marRight w:val="0"/>
      <w:marTop w:val="0"/>
      <w:marBottom w:val="0"/>
      <w:divBdr>
        <w:top w:val="none" w:sz="0" w:space="0" w:color="auto"/>
        <w:left w:val="none" w:sz="0" w:space="0" w:color="auto"/>
        <w:bottom w:val="none" w:sz="0" w:space="0" w:color="auto"/>
        <w:right w:val="none" w:sz="0" w:space="0" w:color="auto"/>
      </w:divBdr>
      <w:divsChild>
        <w:div w:id="274213199">
          <w:marLeft w:val="0"/>
          <w:marRight w:val="0"/>
          <w:marTop w:val="0"/>
          <w:marBottom w:val="0"/>
          <w:divBdr>
            <w:top w:val="none" w:sz="0" w:space="0" w:color="auto"/>
            <w:left w:val="none" w:sz="0" w:space="0" w:color="auto"/>
            <w:bottom w:val="none" w:sz="0" w:space="0" w:color="auto"/>
            <w:right w:val="none" w:sz="0" w:space="0" w:color="auto"/>
          </w:divBdr>
        </w:div>
        <w:div w:id="2014409923">
          <w:marLeft w:val="0"/>
          <w:marRight w:val="0"/>
          <w:marTop w:val="0"/>
          <w:marBottom w:val="0"/>
          <w:divBdr>
            <w:top w:val="none" w:sz="0" w:space="0" w:color="auto"/>
            <w:left w:val="none" w:sz="0" w:space="0" w:color="auto"/>
            <w:bottom w:val="none" w:sz="0" w:space="0" w:color="auto"/>
            <w:right w:val="none" w:sz="0" w:space="0" w:color="auto"/>
          </w:divBdr>
        </w:div>
      </w:divsChild>
    </w:div>
    <w:div w:id="1300963783">
      <w:bodyDiv w:val="1"/>
      <w:marLeft w:val="0"/>
      <w:marRight w:val="0"/>
      <w:marTop w:val="0"/>
      <w:marBottom w:val="0"/>
      <w:divBdr>
        <w:top w:val="none" w:sz="0" w:space="0" w:color="auto"/>
        <w:left w:val="none" w:sz="0" w:space="0" w:color="auto"/>
        <w:bottom w:val="none" w:sz="0" w:space="0" w:color="auto"/>
        <w:right w:val="none" w:sz="0" w:space="0" w:color="auto"/>
      </w:divBdr>
      <w:divsChild>
        <w:div w:id="1858691621">
          <w:marLeft w:val="0"/>
          <w:marRight w:val="0"/>
          <w:marTop w:val="0"/>
          <w:marBottom w:val="0"/>
          <w:divBdr>
            <w:top w:val="none" w:sz="0" w:space="0" w:color="auto"/>
            <w:left w:val="none" w:sz="0" w:space="0" w:color="auto"/>
            <w:bottom w:val="none" w:sz="0" w:space="0" w:color="auto"/>
            <w:right w:val="none" w:sz="0" w:space="0" w:color="auto"/>
          </w:divBdr>
        </w:div>
      </w:divsChild>
    </w:div>
    <w:div w:id="1323391972">
      <w:bodyDiv w:val="1"/>
      <w:marLeft w:val="0"/>
      <w:marRight w:val="0"/>
      <w:marTop w:val="0"/>
      <w:marBottom w:val="0"/>
      <w:divBdr>
        <w:top w:val="none" w:sz="0" w:space="0" w:color="auto"/>
        <w:left w:val="none" w:sz="0" w:space="0" w:color="auto"/>
        <w:bottom w:val="none" w:sz="0" w:space="0" w:color="auto"/>
        <w:right w:val="none" w:sz="0" w:space="0" w:color="auto"/>
      </w:divBdr>
    </w:div>
    <w:div w:id="1323847146">
      <w:bodyDiv w:val="1"/>
      <w:marLeft w:val="0"/>
      <w:marRight w:val="0"/>
      <w:marTop w:val="0"/>
      <w:marBottom w:val="0"/>
      <w:divBdr>
        <w:top w:val="none" w:sz="0" w:space="0" w:color="auto"/>
        <w:left w:val="none" w:sz="0" w:space="0" w:color="auto"/>
        <w:bottom w:val="none" w:sz="0" w:space="0" w:color="auto"/>
        <w:right w:val="none" w:sz="0" w:space="0" w:color="auto"/>
      </w:divBdr>
      <w:divsChild>
        <w:div w:id="1294484447">
          <w:marLeft w:val="0"/>
          <w:marRight w:val="0"/>
          <w:marTop w:val="0"/>
          <w:marBottom w:val="0"/>
          <w:divBdr>
            <w:top w:val="none" w:sz="0" w:space="0" w:color="auto"/>
            <w:left w:val="none" w:sz="0" w:space="0" w:color="auto"/>
            <w:bottom w:val="none" w:sz="0" w:space="0" w:color="auto"/>
            <w:right w:val="none" w:sz="0" w:space="0" w:color="auto"/>
          </w:divBdr>
        </w:div>
      </w:divsChild>
    </w:div>
    <w:div w:id="1332835502">
      <w:bodyDiv w:val="1"/>
      <w:marLeft w:val="0"/>
      <w:marRight w:val="0"/>
      <w:marTop w:val="0"/>
      <w:marBottom w:val="0"/>
      <w:divBdr>
        <w:top w:val="none" w:sz="0" w:space="0" w:color="auto"/>
        <w:left w:val="none" w:sz="0" w:space="0" w:color="auto"/>
        <w:bottom w:val="none" w:sz="0" w:space="0" w:color="auto"/>
        <w:right w:val="none" w:sz="0" w:space="0" w:color="auto"/>
      </w:divBdr>
      <w:divsChild>
        <w:div w:id="86313783">
          <w:marLeft w:val="0"/>
          <w:marRight w:val="0"/>
          <w:marTop w:val="0"/>
          <w:marBottom w:val="0"/>
          <w:divBdr>
            <w:top w:val="none" w:sz="0" w:space="0" w:color="auto"/>
            <w:left w:val="none" w:sz="0" w:space="0" w:color="auto"/>
            <w:bottom w:val="none" w:sz="0" w:space="0" w:color="auto"/>
            <w:right w:val="none" w:sz="0" w:space="0" w:color="auto"/>
          </w:divBdr>
        </w:div>
      </w:divsChild>
    </w:div>
    <w:div w:id="1345279426">
      <w:bodyDiv w:val="1"/>
      <w:marLeft w:val="0"/>
      <w:marRight w:val="0"/>
      <w:marTop w:val="0"/>
      <w:marBottom w:val="0"/>
      <w:divBdr>
        <w:top w:val="none" w:sz="0" w:space="0" w:color="auto"/>
        <w:left w:val="none" w:sz="0" w:space="0" w:color="auto"/>
        <w:bottom w:val="none" w:sz="0" w:space="0" w:color="auto"/>
        <w:right w:val="none" w:sz="0" w:space="0" w:color="auto"/>
      </w:divBdr>
      <w:divsChild>
        <w:div w:id="1553886668">
          <w:marLeft w:val="0"/>
          <w:marRight w:val="0"/>
          <w:marTop w:val="0"/>
          <w:marBottom w:val="0"/>
          <w:divBdr>
            <w:top w:val="none" w:sz="0" w:space="0" w:color="auto"/>
            <w:left w:val="none" w:sz="0" w:space="0" w:color="auto"/>
            <w:bottom w:val="none" w:sz="0" w:space="0" w:color="auto"/>
            <w:right w:val="none" w:sz="0" w:space="0" w:color="auto"/>
          </w:divBdr>
        </w:div>
      </w:divsChild>
    </w:div>
    <w:div w:id="1379428181">
      <w:bodyDiv w:val="1"/>
      <w:marLeft w:val="0"/>
      <w:marRight w:val="0"/>
      <w:marTop w:val="0"/>
      <w:marBottom w:val="0"/>
      <w:divBdr>
        <w:top w:val="none" w:sz="0" w:space="0" w:color="auto"/>
        <w:left w:val="none" w:sz="0" w:space="0" w:color="auto"/>
        <w:bottom w:val="none" w:sz="0" w:space="0" w:color="auto"/>
        <w:right w:val="none" w:sz="0" w:space="0" w:color="auto"/>
      </w:divBdr>
      <w:divsChild>
        <w:div w:id="1570573218">
          <w:marLeft w:val="0"/>
          <w:marRight w:val="0"/>
          <w:marTop w:val="0"/>
          <w:marBottom w:val="0"/>
          <w:divBdr>
            <w:top w:val="none" w:sz="0" w:space="0" w:color="auto"/>
            <w:left w:val="none" w:sz="0" w:space="0" w:color="auto"/>
            <w:bottom w:val="none" w:sz="0" w:space="0" w:color="auto"/>
            <w:right w:val="none" w:sz="0" w:space="0" w:color="auto"/>
          </w:divBdr>
        </w:div>
      </w:divsChild>
    </w:div>
    <w:div w:id="1389836694">
      <w:bodyDiv w:val="1"/>
      <w:marLeft w:val="0"/>
      <w:marRight w:val="0"/>
      <w:marTop w:val="0"/>
      <w:marBottom w:val="0"/>
      <w:divBdr>
        <w:top w:val="none" w:sz="0" w:space="0" w:color="auto"/>
        <w:left w:val="none" w:sz="0" w:space="0" w:color="auto"/>
        <w:bottom w:val="none" w:sz="0" w:space="0" w:color="auto"/>
        <w:right w:val="none" w:sz="0" w:space="0" w:color="auto"/>
      </w:divBdr>
    </w:div>
    <w:div w:id="1404524088">
      <w:bodyDiv w:val="1"/>
      <w:marLeft w:val="0"/>
      <w:marRight w:val="0"/>
      <w:marTop w:val="0"/>
      <w:marBottom w:val="0"/>
      <w:divBdr>
        <w:top w:val="none" w:sz="0" w:space="0" w:color="auto"/>
        <w:left w:val="none" w:sz="0" w:space="0" w:color="auto"/>
        <w:bottom w:val="none" w:sz="0" w:space="0" w:color="auto"/>
        <w:right w:val="none" w:sz="0" w:space="0" w:color="auto"/>
      </w:divBdr>
    </w:div>
    <w:div w:id="1405953915">
      <w:bodyDiv w:val="1"/>
      <w:marLeft w:val="0"/>
      <w:marRight w:val="0"/>
      <w:marTop w:val="0"/>
      <w:marBottom w:val="0"/>
      <w:divBdr>
        <w:top w:val="none" w:sz="0" w:space="0" w:color="auto"/>
        <w:left w:val="none" w:sz="0" w:space="0" w:color="auto"/>
        <w:bottom w:val="none" w:sz="0" w:space="0" w:color="auto"/>
        <w:right w:val="none" w:sz="0" w:space="0" w:color="auto"/>
      </w:divBdr>
    </w:div>
    <w:div w:id="1409419833">
      <w:bodyDiv w:val="1"/>
      <w:marLeft w:val="0"/>
      <w:marRight w:val="0"/>
      <w:marTop w:val="0"/>
      <w:marBottom w:val="0"/>
      <w:divBdr>
        <w:top w:val="none" w:sz="0" w:space="0" w:color="auto"/>
        <w:left w:val="none" w:sz="0" w:space="0" w:color="auto"/>
        <w:bottom w:val="none" w:sz="0" w:space="0" w:color="auto"/>
        <w:right w:val="none" w:sz="0" w:space="0" w:color="auto"/>
      </w:divBdr>
    </w:div>
    <w:div w:id="1420373565">
      <w:bodyDiv w:val="1"/>
      <w:marLeft w:val="0"/>
      <w:marRight w:val="0"/>
      <w:marTop w:val="0"/>
      <w:marBottom w:val="0"/>
      <w:divBdr>
        <w:top w:val="none" w:sz="0" w:space="0" w:color="auto"/>
        <w:left w:val="none" w:sz="0" w:space="0" w:color="auto"/>
        <w:bottom w:val="none" w:sz="0" w:space="0" w:color="auto"/>
        <w:right w:val="none" w:sz="0" w:space="0" w:color="auto"/>
      </w:divBdr>
      <w:divsChild>
        <w:div w:id="1675840743">
          <w:marLeft w:val="0"/>
          <w:marRight w:val="0"/>
          <w:marTop w:val="0"/>
          <w:marBottom w:val="0"/>
          <w:divBdr>
            <w:top w:val="none" w:sz="0" w:space="0" w:color="auto"/>
            <w:left w:val="none" w:sz="0" w:space="0" w:color="auto"/>
            <w:bottom w:val="none" w:sz="0" w:space="0" w:color="auto"/>
            <w:right w:val="none" w:sz="0" w:space="0" w:color="auto"/>
          </w:divBdr>
        </w:div>
      </w:divsChild>
    </w:div>
    <w:div w:id="1420520820">
      <w:bodyDiv w:val="1"/>
      <w:marLeft w:val="0"/>
      <w:marRight w:val="0"/>
      <w:marTop w:val="0"/>
      <w:marBottom w:val="0"/>
      <w:divBdr>
        <w:top w:val="none" w:sz="0" w:space="0" w:color="auto"/>
        <w:left w:val="none" w:sz="0" w:space="0" w:color="auto"/>
        <w:bottom w:val="none" w:sz="0" w:space="0" w:color="auto"/>
        <w:right w:val="none" w:sz="0" w:space="0" w:color="auto"/>
      </w:divBdr>
      <w:divsChild>
        <w:div w:id="1800607561">
          <w:marLeft w:val="0"/>
          <w:marRight w:val="0"/>
          <w:marTop w:val="0"/>
          <w:marBottom w:val="0"/>
          <w:divBdr>
            <w:top w:val="none" w:sz="0" w:space="0" w:color="auto"/>
            <w:left w:val="none" w:sz="0" w:space="0" w:color="auto"/>
            <w:bottom w:val="none" w:sz="0" w:space="0" w:color="auto"/>
            <w:right w:val="none" w:sz="0" w:space="0" w:color="auto"/>
          </w:divBdr>
        </w:div>
      </w:divsChild>
    </w:div>
    <w:div w:id="1428042769">
      <w:bodyDiv w:val="1"/>
      <w:marLeft w:val="0"/>
      <w:marRight w:val="0"/>
      <w:marTop w:val="0"/>
      <w:marBottom w:val="0"/>
      <w:divBdr>
        <w:top w:val="none" w:sz="0" w:space="0" w:color="auto"/>
        <w:left w:val="none" w:sz="0" w:space="0" w:color="auto"/>
        <w:bottom w:val="none" w:sz="0" w:space="0" w:color="auto"/>
        <w:right w:val="none" w:sz="0" w:space="0" w:color="auto"/>
      </w:divBdr>
    </w:div>
    <w:div w:id="1433474913">
      <w:bodyDiv w:val="1"/>
      <w:marLeft w:val="0"/>
      <w:marRight w:val="0"/>
      <w:marTop w:val="0"/>
      <w:marBottom w:val="0"/>
      <w:divBdr>
        <w:top w:val="none" w:sz="0" w:space="0" w:color="auto"/>
        <w:left w:val="none" w:sz="0" w:space="0" w:color="auto"/>
        <w:bottom w:val="none" w:sz="0" w:space="0" w:color="auto"/>
        <w:right w:val="none" w:sz="0" w:space="0" w:color="auto"/>
      </w:divBdr>
    </w:div>
    <w:div w:id="1465466536">
      <w:bodyDiv w:val="1"/>
      <w:marLeft w:val="0"/>
      <w:marRight w:val="0"/>
      <w:marTop w:val="0"/>
      <w:marBottom w:val="0"/>
      <w:divBdr>
        <w:top w:val="none" w:sz="0" w:space="0" w:color="auto"/>
        <w:left w:val="none" w:sz="0" w:space="0" w:color="auto"/>
        <w:bottom w:val="none" w:sz="0" w:space="0" w:color="auto"/>
        <w:right w:val="none" w:sz="0" w:space="0" w:color="auto"/>
      </w:divBdr>
      <w:divsChild>
        <w:div w:id="126166227">
          <w:marLeft w:val="0"/>
          <w:marRight w:val="0"/>
          <w:marTop w:val="0"/>
          <w:marBottom w:val="0"/>
          <w:divBdr>
            <w:top w:val="none" w:sz="0" w:space="0" w:color="auto"/>
            <w:left w:val="none" w:sz="0" w:space="0" w:color="auto"/>
            <w:bottom w:val="none" w:sz="0" w:space="0" w:color="auto"/>
            <w:right w:val="none" w:sz="0" w:space="0" w:color="auto"/>
          </w:divBdr>
        </w:div>
      </w:divsChild>
    </w:div>
    <w:div w:id="1482846815">
      <w:bodyDiv w:val="1"/>
      <w:marLeft w:val="0"/>
      <w:marRight w:val="0"/>
      <w:marTop w:val="0"/>
      <w:marBottom w:val="0"/>
      <w:divBdr>
        <w:top w:val="none" w:sz="0" w:space="0" w:color="auto"/>
        <w:left w:val="none" w:sz="0" w:space="0" w:color="auto"/>
        <w:bottom w:val="none" w:sz="0" w:space="0" w:color="auto"/>
        <w:right w:val="none" w:sz="0" w:space="0" w:color="auto"/>
      </w:divBdr>
      <w:divsChild>
        <w:div w:id="783228042">
          <w:marLeft w:val="0"/>
          <w:marRight w:val="0"/>
          <w:marTop w:val="0"/>
          <w:marBottom w:val="0"/>
          <w:divBdr>
            <w:top w:val="none" w:sz="0" w:space="0" w:color="auto"/>
            <w:left w:val="none" w:sz="0" w:space="0" w:color="auto"/>
            <w:bottom w:val="none" w:sz="0" w:space="0" w:color="auto"/>
            <w:right w:val="none" w:sz="0" w:space="0" w:color="auto"/>
          </w:divBdr>
        </w:div>
        <w:div w:id="1456367678">
          <w:marLeft w:val="0"/>
          <w:marRight w:val="0"/>
          <w:marTop w:val="0"/>
          <w:marBottom w:val="0"/>
          <w:divBdr>
            <w:top w:val="none" w:sz="0" w:space="0" w:color="auto"/>
            <w:left w:val="none" w:sz="0" w:space="0" w:color="auto"/>
            <w:bottom w:val="none" w:sz="0" w:space="0" w:color="auto"/>
            <w:right w:val="none" w:sz="0" w:space="0" w:color="auto"/>
          </w:divBdr>
        </w:div>
      </w:divsChild>
    </w:div>
    <w:div w:id="1486320426">
      <w:bodyDiv w:val="1"/>
      <w:marLeft w:val="0"/>
      <w:marRight w:val="0"/>
      <w:marTop w:val="0"/>
      <w:marBottom w:val="0"/>
      <w:divBdr>
        <w:top w:val="none" w:sz="0" w:space="0" w:color="auto"/>
        <w:left w:val="none" w:sz="0" w:space="0" w:color="auto"/>
        <w:bottom w:val="none" w:sz="0" w:space="0" w:color="auto"/>
        <w:right w:val="none" w:sz="0" w:space="0" w:color="auto"/>
      </w:divBdr>
      <w:divsChild>
        <w:div w:id="749497120">
          <w:marLeft w:val="0"/>
          <w:marRight w:val="0"/>
          <w:marTop w:val="0"/>
          <w:marBottom w:val="0"/>
          <w:divBdr>
            <w:top w:val="none" w:sz="0" w:space="0" w:color="auto"/>
            <w:left w:val="none" w:sz="0" w:space="0" w:color="auto"/>
            <w:bottom w:val="none" w:sz="0" w:space="0" w:color="auto"/>
            <w:right w:val="none" w:sz="0" w:space="0" w:color="auto"/>
          </w:divBdr>
        </w:div>
      </w:divsChild>
    </w:div>
    <w:div w:id="1513642648">
      <w:bodyDiv w:val="1"/>
      <w:marLeft w:val="0"/>
      <w:marRight w:val="0"/>
      <w:marTop w:val="0"/>
      <w:marBottom w:val="0"/>
      <w:divBdr>
        <w:top w:val="none" w:sz="0" w:space="0" w:color="auto"/>
        <w:left w:val="none" w:sz="0" w:space="0" w:color="auto"/>
        <w:bottom w:val="none" w:sz="0" w:space="0" w:color="auto"/>
        <w:right w:val="none" w:sz="0" w:space="0" w:color="auto"/>
      </w:divBdr>
      <w:divsChild>
        <w:div w:id="609045225">
          <w:marLeft w:val="0"/>
          <w:marRight w:val="0"/>
          <w:marTop w:val="0"/>
          <w:marBottom w:val="0"/>
          <w:divBdr>
            <w:top w:val="none" w:sz="0" w:space="0" w:color="auto"/>
            <w:left w:val="none" w:sz="0" w:space="0" w:color="auto"/>
            <w:bottom w:val="none" w:sz="0" w:space="0" w:color="auto"/>
            <w:right w:val="none" w:sz="0" w:space="0" w:color="auto"/>
          </w:divBdr>
        </w:div>
      </w:divsChild>
    </w:div>
    <w:div w:id="1563444276">
      <w:bodyDiv w:val="1"/>
      <w:marLeft w:val="0"/>
      <w:marRight w:val="0"/>
      <w:marTop w:val="0"/>
      <w:marBottom w:val="0"/>
      <w:divBdr>
        <w:top w:val="none" w:sz="0" w:space="0" w:color="auto"/>
        <w:left w:val="none" w:sz="0" w:space="0" w:color="auto"/>
        <w:bottom w:val="none" w:sz="0" w:space="0" w:color="auto"/>
        <w:right w:val="none" w:sz="0" w:space="0" w:color="auto"/>
      </w:divBdr>
      <w:divsChild>
        <w:div w:id="1802188206">
          <w:marLeft w:val="0"/>
          <w:marRight w:val="0"/>
          <w:marTop w:val="0"/>
          <w:marBottom w:val="0"/>
          <w:divBdr>
            <w:top w:val="none" w:sz="0" w:space="0" w:color="auto"/>
            <w:left w:val="none" w:sz="0" w:space="0" w:color="auto"/>
            <w:bottom w:val="none" w:sz="0" w:space="0" w:color="auto"/>
            <w:right w:val="none" w:sz="0" w:space="0" w:color="auto"/>
          </w:divBdr>
        </w:div>
      </w:divsChild>
    </w:div>
    <w:div w:id="1577396513">
      <w:bodyDiv w:val="1"/>
      <w:marLeft w:val="0"/>
      <w:marRight w:val="0"/>
      <w:marTop w:val="0"/>
      <w:marBottom w:val="0"/>
      <w:divBdr>
        <w:top w:val="none" w:sz="0" w:space="0" w:color="auto"/>
        <w:left w:val="none" w:sz="0" w:space="0" w:color="auto"/>
        <w:bottom w:val="none" w:sz="0" w:space="0" w:color="auto"/>
        <w:right w:val="none" w:sz="0" w:space="0" w:color="auto"/>
      </w:divBdr>
      <w:divsChild>
        <w:div w:id="1644195260">
          <w:marLeft w:val="0"/>
          <w:marRight w:val="0"/>
          <w:marTop w:val="0"/>
          <w:marBottom w:val="0"/>
          <w:divBdr>
            <w:top w:val="none" w:sz="0" w:space="0" w:color="auto"/>
            <w:left w:val="none" w:sz="0" w:space="0" w:color="auto"/>
            <w:bottom w:val="none" w:sz="0" w:space="0" w:color="auto"/>
            <w:right w:val="none" w:sz="0" w:space="0" w:color="auto"/>
          </w:divBdr>
        </w:div>
      </w:divsChild>
    </w:div>
    <w:div w:id="1601110458">
      <w:bodyDiv w:val="1"/>
      <w:marLeft w:val="0"/>
      <w:marRight w:val="0"/>
      <w:marTop w:val="0"/>
      <w:marBottom w:val="0"/>
      <w:divBdr>
        <w:top w:val="none" w:sz="0" w:space="0" w:color="auto"/>
        <w:left w:val="none" w:sz="0" w:space="0" w:color="auto"/>
        <w:bottom w:val="none" w:sz="0" w:space="0" w:color="auto"/>
        <w:right w:val="none" w:sz="0" w:space="0" w:color="auto"/>
      </w:divBdr>
    </w:div>
    <w:div w:id="1614825232">
      <w:bodyDiv w:val="1"/>
      <w:marLeft w:val="0"/>
      <w:marRight w:val="0"/>
      <w:marTop w:val="0"/>
      <w:marBottom w:val="0"/>
      <w:divBdr>
        <w:top w:val="none" w:sz="0" w:space="0" w:color="auto"/>
        <w:left w:val="none" w:sz="0" w:space="0" w:color="auto"/>
        <w:bottom w:val="none" w:sz="0" w:space="0" w:color="auto"/>
        <w:right w:val="none" w:sz="0" w:space="0" w:color="auto"/>
      </w:divBdr>
      <w:divsChild>
        <w:div w:id="1141191135">
          <w:marLeft w:val="0"/>
          <w:marRight w:val="0"/>
          <w:marTop w:val="0"/>
          <w:marBottom w:val="0"/>
          <w:divBdr>
            <w:top w:val="none" w:sz="0" w:space="0" w:color="auto"/>
            <w:left w:val="none" w:sz="0" w:space="0" w:color="auto"/>
            <w:bottom w:val="none" w:sz="0" w:space="0" w:color="auto"/>
            <w:right w:val="none" w:sz="0" w:space="0" w:color="auto"/>
          </w:divBdr>
        </w:div>
      </w:divsChild>
    </w:div>
    <w:div w:id="1615359863">
      <w:bodyDiv w:val="1"/>
      <w:marLeft w:val="0"/>
      <w:marRight w:val="0"/>
      <w:marTop w:val="0"/>
      <w:marBottom w:val="0"/>
      <w:divBdr>
        <w:top w:val="none" w:sz="0" w:space="0" w:color="auto"/>
        <w:left w:val="none" w:sz="0" w:space="0" w:color="auto"/>
        <w:bottom w:val="none" w:sz="0" w:space="0" w:color="auto"/>
        <w:right w:val="none" w:sz="0" w:space="0" w:color="auto"/>
      </w:divBdr>
    </w:div>
    <w:div w:id="1624654811">
      <w:bodyDiv w:val="1"/>
      <w:marLeft w:val="0"/>
      <w:marRight w:val="0"/>
      <w:marTop w:val="0"/>
      <w:marBottom w:val="0"/>
      <w:divBdr>
        <w:top w:val="none" w:sz="0" w:space="0" w:color="auto"/>
        <w:left w:val="none" w:sz="0" w:space="0" w:color="auto"/>
        <w:bottom w:val="none" w:sz="0" w:space="0" w:color="auto"/>
        <w:right w:val="none" w:sz="0" w:space="0" w:color="auto"/>
      </w:divBdr>
    </w:div>
    <w:div w:id="1629429341">
      <w:bodyDiv w:val="1"/>
      <w:marLeft w:val="0"/>
      <w:marRight w:val="0"/>
      <w:marTop w:val="0"/>
      <w:marBottom w:val="0"/>
      <w:divBdr>
        <w:top w:val="none" w:sz="0" w:space="0" w:color="auto"/>
        <w:left w:val="none" w:sz="0" w:space="0" w:color="auto"/>
        <w:bottom w:val="none" w:sz="0" w:space="0" w:color="auto"/>
        <w:right w:val="none" w:sz="0" w:space="0" w:color="auto"/>
      </w:divBdr>
      <w:divsChild>
        <w:div w:id="551693878">
          <w:marLeft w:val="0"/>
          <w:marRight w:val="0"/>
          <w:marTop w:val="0"/>
          <w:marBottom w:val="0"/>
          <w:divBdr>
            <w:top w:val="none" w:sz="0" w:space="0" w:color="auto"/>
            <w:left w:val="none" w:sz="0" w:space="0" w:color="auto"/>
            <w:bottom w:val="none" w:sz="0" w:space="0" w:color="auto"/>
            <w:right w:val="none" w:sz="0" w:space="0" w:color="auto"/>
          </w:divBdr>
        </w:div>
      </w:divsChild>
    </w:div>
    <w:div w:id="1631085527">
      <w:bodyDiv w:val="1"/>
      <w:marLeft w:val="0"/>
      <w:marRight w:val="0"/>
      <w:marTop w:val="0"/>
      <w:marBottom w:val="0"/>
      <w:divBdr>
        <w:top w:val="none" w:sz="0" w:space="0" w:color="auto"/>
        <w:left w:val="none" w:sz="0" w:space="0" w:color="auto"/>
        <w:bottom w:val="none" w:sz="0" w:space="0" w:color="auto"/>
        <w:right w:val="none" w:sz="0" w:space="0" w:color="auto"/>
      </w:divBdr>
    </w:div>
    <w:div w:id="1635984916">
      <w:bodyDiv w:val="1"/>
      <w:marLeft w:val="0"/>
      <w:marRight w:val="0"/>
      <w:marTop w:val="0"/>
      <w:marBottom w:val="0"/>
      <w:divBdr>
        <w:top w:val="none" w:sz="0" w:space="0" w:color="auto"/>
        <w:left w:val="none" w:sz="0" w:space="0" w:color="auto"/>
        <w:bottom w:val="none" w:sz="0" w:space="0" w:color="auto"/>
        <w:right w:val="none" w:sz="0" w:space="0" w:color="auto"/>
      </w:divBdr>
      <w:divsChild>
        <w:div w:id="912737397">
          <w:marLeft w:val="0"/>
          <w:marRight w:val="0"/>
          <w:marTop w:val="0"/>
          <w:marBottom w:val="0"/>
          <w:divBdr>
            <w:top w:val="none" w:sz="0" w:space="0" w:color="auto"/>
            <w:left w:val="none" w:sz="0" w:space="0" w:color="auto"/>
            <w:bottom w:val="none" w:sz="0" w:space="0" w:color="auto"/>
            <w:right w:val="none" w:sz="0" w:space="0" w:color="auto"/>
          </w:divBdr>
        </w:div>
      </w:divsChild>
    </w:div>
    <w:div w:id="1636181612">
      <w:bodyDiv w:val="1"/>
      <w:marLeft w:val="0"/>
      <w:marRight w:val="0"/>
      <w:marTop w:val="0"/>
      <w:marBottom w:val="0"/>
      <w:divBdr>
        <w:top w:val="none" w:sz="0" w:space="0" w:color="auto"/>
        <w:left w:val="none" w:sz="0" w:space="0" w:color="auto"/>
        <w:bottom w:val="none" w:sz="0" w:space="0" w:color="auto"/>
        <w:right w:val="none" w:sz="0" w:space="0" w:color="auto"/>
      </w:divBdr>
    </w:div>
    <w:div w:id="1639065176">
      <w:bodyDiv w:val="1"/>
      <w:marLeft w:val="0"/>
      <w:marRight w:val="0"/>
      <w:marTop w:val="0"/>
      <w:marBottom w:val="0"/>
      <w:divBdr>
        <w:top w:val="none" w:sz="0" w:space="0" w:color="auto"/>
        <w:left w:val="none" w:sz="0" w:space="0" w:color="auto"/>
        <w:bottom w:val="none" w:sz="0" w:space="0" w:color="auto"/>
        <w:right w:val="none" w:sz="0" w:space="0" w:color="auto"/>
      </w:divBdr>
      <w:divsChild>
        <w:div w:id="1430589173">
          <w:marLeft w:val="0"/>
          <w:marRight w:val="0"/>
          <w:marTop w:val="0"/>
          <w:marBottom w:val="0"/>
          <w:divBdr>
            <w:top w:val="none" w:sz="0" w:space="0" w:color="auto"/>
            <w:left w:val="none" w:sz="0" w:space="0" w:color="auto"/>
            <w:bottom w:val="none" w:sz="0" w:space="0" w:color="auto"/>
            <w:right w:val="none" w:sz="0" w:space="0" w:color="auto"/>
          </w:divBdr>
        </w:div>
      </w:divsChild>
    </w:div>
    <w:div w:id="1656176635">
      <w:bodyDiv w:val="1"/>
      <w:marLeft w:val="0"/>
      <w:marRight w:val="0"/>
      <w:marTop w:val="0"/>
      <w:marBottom w:val="0"/>
      <w:divBdr>
        <w:top w:val="none" w:sz="0" w:space="0" w:color="auto"/>
        <w:left w:val="none" w:sz="0" w:space="0" w:color="auto"/>
        <w:bottom w:val="none" w:sz="0" w:space="0" w:color="auto"/>
        <w:right w:val="none" w:sz="0" w:space="0" w:color="auto"/>
      </w:divBdr>
      <w:divsChild>
        <w:div w:id="538470600">
          <w:marLeft w:val="0"/>
          <w:marRight w:val="0"/>
          <w:marTop w:val="0"/>
          <w:marBottom w:val="0"/>
          <w:divBdr>
            <w:top w:val="none" w:sz="0" w:space="0" w:color="auto"/>
            <w:left w:val="none" w:sz="0" w:space="0" w:color="auto"/>
            <w:bottom w:val="none" w:sz="0" w:space="0" w:color="auto"/>
            <w:right w:val="none" w:sz="0" w:space="0" w:color="auto"/>
          </w:divBdr>
        </w:div>
      </w:divsChild>
    </w:div>
    <w:div w:id="1656183914">
      <w:bodyDiv w:val="1"/>
      <w:marLeft w:val="0"/>
      <w:marRight w:val="0"/>
      <w:marTop w:val="0"/>
      <w:marBottom w:val="0"/>
      <w:divBdr>
        <w:top w:val="none" w:sz="0" w:space="0" w:color="auto"/>
        <w:left w:val="none" w:sz="0" w:space="0" w:color="auto"/>
        <w:bottom w:val="none" w:sz="0" w:space="0" w:color="auto"/>
        <w:right w:val="none" w:sz="0" w:space="0" w:color="auto"/>
      </w:divBdr>
      <w:divsChild>
        <w:div w:id="640767008">
          <w:marLeft w:val="0"/>
          <w:marRight w:val="0"/>
          <w:marTop w:val="0"/>
          <w:marBottom w:val="0"/>
          <w:divBdr>
            <w:top w:val="none" w:sz="0" w:space="0" w:color="auto"/>
            <w:left w:val="none" w:sz="0" w:space="0" w:color="auto"/>
            <w:bottom w:val="none" w:sz="0" w:space="0" w:color="auto"/>
            <w:right w:val="none" w:sz="0" w:space="0" w:color="auto"/>
          </w:divBdr>
        </w:div>
      </w:divsChild>
    </w:div>
    <w:div w:id="1707950175">
      <w:bodyDiv w:val="1"/>
      <w:marLeft w:val="0"/>
      <w:marRight w:val="0"/>
      <w:marTop w:val="0"/>
      <w:marBottom w:val="0"/>
      <w:divBdr>
        <w:top w:val="none" w:sz="0" w:space="0" w:color="auto"/>
        <w:left w:val="none" w:sz="0" w:space="0" w:color="auto"/>
        <w:bottom w:val="none" w:sz="0" w:space="0" w:color="auto"/>
        <w:right w:val="none" w:sz="0" w:space="0" w:color="auto"/>
      </w:divBdr>
      <w:divsChild>
        <w:div w:id="262420526">
          <w:marLeft w:val="0"/>
          <w:marRight w:val="0"/>
          <w:marTop w:val="0"/>
          <w:marBottom w:val="0"/>
          <w:divBdr>
            <w:top w:val="none" w:sz="0" w:space="0" w:color="auto"/>
            <w:left w:val="none" w:sz="0" w:space="0" w:color="auto"/>
            <w:bottom w:val="none" w:sz="0" w:space="0" w:color="auto"/>
            <w:right w:val="none" w:sz="0" w:space="0" w:color="auto"/>
          </w:divBdr>
        </w:div>
      </w:divsChild>
    </w:div>
    <w:div w:id="1711958673">
      <w:bodyDiv w:val="1"/>
      <w:marLeft w:val="0"/>
      <w:marRight w:val="0"/>
      <w:marTop w:val="0"/>
      <w:marBottom w:val="0"/>
      <w:divBdr>
        <w:top w:val="none" w:sz="0" w:space="0" w:color="auto"/>
        <w:left w:val="none" w:sz="0" w:space="0" w:color="auto"/>
        <w:bottom w:val="none" w:sz="0" w:space="0" w:color="auto"/>
        <w:right w:val="none" w:sz="0" w:space="0" w:color="auto"/>
      </w:divBdr>
      <w:divsChild>
        <w:div w:id="233009529">
          <w:marLeft w:val="0"/>
          <w:marRight w:val="0"/>
          <w:marTop w:val="0"/>
          <w:marBottom w:val="0"/>
          <w:divBdr>
            <w:top w:val="none" w:sz="0" w:space="0" w:color="auto"/>
            <w:left w:val="none" w:sz="0" w:space="0" w:color="auto"/>
            <w:bottom w:val="none" w:sz="0" w:space="0" w:color="auto"/>
            <w:right w:val="none" w:sz="0" w:space="0" w:color="auto"/>
          </w:divBdr>
        </w:div>
      </w:divsChild>
    </w:div>
    <w:div w:id="1713576673">
      <w:bodyDiv w:val="1"/>
      <w:marLeft w:val="0"/>
      <w:marRight w:val="0"/>
      <w:marTop w:val="0"/>
      <w:marBottom w:val="0"/>
      <w:divBdr>
        <w:top w:val="none" w:sz="0" w:space="0" w:color="auto"/>
        <w:left w:val="none" w:sz="0" w:space="0" w:color="auto"/>
        <w:bottom w:val="none" w:sz="0" w:space="0" w:color="auto"/>
        <w:right w:val="none" w:sz="0" w:space="0" w:color="auto"/>
      </w:divBdr>
      <w:divsChild>
        <w:div w:id="23336861">
          <w:marLeft w:val="0"/>
          <w:marRight w:val="0"/>
          <w:marTop w:val="0"/>
          <w:marBottom w:val="0"/>
          <w:divBdr>
            <w:top w:val="none" w:sz="0" w:space="0" w:color="auto"/>
            <w:left w:val="none" w:sz="0" w:space="0" w:color="auto"/>
            <w:bottom w:val="none" w:sz="0" w:space="0" w:color="auto"/>
            <w:right w:val="none" w:sz="0" w:space="0" w:color="auto"/>
          </w:divBdr>
          <w:divsChild>
            <w:div w:id="1505322448">
              <w:marLeft w:val="0"/>
              <w:marRight w:val="0"/>
              <w:marTop w:val="0"/>
              <w:marBottom w:val="0"/>
              <w:divBdr>
                <w:top w:val="none" w:sz="0" w:space="0" w:color="auto"/>
                <w:left w:val="none" w:sz="0" w:space="0" w:color="auto"/>
                <w:bottom w:val="none" w:sz="0" w:space="0" w:color="auto"/>
                <w:right w:val="none" w:sz="0" w:space="0" w:color="auto"/>
              </w:divBdr>
            </w:div>
          </w:divsChild>
        </w:div>
        <w:div w:id="34816986">
          <w:marLeft w:val="0"/>
          <w:marRight w:val="0"/>
          <w:marTop w:val="0"/>
          <w:marBottom w:val="0"/>
          <w:divBdr>
            <w:top w:val="none" w:sz="0" w:space="0" w:color="auto"/>
            <w:left w:val="none" w:sz="0" w:space="0" w:color="auto"/>
            <w:bottom w:val="none" w:sz="0" w:space="0" w:color="auto"/>
            <w:right w:val="none" w:sz="0" w:space="0" w:color="auto"/>
          </w:divBdr>
          <w:divsChild>
            <w:div w:id="1759977915">
              <w:marLeft w:val="0"/>
              <w:marRight w:val="0"/>
              <w:marTop w:val="0"/>
              <w:marBottom w:val="0"/>
              <w:divBdr>
                <w:top w:val="none" w:sz="0" w:space="0" w:color="auto"/>
                <w:left w:val="none" w:sz="0" w:space="0" w:color="auto"/>
                <w:bottom w:val="none" w:sz="0" w:space="0" w:color="auto"/>
                <w:right w:val="none" w:sz="0" w:space="0" w:color="auto"/>
              </w:divBdr>
            </w:div>
          </w:divsChild>
        </w:div>
        <w:div w:id="115877313">
          <w:marLeft w:val="0"/>
          <w:marRight w:val="0"/>
          <w:marTop w:val="0"/>
          <w:marBottom w:val="0"/>
          <w:divBdr>
            <w:top w:val="none" w:sz="0" w:space="0" w:color="auto"/>
            <w:left w:val="none" w:sz="0" w:space="0" w:color="auto"/>
            <w:bottom w:val="none" w:sz="0" w:space="0" w:color="auto"/>
            <w:right w:val="none" w:sz="0" w:space="0" w:color="auto"/>
          </w:divBdr>
          <w:divsChild>
            <w:div w:id="473716345">
              <w:marLeft w:val="0"/>
              <w:marRight w:val="0"/>
              <w:marTop w:val="0"/>
              <w:marBottom w:val="0"/>
              <w:divBdr>
                <w:top w:val="none" w:sz="0" w:space="0" w:color="auto"/>
                <w:left w:val="none" w:sz="0" w:space="0" w:color="auto"/>
                <w:bottom w:val="none" w:sz="0" w:space="0" w:color="auto"/>
                <w:right w:val="none" w:sz="0" w:space="0" w:color="auto"/>
              </w:divBdr>
            </w:div>
          </w:divsChild>
        </w:div>
        <w:div w:id="128519302">
          <w:marLeft w:val="0"/>
          <w:marRight w:val="0"/>
          <w:marTop w:val="0"/>
          <w:marBottom w:val="0"/>
          <w:divBdr>
            <w:top w:val="none" w:sz="0" w:space="0" w:color="auto"/>
            <w:left w:val="none" w:sz="0" w:space="0" w:color="auto"/>
            <w:bottom w:val="none" w:sz="0" w:space="0" w:color="auto"/>
            <w:right w:val="none" w:sz="0" w:space="0" w:color="auto"/>
          </w:divBdr>
          <w:divsChild>
            <w:div w:id="156386666">
              <w:marLeft w:val="0"/>
              <w:marRight w:val="0"/>
              <w:marTop w:val="0"/>
              <w:marBottom w:val="0"/>
              <w:divBdr>
                <w:top w:val="none" w:sz="0" w:space="0" w:color="auto"/>
                <w:left w:val="none" w:sz="0" w:space="0" w:color="auto"/>
                <w:bottom w:val="none" w:sz="0" w:space="0" w:color="auto"/>
                <w:right w:val="none" w:sz="0" w:space="0" w:color="auto"/>
              </w:divBdr>
            </w:div>
          </w:divsChild>
        </w:div>
        <w:div w:id="133257246">
          <w:marLeft w:val="0"/>
          <w:marRight w:val="0"/>
          <w:marTop w:val="0"/>
          <w:marBottom w:val="0"/>
          <w:divBdr>
            <w:top w:val="none" w:sz="0" w:space="0" w:color="auto"/>
            <w:left w:val="none" w:sz="0" w:space="0" w:color="auto"/>
            <w:bottom w:val="none" w:sz="0" w:space="0" w:color="auto"/>
            <w:right w:val="none" w:sz="0" w:space="0" w:color="auto"/>
          </w:divBdr>
          <w:divsChild>
            <w:div w:id="1499737124">
              <w:marLeft w:val="0"/>
              <w:marRight w:val="0"/>
              <w:marTop w:val="0"/>
              <w:marBottom w:val="0"/>
              <w:divBdr>
                <w:top w:val="none" w:sz="0" w:space="0" w:color="auto"/>
                <w:left w:val="none" w:sz="0" w:space="0" w:color="auto"/>
                <w:bottom w:val="none" w:sz="0" w:space="0" w:color="auto"/>
                <w:right w:val="none" w:sz="0" w:space="0" w:color="auto"/>
              </w:divBdr>
            </w:div>
          </w:divsChild>
        </w:div>
        <w:div w:id="136848697">
          <w:marLeft w:val="0"/>
          <w:marRight w:val="0"/>
          <w:marTop w:val="0"/>
          <w:marBottom w:val="0"/>
          <w:divBdr>
            <w:top w:val="none" w:sz="0" w:space="0" w:color="auto"/>
            <w:left w:val="none" w:sz="0" w:space="0" w:color="auto"/>
            <w:bottom w:val="none" w:sz="0" w:space="0" w:color="auto"/>
            <w:right w:val="none" w:sz="0" w:space="0" w:color="auto"/>
          </w:divBdr>
          <w:divsChild>
            <w:div w:id="1240166154">
              <w:marLeft w:val="0"/>
              <w:marRight w:val="0"/>
              <w:marTop w:val="0"/>
              <w:marBottom w:val="0"/>
              <w:divBdr>
                <w:top w:val="none" w:sz="0" w:space="0" w:color="auto"/>
                <w:left w:val="none" w:sz="0" w:space="0" w:color="auto"/>
                <w:bottom w:val="none" w:sz="0" w:space="0" w:color="auto"/>
                <w:right w:val="none" w:sz="0" w:space="0" w:color="auto"/>
              </w:divBdr>
            </w:div>
          </w:divsChild>
        </w:div>
        <w:div w:id="156192285">
          <w:marLeft w:val="0"/>
          <w:marRight w:val="0"/>
          <w:marTop w:val="0"/>
          <w:marBottom w:val="0"/>
          <w:divBdr>
            <w:top w:val="none" w:sz="0" w:space="0" w:color="auto"/>
            <w:left w:val="none" w:sz="0" w:space="0" w:color="auto"/>
            <w:bottom w:val="none" w:sz="0" w:space="0" w:color="auto"/>
            <w:right w:val="none" w:sz="0" w:space="0" w:color="auto"/>
          </w:divBdr>
          <w:divsChild>
            <w:div w:id="1933851669">
              <w:marLeft w:val="0"/>
              <w:marRight w:val="0"/>
              <w:marTop w:val="0"/>
              <w:marBottom w:val="0"/>
              <w:divBdr>
                <w:top w:val="none" w:sz="0" w:space="0" w:color="auto"/>
                <w:left w:val="none" w:sz="0" w:space="0" w:color="auto"/>
                <w:bottom w:val="none" w:sz="0" w:space="0" w:color="auto"/>
                <w:right w:val="none" w:sz="0" w:space="0" w:color="auto"/>
              </w:divBdr>
            </w:div>
          </w:divsChild>
        </w:div>
        <w:div w:id="180243668">
          <w:marLeft w:val="0"/>
          <w:marRight w:val="0"/>
          <w:marTop w:val="0"/>
          <w:marBottom w:val="0"/>
          <w:divBdr>
            <w:top w:val="none" w:sz="0" w:space="0" w:color="auto"/>
            <w:left w:val="none" w:sz="0" w:space="0" w:color="auto"/>
            <w:bottom w:val="none" w:sz="0" w:space="0" w:color="auto"/>
            <w:right w:val="none" w:sz="0" w:space="0" w:color="auto"/>
          </w:divBdr>
          <w:divsChild>
            <w:div w:id="1562405142">
              <w:marLeft w:val="0"/>
              <w:marRight w:val="0"/>
              <w:marTop w:val="0"/>
              <w:marBottom w:val="0"/>
              <w:divBdr>
                <w:top w:val="none" w:sz="0" w:space="0" w:color="auto"/>
                <w:left w:val="none" w:sz="0" w:space="0" w:color="auto"/>
                <w:bottom w:val="none" w:sz="0" w:space="0" w:color="auto"/>
                <w:right w:val="none" w:sz="0" w:space="0" w:color="auto"/>
              </w:divBdr>
            </w:div>
          </w:divsChild>
        </w:div>
        <w:div w:id="205681237">
          <w:marLeft w:val="0"/>
          <w:marRight w:val="0"/>
          <w:marTop w:val="0"/>
          <w:marBottom w:val="0"/>
          <w:divBdr>
            <w:top w:val="none" w:sz="0" w:space="0" w:color="auto"/>
            <w:left w:val="none" w:sz="0" w:space="0" w:color="auto"/>
            <w:bottom w:val="none" w:sz="0" w:space="0" w:color="auto"/>
            <w:right w:val="none" w:sz="0" w:space="0" w:color="auto"/>
          </w:divBdr>
          <w:divsChild>
            <w:div w:id="1672026624">
              <w:marLeft w:val="0"/>
              <w:marRight w:val="0"/>
              <w:marTop w:val="0"/>
              <w:marBottom w:val="0"/>
              <w:divBdr>
                <w:top w:val="none" w:sz="0" w:space="0" w:color="auto"/>
                <w:left w:val="none" w:sz="0" w:space="0" w:color="auto"/>
                <w:bottom w:val="none" w:sz="0" w:space="0" w:color="auto"/>
                <w:right w:val="none" w:sz="0" w:space="0" w:color="auto"/>
              </w:divBdr>
            </w:div>
          </w:divsChild>
        </w:div>
        <w:div w:id="206189543">
          <w:marLeft w:val="0"/>
          <w:marRight w:val="0"/>
          <w:marTop w:val="0"/>
          <w:marBottom w:val="0"/>
          <w:divBdr>
            <w:top w:val="none" w:sz="0" w:space="0" w:color="auto"/>
            <w:left w:val="none" w:sz="0" w:space="0" w:color="auto"/>
            <w:bottom w:val="none" w:sz="0" w:space="0" w:color="auto"/>
            <w:right w:val="none" w:sz="0" w:space="0" w:color="auto"/>
          </w:divBdr>
          <w:divsChild>
            <w:div w:id="468205609">
              <w:marLeft w:val="0"/>
              <w:marRight w:val="0"/>
              <w:marTop w:val="0"/>
              <w:marBottom w:val="0"/>
              <w:divBdr>
                <w:top w:val="none" w:sz="0" w:space="0" w:color="auto"/>
                <w:left w:val="none" w:sz="0" w:space="0" w:color="auto"/>
                <w:bottom w:val="none" w:sz="0" w:space="0" w:color="auto"/>
                <w:right w:val="none" w:sz="0" w:space="0" w:color="auto"/>
              </w:divBdr>
            </w:div>
          </w:divsChild>
        </w:div>
        <w:div w:id="235014830">
          <w:marLeft w:val="0"/>
          <w:marRight w:val="0"/>
          <w:marTop w:val="0"/>
          <w:marBottom w:val="0"/>
          <w:divBdr>
            <w:top w:val="none" w:sz="0" w:space="0" w:color="auto"/>
            <w:left w:val="none" w:sz="0" w:space="0" w:color="auto"/>
            <w:bottom w:val="none" w:sz="0" w:space="0" w:color="auto"/>
            <w:right w:val="none" w:sz="0" w:space="0" w:color="auto"/>
          </w:divBdr>
          <w:divsChild>
            <w:div w:id="2076586338">
              <w:marLeft w:val="0"/>
              <w:marRight w:val="0"/>
              <w:marTop w:val="0"/>
              <w:marBottom w:val="0"/>
              <w:divBdr>
                <w:top w:val="none" w:sz="0" w:space="0" w:color="auto"/>
                <w:left w:val="none" w:sz="0" w:space="0" w:color="auto"/>
                <w:bottom w:val="none" w:sz="0" w:space="0" w:color="auto"/>
                <w:right w:val="none" w:sz="0" w:space="0" w:color="auto"/>
              </w:divBdr>
            </w:div>
          </w:divsChild>
        </w:div>
        <w:div w:id="239676366">
          <w:marLeft w:val="0"/>
          <w:marRight w:val="0"/>
          <w:marTop w:val="0"/>
          <w:marBottom w:val="0"/>
          <w:divBdr>
            <w:top w:val="none" w:sz="0" w:space="0" w:color="auto"/>
            <w:left w:val="none" w:sz="0" w:space="0" w:color="auto"/>
            <w:bottom w:val="none" w:sz="0" w:space="0" w:color="auto"/>
            <w:right w:val="none" w:sz="0" w:space="0" w:color="auto"/>
          </w:divBdr>
          <w:divsChild>
            <w:div w:id="740103120">
              <w:marLeft w:val="0"/>
              <w:marRight w:val="0"/>
              <w:marTop w:val="0"/>
              <w:marBottom w:val="0"/>
              <w:divBdr>
                <w:top w:val="none" w:sz="0" w:space="0" w:color="auto"/>
                <w:left w:val="none" w:sz="0" w:space="0" w:color="auto"/>
                <w:bottom w:val="none" w:sz="0" w:space="0" w:color="auto"/>
                <w:right w:val="none" w:sz="0" w:space="0" w:color="auto"/>
              </w:divBdr>
            </w:div>
          </w:divsChild>
        </w:div>
        <w:div w:id="258414348">
          <w:marLeft w:val="0"/>
          <w:marRight w:val="0"/>
          <w:marTop w:val="0"/>
          <w:marBottom w:val="0"/>
          <w:divBdr>
            <w:top w:val="none" w:sz="0" w:space="0" w:color="auto"/>
            <w:left w:val="none" w:sz="0" w:space="0" w:color="auto"/>
            <w:bottom w:val="none" w:sz="0" w:space="0" w:color="auto"/>
            <w:right w:val="none" w:sz="0" w:space="0" w:color="auto"/>
          </w:divBdr>
          <w:divsChild>
            <w:div w:id="2020696692">
              <w:marLeft w:val="0"/>
              <w:marRight w:val="0"/>
              <w:marTop w:val="0"/>
              <w:marBottom w:val="0"/>
              <w:divBdr>
                <w:top w:val="none" w:sz="0" w:space="0" w:color="auto"/>
                <w:left w:val="none" w:sz="0" w:space="0" w:color="auto"/>
                <w:bottom w:val="none" w:sz="0" w:space="0" w:color="auto"/>
                <w:right w:val="none" w:sz="0" w:space="0" w:color="auto"/>
              </w:divBdr>
            </w:div>
          </w:divsChild>
        </w:div>
        <w:div w:id="271477691">
          <w:marLeft w:val="0"/>
          <w:marRight w:val="0"/>
          <w:marTop w:val="0"/>
          <w:marBottom w:val="0"/>
          <w:divBdr>
            <w:top w:val="none" w:sz="0" w:space="0" w:color="auto"/>
            <w:left w:val="none" w:sz="0" w:space="0" w:color="auto"/>
            <w:bottom w:val="none" w:sz="0" w:space="0" w:color="auto"/>
            <w:right w:val="none" w:sz="0" w:space="0" w:color="auto"/>
          </w:divBdr>
          <w:divsChild>
            <w:div w:id="287400914">
              <w:marLeft w:val="0"/>
              <w:marRight w:val="0"/>
              <w:marTop w:val="0"/>
              <w:marBottom w:val="0"/>
              <w:divBdr>
                <w:top w:val="none" w:sz="0" w:space="0" w:color="auto"/>
                <w:left w:val="none" w:sz="0" w:space="0" w:color="auto"/>
                <w:bottom w:val="none" w:sz="0" w:space="0" w:color="auto"/>
                <w:right w:val="none" w:sz="0" w:space="0" w:color="auto"/>
              </w:divBdr>
            </w:div>
          </w:divsChild>
        </w:div>
        <w:div w:id="278267013">
          <w:marLeft w:val="0"/>
          <w:marRight w:val="0"/>
          <w:marTop w:val="0"/>
          <w:marBottom w:val="0"/>
          <w:divBdr>
            <w:top w:val="none" w:sz="0" w:space="0" w:color="auto"/>
            <w:left w:val="none" w:sz="0" w:space="0" w:color="auto"/>
            <w:bottom w:val="none" w:sz="0" w:space="0" w:color="auto"/>
            <w:right w:val="none" w:sz="0" w:space="0" w:color="auto"/>
          </w:divBdr>
          <w:divsChild>
            <w:div w:id="1427655372">
              <w:marLeft w:val="0"/>
              <w:marRight w:val="0"/>
              <w:marTop w:val="0"/>
              <w:marBottom w:val="0"/>
              <w:divBdr>
                <w:top w:val="none" w:sz="0" w:space="0" w:color="auto"/>
                <w:left w:val="none" w:sz="0" w:space="0" w:color="auto"/>
                <w:bottom w:val="none" w:sz="0" w:space="0" w:color="auto"/>
                <w:right w:val="none" w:sz="0" w:space="0" w:color="auto"/>
              </w:divBdr>
            </w:div>
          </w:divsChild>
        </w:div>
        <w:div w:id="281116517">
          <w:marLeft w:val="0"/>
          <w:marRight w:val="0"/>
          <w:marTop w:val="0"/>
          <w:marBottom w:val="0"/>
          <w:divBdr>
            <w:top w:val="none" w:sz="0" w:space="0" w:color="auto"/>
            <w:left w:val="none" w:sz="0" w:space="0" w:color="auto"/>
            <w:bottom w:val="none" w:sz="0" w:space="0" w:color="auto"/>
            <w:right w:val="none" w:sz="0" w:space="0" w:color="auto"/>
          </w:divBdr>
          <w:divsChild>
            <w:div w:id="1425374537">
              <w:marLeft w:val="0"/>
              <w:marRight w:val="0"/>
              <w:marTop w:val="0"/>
              <w:marBottom w:val="0"/>
              <w:divBdr>
                <w:top w:val="none" w:sz="0" w:space="0" w:color="auto"/>
                <w:left w:val="none" w:sz="0" w:space="0" w:color="auto"/>
                <w:bottom w:val="none" w:sz="0" w:space="0" w:color="auto"/>
                <w:right w:val="none" w:sz="0" w:space="0" w:color="auto"/>
              </w:divBdr>
            </w:div>
          </w:divsChild>
        </w:div>
        <w:div w:id="359596083">
          <w:marLeft w:val="0"/>
          <w:marRight w:val="0"/>
          <w:marTop w:val="0"/>
          <w:marBottom w:val="0"/>
          <w:divBdr>
            <w:top w:val="none" w:sz="0" w:space="0" w:color="auto"/>
            <w:left w:val="none" w:sz="0" w:space="0" w:color="auto"/>
            <w:bottom w:val="none" w:sz="0" w:space="0" w:color="auto"/>
            <w:right w:val="none" w:sz="0" w:space="0" w:color="auto"/>
          </w:divBdr>
          <w:divsChild>
            <w:div w:id="2045473477">
              <w:marLeft w:val="0"/>
              <w:marRight w:val="0"/>
              <w:marTop w:val="0"/>
              <w:marBottom w:val="0"/>
              <w:divBdr>
                <w:top w:val="none" w:sz="0" w:space="0" w:color="auto"/>
                <w:left w:val="none" w:sz="0" w:space="0" w:color="auto"/>
                <w:bottom w:val="none" w:sz="0" w:space="0" w:color="auto"/>
                <w:right w:val="none" w:sz="0" w:space="0" w:color="auto"/>
              </w:divBdr>
            </w:div>
          </w:divsChild>
        </w:div>
        <w:div w:id="439181693">
          <w:marLeft w:val="0"/>
          <w:marRight w:val="0"/>
          <w:marTop w:val="0"/>
          <w:marBottom w:val="0"/>
          <w:divBdr>
            <w:top w:val="none" w:sz="0" w:space="0" w:color="auto"/>
            <w:left w:val="none" w:sz="0" w:space="0" w:color="auto"/>
            <w:bottom w:val="none" w:sz="0" w:space="0" w:color="auto"/>
            <w:right w:val="none" w:sz="0" w:space="0" w:color="auto"/>
          </w:divBdr>
          <w:divsChild>
            <w:div w:id="1683513942">
              <w:marLeft w:val="0"/>
              <w:marRight w:val="0"/>
              <w:marTop w:val="0"/>
              <w:marBottom w:val="0"/>
              <w:divBdr>
                <w:top w:val="none" w:sz="0" w:space="0" w:color="auto"/>
                <w:left w:val="none" w:sz="0" w:space="0" w:color="auto"/>
                <w:bottom w:val="none" w:sz="0" w:space="0" w:color="auto"/>
                <w:right w:val="none" w:sz="0" w:space="0" w:color="auto"/>
              </w:divBdr>
            </w:div>
          </w:divsChild>
        </w:div>
        <w:div w:id="472021479">
          <w:marLeft w:val="0"/>
          <w:marRight w:val="0"/>
          <w:marTop w:val="0"/>
          <w:marBottom w:val="0"/>
          <w:divBdr>
            <w:top w:val="none" w:sz="0" w:space="0" w:color="auto"/>
            <w:left w:val="none" w:sz="0" w:space="0" w:color="auto"/>
            <w:bottom w:val="none" w:sz="0" w:space="0" w:color="auto"/>
            <w:right w:val="none" w:sz="0" w:space="0" w:color="auto"/>
          </w:divBdr>
          <w:divsChild>
            <w:div w:id="978681005">
              <w:marLeft w:val="0"/>
              <w:marRight w:val="0"/>
              <w:marTop w:val="0"/>
              <w:marBottom w:val="0"/>
              <w:divBdr>
                <w:top w:val="none" w:sz="0" w:space="0" w:color="auto"/>
                <w:left w:val="none" w:sz="0" w:space="0" w:color="auto"/>
                <w:bottom w:val="none" w:sz="0" w:space="0" w:color="auto"/>
                <w:right w:val="none" w:sz="0" w:space="0" w:color="auto"/>
              </w:divBdr>
            </w:div>
          </w:divsChild>
        </w:div>
        <w:div w:id="673799054">
          <w:marLeft w:val="0"/>
          <w:marRight w:val="0"/>
          <w:marTop w:val="0"/>
          <w:marBottom w:val="0"/>
          <w:divBdr>
            <w:top w:val="none" w:sz="0" w:space="0" w:color="auto"/>
            <w:left w:val="none" w:sz="0" w:space="0" w:color="auto"/>
            <w:bottom w:val="none" w:sz="0" w:space="0" w:color="auto"/>
            <w:right w:val="none" w:sz="0" w:space="0" w:color="auto"/>
          </w:divBdr>
          <w:divsChild>
            <w:div w:id="1310282035">
              <w:marLeft w:val="0"/>
              <w:marRight w:val="0"/>
              <w:marTop w:val="0"/>
              <w:marBottom w:val="0"/>
              <w:divBdr>
                <w:top w:val="none" w:sz="0" w:space="0" w:color="auto"/>
                <w:left w:val="none" w:sz="0" w:space="0" w:color="auto"/>
                <w:bottom w:val="none" w:sz="0" w:space="0" w:color="auto"/>
                <w:right w:val="none" w:sz="0" w:space="0" w:color="auto"/>
              </w:divBdr>
            </w:div>
          </w:divsChild>
        </w:div>
        <w:div w:id="749543794">
          <w:marLeft w:val="0"/>
          <w:marRight w:val="0"/>
          <w:marTop w:val="0"/>
          <w:marBottom w:val="0"/>
          <w:divBdr>
            <w:top w:val="none" w:sz="0" w:space="0" w:color="auto"/>
            <w:left w:val="none" w:sz="0" w:space="0" w:color="auto"/>
            <w:bottom w:val="none" w:sz="0" w:space="0" w:color="auto"/>
            <w:right w:val="none" w:sz="0" w:space="0" w:color="auto"/>
          </w:divBdr>
          <w:divsChild>
            <w:div w:id="1752658906">
              <w:marLeft w:val="0"/>
              <w:marRight w:val="0"/>
              <w:marTop w:val="0"/>
              <w:marBottom w:val="0"/>
              <w:divBdr>
                <w:top w:val="none" w:sz="0" w:space="0" w:color="auto"/>
                <w:left w:val="none" w:sz="0" w:space="0" w:color="auto"/>
                <w:bottom w:val="none" w:sz="0" w:space="0" w:color="auto"/>
                <w:right w:val="none" w:sz="0" w:space="0" w:color="auto"/>
              </w:divBdr>
            </w:div>
          </w:divsChild>
        </w:div>
        <w:div w:id="765615001">
          <w:marLeft w:val="0"/>
          <w:marRight w:val="0"/>
          <w:marTop w:val="0"/>
          <w:marBottom w:val="0"/>
          <w:divBdr>
            <w:top w:val="none" w:sz="0" w:space="0" w:color="auto"/>
            <w:left w:val="none" w:sz="0" w:space="0" w:color="auto"/>
            <w:bottom w:val="none" w:sz="0" w:space="0" w:color="auto"/>
            <w:right w:val="none" w:sz="0" w:space="0" w:color="auto"/>
          </w:divBdr>
          <w:divsChild>
            <w:div w:id="1547526999">
              <w:marLeft w:val="0"/>
              <w:marRight w:val="0"/>
              <w:marTop w:val="0"/>
              <w:marBottom w:val="0"/>
              <w:divBdr>
                <w:top w:val="none" w:sz="0" w:space="0" w:color="auto"/>
                <w:left w:val="none" w:sz="0" w:space="0" w:color="auto"/>
                <w:bottom w:val="none" w:sz="0" w:space="0" w:color="auto"/>
                <w:right w:val="none" w:sz="0" w:space="0" w:color="auto"/>
              </w:divBdr>
            </w:div>
          </w:divsChild>
        </w:div>
        <w:div w:id="772474237">
          <w:marLeft w:val="0"/>
          <w:marRight w:val="0"/>
          <w:marTop w:val="0"/>
          <w:marBottom w:val="0"/>
          <w:divBdr>
            <w:top w:val="none" w:sz="0" w:space="0" w:color="auto"/>
            <w:left w:val="none" w:sz="0" w:space="0" w:color="auto"/>
            <w:bottom w:val="none" w:sz="0" w:space="0" w:color="auto"/>
            <w:right w:val="none" w:sz="0" w:space="0" w:color="auto"/>
          </w:divBdr>
          <w:divsChild>
            <w:div w:id="172838445">
              <w:marLeft w:val="0"/>
              <w:marRight w:val="0"/>
              <w:marTop w:val="0"/>
              <w:marBottom w:val="0"/>
              <w:divBdr>
                <w:top w:val="none" w:sz="0" w:space="0" w:color="auto"/>
                <w:left w:val="none" w:sz="0" w:space="0" w:color="auto"/>
                <w:bottom w:val="none" w:sz="0" w:space="0" w:color="auto"/>
                <w:right w:val="none" w:sz="0" w:space="0" w:color="auto"/>
              </w:divBdr>
            </w:div>
          </w:divsChild>
        </w:div>
        <w:div w:id="838038374">
          <w:marLeft w:val="0"/>
          <w:marRight w:val="0"/>
          <w:marTop w:val="0"/>
          <w:marBottom w:val="0"/>
          <w:divBdr>
            <w:top w:val="none" w:sz="0" w:space="0" w:color="auto"/>
            <w:left w:val="none" w:sz="0" w:space="0" w:color="auto"/>
            <w:bottom w:val="none" w:sz="0" w:space="0" w:color="auto"/>
            <w:right w:val="none" w:sz="0" w:space="0" w:color="auto"/>
          </w:divBdr>
          <w:divsChild>
            <w:div w:id="1049964011">
              <w:marLeft w:val="0"/>
              <w:marRight w:val="0"/>
              <w:marTop w:val="0"/>
              <w:marBottom w:val="0"/>
              <w:divBdr>
                <w:top w:val="none" w:sz="0" w:space="0" w:color="auto"/>
                <w:left w:val="none" w:sz="0" w:space="0" w:color="auto"/>
                <w:bottom w:val="none" w:sz="0" w:space="0" w:color="auto"/>
                <w:right w:val="none" w:sz="0" w:space="0" w:color="auto"/>
              </w:divBdr>
            </w:div>
          </w:divsChild>
        </w:div>
        <w:div w:id="868026394">
          <w:marLeft w:val="0"/>
          <w:marRight w:val="0"/>
          <w:marTop w:val="0"/>
          <w:marBottom w:val="0"/>
          <w:divBdr>
            <w:top w:val="none" w:sz="0" w:space="0" w:color="auto"/>
            <w:left w:val="none" w:sz="0" w:space="0" w:color="auto"/>
            <w:bottom w:val="none" w:sz="0" w:space="0" w:color="auto"/>
            <w:right w:val="none" w:sz="0" w:space="0" w:color="auto"/>
          </w:divBdr>
          <w:divsChild>
            <w:div w:id="1230068600">
              <w:marLeft w:val="0"/>
              <w:marRight w:val="0"/>
              <w:marTop w:val="0"/>
              <w:marBottom w:val="0"/>
              <w:divBdr>
                <w:top w:val="none" w:sz="0" w:space="0" w:color="auto"/>
                <w:left w:val="none" w:sz="0" w:space="0" w:color="auto"/>
                <w:bottom w:val="none" w:sz="0" w:space="0" w:color="auto"/>
                <w:right w:val="none" w:sz="0" w:space="0" w:color="auto"/>
              </w:divBdr>
            </w:div>
          </w:divsChild>
        </w:div>
        <w:div w:id="877231996">
          <w:marLeft w:val="0"/>
          <w:marRight w:val="0"/>
          <w:marTop w:val="0"/>
          <w:marBottom w:val="0"/>
          <w:divBdr>
            <w:top w:val="none" w:sz="0" w:space="0" w:color="auto"/>
            <w:left w:val="none" w:sz="0" w:space="0" w:color="auto"/>
            <w:bottom w:val="none" w:sz="0" w:space="0" w:color="auto"/>
            <w:right w:val="none" w:sz="0" w:space="0" w:color="auto"/>
          </w:divBdr>
          <w:divsChild>
            <w:div w:id="2103647999">
              <w:marLeft w:val="0"/>
              <w:marRight w:val="0"/>
              <w:marTop w:val="0"/>
              <w:marBottom w:val="0"/>
              <w:divBdr>
                <w:top w:val="none" w:sz="0" w:space="0" w:color="auto"/>
                <w:left w:val="none" w:sz="0" w:space="0" w:color="auto"/>
                <w:bottom w:val="none" w:sz="0" w:space="0" w:color="auto"/>
                <w:right w:val="none" w:sz="0" w:space="0" w:color="auto"/>
              </w:divBdr>
            </w:div>
          </w:divsChild>
        </w:div>
        <w:div w:id="914242457">
          <w:marLeft w:val="0"/>
          <w:marRight w:val="0"/>
          <w:marTop w:val="0"/>
          <w:marBottom w:val="0"/>
          <w:divBdr>
            <w:top w:val="none" w:sz="0" w:space="0" w:color="auto"/>
            <w:left w:val="none" w:sz="0" w:space="0" w:color="auto"/>
            <w:bottom w:val="none" w:sz="0" w:space="0" w:color="auto"/>
            <w:right w:val="none" w:sz="0" w:space="0" w:color="auto"/>
          </w:divBdr>
          <w:divsChild>
            <w:div w:id="1763646254">
              <w:marLeft w:val="0"/>
              <w:marRight w:val="0"/>
              <w:marTop w:val="0"/>
              <w:marBottom w:val="0"/>
              <w:divBdr>
                <w:top w:val="none" w:sz="0" w:space="0" w:color="auto"/>
                <w:left w:val="none" w:sz="0" w:space="0" w:color="auto"/>
                <w:bottom w:val="none" w:sz="0" w:space="0" w:color="auto"/>
                <w:right w:val="none" w:sz="0" w:space="0" w:color="auto"/>
              </w:divBdr>
            </w:div>
          </w:divsChild>
        </w:div>
        <w:div w:id="924993043">
          <w:marLeft w:val="0"/>
          <w:marRight w:val="0"/>
          <w:marTop w:val="0"/>
          <w:marBottom w:val="0"/>
          <w:divBdr>
            <w:top w:val="none" w:sz="0" w:space="0" w:color="auto"/>
            <w:left w:val="none" w:sz="0" w:space="0" w:color="auto"/>
            <w:bottom w:val="none" w:sz="0" w:space="0" w:color="auto"/>
            <w:right w:val="none" w:sz="0" w:space="0" w:color="auto"/>
          </w:divBdr>
          <w:divsChild>
            <w:div w:id="2000039280">
              <w:marLeft w:val="0"/>
              <w:marRight w:val="0"/>
              <w:marTop w:val="0"/>
              <w:marBottom w:val="0"/>
              <w:divBdr>
                <w:top w:val="none" w:sz="0" w:space="0" w:color="auto"/>
                <w:left w:val="none" w:sz="0" w:space="0" w:color="auto"/>
                <w:bottom w:val="none" w:sz="0" w:space="0" w:color="auto"/>
                <w:right w:val="none" w:sz="0" w:space="0" w:color="auto"/>
              </w:divBdr>
            </w:div>
          </w:divsChild>
        </w:div>
        <w:div w:id="1010447866">
          <w:marLeft w:val="0"/>
          <w:marRight w:val="0"/>
          <w:marTop w:val="0"/>
          <w:marBottom w:val="0"/>
          <w:divBdr>
            <w:top w:val="none" w:sz="0" w:space="0" w:color="auto"/>
            <w:left w:val="none" w:sz="0" w:space="0" w:color="auto"/>
            <w:bottom w:val="none" w:sz="0" w:space="0" w:color="auto"/>
            <w:right w:val="none" w:sz="0" w:space="0" w:color="auto"/>
          </w:divBdr>
          <w:divsChild>
            <w:div w:id="805510404">
              <w:marLeft w:val="0"/>
              <w:marRight w:val="0"/>
              <w:marTop w:val="0"/>
              <w:marBottom w:val="0"/>
              <w:divBdr>
                <w:top w:val="none" w:sz="0" w:space="0" w:color="auto"/>
                <w:left w:val="none" w:sz="0" w:space="0" w:color="auto"/>
                <w:bottom w:val="none" w:sz="0" w:space="0" w:color="auto"/>
                <w:right w:val="none" w:sz="0" w:space="0" w:color="auto"/>
              </w:divBdr>
            </w:div>
          </w:divsChild>
        </w:div>
        <w:div w:id="1108501470">
          <w:marLeft w:val="0"/>
          <w:marRight w:val="0"/>
          <w:marTop w:val="0"/>
          <w:marBottom w:val="0"/>
          <w:divBdr>
            <w:top w:val="none" w:sz="0" w:space="0" w:color="auto"/>
            <w:left w:val="none" w:sz="0" w:space="0" w:color="auto"/>
            <w:bottom w:val="none" w:sz="0" w:space="0" w:color="auto"/>
            <w:right w:val="none" w:sz="0" w:space="0" w:color="auto"/>
          </w:divBdr>
          <w:divsChild>
            <w:div w:id="1485733548">
              <w:marLeft w:val="0"/>
              <w:marRight w:val="0"/>
              <w:marTop w:val="0"/>
              <w:marBottom w:val="0"/>
              <w:divBdr>
                <w:top w:val="none" w:sz="0" w:space="0" w:color="auto"/>
                <w:left w:val="none" w:sz="0" w:space="0" w:color="auto"/>
                <w:bottom w:val="none" w:sz="0" w:space="0" w:color="auto"/>
                <w:right w:val="none" w:sz="0" w:space="0" w:color="auto"/>
              </w:divBdr>
            </w:div>
          </w:divsChild>
        </w:div>
        <w:div w:id="1166087946">
          <w:marLeft w:val="0"/>
          <w:marRight w:val="0"/>
          <w:marTop w:val="0"/>
          <w:marBottom w:val="0"/>
          <w:divBdr>
            <w:top w:val="none" w:sz="0" w:space="0" w:color="auto"/>
            <w:left w:val="none" w:sz="0" w:space="0" w:color="auto"/>
            <w:bottom w:val="none" w:sz="0" w:space="0" w:color="auto"/>
            <w:right w:val="none" w:sz="0" w:space="0" w:color="auto"/>
          </w:divBdr>
          <w:divsChild>
            <w:div w:id="1714966018">
              <w:marLeft w:val="0"/>
              <w:marRight w:val="0"/>
              <w:marTop w:val="0"/>
              <w:marBottom w:val="0"/>
              <w:divBdr>
                <w:top w:val="none" w:sz="0" w:space="0" w:color="auto"/>
                <w:left w:val="none" w:sz="0" w:space="0" w:color="auto"/>
                <w:bottom w:val="none" w:sz="0" w:space="0" w:color="auto"/>
                <w:right w:val="none" w:sz="0" w:space="0" w:color="auto"/>
              </w:divBdr>
            </w:div>
          </w:divsChild>
        </w:div>
        <w:div w:id="1181091445">
          <w:marLeft w:val="0"/>
          <w:marRight w:val="0"/>
          <w:marTop w:val="0"/>
          <w:marBottom w:val="0"/>
          <w:divBdr>
            <w:top w:val="none" w:sz="0" w:space="0" w:color="auto"/>
            <w:left w:val="none" w:sz="0" w:space="0" w:color="auto"/>
            <w:bottom w:val="none" w:sz="0" w:space="0" w:color="auto"/>
            <w:right w:val="none" w:sz="0" w:space="0" w:color="auto"/>
          </w:divBdr>
          <w:divsChild>
            <w:div w:id="1034309386">
              <w:marLeft w:val="0"/>
              <w:marRight w:val="0"/>
              <w:marTop w:val="0"/>
              <w:marBottom w:val="0"/>
              <w:divBdr>
                <w:top w:val="none" w:sz="0" w:space="0" w:color="auto"/>
                <w:left w:val="none" w:sz="0" w:space="0" w:color="auto"/>
                <w:bottom w:val="none" w:sz="0" w:space="0" w:color="auto"/>
                <w:right w:val="none" w:sz="0" w:space="0" w:color="auto"/>
              </w:divBdr>
            </w:div>
          </w:divsChild>
        </w:div>
        <w:div w:id="1206720733">
          <w:marLeft w:val="0"/>
          <w:marRight w:val="0"/>
          <w:marTop w:val="0"/>
          <w:marBottom w:val="0"/>
          <w:divBdr>
            <w:top w:val="none" w:sz="0" w:space="0" w:color="auto"/>
            <w:left w:val="none" w:sz="0" w:space="0" w:color="auto"/>
            <w:bottom w:val="none" w:sz="0" w:space="0" w:color="auto"/>
            <w:right w:val="none" w:sz="0" w:space="0" w:color="auto"/>
          </w:divBdr>
          <w:divsChild>
            <w:div w:id="1450199390">
              <w:marLeft w:val="0"/>
              <w:marRight w:val="0"/>
              <w:marTop w:val="0"/>
              <w:marBottom w:val="0"/>
              <w:divBdr>
                <w:top w:val="none" w:sz="0" w:space="0" w:color="auto"/>
                <w:left w:val="none" w:sz="0" w:space="0" w:color="auto"/>
                <w:bottom w:val="none" w:sz="0" w:space="0" w:color="auto"/>
                <w:right w:val="none" w:sz="0" w:space="0" w:color="auto"/>
              </w:divBdr>
            </w:div>
          </w:divsChild>
        </w:div>
        <w:div w:id="1223559278">
          <w:marLeft w:val="0"/>
          <w:marRight w:val="0"/>
          <w:marTop w:val="0"/>
          <w:marBottom w:val="0"/>
          <w:divBdr>
            <w:top w:val="none" w:sz="0" w:space="0" w:color="auto"/>
            <w:left w:val="none" w:sz="0" w:space="0" w:color="auto"/>
            <w:bottom w:val="none" w:sz="0" w:space="0" w:color="auto"/>
            <w:right w:val="none" w:sz="0" w:space="0" w:color="auto"/>
          </w:divBdr>
          <w:divsChild>
            <w:div w:id="481314489">
              <w:marLeft w:val="0"/>
              <w:marRight w:val="0"/>
              <w:marTop w:val="0"/>
              <w:marBottom w:val="0"/>
              <w:divBdr>
                <w:top w:val="none" w:sz="0" w:space="0" w:color="auto"/>
                <w:left w:val="none" w:sz="0" w:space="0" w:color="auto"/>
                <w:bottom w:val="none" w:sz="0" w:space="0" w:color="auto"/>
                <w:right w:val="none" w:sz="0" w:space="0" w:color="auto"/>
              </w:divBdr>
            </w:div>
          </w:divsChild>
        </w:div>
        <w:div w:id="1237859073">
          <w:marLeft w:val="0"/>
          <w:marRight w:val="0"/>
          <w:marTop w:val="0"/>
          <w:marBottom w:val="0"/>
          <w:divBdr>
            <w:top w:val="none" w:sz="0" w:space="0" w:color="auto"/>
            <w:left w:val="none" w:sz="0" w:space="0" w:color="auto"/>
            <w:bottom w:val="none" w:sz="0" w:space="0" w:color="auto"/>
            <w:right w:val="none" w:sz="0" w:space="0" w:color="auto"/>
          </w:divBdr>
          <w:divsChild>
            <w:div w:id="574123064">
              <w:marLeft w:val="0"/>
              <w:marRight w:val="0"/>
              <w:marTop w:val="0"/>
              <w:marBottom w:val="0"/>
              <w:divBdr>
                <w:top w:val="none" w:sz="0" w:space="0" w:color="auto"/>
                <w:left w:val="none" w:sz="0" w:space="0" w:color="auto"/>
                <w:bottom w:val="none" w:sz="0" w:space="0" w:color="auto"/>
                <w:right w:val="none" w:sz="0" w:space="0" w:color="auto"/>
              </w:divBdr>
            </w:div>
          </w:divsChild>
        </w:div>
        <w:div w:id="1254703440">
          <w:marLeft w:val="0"/>
          <w:marRight w:val="0"/>
          <w:marTop w:val="0"/>
          <w:marBottom w:val="0"/>
          <w:divBdr>
            <w:top w:val="none" w:sz="0" w:space="0" w:color="auto"/>
            <w:left w:val="none" w:sz="0" w:space="0" w:color="auto"/>
            <w:bottom w:val="none" w:sz="0" w:space="0" w:color="auto"/>
            <w:right w:val="none" w:sz="0" w:space="0" w:color="auto"/>
          </w:divBdr>
          <w:divsChild>
            <w:div w:id="1197280532">
              <w:marLeft w:val="0"/>
              <w:marRight w:val="0"/>
              <w:marTop w:val="0"/>
              <w:marBottom w:val="0"/>
              <w:divBdr>
                <w:top w:val="none" w:sz="0" w:space="0" w:color="auto"/>
                <w:left w:val="none" w:sz="0" w:space="0" w:color="auto"/>
                <w:bottom w:val="none" w:sz="0" w:space="0" w:color="auto"/>
                <w:right w:val="none" w:sz="0" w:space="0" w:color="auto"/>
              </w:divBdr>
            </w:div>
          </w:divsChild>
        </w:div>
        <w:div w:id="1257400665">
          <w:marLeft w:val="0"/>
          <w:marRight w:val="0"/>
          <w:marTop w:val="0"/>
          <w:marBottom w:val="0"/>
          <w:divBdr>
            <w:top w:val="none" w:sz="0" w:space="0" w:color="auto"/>
            <w:left w:val="none" w:sz="0" w:space="0" w:color="auto"/>
            <w:bottom w:val="none" w:sz="0" w:space="0" w:color="auto"/>
            <w:right w:val="none" w:sz="0" w:space="0" w:color="auto"/>
          </w:divBdr>
          <w:divsChild>
            <w:div w:id="1293361483">
              <w:marLeft w:val="0"/>
              <w:marRight w:val="0"/>
              <w:marTop w:val="0"/>
              <w:marBottom w:val="0"/>
              <w:divBdr>
                <w:top w:val="none" w:sz="0" w:space="0" w:color="auto"/>
                <w:left w:val="none" w:sz="0" w:space="0" w:color="auto"/>
                <w:bottom w:val="none" w:sz="0" w:space="0" w:color="auto"/>
                <w:right w:val="none" w:sz="0" w:space="0" w:color="auto"/>
              </w:divBdr>
            </w:div>
          </w:divsChild>
        </w:div>
        <w:div w:id="1309357155">
          <w:marLeft w:val="0"/>
          <w:marRight w:val="0"/>
          <w:marTop w:val="0"/>
          <w:marBottom w:val="0"/>
          <w:divBdr>
            <w:top w:val="none" w:sz="0" w:space="0" w:color="auto"/>
            <w:left w:val="none" w:sz="0" w:space="0" w:color="auto"/>
            <w:bottom w:val="none" w:sz="0" w:space="0" w:color="auto"/>
            <w:right w:val="none" w:sz="0" w:space="0" w:color="auto"/>
          </w:divBdr>
          <w:divsChild>
            <w:div w:id="476918519">
              <w:marLeft w:val="0"/>
              <w:marRight w:val="0"/>
              <w:marTop w:val="0"/>
              <w:marBottom w:val="0"/>
              <w:divBdr>
                <w:top w:val="none" w:sz="0" w:space="0" w:color="auto"/>
                <w:left w:val="none" w:sz="0" w:space="0" w:color="auto"/>
                <w:bottom w:val="none" w:sz="0" w:space="0" w:color="auto"/>
                <w:right w:val="none" w:sz="0" w:space="0" w:color="auto"/>
              </w:divBdr>
            </w:div>
          </w:divsChild>
        </w:div>
        <w:div w:id="1313099310">
          <w:marLeft w:val="0"/>
          <w:marRight w:val="0"/>
          <w:marTop w:val="0"/>
          <w:marBottom w:val="0"/>
          <w:divBdr>
            <w:top w:val="none" w:sz="0" w:space="0" w:color="auto"/>
            <w:left w:val="none" w:sz="0" w:space="0" w:color="auto"/>
            <w:bottom w:val="none" w:sz="0" w:space="0" w:color="auto"/>
            <w:right w:val="none" w:sz="0" w:space="0" w:color="auto"/>
          </w:divBdr>
          <w:divsChild>
            <w:div w:id="1448937087">
              <w:marLeft w:val="0"/>
              <w:marRight w:val="0"/>
              <w:marTop w:val="0"/>
              <w:marBottom w:val="0"/>
              <w:divBdr>
                <w:top w:val="none" w:sz="0" w:space="0" w:color="auto"/>
                <w:left w:val="none" w:sz="0" w:space="0" w:color="auto"/>
                <w:bottom w:val="none" w:sz="0" w:space="0" w:color="auto"/>
                <w:right w:val="none" w:sz="0" w:space="0" w:color="auto"/>
              </w:divBdr>
            </w:div>
          </w:divsChild>
        </w:div>
        <w:div w:id="1315988707">
          <w:marLeft w:val="0"/>
          <w:marRight w:val="0"/>
          <w:marTop w:val="0"/>
          <w:marBottom w:val="0"/>
          <w:divBdr>
            <w:top w:val="none" w:sz="0" w:space="0" w:color="auto"/>
            <w:left w:val="none" w:sz="0" w:space="0" w:color="auto"/>
            <w:bottom w:val="none" w:sz="0" w:space="0" w:color="auto"/>
            <w:right w:val="none" w:sz="0" w:space="0" w:color="auto"/>
          </w:divBdr>
          <w:divsChild>
            <w:div w:id="2036733412">
              <w:marLeft w:val="0"/>
              <w:marRight w:val="0"/>
              <w:marTop w:val="0"/>
              <w:marBottom w:val="0"/>
              <w:divBdr>
                <w:top w:val="none" w:sz="0" w:space="0" w:color="auto"/>
                <w:left w:val="none" w:sz="0" w:space="0" w:color="auto"/>
                <w:bottom w:val="none" w:sz="0" w:space="0" w:color="auto"/>
                <w:right w:val="none" w:sz="0" w:space="0" w:color="auto"/>
              </w:divBdr>
            </w:div>
          </w:divsChild>
        </w:div>
        <w:div w:id="1335451850">
          <w:marLeft w:val="0"/>
          <w:marRight w:val="0"/>
          <w:marTop w:val="0"/>
          <w:marBottom w:val="0"/>
          <w:divBdr>
            <w:top w:val="none" w:sz="0" w:space="0" w:color="auto"/>
            <w:left w:val="none" w:sz="0" w:space="0" w:color="auto"/>
            <w:bottom w:val="none" w:sz="0" w:space="0" w:color="auto"/>
            <w:right w:val="none" w:sz="0" w:space="0" w:color="auto"/>
          </w:divBdr>
          <w:divsChild>
            <w:div w:id="242377276">
              <w:marLeft w:val="0"/>
              <w:marRight w:val="0"/>
              <w:marTop w:val="0"/>
              <w:marBottom w:val="0"/>
              <w:divBdr>
                <w:top w:val="none" w:sz="0" w:space="0" w:color="auto"/>
                <w:left w:val="none" w:sz="0" w:space="0" w:color="auto"/>
                <w:bottom w:val="none" w:sz="0" w:space="0" w:color="auto"/>
                <w:right w:val="none" w:sz="0" w:space="0" w:color="auto"/>
              </w:divBdr>
            </w:div>
          </w:divsChild>
        </w:div>
        <w:div w:id="1344479873">
          <w:marLeft w:val="0"/>
          <w:marRight w:val="0"/>
          <w:marTop w:val="0"/>
          <w:marBottom w:val="0"/>
          <w:divBdr>
            <w:top w:val="none" w:sz="0" w:space="0" w:color="auto"/>
            <w:left w:val="none" w:sz="0" w:space="0" w:color="auto"/>
            <w:bottom w:val="none" w:sz="0" w:space="0" w:color="auto"/>
            <w:right w:val="none" w:sz="0" w:space="0" w:color="auto"/>
          </w:divBdr>
          <w:divsChild>
            <w:div w:id="1296135165">
              <w:marLeft w:val="0"/>
              <w:marRight w:val="0"/>
              <w:marTop w:val="0"/>
              <w:marBottom w:val="0"/>
              <w:divBdr>
                <w:top w:val="none" w:sz="0" w:space="0" w:color="auto"/>
                <w:left w:val="none" w:sz="0" w:space="0" w:color="auto"/>
                <w:bottom w:val="none" w:sz="0" w:space="0" w:color="auto"/>
                <w:right w:val="none" w:sz="0" w:space="0" w:color="auto"/>
              </w:divBdr>
            </w:div>
          </w:divsChild>
        </w:div>
        <w:div w:id="1388726550">
          <w:marLeft w:val="0"/>
          <w:marRight w:val="0"/>
          <w:marTop w:val="0"/>
          <w:marBottom w:val="0"/>
          <w:divBdr>
            <w:top w:val="none" w:sz="0" w:space="0" w:color="auto"/>
            <w:left w:val="none" w:sz="0" w:space="0" w:color="auto"/>
            <w:bottom w:val="none" w:sz="0" w:space="0" w:color="auto"/>
            <w:right w:val="none" w:sz="0" w:space="0" w:color="auto"/>
          </w:divBdr>
          <w:divsChild>
            <w:div w:id="866454074">
              <w:marLeft w:val="0"/>
              <w:marRight w:val="0"/>
              <w:marTop w:val="0"/>
              <w:marBottom w:val="0"/>
              <w:divBdr>
                <w:top w:val="none" w:sz="0" w:space="0" w:color="auto"/>
                <w:left w:val="none" w:sz="0" w:space="0" w:color="auto"/>
                <w:bottom w:val="none" w:sz="0" w:space="0" w:color="auto"/>
                <w:right w:val="none" w:sz="0" w:space="0" w:color="auto"/>
              </w:divBdr>
            </w:div>
          </w:divsChild>
        </w:div>
        <w:div w:id="1420980972">
          <w:marLeft w:val="0"/>
          <w:marRight w:val="0"/>
          <w:marTop w:val="0"/>
          <w:marBottom w:val="0"/>
          <w:divBdr>
            <w:top w:val="none" w:sz="0" w:space="0" w:color="auto"/>
            <w:left w:val="none" w:sz="0" w:space="0" w:color="auto"/>
            <w:bottom w:val="none" w:sz="0" w:space="0" w:color="auto"/>
            <w:right w:val="none" w:sz="0" w:space="0" w:color="auto"/>
          </w:divBdr>
          <w:divsChild>
            <w:div w:id="677275160">
              <w:marLeft w:val="0"/>
              <w:marRight w:val="0"/>
              <w:marTop w:val="0"/>
              <w:marBottom w:val="0"/>
              <w:divBdr>
                <w:top w:val="none" w:sz="0" w:space="0" w:color="auto"/>
                <w:left w:val="none" w:sz="0" w:space="0" w:color="auto"/>
                <w:bottom w:val="none" w:sz="0" w:space="0" w:color="auto"/>
                <w:right w:val="none" w:sz="0" w:space="0" w:color="auto"/>
              </w:divBdr>
            </w:div>
          </w:divsChild>
        </w:div>
        <w:div w:id="1454472360">
          <w:marLeft w:val="0"/>
          <w:marRight w:val="0"/>
          <w:marTop w:val="0"/>
          <w:marBottom w:val="0"/>
          <w:divBdr>
            <w:top w:val="none" w:sz="0" w:space="0" w:color="auto"/>
            <w:left w:val="none" w:sz="0" w:space="0" w:color="auto"/>
            <w:bottom w:val="none" w:sz="0" w:space="0" w:color="auto"/>
            <w:right w:val="none" w:sz="0" w:space="0" w:color="auto"/>
          </w:divBdr>
          <w:divsChild>
            <w:div w:id="1173565756">
              <w:marLeft w:val="0"/>
              <w:marRight w:val="0"/>
              <w:marTop w:val="0"/>
              <w:marBottom w:val="0"/>
              <w:divBdr>
                <w:top w:val="none" w:sz="0" w:space="0" w:color="auto"/>
                <w:left w:val="none" w:sz="0" w:space="0" w:color="auto"/>
                <w:bottom w:val="none" w:sz="0" w:space="0" w:color="auto"/>
                <w:right w:val="none" w:sz="0" w:space="0" w:color="auto"/>
              </w:divBdr>
            </w:div>
          </w:divsChild>
        </w:div>
        <w:div w:id="1544563442">
          <w:marLeft w:val="0"/>
          <w:marRight w:val="0"/>
          <w:marTop w:val="0"/>
          <w:marBottom w:val="0"/>
          <w:divBdr>
            <w:top w:val="none" w:sz="0" w:space="0" w:color="auto"/>
            <w:left w:val="none" w:sz="0" w:space="0" w:color="auto"/>
            <w:bottom w:val="none" w:sz="0" w:space="0" w:color="auto"/>
            <w:right w:val="none" w:sz="0" w:space="0" w:color="auto"/>
          </w:divBdr>
          <w:divsChild>
            <w:div w:id="944579886">
              <w:marLeft w:val="0"/>
              <w:marRight w:val="0"/>
              <w:marTop w:val="0"/>
              <w:marBottom w:val="0"/>
              <w:divBdr>
                <w:top w:val="none" w:sz="0" w:space="0" w:color="auto"/>
                <w:left w:val="none" w:sz="0" w:space="0" w:color="auto"/>
                <w:bottom w:val="none" w:sz="0" w:space="0" w:color="auto"/>
                <w:right w:val="none" w:sz="0" w:space="0" w:color="auto"/>
              </w:divBdr>
            </w:div>
          </w:divsChild>
        </w:div>
        <w:div w:id="1545212815">
          <w:marLeft w:val="0"/>
          <w:marRight w:val="0"/>
          <w:marTop w:val="0"/>
          <w:marBottom w:val="0"/>
          <w:divBdr>
            <w:top w:val="none" w:sz="0" w:space="0" w:color="auto"/>
            <w:left w:val="none" w:sz="0" w:space="0" w:color="auto"/>
            <w:bottom w:val="none" w:sz="0" w:space="0" w:color="auto"/>
            <w:right w:val="none" w:sz="0" w:space="0" w:color="auto"/>
          </w:divBdr>
          <w:divsChild>
            <w:div w:id="1771315625">
              <w:marLeft w:val="0"/>
              <w:marRight w:val="0"/>
              <w:marTop w:val="0"/>
              <w:marBottom w:val="0"/>
              <w:divBdr>
                <w:top w:val="none" w:sz="0" w:space="0" w:color="auto"/>
                <w:left w:val="none" w:sz="0" w:space="0" w:color="auto"/>
                <w:bottom w:val="none" w:sz="0" w:space="0" w:color="auto"/>
                <w:right w:val="none" w:sz="0" w:space="0" w:color="auto"/>
              </w:divBdr>
            </w:div>
          </w:divsChild>
        </w:div>
        <w:div w:id="1548761995">
          <w:marLeft w:val="0"/>
          <w:marRight w:val="0"/>
          <w:marTop w:val="0"/>
          <w:marBottom w:val="0"/>
          <w:divBdr>
            <w:top w:val="none" w:sz="0" w:space="0" w:color="auto"/>
            <w:left w:val="none" w:sz="0" w:space="0" w:color="auto"/>
            <w:bottom w:val="none" w:sz="0" w:space="0" w:color="auto"/>
            <w:right w:val="none" w:sz="0" w:space="0" w:color="auto"/>
          </w:divBdr>
          <w:divsChild>
            <w:div w:id="1737585688">
              <w:marLeft w:val="0"/>
              <w:marRight w:val="0"/>
              <w:marTop w:val="0"/>
              <w:marBottom w:val="0"/>
              <w:divBdr>
                <w:top w:val="none" w:sz="0" w:space="0" w:color="auto"/>
                <w:left w:val="none" w:sz="0" w:space="0" w:color="auto"/>
                <w:bottom w:val="none" w:sz="0" w:space="0" w:color="auto"/>
                <w:right w:val="none" w:sz="0" w:space="0" w:color="auto"/>
              </w:divBdr>
            </w:div>
          </w:divsChild>
        </w:div>
        <w:div w:id="1565018727">
          <w:marLeft w:val="0"/>
          <w:marRight w:val="0"/>
          <w:marTop w:val="0"/>
          <w:marBottom w:val="0"/>
          <w:divBdr>
            <w:top w:val="none" w:sz="0" w:space="0" w:color="auto"/>
            <w:left w:val="none" w:sz="0" w:space="0" w:color="auto"/>
            <w:bottom w:val="none" w:sz="0" w:space="0" w:color="auto"/>
            <w:right w:val="none" w:sz="0" w:space="0" w:color="auto"/>
          </w:divBdr>
          <w:divsChild>
            <w:div w:id="1869491572">
              <w:marLeft w:val="0"/>
              <w:marRight w:val="0"/>
              <w:marTop w:val="0"/>
              <w:marBottom w:val="0"/>
              <w:divBdr>
                <w:top w:val="none" w:sz="0" w:space="0" w:color="auto"/>
                <w:left w:val="none" w:sz="0" w:space="0" w:color="auto"/>
                <w:bottom w:val="none" w:sz="0" w:space="0" w:color="auto"/>
                <w:right w:val="none" w:sz="0" w:space="0" w:color="auto"/>
              </w:divBdr>
            </w:div>
          </w:divsChild>
        </w:div>
        <w:div w:id="1580476640">
          <w:marLeft w:val="0"/>
          <w:marRight w:val="0"/>
          <w:marTop w:val="0"/>
          <w:marBottom w:val="0"/>
          <w:divBdr>
            <w:top w:val="none" w:sz="0" w:space="0" w:color="auto"/>
            <w:left w:val="none" w:sz="0" w:space="0" w:color="auto"/>
            <w:bottom w:val="none" w:sz="0" w:space="0" w:color="auto"/>
            <w:right w:val="none" w:sz="0" w:space="0" w:color="auto"/>
          </w:divBdr>
          <w:divsChild>
            <w:div w:id="345786275">
              <w:marLeft w:val="0"/>
              <w:marRight w:val="0"/>
              <w:marTop w:val="0"/>
              <w:marBottom w:val="0"/>
              <w:divBdr>
                <w:top w:val="none" w:sz="0" w:space="0" w:color="auto"/>
                <w:left w:val="none" w:sz="0" w:space="0" w:color="auto"/>
                <w:bottom w:val="none" w:sz="0" w:space="0" w:color="auto"/>
                <w:right w:val="none" w:sz="0" w:space="0" w:color="auto"/>
              </w:divBdr>
            </w:div>
          </w:divsChild>
        </w:div>
        <w:div w:id="1580823959">
          <w:marLeft w:val="0"/>
          <w:marRight w:val="0"/>
          <w:marTop w:val="0"/>
          <w:marBottom w:val="0"/>
          <w:divBdr>
            <w:top w:val="none" w:sz="0" w:space="0" w:color="auto"/>
            <w:left w:val="none" w:sz="0" w:space="0" w:color="auto"/>
            <w:bottom w:val="none" w:sz="0" w:space="0" w:color="auto"/>
            <w:right w:val="none" w:sz="0" w:space="0" w:color="auto"/>
          </w:divBdr>
          <w:divsChild>
            <w:div w:id="22755965">
              <w:marLeft w:val="0"/>
              <w:marRight w:val="0"/>
              <w:marTop w:val="0"/>
              <w:marBottom w:val="0"/>
              <w:divBdr>
                <w:top w:val="none" w:sz="0" w:space="0" w:color="auto"/>
                <w:left w:val="none" w:sz="0" w:space="0" w:color="auto"/>
                <w:bottom w:val="none" w:sz="0" w:space="0" w:color="auto"/>
                <w:right w:val="none" w:sz="0" w:space="0" w:color="auto"/>
              </w:divBdr>
            </w:div>
          </w:divsChild>
        </w:div>
        <w:div w:id="1654488669">
          <w:marLeft w:val="0"/>
          <w:marRight w:val="0"/>
          <w:marTop w:val="0"/>
          <w:marBottom w:val="0"/>
          <w:divBdr>
            <w:top w:val="none" w:sz="0" w:space="0" w:color="auto"/>
            <w:left w:val="none" w:sz="0" w:space="0" w:color="auto"/>
            <w:bottom w:val="none" w:sz="0" w:space="0" w:color="auto"/>
            <w:right w:val="none" w:sz="0" w:space="0" w:color="auto"/>
          </w:divBdr>
          <w:divsChild>
            <w:div w:id="1040471996">
              <w:marLeft w:val="0"/>
              <w:marRight w:val="0"/>
              <w:marTop w:val="0"/>
              <w:marBottom w:val="0"/>
              <w:divBdr>
                <w:top w:val="none" w:sz="0" w:space="0" w:color="auto"/>
                <w:left w:val="none" w:sz="0" w:space="0" w:color="auto"/>
                <w:bottom w:val="none" w:sz="0" w:space="0" w:color="auto"/>
                <w:right w:val="none" w:sz="0" w:space="0" w:color="auto"/>
              </w:divBdr>
            </w:div>
          </w:divsChild>
        </w:div>
        <w:div w:id="1676958717">
          <w:marLeft w:val="0"/>
          <w:marRight w:val="0"/>
          <w:marTop w:val="0"/>
          <w:marBottom w:val="0"/>
          <w:divBdr>
            <w:top w:val="none" w:sz="0" w:space="0" w:color="auto"/>
            <w:left w:val="none" w:sz="0" w:space="0" w:color="auto"/>
            <w:bottom w:val="none" w:sz="0" w:space="0" w:color="auto"/>
            <w:right w:val="none" w:sz="0" w:space="0" w:color="auto"/>
          </w:divBdr>
          <w:divsChild>
            <w:div w:id="329910295">
              <w:marLeft w:val="0"/>
              <w:marRight w:val="0"/>
              <w:marTop w:val="0"/>
              <w:marBottom w:val="0"/>
              <w:divBdr>
                <w:top w:val="none" w:sz="0" w:space="0" w:color="auto"/>
                <w:left w:val="none" w:sz="0" w:space="0" w:color="auto"/>
                <w:bottom w:val="none" w:sz="0" w:space="0" w:color="auto"/>
                <w:right w:val="none" w:sz="0" w:space="0" w:color="auto"/>
              </w:divBdr>
            </w:div>
          </w:divsChild>
        </w:div>
        <w:div w:id="1677460205">
          <w:marLeft w:val="0"/>
          <w:marRight w:val="0"/>
          <w:marTop w:val="0"/>
          <w:marBottom w:val="0"/>
          <w:divBdr>
            <w:top w:val="none" w:sz="0" w:space="0" w:color="auto"/>
            <w:left w:val="none" w:sz="0" w:space="0" w:color="auto"/>
            <w:bottom w:val="none" w:sz="0" w:space="0" w:color="auto"/>
            <w:right w:val="none" w:sz="0" w:space="0" w:color="auto"/>
          </w:divBdr>
          <w:divsChild>
            <w:div w:id="1688822360">
              <w:marLeft w:val="0"/>
              <w:marRight w:val="0"/>
              <w:marTop w:val="0"/>
              <w:marBottom w:val="0"/>
              <w:divBdr>
                <w:top w:val="none" w:sz="0" w:space="0" w:color="auto"/>
                <w:left w:val="none" w:sz="0" w:space="0" w:color="auto"/>
                <w:bottom w:val="none" w:sz="0" w:space="0" w:color="auto"/>
                <w:right w:val="none" w:sz="0" w:space="0" w:color="auto"/>
              </w:divBdr>
            </w:div>
          </w:divsChild>
        </w:div>
        <w:div w:id="1685132837">
          <w:marLeft w:val="0"/>
          <w:marRight w:val="0"/>
          <w:marTop w:val="0"/>
          <w:marBottom w:val="0"/>
          <w:divBdr>
            <w:top w:val="none" w:sz="0" w:space="0" w:color="auto"/>
            <w:left w:val="none" w:sz="0" w:space="0" w:color="auto"/>
            <w:bottom w:val="none" w:sz="0" w:space="0" w:color="auto"/>
            <w:right w:val="none" w:sz="0" w:space="0" w:color="auto"/>
          </w:divBdr>
          <w:divsChild>
            <w:div w:id="1474761688">
              <w:marLeft w:val="0"/>
              <w:marRight w:val="0"/>
              <w:marTop w:val="0"/>
              <w:marBottom w:val="0"/>
              <w:divBdr>
                <w:top w:val="none" w:sz="0" w:space="0" w:color="auto"/>
                <w:left w:val="none" w:sz="0" w:space="0" w:color="auto"/>
                <w:bottom w:val="none" w:sz="0" w:space="0" w:color="auto"/>
                <w:right w:val="none" w:sz="0" w:space="0" w:color="auto"/>
              </w:divBdr>
            </w:div>
          </w:divsChild>
        </w:div>
        <w:div w:id="1687755872">
          <w:marLeft w:val="0"/>
          <w:marRight w:val="0"/>
          <w:marTop w:val="0"/>
          <w:marBottom w:val="0"/>
          <w:divBdr>
            <w:top w:val="none" w:sz="0" w:space="0" w:color="auto"/>
            <w:left w:val="none" w:sz="0" w:space="0" w:color="auto"/>
            <w:bottom w:val="none" w:sz="0" w:space="0" w:color="auto"/>
            <w:right w:val="none" w:sz="0" w:space="0" w:color="auto"/>
          </w:divBdr>
          <w:divsChild>
            <w:div w:id="1766919095">
              <w:marLeft w:val="0"/>
              <w:marRight w:val="0"/>
              <w:marTop w:val="0"/>
              <w:marBottom w:val="0"/>
              <w:divBdr>
                <w:top w:val="none" w:sz="0" w:space="0" w:color="auto"/>
                <w:left w:val="none" w:sz="0" w:space="0" w:color="auto"/>
                <w:bottom w:val="none" w:sz="0" w:space="0" w:color="auto"/>
                <w:right w:val="none" w:sz="0" w:space="0" w:color="auto"/>
              </w:divBdr>
            </w:div>
          </w:divsChild>
        </w:div>
        <w:div w:id="1787390652">
          <w:marLeft w:val="0"/>
          <w:marRight w:val="0"/>
          <w:marTop w:val="0"/>
          <w:marBottom w:val="0"/>
          <w:divBdr>
            <w:top w:val="none" w:sz="0" w:space="0" w:color="auto"/>
            <w:left w:val="none" w:sz="0" w:space="0" w:color="auto"/>
            <w:bottom w:val="none" w:sz="0" w:space="0" w:color="auto"/>
            <w:right w:val="none" w:sz="0" w:space="0" w:color="auto"/>
          </w:divBdr>
          <w:divsChild>
            <w:div w:id="1704747014">
              <w:marLeft w:val="0"/>
              <w:marRight w:val="0"/>
              <w:marTop w:val="0"/>
              <w:marBottom w:val="0"/>
              <w:divBdr>
                <w:top w:val="none" w:sz="0" w:space="0" w:color="auto"/>
                <w:left w:val="none" w:sz="0" w:space="0" w:color="auto"/>
                <w:bottom w:val="none" w:sz="0" w:space="0" w:color="auto"/>
                <w:right w:val="none" w:sz="0" w:space="0" w:color="auto"/>
              </w:divBdr>
            </w:div>
          </w:divsChild>
        </w:div>
        <w:div w:id="1791514999">
          <w:marLeft w:val="0"/>
          <w:marRight w:val="0"/>
          <w:marTop w:val="0"/>
          <w:marBottom w:val="0"/>
          <w:divBdr>
            <w:top w:val="none" w:sz="0" w:space="0" w:color="auto"/>
            <w:left w:val="none" w:sz="0" w:space="0" w:color="auto"/>
            <w:bottom w:val="none" w:sz="0" w:space="0" w:color="auto"/>
            <w:right w:val="none" w:sz="0" w:space="0" w:color="auto"/>
          </w:divBdr>
          <w:divsChild>
            <w:div w:id="342821488">
              <w:marLeft w:val="0"/>
              <w:marRight w:val="0"/>
              <w:marTop w:val="0"/>
              <w:marBottom w:val="0"/>
              <w:divBdr>
                <w:top w:val="none" w:sz="0" w:space="0" w:color="auto"/>
                <w:left w:val="none" w:sz="0" w:space="0" w:color="auto"/>
                <w:bottom w:val="none" w:sz="0" w:space="0" w:color="auto"/>
                <w:right w:val="none" w:sz="0" w:space="0" w:color="auto"/>
              </w:divBdr>
            </w:div>
          </w:divsChild>
        </w:div>
        <w:div w:id="1800030324">
          <w:marLeft w:val="0"/>
          <w:marRight w:val="0"/>
          <w:marTop w:val="0"/>
          <w:marBottom w:val="0"/>
          <w:divBdr>
            <w:top w:val="none" w:sz="0" w:space="0" w:color="auto"/>
            <w:left w:val="none" w:sz="0" w:space="0" w:color="auto"/>
            <w:bottom w:val="none" w:sz="0" w:space="0" w:color="auto"/>
            <w:right w:val="none" w:sz="0" w:space="0" w:color="auto"/>
          </w:divBdr>
          <w:divsChild>
            <w:div w:id="343437529">
              <w:marLeft w:val="0"/>
              <w:marRight w:val="0"/>
              <w:marTop w:val="0"/>
              <w:marBottom w:val="0"/>
              <w:divBdr>
                <w:top w:val="none" w:sz="0" w:space="0" w:color="auto"/>
                <w:left w:val="none" w:sz="0" w:space="0" w:color="auto"/>
                <w:bottom w:val="none" w:sz="0" w:space="0" w:color="auto"/>
                <w:right w:val="none" w:sz="0" w:space="0" w:color="auto"/>
              </w:divBdr>
            </w:div>
          </w:divsChild>
        </w:div>
        <w:div w:id="1834833251">
          <w:marLeft w:val="0"/>
          <w:marRight w:val="0"/>
          <w:marTop w:val="0"/>
          <w:marBottom w:val="0"/>
          <w:divBdr>
            <w:top w:val="none" w:sz="0" w:space="0" w:color="auto"/>
            <w:left w:val="none" w:sz="0" w:space="0" w:color="auto"/>
            <w:bottom w:val="none" w:sz="0" w:space="0" w:color="auto"/>
            <w:right w:val="none" w:sz="0" w:space="0" w:color="auto"/>
          </w:divBdr>
          <w:divsChild>
            <w:div w:id="2067676611">
              <w:marLeft w:val="0"/>
              <w:marRight w:val="0"/>
              <w:marTop w:val="0"/>
              <w:marBottom w:val="0"/>
              <w:divBdr>
                <w:top w:val="none" w:sz="0" w:space="0" w:color="auto"/>
                <w:left w:val="none" w:sz="0" w:space="0" w:color="auto"/>
                <w:bottom w:val="none" w:sz="0" w:space="0" w:color="auto"/>
                <w:right w:val="none" w:sz="0" w:space="0" w:color="auto"/>
              </w:divBdr>
            </w:div>
          </w:divsChild>
        </w:div>
        <w:div w:id="1926180196">
          <w:marLeft w:val="0"/>
          <w:marRight w:val="0"/>
          <w:marTop w:val="0"/>
          <w:marBottom w:val="0"/>
          <w:divBdr>
            <w:top w:val="none" w:sz="0" w:space="0" w:color="auto"/>
            <w:left w:val="none" w:sz="0" w:space="0" w:color="auto"/>
            <w:bottom w:val="none" w:sz="0" w:space="0" w:color="auto"/>
            <w:right w:val="none" w:sz="0" w:space="0" w:color="auto"/>
          </w:divBdr>
          <w:divsChild>
            <w:div w:id="1344435441">
              <w:marLeft w:val="0"/>
              <w:marRight w:val="0"/>
              <w:marTop w:val="0"/>
              <w:marBottom w:val="0"/>
              <w:divBdr>
                <w:top w:val="none" w:sz="0" w:space="0" w:color="auto"/>
                <w:left w:val="none" w:sz="0" w:space="0" w:color="auto"/>
                <w:bottom w:val="none" w:sz="0" w:space="0" w:color="auto"/>
                <w:right w:val="none" w:sz="0" w:space="0" w:color="auto"/>
              </w:divBdr>
            </w:div>
          </w:divsChild>
        </w:div>
        <w:div w:id="1936936344">
          <w:marLeft w:val="0"/>
          <w:marRight w:val="0"/>
          <w:marTop w:val="0"/>
          <w:marBottom w:val="0"/>
          <w:divBdr>
            <w:top w:val="none" w:sz="0" w:space="0" w:color="auto"/>
            <w:left w:val="none" w:sz="0" w:space="0" w:color="auto"/>
            <w:bottom w:val="none" w:sz="0" w:space="0" w:color="auto"/>
            <w:right w:val="none" w:sz="0" w:space="0" w:color="auto"/>
          </w:divBdr>
          <w:divsChild>
            <w:div w:id="1148791047">
              <w:marLeft w:val="0"/>
              <w:marRight w:val="0"/>
              <w:marTop w:val="0"/>
              <w:marBottom w:val="0"/>
              <w:divBdr>
                <w:top w:val="none" w:sz="0" w:space="0" w:color="auto"/>
                <w:left w:val="none" w:sz="0" w:space="0" w:color="auto"/>
                <w:bottom w:val="none" w:sz="0" w:space="0" w:color="auto"/>
                <w:right w:val="none" w:sz="0" w:space="0" w:color="auto"/>
              </w:divBdr>
            </w:div>
          </w:divsChild>
        </w:div>
        <w:div w:id="1966156050">
          <w:marLeft w:val="0"/>
          <w:marRight w:val="0"/>
          <w:marTop w:val="0"/>
          <w:marBottom w:val="0"/>
          <w:divBdr>
            <w:top w:val="none" w:sz="0" w:space="0" w:color="auto"/>
            <w:left w:val="none" w:sz="0" w:space="0" w:color="auto"/>
            <w:bottom w:val="none" w:sz="0" w:space="0" w:color="auto"/>
            <w:right w:val="none" w:sz="0" w:space="0" w:color="auto"/>
          </w:divBdr>
          <w:divsChild>
            <w:div w:id="1074939305">
              <w:marLeft w:val="0"/>
              <w:marRight w:val="0"/>
              <w:marTop w:val="0"/>
              <w:marBottom w:val="0"/>
              <w:divBdr>
                <w:top w:val="none" w:sz="0" w:space="0" w:color="auto"/>
                <w:left w:val="none" w:sz="0" w:space="0" w:color="auto"/>
                <w:bottom w:val="none" w:sz="0" w:space="0" w:color="auto"/>
                <w:right w:val="none" w:sz="0" w:space="0" w:color="auto"/>
              </w:divBdr>
            </w:div>
          </w:divsChild>
        </w:div>
        <w:div w:id="1989940307">
          <w:marLeft w:val="0"/>
          <w:marRight w:val="0"/>
          <w:marTop w:val="0"/>
          <w:marBottom w:val="0"/>
          <w:divBdr>
            <w:top w:val="none" w:sz="0" w:space="0" w:color="auto"/>
            <w:left w:val="none" w:sz="0" w:space="0" w:color="auto"/>
            <w:bottom w:val="none" w:sz="0" w:space="0" w:color="auto"/>
            <w:right w:val="none" w:sz="0" w:space="0" w:color="auto"/>
          </w:divBdr>
          <w:divsChild>
            <w:div w:id="1200127268">
              <w:marLeft w:val="0"/>
              <w:marRight w:val="0"/>
              <w:marTop w:val="0"/>
              <w:marBottom w:val="0"/>
              <w:divBdr>
                <w:top w:val="none" w:sz="0" w:space="0" w:color="auto"/>
                <w:left w:val="none" w:sz="0" w:space="0" w:color="auto"/>
                <w:bottom w:val="none" w:sz="0" w:space="0" w:color="auto"/>
                <w:right w:val="none" w:sz="0" w:space="0" w:color="auto"/>
              </w:divBdr>
            </w:div>
          </w:divsChild>
        </w:div>
        <w:div w:id="2001542413">
          <w:marLeft w:val="0"/>
          <w:marRight w:val="0"/>
          <w:marTop w:val="0"/>
          <w:marBottom w:val="0"/>
          <w:divBdr>
            <w:top w:val="none" w:sz="0" w:space="0" w:color="auto"/>
            <w:left w:val="none" w:sz="0" w:space="0" w:color="auto"/>
            <w:bottom w:val="none" w:sz="0" w:space="0" w:color="auto"/>
            <w:right w:val="none" w:sz="0" w:space="0" w:color="auto"/>
          </w:divBdr>
          <w:divsChild>
            <w:div w:id="1514227890">
              <w:marLeft w:val="0"/>
              <w:marRight w:val="0"/>
              <w:marTop w:val="0"/>
              <w:marBottom w:val="0"/>
              <w:divBdr>
                <w:top w:val="none" w:sz="0" w:space="0" w:color="auto"/>
                <w:left w:val="none" w:sz="0" w:space="0" w:color="auto"/>
                <w:bottom w:val="none" w:sz="0" w:space="0" w:color="auto"/>
                <w:right w:val="none" w:sz="0" w:space="0" w:color="auto"/>
              </w:divBdr>
            </w:div>
          </w:divsChild>
        </w:div>
        <w:div w:id="2012289752">
          <w:marLeft w:val="0"/>
          <w:marRight w:val="0"/>
          <w:marTop w:val="0"/>
          <w:marBottom w:val="0"/>
          <w:divBdr>
            <w:top w:val="none" w:sz="0" w:space="0" w:color="auto"/>
            <w:left w:val="none" w:sz="0" w:space="0" w:color="auto"/>
            <w:bottom w:val="none" w:sz="0" w:space="0" w:color="auto"/>
            <w:right w:val="none" w:sz="0" w:space="0" w:color="auto"/>
          </w:divBdr>
          <w:divsChild>
            <w:div w:id="762216417">
              <w:marLeft w:val="0"/>
              <w:marRight w:val="0"/>
              <w:marTop w:val="0"/>
              <w:marBottom w:val="0"/>
              <w:divBdr>
                <w:top w:val="none" w:sz="0" w:space="0" w:color="auto"/>
                <w:left w:val="none" w:sz="0" w:space="0" w:color="auto"/>
                <w:bottom w:val="none" w:sz="0" w:space="0" w:color="auto"/>
                <w:right w:val="none" w:sz="0" w:space="0" w:color="auto"/>
              </w:divBdr>
            </w:div>
          </w:divsChild>
        </w:div>
        <w:div w:id="2029067061">
          <w:marLeft w:val="0"/>
          <w:marRight w:val="0"/>
          <w:marTop w:val="0"/>
          <w:marBottom w:val="0"/>
          <w:divBdr>
            <w:top w:val="none" w:sz="0" w:space="0" w:color="auto"/>
            <w:left w:val="none" w:sz="0" w:space="0" w:color="auto"/>
            <w:bottom w:val="none" w:sz="0" w:space="0" w:color="auto"/>
            <w:right w:val="none" w:sz="0" w:space="0" w:color="auto"/>
          </w:divBdr>
          <w:divsChild>
            <w:div w:id="197744039">
              <w:marLeft w:val="0"/>
              <w:marRight w:val="0"/>
              <w:marTop w:val="0"/>
              <w:marBottom w:val="0"/>
              <w:divBdr>
                <w:top w:val="none" w:sz="0" w:space="0" w:color="auto"/>
                <w:left w:val="none" w:sz="0" w:space="0" w:color="auto"/>
                <w:bottom w:val="none" w:sz="0" w:space="0" w:color="auto"/>
                <w:right w:val="none" w:sz="0" w:space="0" w:color="auto"/>
              </w:divBdr>
            </w:div>
          </w:divsChild>
        </w:div>
        <w:div w:id="2036736004">
          <w:marLeft w:val="0"/>
          <w:marRight w:val="0"/>
          <w:marTop w:val="0"/>
          <w:marBottom w:val="0"/>
          <w:divBdr>
            <w:top w:val="none" w:sz="0" w:space="0" w:color="auto"/>
            <w:left w:val="none" w:sz="0" w:space="0" w:color="auto"/>
            <w:bottom w:val="none" w:sz="0" w:space="0" w:color="auto"/>
            <w:right w:val="none" w:sz="0" w:space="0" w:color="auto"/>
          </w:divBdr>
          <w:divsChild>
            <w:div w:id="388266559">
              <w:marLeft w:val="0"/>
              <w:marRight w:val="0"/>
              <w:marTop w:val="0"/>
              <w:marBottom w:val="0"/>
              <w:divBdr>
                <w:top w:val="none" w:sz="0" w:space="0" w:color="auto"/>
                <w:left w:val="none" w:sz="0" w:space="0" w:color="auto"/>
                <w:bottom w:val="none" w:sz="0" w:space="0" w:color="auto"/>
                <w:right w:val="none" w:sz="0" w:space="0" w:color="auto"/>
              </w:divBdr>
            </w:div>
          </w:divsChild>
        </w:div>
        <w:div w:id="2042853188">
          <w:marLeft w:val="0"/>
          <w:marRight w:val="0"/>
          <w:marTop w:val="0"/>
          <w:marBottom w:val="0"/>
          <w:divBdr>
            <w:top w:val="none" w:sz="0" w:space="0" w:color="auto"/>
            <w:left w:val="none" w:sz="0" w:space="0" w:color="auto"/>
            <w:bottom w:val="none" w:sz="0" w:space="0" w:color="auto"/>
            <w:right w:val="none" w:sz="0" w:space="0" w:color="auto"/>
          </w:divBdr>
          <w:divsChild>
            <w:div w:id="693771099">
              <w:marLeft w:val="0"/>
              <w:marRight w:val="0"/>
              <w:marTop w:val="0"/>
              <w:marBottom w:val="0"/>
              <w:divBdr>
                <w:top w:val="none" w:sz="0" w:space="0" w:color="auto"/>
                <w:left w:val="none" w:sz="0" w:space="0" w:color="auto"/>
                <w:bottom w:val="none" w:sz="0" w:space="0" w:color="auto"/>
                <w:right w:val="none" w:sz="0" w:space="0" w:color="auto"/>
              </w:divBdr>
            </w:div>
          </w:divsChild>
        </w:div>
        <w:div w:id="2062363591">
          <w:marLeft w:val="0"/>
          <w:marRight w:val="0"/>
          <w:marTop w:val="0"/>
          <w:marBottom w:val="0"/>
          <w:divBdr>
            <w:top w:val="none" w:sz="0" w:space="0" w:color="auto"/>
            <w:left w:val="none" w:sz="0" w:space="0" w:color="auto"/>
            <w:bottom w:val="none" w:sz="0" w:space="0" w:color="auto"/>
            <w:right w:val="none" w:sz="0" w:space="0" w:color="auto"/>
          </w:divBdr>
          <w:divsChild>
            <w:div w:id="256669484">
              <w:marLeft w:val="0"/>
              <w:marRight w:val="0"/>
              <w:marTop w:val="0"/>
              <w:marBottom w:val="0"/>
              <w:divBdr>
                <w:top w:val="none" w:sz="0" w:space="0" w:color="auto"/>
                <w:left w:val="none" w:sz="0" w:space="0" w:color="auto"/>
                <w:bottom w:val="none" w:sz="0" w:space="0" w:color="auto"/>
                <w:right w:val="none" w:sz="0" w:space="0" w:color="auto"/>
              </w:divBdr>
            </w:div>
          </w:divsChild>
        </w:div>
        <w:div w:id="2068601424">
          <w:marLeft w:val="0"/>
          <w:marRight w:val="0"/>
          <w:marTop w:val="0"/>
          <w:marBottom w:val="0"/>
          <w:divBdr>
            <w:top w:val="none" w:sz="0" w:space="0" w:color="auto"/>
            <w:left w:val="none" w:sz="0" w:space="0" w:color="auto"/>
            <w:bottom w:val="none" w:sz="0" w:space="0" w:color="auto"/>
            <w:right w:val="none" w:sz="0" w:space="0" w:color="auto"/>
          </w:divBdr>
          <w:divsChild>
            <w:div w:id="653802063">
              <w:marLeft w:val="0"/>
              <w:marRight w:val="0"/>
              <w:marTop w:val="0"/>
              <w:marBottom w:val="0"/>
              <w:divBdr>
                <w:top w:val="none" w:sz="0" w:space="0" w:color="auto"/>
                <w:left w:val="none" w:sz="0" w:space="0" w:color="auto"/>
                <w:bottom w:val="none" w:sz="0" w:space="0" w:color="auto"/>
                <w:right w:val="none" w:sz="0" w:space="0" w:color="auto"/>
              </w:divBdr>
            </w:div>
          </w:divsChild>
        </w:div>
        <w:div w:id="2109425618">
          <w:marLeft w:val="0"/>
          <w:marRight w:val="0"/>
          <w:marTop w:val="0"/>
          <w:marBottom w:val="0"/>
          <w:divBdr>
            <w:top w:val="none" w:sz="0" w:space="0" w:color="auto"/>
            <w:left w:val="none" w:sz="0" w:space="0" w:color="auto"/>
            <w:bottom w:val="none" w:sz="0" w:space="0" w:color="auto"/>
            <w:right w:val="none" w:sz="0" w:space="0" w:color="auto"/>
          </w:divBdr>
          <w:divsChild>
            <w:div w:id="899940512">
              <w:marLeft w:val="0"/>
              <w:marRight w:val="0"/>
              <w:marTop w:val="0"/>
              <w:marBottom w:val="0"/>
              <w:divBdr>
                <w:top w:val="none" w:sz="0" w:space="0" w:color="auto"/>
                <w:left w:val="none" w:sz="0" w:space="0" w:color="auto"/>
                <w:bottom w:val="none" w:sz="0" w:space="0" w:color="auto"/>
                <w:right w:val="none" w:sz="0" w:space="0" w:color="auto"/>
              </w:divBdr>
            </w:div>
          </w:divsChild>
        </w:div>
        <w:div w:id="2136871250">
          <w:marLeft w:val="0"/>
          <w:marRight w:val="0"/>
          <w:marTop w:val="0"/>
          <w:marBottom w:val="0"/>
          <w:divBdr>
            <w:top w:val="none" w:sz="0" w:space="0" w:color="auto"/>
            <w:left w:val="none" w:sz="0" w:space="0" w:color="auto"/>
            <w:bottom w:val="none" w:sz="0" w:space="0" w:color="auto"/>
            <w:right w:val="none" w:sz="0" w:space="0" w:color="auto"/>
          </w:divBdr>
          <w:divsChild>
            <w:div w:id="21354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5866">
      <w:marLeft w:val="0"/>
      <w:marRight w:val="0"/>
      <w:marTop w:val="0"/>
      <w:marBottom w:val="0"/>
      <w:divBdr>
        <w:top w:val="none" w:sz="0" w:space="0" w:color="auto"/>
        <w:left w:val="none" w:sz="0" w:space="0" w:color="auto"/>
        <w:bottom w:val="none" w:sz="0" w:space="0" w:color="auto"/>
        <w:right w:val="none" w:sz="0" w:space="0" w:color="auto"/>
      </w:divBdr>
    </w:div>
    <w:div w:id="1728449444">
      <w:bodyDiv w:val="1"/>
      <w:marLeft w:val="0"/>
      <w:marRight w:val="0"/>
      <w:marTop w:val="0"/>
      <w:marBottom w:val="0"/>
      <w:divBdr>
        <w:top w:val="none" w:sz="0" w:space="0" w:color="auto"/>
        <w:left w:val="none" w:sz="0" w:space="0" w:color="auto"/>
        <w:bottom w:val="none" w:sz="0" w:space="0" w:color="auto"/>
        <w:right w:val="none" w:sz="0" w:space="0" w:color="auto"/>
      </w:divBdr>
    </w:div>
    <w:div w:id="1728994544">
      <w:bodyDiv w:val="1"/>
      <w:marLeft w:val="0"/>
      <w:marRight w:val="0"/>
      <w:marTop w:val="0"/>
      <w:marBottom w:val="0"/>
      <w:divBdr>
        <w:top w:val="none" w:sz="0" w:space="0" w:color="auto"/>
        <w:left w:val="none" w:sz="0" w:space="0" w:color="auto"/>
        <w:bottom w:val="none" w:sz="0" w:space="0" w:color="auto"/>
        <w:right w:val="none" w:sz="0" w:space="0" w:color="auto"/>
      </w:divBdr>
    </w:div>
    <w:div w:id="1773628564">
      <w:bodyDiv w:val="1"/>
      <w:marLeft w:val="0"/>
      <w:marRight w:val="0"/>
      <w:marTop w:val="0"/>
      <w:marBottom w:val="0"/>
      <w:divBdr>
        <w:top w:val="none" w:sz="0" w:space="0" w:color="auto"/>
        <w:left w:val="none" w:sz="0" w:space="0" w:color="auto"/>
        <w:bottom w:val="none" w:sz="0" w:space="0" w:color="auto"/>
        <w:right w:val="none" w:sz="0" w:space="0" w:color="auto"/>
      </w:divBdr>
    </w:div>
    <w:div w:id="1779984631">
      <w:bodyDiv w:val="1"/>
      <w:marLeft w:val="0"/>
      <w:marRight w:val="0"/>
      <w:marTop w:val="0"/>
      <w:marBottom w:val="0"/>
      <w:divBdr>
        <w:top w:val="none" w:sz="0" w:space="0" w:color="auto"/>
        <w:left w:val="none" w:sz="0" w:space="0" w:color="auto"/>
        <w:bottom w:val="none" w:sz="0" w:space="0" w:color="auto"/>
        <w:right w:val="none" w:sz="0" w:space="0" w:color="auto"/>
      </w:divBdr>
    </w:div>
    <w:div w:id="1781143255">
      <w:bodyDiv w:val="1"/>
      <w:marLeft w:val="0"/>
      <w:marRight w:val="0"/>
      <w:marTop w:val="0"/>
      <w:marBottom w:val="0"/>
      <w:divBdr>
        <w:top w:val="none" w:sz="0" w:space="0" w:color="auto"/>
        <w:left w:val="none" w:sz="0" w:space="0" w:color="auto"/>
        <w:bottom w:val="none" w:sz="0" w:space="0" w:color="auto"/>
        <w:right w:val="none" w:sz="0" w:space="0" w:color="auto"/>
      </w:divBdr>
      <w:divsChild>
        <w:div w:id="174081115">
          <w:marLeft w:val="0"/>
          <w:marRight w:val="0"/>
          <w:marTop w:val="0"/>
          <w:marBottom w:val="0"/>
          <w:divBdr>
            <w:top w:val="none" w:sz="0" w:space="0" w:color="auto"/>
            <w:left w:val="none" w:sz="0" w:space="0" w:color="auto"/>
            <w:bottom w:val="none" w:sz="0" w:space="0" w:color="auto"/>
            <w:right w:val="none" w:sz="0" w:space="0" w:color="auto"/>
          </w:divBdr>
        </w:div>
        <w:div w:id="623535218">
          <w:marLeft w:val="0"/>
          <w:marRight w:val="0"/>
          <w:marTop w:val="0"/>
          <w:marBottom w:val="0"/>
          <w:divBdr>
            <w:top w:val="none" w:sz="0" w:space="0" w:color="auto"/>
            <w:left w:val="none" w:sz="0" w:space="0" w:color="auto"/>
            <w:bottom w:val="none" w:sz="0" w:space="0" w:color="auto"/>
            <w:right w:val="none" w:sz="0" w:space="0" w:color="auto"/>
          </w:divBdr>
        </w:div>
      </w:divsChild>
    </w:div>
    <w:div w:id="1809392157">
      <w:bodyDiv w:val="1"/>
      <w:marLeft w:val="0"/>
      <w:marRight w:val="0"/>
      <w:marTop w:val="0"/>
      <w:marBottom w:val="0"/>
      <w:divBdr>
        <w:top w:val="none" w:sz="0" w:space="0" w:color="auto"/>
        <w:left w:val="none" w:sz="0" w:space="0" w:color="auto"/>
        <w:bottom w:val="none" w:sz="0" w:space="0" w:color="auto"/>
        <w:right w:val="none" w:sz="0" w:space="0" w:color="auto"/>
      </w:divBdr>
    </w:div>
    <w:div w:id="1821648260">
      <w:bodyDiv w:val="1"/>
      <w:marLeft w:val="0"/>
      <w:marRight w:val="0"/>
      <w:marTop w:val="0"/>
      <w:marBottom w:val="0"/>
      <w:divBdr>
        <w:top w:val="none" w:sz="0" w:space="0" w:color="auto"/>
        <w:left w:val="none" w:sz="0" w:space="0" w:color="auto"/>
        <w:bottom w:val="none" w:sz="0" w:space="0" w:color="auto"/>
        <w:right w:val="none" w:sz="0" w:space="0" w:color="auto"/>
      </w:divBdr>
    </w:div>
    <w:div w:id="1842694904">
      <w:bodyDiv w:val="1"/>
      <w:marLeft w:val="0"/>
      <w:marRight w:val="0"/>
      <w:marTop w:val="0"/>
      <w:marBottom w:val="0"/>
      <w:divBdr>
        <w:top w:val="none" w:sz="0" w:space="0" w:color="auto"/>
        <w:left w:val="none" w:sz="0" w:space="0" w:color="auto"/>
        <w:bottom w:val="none" w:sz="0" w:space="0" w:color="auto"/>
        <w:right w:val="none" w:sz="0" w:space="0" w:color="auto"/>
      </w:divBdr>
    </w:div>
    <w:div w:id="1876119602">
      <w:bodyDiv w:val="1"/>
      <w:marLeft w:val="0"/>
      <w:marRight w:val="0"/>
      <w:marTop w:val="0"/>
      <w:marBottom w:val="0"/>
      <w:divBdr>
        <w:top w:val="none" w:sz="0" w:space="0" w:color="auto"/>
        <w:left w:val="none" w:sz="0" w:space="0" w:color="auto"/>
        <w:bottom w:val="none" w:sz="0" w:space="0" w:color="auto"/>
        <w:right w:val="none" w:sz="0" w:space="0" w:color="auto"/>
      </w:divBdr>
      <w:divsChild>
        <w:div w:id="605962938">
          <w:marLeft w:val="0"/>
          <w:marRight w:val="0"/>
          <w:marTop w:val="0"/>
          <w:marBottom w:val="0"/>
          <w:divBdr>
            <w:top w:val="none" w:sz="0" w:space="0" w:color="auto"/>
            <w:left w:val="none" w:sz="0" w:space="0" w:color="auto"/>
            <w:bottom w:val="none" w:sz="0" w:space="0" w:color="auto"/>
            <w:right w:val="none" w:sz="0" w:space="0" w:color="auto"/>
          </w:divBdr>
        </w:div>
      </w:divsChild>
    </w:div>
    <w:div w:id="1882791057">
      <w:bodyDiv w:val="1"/>
      <w:marLeft w:val="0"/>
      <w:marRight w:val="0"/>
      <w:marTop w:val="0"/>
      <w:marBottom w:val="0"/>
      <w:divBdr>
        <w:top w:val="none" w:sz="0" w:space="0" w:color="auto"/>
        <w:left w:val="none" w:sz="0" w:space="0" w:color="auto"/>
        <w:bottom w:val="none" w:sz="0" w:space="0" w:color="auto"/>
        <w:right w:val="none" w:sz="0" w:space="0" w:color="auto"/>
      </w:divBdr>
    </w:div>
    <w:div w:id="1886405179">
      <w:bodyDiv w:val="1"/>
      <w:marLeft w:val="0"/>
      <w:marRight w:val="0"/>
      <w:marTop w:val="0"/>
      <w:marBottom w:val="0"/>
      <w:divBdr>
        <w:top w:val="none" w:sz="0" w:space="0" w:color="auto"/>
        <w:left w:val="none" w:sz="0" w:space="0" w:color="auto"/>
        <w:bottom w:val="none" w:sz="0" w:space="0" w:color="auto"/>
        <w:right w:val="none" w:sz="0" w:space="0" w:color="auto"/>
      </w:divBdr>
    </w:div>
    <w:div w:id="1894350238">
      <w:bodyDiv w:val="1"/>
      <w:marLeft w:val="0"/>
      <w:marRight w:val="0"/>
      <w:marTop w:val="0"/>
      <w:marBottom w:val="0"/>
      <w:divBdr>
        <w:top w:val="none" w:sz="0" w:space="0" w:color="auto"/>
        <w:left w:val="none" w:sz="0" w:space="0" w:color="auto"/>
        <w:bottom w:val="none" w:sz="0" w:space="0" w:color="auto"/>
        <w:right w:val="none" w:sz="0" w:space="0" w:color="auto"/>
      </w:divBdr>
    </w:div>
    <w:div w:id="1930700636">
      <w:bodyDiv w:val="1"/>
      <w:marLeft w:val="0"/>
      <w:marRight w:val="0"/>
      <w:marTop w:val="0"/>
      <w:marBottom w:val="0"/>
      <w:divBdr>
        <w:top w:val="none" w:sz="0" w:space="0" w:color="auto"/>
        <w:left w:val="none" w:sz="0" w:space="0" w:color="auto"/>
        <w:bottom w:val="none" w:sz="0" w:space="0" w:color="auto"/>
        <w:right w:val="none" w:sz="0" w:space="0" w:color="auto"/>
      </w:divBdr>
      <w:divsChild>
        <w:div w:id="517500555">
          <w:marLeft w:val="0"/>
          <w:marRight w:val="0"/>
          <w:marTop w:val="0"/>
          <w:marBottom w:val="0"/>
          <w:divBdr>
            <w:top w:val="none" w:sz="0" w:space="0" w:color="auto"/>
            <w:left w:val="none" w:sz="0" w:space="0" w:color="auto"/>
            <w:bottom w:val="none" w:sz="0" w:space="0" w:color="auto"/>
            <w:right w:val="none" w:sz="0" w:space="0" w:color="auto"/>
          </w:divBdr>
        </w:div>
      </w:divsChild>
    </w:div>
    <w:div w:id="1936280633">
      <w:bodyDiv w:val="1"/>
      <w:marLeft w:val="0"/>
      <w:marRight w:val="0"/>
      <w:marTop w:val="0"/>
      <w:marBottom w:val="0"/>
      <w:divBdr>
        <w:top w:val="none" w:sz="0" w:space="0" w:color="auto"/>
        <w:left w:val="none" w:sz="0" w:space="0" w:color="auto"/>
        <w:bottom w:val="none" w:sz="0" w:space="0" w:color="auto"/>
        <w:right w:val="none" w:sz="0" w:space="0" w:color="auto"/>
      </w:divBdr>
    </w:div>
    <w:div w:id="1982730568">
      <w:bodyDiv w:val="1"/>
      <w:marLeft w:val="0"/>
      <w:marRight w:val="0"/>
      <w:marTop w:val="0"/>
      <w:marBottom w:val="0"/>
      <w:divBdr>
        <w:top w:val="none" w:sz="0" w:space="0" w:color="auto"/>
        <w:left w:val="none" w:sz="0" w:space="0" w:color="auto"/>
        <w:bottom w:val="none" w:sz="0" w:space="0" w:color="auto"/>
        <w:right w:val="none" w:sz="0" w:space="0" w:color="auto"/>
      </w:divBdr>
      <w:divsChild>
        <w:div w:id="1645626208">
          <w:marLeft w:val="0"/>
          <w:marRight w:val="0"/>
          <w:marTop w:val="0"/>
          <w:marBottom w:val="0"/>
          <w:divBdr>
            <w:top w:val="none" w:sz="0" w:space="0" w:color="auto"/>
            <w:left w:val="none" w:sz="0" w:space="0" w:color="auto"/>
            <w:bottom w:val="none" w:sz="0" w:space="0" w:color="auto"/>
            <w:right w:val="none" w:sz="0" w:space="0" w:color="auto"/>
          </w:divBdr>
          <w:divsChild>
            <w:div w:id="365521229">
              <w:marLeft w:val="-75"/>
              <w:marRight w:val="0"/>
              <w:marTop w:val="30"/>
              <w:marBottom w:val="30"/>
              <w:divBdr>
                <w:top w:val="none" w:sz="0" w:space="0" w:color="auto"/>
                <w:left w:val="none" w:sz="0" w:space="0" w:color="auto"/>
                <w:bottom w:val="none" w:sz="0" w:space="0" w:color="auto"/>
                <w:right w:val="none" w:sz="0" w:space="0" w:color="auto"/>
              </w:divBdr>
              <w:divsChild>
                <w:div w:id="787792">
                  <w:marLeft w:val="0"/>
                  <w:marRight w:val="0"/>
                  <w:marTop w:val="0"/>
                  <w:marBottom w:val="0"/>
                  <w:divBdr>
                    <w:top w:val="none" w:sz="0" w:space="0" w:color="auto"/>
                    <w:left w:val="none" w:sz="0" w:space="0" w:color="auto"/>
                    <w:bottom w:val="none" w:sz="0" w:space="0" w:color="auto"/>
                    <w:right w:val="none" w:sz="0" w:space="0" w:color="auto"/>
                  </w:divBdr>
                  <w:divsChild>
                    <w:div w:id="1688022509">
                      <w:marLeft w:val="0"/>
                      <w:marRight w:val="0"/>
                      <w:marTop w:val="0"/>
                      <w:marBottom w:val="0"/>
                      <w:divBdr>
                        <w:top w:val="none" w:sz="0" w:space="0" w:color="auto"/>
                        <w:left w:val="none" w:sz="0" w:space="0" w:color="auto"/>
                        <w:bottom w:val="none" w:sz="0" w:space="0" w:color="auto"/>
                        <w:right w:val="none" w:sz="0" w:space="0" w:color="auto"/>
                      </w:divBdr>
                    </w:div>
                  </w:divsChild>
                </w:div>
                <w:div w:id="31003305">
                  <w:marLeft w:val="0"/>
                  <w:marRight w:val="0"/>
                  <w:marTop w:val="0"/>
                  <w:marBottom w:val="0"/>
                  <w:divBdr>
                    <w:top w:val="none" w:sz="0" w:space="0" w:color="auto"/>
                    <w:left w:val="none" w:sz="0" w:space="0" w:color="auto"/>
                    <w:bottom w:val="none" w:sz="0" w:space="0" w:color="auto"/>
                    <w:right w:val="none" w:sz="0" w:space="0" w:color="auto"/>
                  </w:divBdr>
                  <w:divsChild>
                    <w:div w:id="1927231375">
                      <w:marLeft w:val="0"/>
                      <w:marRight w:val="0"/>
                      <w:marTop w:val="0"/>
                      <w:marBottom w:val="0"/>
                      <w:divBdr>
                        <w:top w:val="none" w:sz="0" w:space="0" w:color="auto"/>
                        <w:left w:val="none" w:sz="0" w:space="0" w:color="auto"/>
                        <w:bottom w:val="none" w:sz="0" w:space="0" w:color="auto"/>
                        <w:right w:val="none" w:sz="0" w:space="0" w:color="auto"/>
                      </w:divBdr>
                    </w:div>
                  </w:divsChild>
                </w:div>
                <w:div w:id="65998033">
                  <w:marLeft w:val="0"/>
                  <w:marRight w:val="0"/>
                  <w:marTop w:val="0"/>
                  <w:marBottom w:val="0"/>
                  <w:divBdr>
                    <w:top w:val="none" w:sz="0" w:space="0" w:color="auto"/>
                    <w:left w:val="none" w:sz="0" w:space="0" w:color="auto"/>
                    <w:bottom w:val="none" w:sz="0" w:space="0" w:color="auto"/>
                    <w:right w:val="none" w:sz="0" w:space="0" w:color="auto"/>
                  </w:divBdr>
                  <w:divsChild>
                    <w:div w:id="919829119">
                      <w:marLeft w:val="0"/>
                      <w:marRight w:val="0"/>
                      <w:marTop w:val="0"/>
                      <w:marBottom w:val="0"/>
                      <w:divBdr>
                        <w:top w:val="none" w:sz="0" w:space="0" w:color="auto"/>
                        <w:left w:val="none" w:sz="0" w:space="0" w:color="auto"/>
                        <w:bottom w:val="none" w:sz="0" w:space="0" w:color="auto"/>
                        <w:right w:val="none" w:sz="0" w:space="0" w:color="auto"/>
                      </w:divBdr>
                    </w:div>
                  </w:divsChild>
                </w:div>
                <w:div w:id="72508925">
                  <w:marLeft w:val="0"/>
                  <w:marRight w:val="0"/>
                  <w:marTop w:val="0"/>
                  <w:marBottom w:val="0"/>
                  <w:divBdr>
                    <w:top w:val="none" w:sz="0" w:space="0" w:color="auto"/>
                    <w:left w:val="none" w:sz="0" w:space="0" w:color="auto"/>
                    <w:bottom w:val="none" w:sz="0" w:space="0" w:color="auto"/>
                    <w:right w:val="none" w:sz="0" w:space="0" w:color="auto"/>
                  </w:divBdr>
                  <w:divsChild>
                    <w:div w:id="676080857">
                      <w:marLeft w:val="0"/>
                      <w:marRight w:val="0"/>
                      <w:marTop w:val="0"/>
                      <w:marBottom w:val="0"/>
                      <w:divBdr>
                        <w:top w:val="none" w:sz="0" w:space="0" w:color="auto"/>
                        <w:left w:val="none" w:sz="0" w:space="0" w:color="auto"/>
                        <w:bottom w:val="none" w:sz="0" w:space="0" w:color="auto"/>
                        <w:right w:val="none" w:sz="0" w:space="0" w:color="auto"/>
                      </w:divBdr>
                    </w:div>
                  </w:divsChild>
                </w:div>
                <w:div w:id="78211430">
                  <w:marLeft w:val="0"/>
                  <w:marRight w:val="0"/>
                  <w:marTop w:val="0"/>
                  <w:marBottom w:val="0"/>
                  <w:divBdr>
                    <w:top w:val="none" w:sz="0" w:space="0" w:color="auto"/>
                    <w:left w:val="none" w:sz="0" w:space="0" w:color="auto"/>
                    <w:bottom w:val="none" w:sz="0" w:space="0" w:color="auto"/>
                    <w:right w:val="none" w:sz="0" w:space="0" w:color="auto"/>
                  </w:divBdr>
                  <w:divsChild>
                    <w:div w:id="594363533">
                      <w:marLeft w:val="0"/>
                      <w:marRight w:val="0"/>
                      <w:marTop w:val="0"/>
                      <w:marBottom w:val="0"/>
                      <w:divBdr>
                        <w:top w:val="none" w:sz="0" w:space="0" w:color="auto"/>
                        <w:left w:val="none" w:sz="0" w:space="0" w:color="auto"/>
                        <w:bottom w:val="none" w:sz="0" w:space="0" w:color="auto"/>
                        <w:right w:val="none" w:sz="0" w:space="0" w:color="auto"/>
                      </w:divBdr>
                    </w:div>
                  </w:divsChild>
                </w:div>
                <w:div w:id="90900341">
                  <w:marLeft w:val="0"/>
                  <w:marRight w:val="0"/>
                  <w:marTop w:val="0"/>
                  <w:marBottom w:val="0"/>
                  <w:divBdr>
                    <w:top w:val="none" w:sz="0" w:space="0" w:color="auto"/>
                    <w:left w:val="none" w:sz="0" w:space="0" w:color="auto"/>
                    <w:bottom w:val="none" w:sz="0" w:space="0" w:color="auto"/>
                    <w:right w:val="none" w:sz="0" w:space="0" w:color="auto"/>
                  </w:divBdr>
                  <w:divsChild>
                    <w:div w:id="85806239">
                      <w:marLeft w:val="0"/>
                      <w:marRight w:val="0"/>
                      <w:marTop w:val="0"/>
                      <w:marBottom w:val="0"/>
                      <w:divBdr>
                        <w:top w:val="none" w:sz="0" w:space="0" w:color="auto"/>
                        <w:left w:val="none" w:sz="0" w:space="0" w:color="auto"/>
                        <w:bottom w:val="none" w:sz="0" w:space="0" w:color="auto"/>
                        <w:right w:val="none" w:sz="0" w:space="0" w:color="auto"/>
                      </w:divBdr>
                    </w:div>
                  </w:divsChild>
                </w:div>
                <w:div w:id="102654150">
                  <w:marLeft w:val="0"/>
                  <w:marRight w:val="0"/>
                  <w:marTop w:val="0"/>
                  <w:marBottom w:val="0"/>
                  <w:divBdr>
                    <w:top w:val="none" w:sz="0" w:space="0" w:color="auto"/>
                    <w:left w:val="none" w:sz="0" w:space="0" w:color="auto"/>
                    <w:bottom w:val="none" w:sz="0" w:space="0" w:color="auto"/>
                    <w:right w:val="none" w:sz="0" w:space="0" w:color="auto"/>
                  </w:divBdr>
                  <w:divsChild>
                    <w:div w:id="632563905">
                      <w:marLeft w:val="0"/>
                      <w:marRight w:val="0"/>
                      <w:marTop w:val="0"/>
                      <w:marBottom w:val="0"/>
                      <w:divBdr>
                        <w:top w:val="none" w:sz="0" w:space="0" w:color="auto"/>
                        <w:left w:val="none" w:sz="0" w:space="0" w:color="auto"/>
                        <w:bottom w:val="none" w:sz="0" w:space="0" w:color="auto"/>
                        <w:right w:val="none" w:sz="0" w:space="0" w:color="auto"/>
                      </w:divBdr>
                    </w:div>
                  </w:divsChild>
                </w:div>
                <w:div w:id="103548327">
                  <w:marLeft w:val="0"/>
                  <w:marRight w:val="0"/>
                  <w:marTop w:val="0"/>
                  <w:marBottom w:val="0"/>
                  <w:divBdr>
                    <w:top w:val="none" w:sz="0" w:space="0" w:color="auto"/>
                    <w:left w:val="none" w:sz="0" w:space="0" w:color="auto"/>
                    <w:bottom w:val="none" w:sz="0" w:space="0" w:color="auto"/>
                    <w:right w:val="none" w:sz="0" w:space="0" w:color="auto"/>
                  </w:divBdr>
                  <w:divsChild>
                    <w:div w:id="1010717679">
                      <w:marLeft w:val="0"/>
                      <w:marRight w:val="0"/>
                      <w:marTop w:val="0"/>
                      <w:marBottom w:val="0"/>
                      <w:divBdr>
                        <w:top w:val="none" w:sz="0" w:space="0" w:color="auto"/>
                        <w:left w:val="none" w:sz="0" w:space="0" w:color="auto"/>
                        <w:bottom w:val="none" w:sz="0" w:space="0" w:color="auto"/>
                        <w:right w:val="none" w:sz="0" w:space="0" w:color="auto"/>
                      </w:divBdr>
                    </w:div>
                  </w:divsChild>
                </w:div>
                <w:div w:id="112870688">
                  <w:marLeft w:val="0"/>
                  <w:marRight w:val="0"/>
                  <w:marTop w:val="0"/>
                  <w:marBottom w:val="0"/>
                  <w:divBdr>
                    <w:top w:val="none" w:sz="0" w:space="0" w:color="auto"/>
                    <w:left w:val="none" w:sz="0" w:space="0" w:color="auto"/>
                    <w:bottom w:val="none" w:sz="0" w:space="0" w:color="auto"/>
                    <w:right w:val="none" w:sz="0" w:space="0" w:color="auto"/>
                  </w:divBdr>
                  <w:divsChild>
                    <w:div w:id="1155340410">
                      <w:marLeft w:val="0"/>
                      <w:marRight w:val="0"/>
                      <w:marTop w:val="0"/>
                      <w:marBottom w:val="0"/>
                      <w:divBdr>
                        <w:top w:val="none" w:sz="0" w:space="0" w:color="auto"/>
                        <w:left w:val="none" w:sz="0" w:space="0" w:color="auto"/>
                        <w:bottom w:val="none" w:sz="0" w:space="0" w:color="auto"/>
                        <w:right w:val="none" w:sz="0" w:space="0" w:color="auto"/>
                      </w:divBdr>
                    </w:div>
                  </w:divsChild>
                </w:div>
                <w:div w:id="130100243">
                  <w:marLeft w:val="0"/>
                  <w:marRight w:val="0"/>
                  <w:marTop w:val="0"/>
                  <w:marBottom w:val="0"/>
                  <w:divBdr>
                    <w:top w:val="none" w:sz="0" w:space="0" w:color="auto"/>
                    <w:left w:val="none" w:sz="0" w:space="0" w:color="auto"/>
                    <w:bottom w:val="none" w:sz="0" w:space="0" w:color="auto"/>
                    <w:right w:val="none" w:sz="0" w:space="0" w:color="auto"/>
                  </w:divBdr>
                  <w:divsChild>
                    <w:div w:id="304238331">
                      <w:marLeft w:val="0"/>
                      <w:marRight w:val="0"/>
                      <w:marTop w:val="0"/>
                      <w:marBottom w:val="0"/>
                      <w:divBdr>
                        <w:top w:val="none" w:sz="0" w:space="0" w:color="auto"/>
                        <w:left w:val="none" w:sz="0" w:space="0" w:color="auto"/>
                        <w:bottom w:val="none" w:sz="0" w:space="0" w:color="auto"/>
                        <w:right w:val="none" w:sz="0" w:space="0" w:color="auto"/>
                      </w:divBdr>
                    </w:div>
                  </w:divsChild>
                </w:div>
                <w:div w:id="139856943">
                  <w:marLeft w:val="0"/>
                  <w:marRight w:val="0"/>
                  <w:marTop w:val="0"/>
                  <w:marBottom w:val="0"/>
                  <w:divBdr>
                    <w:top w:val="none" w:sz="0" w:space="0" w:color="auto"/>
                    <w:left w:val="none" w:sz="0" w:space="0" w:color="auto"/>
                    <w:bottom w:val="none" w:sz="0" w:space="0" w:color="auto"/>
                    <w:right w:val="none" w:sz="0" w:space="0" w:color="auto"/>
                  </w:divBdr>
                  <w:divsChild>
                    <w:div w:id="1165315091">
                      <w:marLeft w:val="0"/>
                      <w:marRight w:val="0"/>
                      <w:marTop w:val="0"/>
                      <w:marBottom w:val="0"/>
                      <w:divBdr>
                        <w:top w:val="none" w:sz="0" w:space="0" w:color="auto"/>
                        <w:left w:val="none" w:sz="0" w:space="0" w:color="auto"/>
                        <w:bottom w:val="none" w:sz="0" w:space="0" w:color="auto"/>
                        <w:right w:val="none" w:sz="0" w:space="0" w:color="auto"/>
                      </w:divBdr>
                    </w:div>
                  </w:divsChild>
                </w:div>
                <w:div w:id="152841659">
                  <w:marLeft w:val="0"/>
                  <w:marRight w:val="0"/>
                  <w:marTop w:val="0"/>
                  <w:marBottom w:val="0"/>
                  <w:divBdr>
                    <w:top w:val="none" w:sz="0" w:space="0" w:color="auto"/>
                    <w:left w:val="none" w:sz="0" w:space="0" w:color="auto"/>
                    <w:bottom w:val="none" w:sz="0" w:space="0" w:color="auto"/>
                    <w:right w:val="none" w:sz="0" w:space="0" w:color="auto"/>
                  </w:divBdr>
                  <w:divsChild>
                    <w:div w:id="1027096581">
                      <w:marLeft w:val="0"/>
                      <w:marRight w:val="0"/>
                      <w:marTop w:val="0"/>
                      <w:marBottom w:val="0"/>
                      <w:divBdr>
                        <w:top w:val="none" w:sz="0" w:space="0" w:color="auto"/>
                        <w:left w:val="none" w:sz="0" w:space="0" w:color="auto"/>
                        <w:bottom w:val="none" w:sz="0" w:space="0" w:color="auto"/>
                        <w:right w:val="none" w:sz="0" w:space="0" w:color="auto"/>
                      </w:divBdr>
                    </w:div>
                  </w:divsChild>
                </w:div>
                <w:div w:id="164519740">
                  <w:marLeft w:val="0"/>
                  <w:marRight w:val="0"/>
                  <w:marTop w:val="0"/>
                  <w:marBottom w:val="0"/>
                  <w:divBdr>
                    <w:top w:val="none" w:sz="0" w:space="0" w:color="auto"/>
                    <w:left w:val="none" w:sz="0" w:space="0" w:color="auto"/>
                    <w:bottom w:val="none" w:sz="0" w:space="0" w:color="auto"/>
                    <w:right w:val="none" w:sz="0" w:space="0" w:color="auto"/>
                  </w:divBdr>
                  <w:divsChild>
                    <w:div w:id="647634599">
                      <w:marLeft w:val="0"/>
                      <w:marRight w:val="0"/>
                      <w:marTop w:val="0"/>
                      <w:marBottom w:val="0"/>
                      <w:divBdr>
                        <w:top w:val="none" w:sz="0" w:space="0" w:color="auto"/>
                        <w:left w:val="none" w:sz="0" w:space="0" w:color="auto"/>
                        <w:bottom w:val="none" w:sz="0" w:space="0" w:color="auto"/>
                        <w:right w:val="none" w:sz="0" w:space="0" w:color="auto"/>
                      </w:divBdr>
                    </w:div>
                  </w:divsChild>
                </w:div>
                <w:div w:id="169878559">
                  <w:marLeft w:val="0"/>
                  <w:marRight w:val="0"/>
                  <w:marTop w:val="0"/>
                  <w:marBottom w:val="0"/>
                  <w:divBdr>
                    <w:top w:val="none" w:sz="0" w:space="0" w:color="auto"/>
                    <w:left w:val="none" w:sz="0" w:space="0" w:color="auto"/>
                    <w:bottom w:val="none" w:sz="0" w:space="0" w:color="auto"/>
                    <w:right w:val="none" w:sz="0" w:space="0" w:color="auto"/>
                  </w:divBdr>
                  <w:divsChild>
                    <w:div w:id="1335256425">
                      <w:marLeft w:val="0"/>
                      <w:marRight w:val="0"/>
                      <w:marTop w:val="0"/>
                      <w:marBottom w:val="0"/>
                      <w:divBdr>
                        <w:top w:val="none" w:sz="0" w:space="0" w:color="auto"/>
                        <w:left w:val="none" w:sz="0" w:space="0" w:color="auto"/>
                        <w:bottom w:val="none" w:sz="0" w:space="0" w:color="auto"/>
                        <w:right w:val="none" w:sz="0" w:space="0" w:color="auto"/>
                      </w:divBdr>
                    </w:div>
                  </w:divsChild>
                </w:div>
                <w:div w:id="170263872">
                  <w:marLeft w:val="0"/>
                  <w:marRight w:val="0"/>
                  <w:marTop w:val="0"/>
                  <w:marBottom w:val="0"/>
                  <w:divBdr>
                    <w:top w:val="none" w:sz="0" w:space="0" w:color="auto"/>
                    <w:left w:val="none" w:sz="0" w:space="0" w:color="auto"/>
                    <w:bottom w:val="none" w:sz="0" w:space="0" w:color="auto"/>
                    <w:right w:val="none" w:sz="0" w:space="0" w:color="auto"/>
                  </w:divBdr>
                  <w:divsChild>
                    <w:div w:id="6492161">
                      <w:marLeft w:val="0"/>
                      <w:marRight w:val="0"/>
                      <w:marTop w:val="0"/>
                      <w:marBottom w:val="0"/>
                      <w:divBdr>
                        <w:top w:val="none" w:sz="0" w:space="0" w:color="auto"/>
                        <w:left w:val="none" w:sz="0" w:space="0" w:color="auto"/>
                        <w:bottom w:val="none" w:sz="0" w:space="0" w:color="auto"/>
                        <w:right w:val="none" w:sz="0" w:space="0" w:color="auto"/>
                      </w:divBdr>
                    </w:div>
                  </w:divsChild>
                </w:div>
                <w:div w:id="171382629">
                  <w:marLeft w:val="0"/>
                  <w:marRight w:val="0"/>
                  <w:marTop w:val="0"/>
                  <w:marBottom w:val="0"/>
                  <w:divBdr>
                    <w:top w:val="none" w:sz="0" w:space="0" w:color="auto"/>
                    <w:left w:val="none" w:sz="0" w:space="0" w:color="auto"/>
                    <w:bottom w:val="none" w:sz="0" w:space="0" w:color="auto"/>
                    <w:right w:val="none" w:sz="0" w:space="0" w:color="auto"/>
                  </w:divBdr>
                  <w:divsChild>
                    <w:div w:id="1172992976">
                      <w:marLeft w:val="0"/>
                      <w:marRight w:val="0"/>
                      <w:marTop w:val="0"/>
                      <w:marBottom w:val="0"/>
                      <w:divBdr>
                        <w:top w:val="none" w:sz="0" w:space="0" w:color="auto"/>
                        <w:left w:val="none" w:sz="0" w:space="0" w:color="auto"/>
                        <w:bottom w:val="none" w:sz="0" w:space="0" w:color="auto"/>
                        <w:right w:val="none" w:sz="0" w:space="0" w:color="auto"/>
                      </w:divBdr>
                    </w:div>
                  </w:divsChild>
                </w:div>
                <w:div w:id="187447756">
                  <w:marLeft w:val="0"/>
                  <w:marRight w:val="0"/>
                  <w:marTop w:val="0"/>
                  <w:marBottom w:val="0"/>
                  <w:divBdr>
                    <w:top w:val="none" w:sz="0" w:space="0" w:color="auto"/>
                    <w:left w:val="none" w:sz="0" w:space="0" w:color="auto"/>
                    <w:bottom w:val="none" w:sz="0" w:space="0" w:color="auto"/>
                    <w:right w:val="none" w:sz="0" w:space="0" w:color="auto"/>
                  </w:divBdr>
                  <w:divsChild>
                    <w:div w:id="894706080">
                      <w:marLeft w:val="0"/>
                      <w:marRight w:val="0"/>
                      <w:marTop w:val="0"/>
                      <w:marBottom w:val="0"/>
                      <w:divBdr>
                        <w:top w:val="none" w:sz="0" w:space="0" w:color="auto"/>
                        <w:left w:val="none" w:sz="0" w:space="0" w:color="auto"/>
                        <w:bottom w:val="none" w:sz="0" w:space="0" w:color="auto"/>
                        <w:right w:val="none" w:sz="0" w:space="0" w:color="auto"/>
                      </w:divBdr>
                    </w:div>
                  </w:divsChild>
                </w:div>
                <w:div w:id="193886454">
                  <w:marLeft w:val="0"/>
                  <w:marRight w:val="0"/>
                  <w:marTop w:val="0"/>
                  <w:marBottom w:val="0"/>
                  <w:divBdr>
                    <w:top w:val="none" w:sz="0" w:space="0" w:color="auto"/>
                    <w:left w:val="none" w:sz="0" w:space="0" w:color="auto"/>
                    <w:bottom w:val="none" w:sz="0" w:space="0" w:color="auto"/>
                    <w:right w:val="none" w:sz="0" w:space="0" w:color="auto"/>
                  </w:divBdr>
                  <w:divsChild>
                    <w:div w:id="2038039749">
                      <w:marLeft w:val="0"/>
                      <w:marRight w:val="0"/>
                      <w:marTop w:val="0"/>
                      <w:marBottom w:val="0"/>
                      <w:divBdr>
                        <w:top w:val="none" w:sz="0" w:space="0" w:color="auto"/>
                        <w:left w:val="none" w:sz="0" w:space="0" w:color="auto"/>
                        <w:bottom w:val="none" w:sz="0" w:space="0" w:color="auto"/>
                        <w:right w:val="none" w:sz="0" w:space="0" w:color="auto"/>
                      </w:divBdr>
                    </w:div>
                  </w:divsChild>
                </w:div>
                <w:div w:id="245697979">
                  <w:marLeft w:val="0"/>
                  <w:marRight w:val="0"/>
                  <w:marTop w:val="0"/>
                  <w:marBottom w:val="0"/>
                  <w:divBdr>
                    <w:top w:val="none" w:sz="0" w:space="0" w:color="auto"/>
                    <w:left w:val="none" w:sz="0" w:space="0" w:color="auto"/>
                    <w:bottom w:val="none" w:sz="0" w:space="0" w:color="auto"/>
                    <w:right w:val="none" w:sz="0" w:space="0" w:color="auto"/>
                  </w:divBdr>
                  <w:divsChild>
                    <w:div w:id="853958026">
                      <w:marLeft w:val="0"/>
                      <w:marRight w:val="0"/>
                      <w:marTop w:val="0"/>
                      <w:marBottom w:val="0"/>
                      <w:divBdr>
                        <w:top w:val="none" w:sz="0" w:space="0" w:color="auto"/>
                        <w:left w:val="none" w:sz="0" w:space="0" w:color="auto"/>
                        <w:bottom w:val="none" w:sz="0" w:space="0" w:color="auto"/>
                        <w:right w:val="none" w:sz="0" w:space="0" w:color="auto"/>
                      </w:divBdr>
                    </w:div>
                  </w:divsChild>
                </w:div>
                <w:div w:id="274754294">
                  <w:marLeft w:val="0"/>
                  <w:marRight w:val="0"/>
                  <w:marTop w:val="0"/>
                  <w:marBottom w:val="0"/>
                  <w:divBdr>
                    <w:top w:val="none" w:sz="0" w:space="0" w:color="auto"/>
                    <w:left w:val="none" w:sz="0" w:space="0" w:color="auto"/>
                    <w:bottom w:val="none" w:sz="0" w:space="0" w:color="auto"/>
                    <w:right w:val="none" w:sz="0" w:space="0" w:color="auto"/>
                  </w:divBdr>
                  <w:divsChild>
                    <w:div w:id="1905288356">
                      <w:marLeft w:val="0"/>
                      <w:marRight w:val="0"/>
                      <w:marTop w:val="0"/>
                      <w:marBottom w:val="0"/>
                      <w:divBdr>
                        <w:top w:val="none" w:sz="0" w:space="0" w:color="auto"/>
                        <w:left w:val="none" w:sz="0" w:space="0" w:color="auto"/>
                        <w:bottom w:val="none" w:sz="0" w:space="0" w:color="auto"/>
                        <w:right w:val="none" w:sz="0" w:space="0" w:color="auto"/>
                      </w:divBdr>
                    </w:div>
                  </w:divsChild>
                </w:div>
                <w:div w:id="333194636">
                  <w:marLeft w:val="0"/>
                  <w:marRight w:val="0"/>
                  <w:marTop w:val="0"/>
                  <w:marBottom w:val="0"/>
                  <w:divBdr>
                    <w:top w:val="none" w:sz="0" w:space="0" w:color="auto"/>
                    <w:left w:val="none" w:sz="0" w:space="0" w:color="auto"/>
                    <w:bottom w:val="none" w:sz="0" w:space="0" w:color="auto"/>
                    <w:right w:val="none" w:sz="0" w:space="0" w:color="auto"/>
                  </w:divBdr>
                  <w:divsChild>
                    <w:div w:id="1140730777">
                      <w:marLeft w:val="0"/>
                      <w:marRight w:val="0"/>
                      <w:marTop w:val="0"/>
                      <w:marBottom w:val="0"/>
                      <w:divBdr>
                        <w:top w:val="none" w:sz="0" w:space="0" w:color="auto"/>
                        <w:left w:val="none" w:sz="0" w:space="0" w:color="auto"/>
                        <w:bottom w:val="none" w:sz="0" w:space="0" w:color="auto"/>
                        <w:right w:val="none" w:sz="0" w:space="0" w:color="auto"/>
                      </w:divBdr>
                    </w:div>
                  </w:divsChild>
                </w:div>
                <w:div w:id="346835292">
                  <w:marLeft w:val="0"/>
                  <w:marRight w:val="0"/>
                  <w:marTop w:val="0"/>
                  <w:marBottom w:val="0"/>
                  <w:divBdr>
                    <w:top w:val="none" w:sz="0" w:space="0" w:color="auto"/>
                    <w:left w:val="none" w:sz="0" w:space="0" w:color="auto"/>
                    <w:bottom w:val="none" w:sz="0" w:space="0" w:color="auto"/>
                    <w:right w:val="none" w:sz="0" w:space="0" w:color="auto"/>
                  </w:divBdr>
                  <w:divsChild>
                    <w:div w:id="1371219948">
                      <w:marLeft w:val="0"/>
                      <w:marRight w:val="0"/>
                      <w:marTop w:val="0"/>
                      <w:marBottom w:val="0"/>
                      <w:divBdr>
                        <w:top w:val="none" w:sz="0" w:space="0" w:color="auto"/>
                        <w:left w:val="none" w:sz="0" w:space="0" w:color="auto"/>
                        <w:bottom w:val="none" w:sz="0" w:space="0" w:color="auto"/>
                        <w:right w:val="none" w:sz="0" w:space="0" w:color="auto"/>
                      </w:divBdr>
                    </w:div>
                  </w:divsChild>
                </w:div>
                <w:div w:id="354618342">
                  <w:marLeft w:val="0"/>
                  <w:marRight w:val="0"/>
                  <w:marTop w:val="0"/>
                  <w:marBottom w:val="0"/>
                  <w:divBdr>
                    <w:top w:val="none" w:sz="0" w:space="0" w:color="auto"/>
                    <w:left w:val="none" w:sz="0" w:space="0" w:color="auto"/>
                    <w:bottom w:val="none" w:sz="0" w:space="0" w:color="auto"/>
                    <w:right w:val="none" w:sz="0" w:space="0" w:color="auto"/>
                  </w:divBdr>
                  <w:divsChild>
                    <w:div w:id="1218974989">
                      <w:marLeft w:val="0"/>
                      <w:marRight w:val="0"/>
                      <w:marTop w:val="0"/>
                      <w:marBottom w:val="0"/>
                      <w:divBdr>
                        <w:top w:val="none" w:sz="0" w:space="0" w:color="auto"/>
                        <w:left w:val="none" w:sz="0" w:space="0" w:color="auto"/>
                        <w:bottom w:val="none" w:sz="0" w:space="0" w:color="auto"/>
                        <w:right w:val="none" w:sz="0" w:space="0" w:color="auto"/>
                      </w:divBdr>
                    </w:div>
                  </w:divsChild>
                </w:div>
                <w:div w:id="363410083">
                  <w:marLeft w:val="0"/>
                  <w:marRight w:val="0"/>
                  <w:marTop w:val="0"/>
                  <w:marBottom w:val="0"/>
                  <w:divBdr>
                    <w:top w:val="none" w:sz="0" w:space="0" w:color="auto"/>
                    <w:left w:val="none" w:sz="0" w:space="0" w:color="auto"/>
                    <w:bottom w:val="none" w:sz="0" w:space="0" w:color="auto"/>
                    <w:right w:val="none" w:sz="0" w:space="0" w:color="auto"/>
                  </w:divBdr>
                  <w:divsChild>
                    <w:div w:id="1954701336">
                      <w:marLeft w:val="0"/>
                      <w:marRight w:val="0"/>
                      <w:marTop w:val="0"/>
                      <w:marBottom w:val="0"/>
                      <w:divBdr>
                        <w:top w:val="none" w:sz="0" w:space="0" w:color="auto"/>
                        <w:left w:val="none" w:sz="0" w:space="0" w:color="auto"/>
                        <w:bottom w:val="none" w:sz="0" w:space="0" w:color="auto"/>
                        <w:right w:val="none" w:sz="0" w:space="0" w:color="auto"/>
                      </w:divBdr>
                    </w:div>
                  </w:divsChild>
                </w:div>
                <w:div w:id="369493969">
                  <w:marLeft w:val="0"/>
                  <w:marRight w:val="0"/>
                  <w:marTop w:val="0"/>
                  <w:marBottom w:val="0"/>
                  <w:divBdr>
                    <w:top w:val="none" w:sz="0" w:space="0" w:color="auto"/>
                    <w:left w:val="none" w:sz="0" w:space="0" w:color="auto"/>
                    <w:bottom w:val="none" w:sz="0" w:space="0" w:color="auto"/>
                    <w:right w:val="none" w:sz="0" w:space="0" w:color="auto"/>
                  </w:divBdr>
                  <w:divsChild>
                    <w:div w:id="992681860">
                      <w:marLeft w:val="0"/>
                      <w:marRight w:val="0"/>
                      <w:marTop w:val="0"/>
                      <w:marBottom w:val="0"/>
                      <w:divBdr>
                        <w:top w:val="none" w:sz="0" w:space="0" w:color="auto"/>
                        <w:left w:val="none" w:sz="0" w:space="0" w:color="auto"/>
                        <w:bottom w:val="none" w:sz="0" w:space="0" w:color="auto"/>
                        <w:right w:val="none" w:sz="0" w:space="0" w:color="auto"/>
                      </w:divBdr>
                    </w:div>
                  </w:divsChild>
                </w:div>
                <w:div w:id="387075928">
                  <w:marLeft w:val="0"/>
                  <w:marRight w:val="0"/>
                  <w:marTop w:val="0"/>
                  <w:marBottom w:val="0"/>
                  <w:divBdr>
                    <w:top w:val="none" w:sz="0" w:space="0" w:color="auto"/>
                    <w:left w:val="none" w:sz="0" w:space="0" w:color="auto"/>
                    <w:bottom w:val="none" w:sz="0" w:space="0" w:color="auto"/>
                    <w:right w:val="none" w:sz="0" w:space="0" w:color="auto"/>
                  </w:divBdr>
                  <w:divsChild>
                    <w:div w:id="777530879">
                      <w:marLeft w:val="0"/>
                      <w:marRight w:val="0"/>
                      <w:marTop w:val="0"/>
                      <w:marBottom w:val="0"/>
                      <w:divBdr>
                        <w:top w:val="none" w:sz="0" w:space="0" w:color="auto"/>
                        <w:left w:val="none" w:sz="0" w:space="0" w:color="auto"/>
                        <w:bottom w:val="none" w:sz="0" w:space="0" w:color="auto"/>
                        <w:right w:val="none" w:sz="0" w:space="0" w:color="auto"/>
                      </w:divBdr>
                    </w:div>
                  </w:divsChild>
                </w:div>
                <w:div w:id="387657412">
                  <w:marLeft w:val="0"/>
                  <w:marRight w:val="0"/>
                  <w:marTop w:val="0"/>
                  <w:marBottom w:val="0"/>
                  <w:divBdr>
                    <w:top w:val="none" w:sz="0" w:space="0" w:color="auto"/>
                    <w:left w:val="none" w:sz="0" w:space="0" w:color="auto"/>
                    <w:bottom w:val="none" w:sz="0" w:space="0" w:color="auto"/>
                    <w:right w:val="none" w:sz="0" w:space="0" w:color="auto"/>
                  </w:divBdr>
                  <w:divsChild>
                    <w:div w:id="1427340471">
                      <w:marLeft w:val="0"/>
                      <w:marRight w:val="0"/>
                      <w:marTop w:val="0"/>
                      <w:marBottom w:val="0"/>
                      <w:divBdr>
                        <w:top w:val="none" w:sz="0" w:space="0" w:color="auto"/>
                        <w:left w:val="none" w:sz="0" w:space="0" w:color="auto"/>
                        <w:bottom w:val="none" w:sz="0" w:space="0" w:color="auto"/>
                        <w:right w:val="none" w:sz="0" w:space="0" w:color="auto"/>
                      </w:divBdr>
                    </w:div>
                  </w:divsChild>
                </w:div>
                <w:div w:id="389310438">
                  <w:marLeft w:val="0"/>
                  <w:marRight w:val="0"/>
                  <w:marTop w:val="0"/>
                  <w:marBottom w:val="0"/>
                  <w:divBdr>
                    <w:top w:val="none" w:sz="0" w:space="0" w:color="auto"/>
                    <w:left w:val="none" w:sz="0" w:space="0" w:color="auto"/>
                    <w:bottom w:val="none" w:sz="0" w:space="0" w:color="auto"/>
                    <w:right w:val="none" w:sz="0" w:space="0" w:color="auto"/>
                  </w:divBdr>
                  <w:divsChild>
                    <w:div w:id="1968774850">
                      <w:marLeft w:val="0"/>
                      <w:marRight w:val="0"/>
                      <w:marTop w:val="0"/>
                      <w:marBottom w:val="0"/>
                      <w:divBdr>
                        <w:top w:val="none" w:sz="0" w:space="0" w:color="auto"/>
                        <w:left w:val="none" w:sz="0" w:space="0" w:color="auto"/>
                        <w:bottom w:val="none" w:sz="0" w:space="0" w:color="auto"/>
                        <w:right w:val="none" w:sz="0" w:space="0" w:color="auto"/>
                      </w:divBdr>
                    </w:div>
                  </w:divsChild>
                </w:div>
                <w:div w:id="418330770">
                  <w:marLeft w:val="0"/>
                  <w:marRight w:val="0"/>
                  <w:marTop w:val="0"/>
                  <w:marBottom w:val="0"/>
                  <w:divBdr>
                    <w:top w:val="none" w:sz="0" w:space="0" w:color="auto"/>
                    <w:left w:val="none" w:sz="0" w:space="0" w:color="auto"/>
                    <w:bottom w:val="none" w:sz="0" w:space="0" w:color="auto"/>
                    <w:right w:val="none" w:sz="0" w:space="0" w:color="auto"/>
                  </w:divBdr>
                  <w:divsChild>
                    <w:div w:id="1329822449">
                      <w:marLeft w:val="0"/>
                      <w:marRight w:val="0"/>
                      <w:marTop w:val="0"/>
                      <w:marBottom w:val="0"/>
                      <w:divBdr>
                        <w:top w:val="none" w:sz="0" w:space="0" w:color="auto"/>
                        <w:left w:val="none" w:sz="0" w:space="0" w:color="auto"/>
                        <w:bottom w:val="none" w:sz="0" w:space="0" w:color="auto"/>
                        <w:right w:val="none" w:sz="0" w:space="0" w:color="auto"/>
                      </w:divBdr>
                    </w:div>
                  </w:divsChild>
                </w:div>
                <w:div w:id="429861495">
                  <w:marLeft w:val="0"/>
                  <w:marRight w:val="0"/>
                  <w:marTop w:val="0"/>
                  <w:marBottom w:val="0"/>
                  <w:divBdr>
                    <w:top w:val="none" w:sz="0" w:space="0" w:color="auto"/>
                    <w:left w:val="none" w:sz="0" w:space="0" w:color="auto"/>
                    <w:bottom w:val="none" w:sz="0" w:space="0" w:color="auto"/>
                    <w:right w:val="none" w:sz="0" w:space="0" w:color="auto"/>
                  </w:divBdr>
                  <w:divsChild>
                    <w:div w:id="179202343">
                      <w:marLeft w:val="0"/>
                      <w:marRight w:val="0"/>
                      <w:marTop w:val="0"/>
                      <w:marBottom w:val="0"/>
                      <w:divBdr>
                        <w:top w:val="none" w:sz="0" w:space="0" w:color="auto"/>
                        <w:left w:val="none" w:sz="0" w:space="0" w:color="auto"/>
                        <w:bottom w:val="none" w:sz="0" w:space="0" w:color="auto"/>
                        <w:right w:val="none" w:sz="0" w:space="0" w:color="auto"/>
                      </w:divBdr>
                    </w:div>
                  </w:divsChild>
                </w:div>
                <w:div w:id="463741918">
                  <w:marLeft w:val="0"/>
                  <w:marRight w:val="0"/>
                  <w:marTop w:val="0"/>
                  <w:marBottom w:val="0"/>
                  <w:divBdr>
                    <w:top w:val="none" w:sz="0" w:space="0" w:color="auto"/>
                    <w:left w:val="none" w:sz="0" w:space="0" w:color="auto"/>
                    <w:bottom w:val="none" w:sz="0" w:space="0" w:color="auto"/>
                    <w:right w:val="none" w:sz="0" w:space="0" w:color="auto"/>
                  </w:divBdr>
                  <w:divsChild>
                    <w:div w:id="320932285">
                      <w:marLeft w:val="0"/>
                      <w:marRight w:val="0"/>
                      <w:marTop w:val="0"/>
                      <w:marBottom w:val="0"/>
                      <w:divBdr>
                        <w:top w:val="none" w:sz="0" w:space="0" w:color="auto"/>
                        <w:left w:val="none" w:sz="0" w:space="0" w:color="auto"/>
                        <w:bottom w:val="none" w:sz="0" w:space="0" w:color="auto"/>
                        <w:right w:val="none" w:sz="0" w:space="0" w:color="auto"/>
                      </w:divBdr>
                    </w:div>
                  </w:divsChild>
                </w:div>
                <w:div w:id="485711853">
                  <w:marLeft w:val="0"/>
                  <w:marRight w:val="0"/>
                  <w:marTop w:val="0"/>
                  <w:marBottom w:val="0"/>
                  <w:divBdr>
                    <w:top w:val="none" w:sz="0" w:space="0" w:color="auto"/>
                    <w:left w:val="none" w:sz="0" w:space="0" w:color="auto"/>
                    <w:bottom w:val="none" w:sz="0" w:space="0" w:color="auto"/>
                    <w:right w:val="none" w:sz="0" w:space="0" w:color="auto"/>
                  </w:divBdr>
                  <w:divsChild>
                    <w:div w:id="1515268380">
                      <w:marLeft w:val="0"/>
                      <w:marRight w:val="0"/>
                      <w:marTop w:val="0"/>
                      <w:marBottom w:val="0"/>
                      <w:divBdr>
                        <w:top w:val="none" w:sz="0" w:space="0" w:color="auto"/>
                        <w:left w:val="none" w:sz="0" w:space="0" w:color="auto"/>
                        <w:bottom w:val="none" w:sz="0" w:space="0" w:color="auto"/>
                        <w:right w:val="none" w:sz="0" w:space="0" w:color="auto"/>
                      </w:divBdr>
                    </w:div>
                  </w:divsChild>
                </w:div>
                <w:div w:id="496849631">
                  <w:marLeft w:val="0"/>
                  <w:marRight w:val="0"/>
                  <w:marTop w:val="0"/>
                  <w:marBottom w:val="0"/>
                  <w:divBdr>
                    <w:top w:val="none" w:sz="0" w:space="0" w:color="auto"/>
                    <w:left w:val="none" w:sz="0" w:space="0" w:color="auto"/>
                    <w:bottom w:val="none" w:sz="0" w:space="0" w:color="auto"/>
                    <w:right w:val="none" w:sz="0" w:space="0" w:color="auto"/>
                  </w:divBdr>
                  <w:divsChild>
                    <w:div w:id="1153302769">
                      <w:marLeft w:val="0"/>
                      <w:marRight w:val="0"/>
                      <w:marTop w:val="0"/>
                      <w:marBottom w:val="0"/>
                      <w:divBdr>
                        <w:top w:val="none" w:sz="0" w:space="0" w:color="auto"/>
                        <w:left w:val="none" w:sz="0" w:space="0" w:color="auto"/>
                        <w:bottom w:val="none" w:sz="0" w:space="0" w:color="auto"/>
                        <w:right w:val="none" w:sz="0" w:space="0" w:color="auto"/>
                      </w:divBdr>
                    </w:div>
                  </w:divsChild>
                </w:div>
                <w:div w:id="501940519">
                  <w:marLeft w:val="0"/>
                  <w:marRight w:val="0"/>
                  <w:marTop w:val="0"/>
                  <w:marBottom w:val="0"/>
                  <w:divBdr>
                    <w:top w:val="none" w:sz="0" w:space="0" w:color="auto"/>
                    <w:left w:val="none" w:sz="0" w:space="0" w:color="auto"/>
                    <w:bottom w:val="none" w:sz="0" w:space="0" w:color="auto"/>
                    <w:right w:val="none" w:sz="0" w:space="0" w:color="auto"/>
                  </w:divBdr>
                  <w:divsChild>
                    <w:div w:id="1335451665">
                      <w:marLeft w:val="0"/>
                      <w:marRight w:val="0"/>
                      <w:marTop w:val="0"/>
                      <w:marBottom w:val="0"/>
                      <w:divBdr>
                        <w:top w:val="none" w:sz="0" w:space="0" w:color="auto"/>
                        <w:left w:val="none" w:sz="0" w:space="0" w:color="auto"/>
                        <w:bottom w:val="none" w:sz="0" w:space="0" w:color="auto"/>
                        <w:right w:val="none" w:sz="0" w:space="0" w:color="auto"/>
                      </w:divBdr>
                    </w:div>
                  </w:divsChild>
                </w:div>
                <w:div w:id="507912672">
                  <w:marLeft w:val="0"/>
                  <w:marRight w:val="0"/>
                  <w:marTop w:val="0"/>
                  <w:marBottom w:val="0"/>
                  <w:divBdr>
                    <w:top w:val="none" w:sz="0" w:space="0" w:color="auto"/>
                    <w:left w:val="none" w:sz="0" w:space="0" w:color="auto"/>
                    <w:bottom w:val="none" w:sz="0" w:space="0" w:color="auto"/>
                    <w:right w:val="none" w:sz="0" w:space="0" w:color="auto"/>
                  </w:divBdr>
                  <w:divsChild>
                    <w:div w:id="290404320">
                      <w:marLeft w:val="0"/>
                      <w:marRight w:val="0"/>
                      <w:marTop w:val="0"/>
                      <w:marBottom w:val="0"/>
                      <w:divBdr>
                        <w:top w:val="none" w:sz="0" w:space="0" w:color="auto"/>
                        <w:left w:val="none" w:sz="0" w:space="0" w:color="auto"/>
                        <w:bottom w:val="none" w:sz="0" w:space="0" w:color="auto"/>
                        <w:right w:val="none" w:sz="0" w:space="0" w:color="auto"/>
                      </w:divBdr>
                    </w:div>
                  </w:divsChild>
                </w:div>
                <w:div w:id="509098659">
                  <w:marLeft w:val="0"/>
                  <w:marRight w:val="0"/>
                  <w:marTop w:val="0"/>
                  <w:marBottom w:val="0"/>
                  <w:divBdr>
                    <w:top w:val="none" w:sz="0" w:space="0" w:color="auto"/>
                    <w:left w:val="none" w:sz="0" w:space="0" w:color="auto"/>
                    <w:bottom w:val="none" w:sz="0" w:space="0" w:color="auto"/>
                    <w:right w:val="none" w:sz="0" w:space="0" w:color="auto"/>
                  </w:divBdr>
                  <w:divsChild>
                    <w:div w:id="262501004">
                      <w:marLeft w:val="0"/>
                      <w:marRight w:val="0"/>
                      <w:marTop w:val="0"/>
                      <w:marBottom w:val="0"/>
                      <w:divBdr>
                        <w:top w:val="none" w:sz="0" w:space="0" w:color="auto"/>
                        <w:left w:val="none" w:sz="0" w:space="0" w:color="auto"/>
                        <w:bottom w:val="none" w:sz="0" w:space="0" w:color="auto"/>
                        <w:right w:val="none" w:sz="0" w:space="0" w:color="auto"/>
                      </w:divBdr>
                    </w:div>
                  </w:divsChild>
                </w:div>
                <w:div w:id="539976127">
                  <w:marLeft w:val="0"/>
                  <w:marRight w:val="0"/>
                  <w:marTop w:val="0"/>
                  <w:marBottom w:val="0"/>
                  <w:divBdr>
                    <w:top w:val="none" w:sz="0" w:space="0" w:color="auto"/>
                    <w:left w:val="none" w:sz="0" w:space="0" w:color="auto"/>
                    <w:bottom w:val="none" w:sz="0" w:space="0" w:color="auto"/>
                    <w:right w:val="none" w:sz="0" w:space="0" w:color="auto"/>
                  </w:divBdr>
                  <w:divsChild>
                    <w:div w:id="1973823101">
                      <w:marLeft w:val="0"/>
                      <w:marRight w:val="0"/>
                      <w:marTop w:val="0"/>
                      <w:marBottom w:val="0"/>
                      <w:divBdr>
                        <w:top w:val="none" w:sz="0" w:space="0" w:color="auto"/>
                        <w:left w:val="none" w:sz="0" w:space="0" w:color="auto"/>
                        <w:bottom w:val="none" w:sz="0" w:space="0" w:color="auto"/>
                        <w:right w:val="none" w:sz="0" w:space="0" w:color="auto"/>
                      </w:divBdr>
                    </w:div>
                  </w:divsChild>
                </w:div>
                <w:div w:id="557057418">
                  <w:marLeft w:val="0"/>
                  <w:marRight w:val="0"/>
                  <w:marTop w:val="0"/>
                  <w:marBottom w:val="0"/>
                  <w:divBdr>
                    <w:top w:val="none" w:sz="0" w:space="0" w:color="auto"/>
                    <w:left w:val="none" w:sz="0" w:space="0" w:color="auto"/>
                    <w:bottom w:val="none" w:sz="0" w:space="0" w:color="auto"/>
                    <w:right w:val="none" w:sz="0" w:space="0" w:color="auto"/>
                  </w:divBdr>
                  <w:divsChild>
                    <w:div w:id="640574272">
                      <w:marLeft w:val="0"/>
                      <w:marRight w:val="0"/>
                      <w:marTop w:val="0"/>
                      <w:marBottom w:val="0"/>
                      <w:divBdr>
                        <w:top w:val="none" w:sz="0" w:space="0" w:color="auto"/>
                        <w:left w:val="none" w:sz="0" w:space="0" w:color="auto"/>
                        <w:bottom w:val="none" w:sz="0" w:space="0" w:color="auto"/>
                        <w:right w:val="none" w:sz="0" w:space="0" w:color="auto"/>
                      </w:divBdr>
                    </w:div>
                  </w:divsChild>
                </w:div>
                <w:div w:id="561019110">
                  <w:marLeft w:val="0"/>
                  <w:marRight w:val="0"/>
                  <w:marTop w:val="0"/>
                  <w:marBottom w:val="0"/>
                  <w:divBdr>
                    <w:top w:val="none" w:sz="0" w:space="0" w:color="auto"/>
                    <w:left w:val="none" w:sz="0" w:space="0" w:color="auto"/>
                    <w:bottom w:val="none" w:sz="0" w:space="0" w:color="auto"/>
                    <w:right w:val="none" w:sz="0" w:space="0" w:color="auto"/>
                  </w:divBdr>
                  <w:divsChild>
                    <w:div w:id="1846285961">
                      <w:marLeft w:val="0"/>
                      <w:marRight w:val="0"/>
                      <w:marTop w:val="0"/>
                      <w:marBottom w:val="0"/>
                      <w:divBdr>
                        <w:top w:val="none" w:sz="0" w:space="0" w:color="auto"/>
                        <w:left w:val="none" w:sz="0" w:space="0" w:color="auto"/>
                        <w:bottom w:val="none" w:sz="0" w:space="0" w:color="auto"/>
                        <w:right w:val="none" w:sz="0" w:space="0" w:color="auto"/>
                      </w:divBdr>
                    </w:div>
                  </w:divsChild>
                </w:div>
                <w:div w:id="577372668">
                  <w:marLeft w:val="0"/>
                  <w:marRight w:val="0"/>
                  <w:marTop w:val="0"/>
                  <w:marBottom w:val="0"/>
                  <w:divBdr>
                    <w:top w:val="none" w:sz="0" w:space="0" w:color="auto"/>
                    <w:left w:val="none" w:sz="0" w:space="0" w:color="auto"/>
                    <w:bottom w:val="none" w:sz="0" w:space="0" w:color="auto"/>
                    <w:right w:val="none" w:sz="0" w:space="0" w:color="auto"/>
                  </w:divBdr>
                  <w:divsChild>
                    <w:div w:id="1022315796">
                      <w:marLeft w:val="0"/>
                      <w:marRight w:val="0"/>
                      <w:marTop w:val="0"/>
                      <w:marBottom w:val="0"/>
                      <w:divBdr>
                        <w:top w:val="none" w:sz="0" w:space="0" w:color="auto"/>
                        <w:left w:val="none" w:sz="0" w:space="0" w:color="auto"/>
                        <w:bottom w:val="none" w:sz="0" w:space="0" w:color="auto"/>
                        <w:right w:val="none" w:sz="0" w:space="0" w:color="auto"/>
                      </w:divBdr>
                    </w:div>
                  </w:divsChild>
                </w:div>
                <w:div w:id="585768403">
                  <w:marLeft w:val="0"/>
                  <w:marRight w:val="0"/>
                  <w:marTop w:val="0"/>
                  <w:marBottom w:val="0"/>
                  <w:divBdr>
                    <w:top w:val="none" w:sz="0" w:space="0" w:color="auto"/>
                    <w:left w:val="none" w:sz="0" w:space="0" w:color="auto"/>
                    <w:bottom w:val="none" w:sz="0" w:space="0" w:color="auto"/>
                    <w:right w:val="none" w:sz="0" w:space="0" w:color="auto"/>
                  </w:divBdr>
                  <w:divsChild>
                    <w:div w:id="1960525726">
                      <w:marLeft w:val="0"/>
                      <w:marRight w:val="0"/>
                      <w:marTop w:val="0"/>
                      <w:marBottom w:val="0"/>
                      <w:divBdr>
                        <w:top w:val="none" w:sz="0" w:space="0" w:color="auto"/>
                        <w:left w:val="none" w:sz="0" w:space="0" w:color="auto"/>
                        <w:bottom w:val="none" w:sz="0" w:space="0" w:color="auto"/>
                        <w:right w:val="none" w:sz="0" w:space="0" w:color="auto"/>
                      </w:divBdr>
                    </w:div>
                  </w:divsChild>
                </w:div>
                <w:div w:id="641694589">
                  <w:marLeft w:val="0"/>
                  <w:marRight w:val="0"/>
                  <w:marTop w:val="0"/>
                  <w:marBottom w:val="0"/>
                  <w:divBdr>
                    <w:top w:val="none" w:sz="0" w:space="0" w:color="auto"/>
                    <w:left w:val="none" w:sz="0" w:space="0" w:color="auto"/>
                    <w:bottom w:val="none" w:sz="0" w:space="0" w:color="auto"/>
                    <w:right w:val="none" w:sz="0" w:space="0" w:color="auto"/>
                  </w:divBdr>
                  <w:divsChild>
                    <w:div w:id="1600871381">
                      <w:marLeft w:val="0"/>
                      <w:marRight w:val="0"/>
                      <w:marTop w:val="0"/>
                      <w:marBottom w:val="0"/>
                      <w:divBdr>
                        <w:top w:val="none" w:sz="0" w:space="0" w:color="auto"/>
                        <w:left w:val="none" w:sz="0" w:space="0" w:color="auto"/>
                        <w:bottom w:val="none" w:sz="0" w:space="0" w:color="auto"/>
                        <w:right w:val="none" w:sz="0" w:space="0" w:color="auto"/>
                      </w:divBdr>
                    </w:div>
                  </w:divsChild>
                </w:div>
                <w:div w:id="653410544">
                  <w:marLeft w:val="0"/>
                  <w:marRight w:val="0"/>
                  <w:marTop w:val="0"/>
                  <w:marBottom w:val="0"/>
                  <w:divBdr>
                    <w:top w:val="none" w:sz="0" w:space="0" w:color="auto"/>
                    <w:left w:val="none" w:sz="0" w:space="0" w:color="auto"/>
                    <w:bottom w:val="none" w:sz="0" w:space="0" w:color="auto"/>
                    <w:right w:val="none" w:sz="0" w:space="0" w:color="auto"/>
                  </w:divBdr>
                  <w:divsChild>
                    <w:div w:id="409351740">
                      <w:marLeft w:val="0"/>
                      <w:marRight w:val="0"/>
                      <w:marTop w:val="0"/>
                      <w:marBottom w:val="0"/>
                      <w:divBdr>
                        <w:top w:val="none" w:sz="0" w:space="0" w:color="auto"/>
                        <w:left w:val="none" w:sz="0" w:space="0" w:color="auto"/>
                        <w:bottom w:val="none" w:sz="0" w:space="0" w:color="auto"/>
                        <w:right w:val="none" w:sz="0" w:space="0" w:color="auto"/>
                      </w:divBdr>
                    </w:div>
                  </w:divsChild>
                </w:div>
                <w:div w:id="659700509">
                  <w:marLeft w:val="0"/>
                  <w:marRight w:val="0"/>
                  <w:marTop w:val="0"/>
                  <w:marBottom w:val="0"/>
                  <w:divBdr>
                    <w:top w:val="none" w:sz="0" w:space="0" w:color="auto"/>
                    <w:left w:val="none" w:sz="0" w:space="0" w:color="auto"/>
                    <w:bottom w:val="none" w:sz="0" w:space="0" w:color="auto"/>
                    <w:right w:val="none" w:sz="0" w:space="0" w:color="auto"/>
                  </w:divBdr>
                  <w:divsChild>
                    <w:div w:id="783303812">
                      <w:marLeft w:val="0"/>
                      <w:marRight w:val="0"/>
                      <w:marTop w:val="0"/>
                      <w:marBottom w:val="0"/>
                      <w:divBdr>
                        <w:top w:val="none" w:sz="0" w:space="0" w:color="auto"/>
                        <w:left w:val="none" w:sz="0" w:space="0" w:color="auto"/>
                        <w:bottom w:val="none" w:sz="0" w:space="0" w:color="auto"/>
                        <w:right w:val="none" w:sz="0" w:space="0" w:color="auto"/>
                      </w:divBdr>
                    </w:div>
                  </w:divsChild>
                </w:div>
                <w:div w:id="737165558">
                  <w:marLeft w:val="0"/>
                  <w:marRight w:val="0"/>
                  <w:marTop w:val="0"/>
                  <w:marBottom w:val="0"/>
                  <w:divBdr>
                    <w:top w:val="none" w:sz="0" w:space="0" w:color="auto"/>
                    <w:left w:val="none" w:sz="0" w:space="0" w:color="auto"/>
                    <w:bottom w:val="none" w:sz="0" w:space="0" w:color="auto"/>
                    <w:right w:val="none" w:sz="0" w:space="0" w:color="auto"/>
                  </w:divBdr>
                  <w:divsChild>
                    <w:div w:id="815612460">
                      <w:marLeft w:val="0"/>
                      <w:marRight w:val="0"/>
                      <w:marTop w:val="0"/>
                      <w:marBottom w:val="0"/>
                      <w:divBdr>
                        <w:top w:val="none" w:sz="0" w:space="0" w:color="auto"/>
                        <w:left w:val="none" w:sz="0" w:space="0" w:color="auto"/>
                        <w:bottom w:val="none" w:sz="0" w:space="0" w:color="auto"/>
                        <w:right w:val="none" w:sz="0" w:space="0" w:color="auto"/>
                      </w:divBdr>
                    </w:div>
                  </w:divsChild>
                </w:div>
                <w:div w:id="740375699">
                  <w:marLeft w:val="0"/>
                  <w:marRight w:val="0"/>
                  <w:marTop w:val="0"/>
                  <w:marBottom w:val="0"/>
                  <w:divBdr>
                    <w:top w:val="none" w:sz="0" w:space="0" w:color="auto"/>
                    <w:left w:val="none" w:sz="0" w:space="0" w:color="auto"/>
                    <w:bottom w:val="none" w:sz="0" w:space="0" w:color="auto"/>
                    <w:right w:val="none" w:sz="0" w:space="0" w:color="auto"/>
                  </w:divBdr>
                  <w:divsChild>
                    <w:div w:id="1194659131">
                      <w:marLeft w:val="0"/>
                      <w:marRight w:val="0"/>
                      <w:marTop w:val="0"/>
                      <w:marBottom w:val="0"/>
                      <w:divBdr>
                        <w:top w:val="none" w:sz="0" w:space="0" w:color="auto"/>
                        <w:left w:val="none" w:sz="0" w:space="0" w:color="auto"/>
                        <w:bottom w:val="none" w:sz="0" w:space="0" w:color="auto"/>
                        <w:right w:val="none" w:sz="0" w:space="0" w:color="auto"/>
                      </w:divBdr>
                    </w:div>
                  </w:divsChild>
                </w:div>
                <w:div w:id="752897655">
                  <w:marLeft w:val="0"/>
                  <w:marRight w:val="0"/>
                  <w:marTop w:val="0"/>
                  <w:marBottom w:val="0"/>
                  <w:divBdr>
                    <w:top w:val="none" w:sz="0" w:space="0" w:color="auto"/>
                    <w:left w:val="none" w:sz="0" w:space="0" w:color="auto"/>
                    <w:bottom w:val="none" w:sz="0" w:space="0" w:color="auto"/>
                    <w:right w:val="none" w:sz="0" w:space="0" w:color="auto"/>
                  </w:divBdr>
                  <w:divsChild>
                    <w:div w:id="768888915">
                      <w:marLeft w:val="0"/>
                      <w:marRight w:val="0"/>
                      <w:marTop w:val="0"/>
                      <w:marBottom w:val="0"/>
                      <w:divBdr>
                        <w:top w:val="none" w:sz="0" w:space="0" w:color="auto"/>
                        <w:left w:val="none" w:sz="0" w:space="0" w:color="auto"/>
                        <w:bottom w:val="none" w:sz="0" w:space="0" w:color="auto"/>
                        <w:right w:val="none" w:sz="0" w:space="0" w:color="auto"/>
                      </w:divBdr>
                    </w:div>
                  </w:divsChild>
                </w:div>
                <w:div w:id="770590544">
                  <w:marLeft w:val="0"/>
                  <w:marRight w:val="0"/>
                  <w:marTop w:val="0"/>
                  <w:marBottom w:val="0"/>
                  <w:divBdr>
                    <w:top w:val="none" w:sz="0" w:space="0" w:color="auto"/>
                    <w:left w:val="none" w:sz="0" w:space="0" w:color="auto"/>
                    <w:bottom w:val="none" w:sz="0" w:space="0" w:color="auto"/>
                    <w:right w:val="none" w:sz="0" w:space="0" w:color="auto"/>
                  </w:divBdr>
                  <w:divsChild>
                    <w:div w:id="164517148">
                      <w:marLeft w:val="0"/>
                      <w:marRight w:val="0"/>
                      <w:marTop w:val="0"/>
                      <w:marBottom w:val="0"/>
                      <w:divBdr>
                        <w:top w:val="none" w:sz="0" w:space="0" w:color="auto"/>
                        <w:left w:val="none" w:sz="0" w:space="0" w:color="auto"/>
                        <w:bottom w:val="none" w:sz="0" w:space="0" w:color="auto"/>
                        <w:right w:val="none" w:sz="0" w:space="0" w:color="auto"/>
                      </w:divBdr>
                    </w:div>
                  </w:divsChild>
                </w:div>
                <w:div w:id="772435905">
                  <w:marLeft w:val="0"/>
                  <w:marRight w:val="0"/>
                  <w:marTop w:val="0"/>
                  <w:marBottom w:val="0"/>
                  <w:divBdr>
                    <w:top w:val="none" w:sz="0" w:space="0" w:color="auto"/>
                    <w:left w:val="none" w:sz="0" w:space="0" w:color="auto"/>
                    <w:bottom w:val="none" w:sz="0" w:space="0" w:color="auto"/>
                    <w:right w:val="none" w:sz="0" w:space="0" w:color="auto"/>
                  </w:divBdr>
                  <w:divsChild>
                    <w:div w:id="2046514356">
                      <w:marLeft w:val="0"/>
                      <w:marRight w:val="0"/>
                      <w:marTop w:val="0"/>
                      <w:marBottom w:val="0"/>
                      <w:divBdr>
                        <w:top w:val="none" w:sz="0" w:space="0" w:color="auto"/>
                        <w:left w:val="none" w:sz="0" w:space="0" w:color="auto"/>
                        <w:bottom w:val="none" w:sz="0" w:space="0" w:color="auto"/>
                        <w:right w:val="none" w:sz="0" w:space="0" w:color="auto"/>
                      </w:divBdr>
                    </w:div>
                  </w:divsChild>
                </w:div>
                <w:div w:id="780762837">
                  <w:marLeft w:val="0"/>
                  <w:marRight w:val="0"/>
                  <w:marTop w:val="0"/>
                  <w:marBottom w:val="0"/>
                  <w:divBdr>
                    <w:top w:val="none" w:sz="0" w:space="0" w:color="auto"/>
                    <w:left w:val="none" w:sz="0" w:space="0" w:color="auto"/>
                    <w:bottom w:val="none" w:sz="0" w:space="0" w:color="auto"/>
                    <w:right w:val="none" w:sz="0" w:space="0" w:color="auto"/>
                  </w:divBdr>
                  <w:divsChild>
                    <w:div w:id="1647928929">
                      <w:marLeft w:val="0"/>
                      <w:marRight w:val="0"/>
                      <w:marTop w:val="0"/>
                      <w:marBottom w:val="0"/>
                      <w:divBdr>
                        <w:top w:val="none" w:sz="0" w:space="0" w:color="auto"/>
                        <w:left w:val="none" w:sz="0" w:space="0" w:color="auto"/>
                        <w:bottom w:val="none" w:sz="0" w:space="0" w:color="auto"/>
                        <w:right w:val="none" w:sz="0" w:space="0" w:color="auto"/>
                      </w:divBdr>
                    </w:div>
                  </w:divsChild>
                </w:div>
                <w:div w:id="799497197">
                  <w:marLeft w:val="0"/>
                  <w:marRight w:val="0"/>
                  <w:marTop w:val="0"/>
                  <w:marBottom w:val="0"/>
                  <w:divBdr>
                    <w:top w:val="none" w:sz="0" w:space="0" w:color="auto"/>
                    <w:left w:val="none" w:sz="0" w:space="0" w:color="auto"/>
                    <w:bottom w:val="none" w:sz="0" w:space="0" w:color="auto"/>
                    <w:right w:val="none" w:sz="0" w:space="0" w:color="auto"/>
                  </w:divBdr>
                  <w:divsChild>
                    <w:div w:id="446045507">
                      <w:marLeft w:val="0"/>
                      <w:marRight w:val="0"/>
                      <w:marTop w:val="0"/>
                      <w:marBottom w:val="0"/>
                      <w:divBdr>
                        <w:top w:val="none" w:sz="0" w:space="0" w:color="auto"/>
                        <w:left w:val="none" w:sz="0" w:space="0" w:color="auto"/>
                        <w:bottom w:val="none" w:sz="0" w:space="0" w:color="auto"/>
                        <w:right w:val="none" w:sz="0" w:space="0" w:color="auto"/>
                      </w:divBdr>
                    </w:div>
                  </w:divsChild>
                </w:div>
                <w:div w:id="806355359">
                  <w:marLeft w:val="0"/>
                  <w:marRight w:val="0"/>
                  <w:marTop w:val="0"/>
                  <w:marBottom w:val="0"/>
                  <w:divBdr>
                    <w:top w:val="none" w:sz="0" w:space="0" w:color="auto"/>
                    <w:left w:val="none" w:sz="0" w:space="0" w:color="auto"/>
                    <w:bottom w:val="none" w:sz="0" w:space="0" w:color="auto"/>
                    <w:right w:val="none" w:sz="0" w:space="0" w:color="auto"/>
                  </w:divBdr>
                  <w:divsChild>
                    <w:div w:id="521554580">
                      <w:marLeft w:val="0"/>
                      <w:marRight w:val="0"/>
                      <w:marTop w:val="0"/>
                      <w:marBottom w:val="0"/>
                      <w:divBdr>
                        <w:top w:val="none" w:sz="0" w:space="0" w:color="auto"/>
                        <w:left w:val="none" w:sz="0" w:space="0" w:color="auto"/>
                        <w:bottom w:val="none" w:sz="0" w:space="0" w:color="auto"/>
                        <w:right w:val="none" w:sz="0" w:space="0" w:color="auto"/>
                      </w:divBdr>
                    </w:div>
                  </w:divsChild>
                </w:div>
                <w:div w:id="821656028">
                  <w:marLeft w:val="0"/>
                  <w:marRight w:val="0"/>
                  <w:marTop w:val="0"/>
                  <w:marBottom w:val="0"/>
                  <w:divBdr>
                    <w:top w:val="none" w:sz="0" w:space="0" w:color="auto"/>
                    <w:left w:val="none" w:sz="0" w:space="0" w:color="auto"/>
                    <w:bottom w:val="none" w:sz="0" w:space="0" w:color="auto"/>
                    <w:right w:val="none" w:sz="0" w:space="0" w:color="auto"/>
                  </w:divBdr>
                  <w:divsChild>
                    <w:div w:id="979766467">
                      <w:marLeft w:val="0"/>
                      <w:marRight w:val="0"/>
                      <w:marTop w:val="0"/>
                      <w:marBottom w:val="0"/>
                      <w:divBdr>
                        <w:top w:val="none" w:sz="0" w:space="0" w:color="auto"/>
                        <w:left w:val="none" w:sz="0" w:space="0" w:color="auto"/>
                        <w:bottom w:val="none" w:sz="0" w:space="0" w:color="auto"/>
                        <w:right w:val="none" w:sz="0" w:space="0" w:color="auto"/>
                      </w:divBdr>
                    </w:div>
                  </w:divsChild>
                </w:div>
                <w:div w:id="832717698">
                  <w:marLeft w:val="0"/>
                  <w:marRight w:val="0"/>
                  <w:marTop w:val="0"/>
                  <w:marBottom w:val="0"/>
                  <w:divBdr>
                    <w:top w:val="none" w:sz="0" w:space="0" w:color="auto"/>
                    <w:left w:val="none" w:sz="0" w:space="0" w:color="auto"/>
                    <w:bottom w:val="none" w:sz="0" w:space="0" w:color="auto"/>
                    <w:right w:val="none" w:sz="0" w:space="0" w:color="auto"/>
                  </w:divBdr>
                  <w:divsChild>
                    <w:div w:id="902910136">
                      <w:marLeft w:val="0"/>
                      <w:marRight w:val="0"/>
                      <w:marTop w:val="0"/>
                      <w:marBottom w:val="0"/>
                      <w:divBdr>
                        <w:top w:val="none" w:sz="0" w:space="0" w:color="auto"/>
                        <w:left w:val="none" w:sz="0" w:space="0" w:color="auto"/>
                        <w:bottom w:val="none" w:sz="0" w:space="0" w:color="auto"/>
                        <w:right w:val="none" w:sz="0" w:space="0" w:color="auto"/>
                      </w:divBdr>
                    </w:div>
                  </w:divsChild>
                </w:div>
                <w:div w:id="851723883">
                  <w:marLeft w:val="0"/>
                  <w:marRight w:val="0"/>
                  <w:marTop w:val="0"/>
                  <w:marBottom w:val="0"/>
                  <w:divBdr>
                    <w:top w:val="none" w:sz="0" w:space="0" w:color="auto"/>
                    <w:left w:val="none" w:sz="0" w:space="0" w:color="auto"/>
                    <w:bottom w:val="none" w:sz="0" w:space="0" w:color="auto"/>
                    <w:right w:val="none" w:sz="0" w:space="0" w:color="auto"/>
                  </w:divBdr>
                  <w:divsChild>
                    <w:div w:id="1495956049">
                      <w:marLeft w:val="0"/>
                      <w:marRight w:val="0"/>
                      <w:marTop w:val="0"/>
                      <w:marBottom w:val="0"/>
                      <w:divBdr>
                        <w:top w:val="none" w:sz="0" w:space="0" w:color="auto"/>
                        <w:left w:val="none" w:sz="0" w:space="0" w:color="auto"/>
                        <w:bottom w:val="none" w:sz="0" w:space="0" w:color="auto"/>
                        <w:right w:val="none" w:sz="0" w:space="0" w:color="auto"/>
                      </w:divBdr>
                    </w:div>
                  </w:divsChild>
                </w:div>
                <w:div w:id="854852570">
                  <w:marLeft w:val="0"/>
                  <w:marRight w:val="0"/>
                  <w:marTop w:val="0"/>
                  <w:marBottom w:val="0"/>
                  <w:divBdr>
                    <w:top w:val="none" w:sz="0" w:space="0" w:color="auto"/>
                    <w:left w:val="none" w:sz="0" w:space="0" w:color="auto"/>
                    <w:bottom w:val="none" w:sz="0" w:space="0" w:color="auto"/>
                    <w:right w:val="none" w:sz="0" w:space="0" w:color="auto"/>
                  </w:divBdr>
                  <w:divsChild>
                    <w:div w:id="1072970584">
                      <w:marLeft w:val="0"/>
                      <w:marRight w:val="0"/>
                      <w:marTop w:val="0"/>
                      <w:marBottom w:val="0"/>
                      <w:divBdr>
                        <w:top w:val="none" w:sz="0" w:space="0" w:color="auto"/>
                        <w:left w:val="none" w:sz="0" w:space="0" w:color="auto"/>
                        <w:bottom w:val="none" w:sz="0" w:space="0" w:color="auto"/>
                        <w:right w:val="none" w:sz="0" w:space="0" w:color="auto"/>
                      </w:divBdr>
                    </w:div>
                  </w:divsChild>
                </w:div>
                <w:div w:id="857230612">
                  <w:marLeft w:val="0"/>
                  <w:marRight w:val="0"/>
                  <w:marTop w:val="0"/>
                  <w:marBottom w:val="0"/>
                  <w:divBdr>
                    <w:top w:val="none" w:sz="0" w:space="0" w:color="auto"/>
                    <w:left w:val="none" w:sz="0" w:space="0" w:color="auto"/>
                    <w:bottom w:val="none" w:sz="0" w:space="0" w:color="auto"/>
                    <w:right w:val="none" w:sz="0" w:space="0" w:color="auto"/>
                  </w:divBdr>
                  <w:divsChild>
                    <w:div w:id="857426437">
                      <w:marLeft w:val="0"/>
                      <w:marRight w:val="0"/>
                      <w:marTop w:val="0"/>
                      <w:marBottom w:val="0"/>
                      <w:divBdr>
                        <w:top w:val="none" w:sz="0" w:space="0" w:color="auto"/>
                        <w:left w:val="none" w:sz="0" w:space="0" w:color="auto"/>
                        <w:bottom w:val="none" w:sz="0" w:space="0" w:color="auto"/>
                        <w:right w:val="none" w:sz="0" w:space="0" w:color="auto"/>
                      </w:divBdr>
                    </w:div>
                  </w:divsChild>
                </w:div>
                <w:div w:id="867107284">
                  <w:marLeft w:val="0"/>
                  <w:marRight w:val="0"/>
                  <w:marTop w:val="0"/>
                  <w:marBottom w:val="0"/>
                  <w:divBdr>
                    <w:top w:val="none" w:sz="0" w:space="0" w:color="auto"/>
                    <w:left w:val="none" w:sz="0" w:space="0" w:color="auto"/>
                    <w:bottom w:val="none" w:sz="0" w:space="0" w:color="auto"/>
                    <w:right w:val="none" w:sz="0" w:space="0" w:color="auto"/>
                  </w:divBdr>
                  <w:divsChild>
                    <w:div w:id="275991248">
                      <w:marLeft w:val="0"/>
                      <w:marRight w:val="0"/>
                      <w:marTop w:val="0"/>
                      <w:marBottom w:val="0"/>
                      <w:divBdr>
                        <w:top w:val="none" w:sz="0" w:space="0" w:color="auto"/>
                        <w:left w:val="none" w:sz="0" w:space="0" w:color="auto"/>
                        <w:bottom w:val="none" w:sz="0" w:space="0" w:color="auto"/>
                        <w:right w:val="none" w:sz="0" w:space="0" w:color="auto"/>
                      </w:divBdr>
                    </w:div>
                  </w:divsChild>
                </w:div>
                <w:div w:id="915631620">
                  <w:marLeft w:val="0"/>
                  <w:marRight w:val="0"/>
                  <w:marTop w:val="0"/>
                  <w:marBottom w:val="0"/>
                  <w:divBdr>
                    <w:top w:val="none" w:sz="0" w:space="0" w:color="auto"/>
                    <w:left w:val="none" w:sz="0" w:space="0" w:color="auto"/>
                    <w:bottom w:val="none" w:sz="0" w:space="0" w:color="auto"/>
                    <w:right w:val="none" w:sz="0" w:space="0" w:color="auto"/>
                  </w:divBdr>
                  <w:divsChild>
                    <w:div w:id="1852454620">
                      <w:marLeft w:val="0"/>
                      <w:marRight w:val="0"/>
                      <w:marTop w:val="0"/>
                      <w:marBottom w:val="0"/>
                      <w:divBdr>
                        <w:top w:val="none" w:sz="0" w:space="0" w:color="auto"/>
                        <w:left w:val="none" w:sz="0" w:space="0" w:color="auto"/>
                        <w:bottom w:val="none" w:sz="0" w:space="0" w:color="auto"/>
                        <w:right w:val="none" w:sz="0" w:space="0" w:color="auto"/>
                      </w:divBdr>
                    </w:div>
                  </w:divsChild>
                </w:div>
                <w:div w:id="931011652">
                  <w:marLeft w:val="0"/>
                  <w:marRight w:val="0"/>
                  <w:marTop w:val="0"/>
                  <w:marBottom w:val="0"/>
                  <w:divBdr>
                    <w:top w:val="none" w:sz="0" w:space="0" w:color="auto"/>
                    <w:left w:val="none" w:sz="0" w:space="0" w:color="auto"/>
                    <w:bottom w:val="none" w:sz="0" w:space="0" w:color="auto"/>
                    <w:right w:val="none" w:sz="0" w:space="0" w:color="auto"/>
                  </w:divBdr>
                  <w:divsChild>
                    <w:div w:id="759715000">
                      <w:marLeft w:val="0"/>
                      <w:marRight w:val="0"/>
                      <w:marTop w:val="0"/>
                      <w:marBottom w:val="0"/>
                      <w:divBdr>
                        <w:top w:val="none" w:sz="0" w:space="0" w:color="auto"/>
                        <w:left w:val="none" w:sz="0" w:space="0" w:color="auto"/>
                        <w:bottom w:val="none" w:sz="0" w:space="0" w:color="auto"/>
                        <w:right w:val="none" w:sz="0" w:space="0" w:color="auto"/>
                      </w:divBdr>
                    </w:div>
                  </w:divsChild>
                </w:div>
                <w:div w:id="969630964">
                  <w:marLeft w:val="0"/>
                  <w:marRight w:val="0"/>
                  <w:marTop w:val="0"/>
                  <w:marBottom w:val="0"/>
                  <w:divBdr>
                    <w:top w:val="none" w:sz="0" w:space="0" w:color="auto"/>
                    <w:left w:val="none" w:sz="0" w:space="0" w:color="auto"/>
                    <w:bottom w:val="none" w:sz="0" w:space="0" w:color="auto"/>
                    <w:right w:val="none" w:sz="0" w:space="0" w:color="auto"/>
                  </w:divBdr>
                  <w:divsChild>
                    <w:div w:id="758021921">
                      <w:marLeft w:val="0"/>
                      <w:marRight w:val="0"/>
                      <w:marTop w:val="0"/>
                      <w:marBottom w:val="0"/>
                      <w:divBdr>
                        <w:top w:val="none" w:sz="0" w:space="0" w:color="auto"/>
                        <w:left w:val="none" w:sz="0" w:space="0" w:color="auto"/>
                        <w:bottom w:val="none" w:sz="0" w:space="0" w:color="auto"/>
                        <w:right w:val="none" w:sz="0" w:space="0" w:color="auto"/>
                      </w:divBdr>
                    </w:div>
                  </w:divsChild>
                </w:div>
                <w:div w:id="997726360">
                  <w:marLeft w:val="0"/>
                  <w:marRight w:val="0"/>
                  <w:marTop w:val="0"/>
                  <w:marBottom w:val="0"/>
                  <w:divBdr>
                    <w:top w:val="none" w:sz="0" w:space="0" w:color="auto"/>
                    <w:left w:val="none" w:sz="0" w:space="0" w:color="auto"/>
                    <w:bottom w:val="none" w:sz="0" w:space="0" w:color="auto"/>
                    <w:right w:val="none" w:sz="0" w:space="0" w:color="auto"/>
                  </w:divBdr>
                  <w:divsChild>
                    <w:div w:id="1844587615">
                      <w:marLeft w:val="0"/>
                      <w:marRight w:val="0"/>
                      <w:marTop w:val="0"/>
                      <w:marBottom w:val="0"/>
                      <w:divBdr>
                        <w:top w:val="none" w:sz="0" w:space="0" w:color="auto"/>
                        <w:left w:val="none" w:sz="0" w:space="0" w:color="auto"/>
                        <w:bottom w:val="none" w:sz="0" w:space="0" w:color="auto"/>
                        <w:right w:val="none" w:sz="0" w:space="0" w:color="auto"/>
                      </w:divBdr>
                    </w:div>
                  </w:divsChild>
                </w:div>
                <w:div w:id="1020204389">
                  <w:marLeft w:val="0"/>
                  <w:marRight w:val="0"/>
                  <w:marTop w:val="0"/>
                  <w:marBottom w:val="0"/>
                  <w:divBdr>
                    <w:top w:val="none" w:sz="0" w:space="0" w:color="auto"/>
                    <w:left w:val="none" w:sz="0" w:space="0" w:color="auto"/>
                    <w:bottom w:val="none" w:sz="0" w:space="0" w:color="auto"/>
                    <w:right w:val="none" w:sz="0" w:space="0" w:color="auto"/>
                  </w:divBdr>
                  <w:divsChild>
                    <w:div w:id="332145621">
                      <w:marLeft w:val="0"/>
                      <w:marRight w:val="0"/>
                      <w:marTop w:val="0"/>
                      <w:marBottom w:val="0"/>
                      <w:divBdr>
                        <w:top w:val="none" w:sz="0" w:space="0" w:color="auto"/>
                        <w:left w:val="none" w:sz="0" w:space="0" w:color="auto"/>
                        <w:bottom w:val="none" w:sz="0" w:space="0" w:color="auto"/>
                        <w:right w:val="none" w:sz="0" w:space="0" w:color="auto"/>
                      </w:divBdr>
                    </w:div>
                  </w:divsChild>
                </w:div>
                <w:div w:id="1024985530">
                  <w:marLeft w:val="0"/>
                  <w:marRight w:val="0"/>
                  <w:marTop w:val="0"/>
                  <w:marBottom w:val="0"/>
                  <w:divBdr>
                    <w:top w:val="none" w:sz="0" w:space="0" w:color="auto"/>
                    <w:left w:val="none" w:sz="0" w:space="0" w:color="auto"/>
                    <w:bottom w:val="none" w:sz="0" w:space="0" w:color="auto"/>
                    <w:right w:val="none" w:sz="0" w:space="0" w:color="auto"/>
                  </w:divBdr>
                  <w:divsChild>
                    <w:div w:id="526262986">
                      <w:marLeft w:val="0"/>
                      <w:marRight w:val="0"/>
                      <w:marTop w:val="0"/>
                      <w:marBottom w:val="0"/>
                      <w:divBdr>
                        <w:top w:val="none" w:sz="0" w:space="0" w:color="auto"/>
                        <w:left w:val="none" w:sz="0" w:space="0" w:color="auto"/>
                        <w:bottom w:val="none" w:sz="0" w:space="0" w:color="auto"/>
                        <w:right w:val="none" w:sz="0" w:space="0" w:color="auto"/>
                      </w:divBdr>
                    </w:div>
                  </w:divsChild>
                </w:div>
                <w:div w:id="1038628976">
                  <w:marLeft w:val="0"/>
                  <w:marRight w:val="0"/>
                  <w:marTop w:val="0"/>
                  <w:marBottom w:val="0"/>
                  <w:divBdr>
                    <w:top w:val="none" w:sz="0" w:space="0" w:color="auto"/>
                    <w:left w:val="none" w:sz="0" w:space="0" w:color="auto"/>
                    <w:bottom w:val="none" w:sz="0" w:space="0" w:color="auto"/>
                    <w:right w:val="none" w:sz="0" w:space="0" w:color="auto"/>
                  </w:divBdr>
                  <w:divsChild>
                    <w:div w:id="496263647">
                      <w:marLeft w:val="0"/>
                      <w:marRight w:val="0"/>
                      <w:marTop w:val="0"/>
                      <w:marBottom w:val="0"/>
                      <w:divBdr>
                        <w:top w:val="none" w:sz="0" w:space="0" w:color="auto"/>
                        <w:left w:val="none" w:sz="0" w:space="0" w:color="auto"/>
                        <w:bottom w:val="none" w:sz="0" w:space="0" w:color="auto"/>
                        <w:right w:val="none" w:sz="0" w:space="0" w:color="auto"/>
                      </w:divBdr>
                    </w:div>
                  </w:divsChild>
                </w:div>
                <w:div w:id="1066532999">
                  <w:marLeft w:val="0"/>
                  <w:marRight w:val="0"/>
                  <w:marTop w:val="0"/>
                  <w:marBottom w:val="0"/>
                  <w:divBdr>
                    <w:top w:val="none" w:sz="0" w:space="0" w:color="auto"/>
                    <w:left w:val="none" w:sz="0" w:space="0" w:color="auto"/>
                    <w:bottom w:val="none" w:sz="0" w:space="0" w:color="auto"/>
                    <w:right w:val="none" w:sz="0" w:space="0" w:color="auto"/>
                  </w:divBdr>
                  <w:divsChild>
                    <w:div w:id="1083990855">
                      <w:marLeft w:val="0"/>
                      <w:marRight w:val="0"/>
                      <w:marTop w:val="0"/>
                      <w:marBottom w:val="0"/>
                      <w:divBdr>
                        <w:top w:val="none" w:sz="0" w:space="0" w:color="auto"/>
                        <w:left w:val="none" w:sz="0" w:space="0" w:color="auto"/>
                        <w:bottom w:val="none" w:sz="0" w:space="0" w:color="auto"/>
                        <w:right w:val="none" w:sz="0" w:space="0" w:color="auto"/>
                      </w:divBdr>
                    </w:div>
                  </w:divsChild>
                </w:div>
                <w:div w:id="1069766575">
                  <w:marLeft w:val="0"/>
                  <w:marRight w:val="0"/>
                  <w:marTop w:val="0"/>
                  <w:marBottom w:val="0"/>
                  <w:divBdr>
                    <w:top w:val="none" w:sz="0" w:space="0" w:color="auto"/>
                    <w:left w:val="none" w:sz="0" w:space="0" w:color="auto"/>
                    <w:bottom w:val="none" w:sz="0" w:space="0" w:color="auto"/>
                    <w:right w:val="none" w:sz="0" w:space="0" w:color="auto"/>
                  </w:divBdr>
                  <w:divsChild>
                    <w:div w:id="2102605139">
                      <w:marLeft w:val="0"/>
                      <w:marRight w:val="0"/>
                      <w:marTop w:val="0"/>
                      <w:marBottom w:val="0"/>
                      <w:divBdr>
                        <w:top w:val="none" w:sz="0" w:space="0" w:color="auto"/>
                        <w:left w:val="none" w:sz="0" w:space="0" w:color="auto"/>
                        <w:bottom w:val="none" w:sz="0" w:space="0" w:color="auto"/>
                        <w:right w:val="none" w:sz="0" w:space="0" w:color="auto"/>
                      </w:divBdr>
                    </w:div>
                  </w:divsChild>
                </w:div>
                <w:div w:id="1070419258">
                  <w:marLeft w:val="0"/>
                  <w:marRight w:val="0"/>
                  <w:marTop w:val="0"/>
                  <w:marBottom w:val="0"/>
                  <w:divBdr>
                    <w:top w:val="none" w:sz="0" w:space="0" w:color="auto"/>
                    <w:left w:val="none" w:sz="0" w:space="0" w:color="auto"/>
                    <w:bottom w:val="none" w:sz="0" w:space="0" w:color="auto"/>
                    <w:right w:val="none" w:sz="0" w:space="0" w:color="auto"/>
                  </w:divBdr>
                  <w:divsChild>
                    <w:div w:id="2112552978">
                      <w:marLeft w:val="0"/>
                      <w:marRight w:val="0"/>
                      <w:marTop w:val="0"/>
                      <w:marBottom w:val="0"/>
                      <w:divBdr>
                        <w:top w:val="none" w:sz="0" w:space="0" w:color="auto"/>
                        <w:left w:val="none" w:sz="0" w:space="0" w:color="auto"/>
                        <w:bottom w:val="none" w:sz="0" w:space="0" w:color="auto"/>
                        <w:right w:val="none" w:sz="0" w:space="0" w:color="auto"/>
                      </w:divBdr>
                    </w:div>
                  </w:divsChild>
                </w:div>
                <w:div w:id="1075592741">
                  <w:marLeft w:val="0"/>
                  <w:marRight w:val="0"/>
                  <w:marTop w:val="0"/>
                  <w:marBottom w:val="0"/>
                  <w:divBdr>
                    <w:top w:val="none" w:sz="0" w:space="0" w:color="auto"/>
                    <w:left w:val="none" w:sz="0" w:space="0" w:color="auto"/>
                    <w:bottom w:val="none" w:sz="0" w:space="0" w:color="auto"/>
                    <w:right w:val="none" w:sz="0" w:space="0" w:color="auto"/>
                  </w:divBdr>
                  <w:divsChild>
                    <w:div w:id="435977346">
                      <w:marLeft w:val="0"/>
                      <w:marRight w:val="0"/>
                      <w:marTop w:val="0"/>
                      <w:marBottom w:val="0"/>
                      <w:divBdr>
                        <w:top w:val="none" w:sz="0" w:space="0" w:color="auto"/>
                        <w:left w:val="none" w:sz="0" w:space="0" w:color="auto"/>
                        <w:bottom w:val="none" w:sz="0" w:space="0" w:color="auto"/>
                        <w:right w:val="none" w:sz="0" w:space="0" w:color="auto"/>
                      </w:divBdr>
                    </w:div>
                  </w:divsChild>
                </w:div>
                <w:div w:id="1088621234">
                  <w:marLeft w:val="0"/>
                  <w:marRight w:val="0"/>
                  <w:marTop w:val="0"/>
                  <w:marBottom w:val="0"/>
                  <w:divBdr>
                    <w:top w:val="none" w:sz="0" w:space="0" w:color="auto"/>
                    <w:left w:val="none" w:sz="0" w:space="0" w:color="auto"/>
                    <w:bottom w:val="none" w:sz="0" w:space="0" w:color="auto"/>
                    <w:right w:val="none" w:sz="0" w:space="0" w:color="auto"/>
                  </w:divBdr>
                  <w:divsChild>
                    <w:div w:id="855466156">
                      <w:marLeft w:val="0"/>
                      <w:marRight w:val="0"/>
                      <w:marTop w:val="0"/>
                      <w:marBottom w:val="0"/>
                      <w:divBdr>
                        <w:top w:val="none" w:sz="0" w:space="0" w:color="auto"/>
                        <w:left w:val="none" w:sz="0" w:space="0" w:color="auto"/>
                        <w:bottom w:val="none" w:sz="0" w:space="0" w:color="auto"/>
                        <w:right w:val="none" w:sz="0" w:space="0" w:color="auto"/>
                      </w:divBdr>
                    </w:div>
                  </w:divsChild>
                </w:div>
                <w:div w:id="1093548660">
                  <w:marLeft w:val="0"/>
                  <w:marRight w:val="0"/>
                  <w:marTop w:val="0"/>
                  <w:marBottom w:val="0"/>
                  <w:divBdr>
                    <w:top w:val="none" w:sz="0" w:space="0" w:color="auto"/>
                    <w:left w:val="none" w:sz="0" w:space="0" w:color="auto"/>
                    <w:bottom w:val="none" w:sz="0" w:space="0" w:color="auto"/>
                    <w:right w:val="none" w:sz="0" w:space="0" w:color="auto"/>
                  </w:divBdr>
                  <w:divsChild>
                    <w:div w:id="1206403478">
                      <w:marLeft w:val="0"/>
                      <w:marRight w:val="0"/>
                      <w:marTop w:val="0"/>
                      <w:marBottom w:val="0"/>
                      <w:divBdr>
                        <w:top w:val="none" w:sz="0" w:space="0" w:color="auto"/>
                        <w:left w:val="none" w:sz="0" w:space="0" w:color="auto"/>
                        <w:bottom w:val="none" w:sz="0" w:space="0" w:color="auto"/>
                        <w:right w:val="none" w:sz="0" w:space="0" w:color="auto"/>
                      </w:divBdr>
                    </w:div>
                  </w:divsChild>
                </w:div>
                <w:div w:id="1096973925">
                  <w:marLeft w:val="0"/>
                  <w:marRight w:val="0"/>
                  <w:marTop w:val="0"/>
                  <w:marBottom w:val="0"/>
                  <w:divBdr>
                    <w:top w:val="none" w:sz="0" w:space="0" w:color="auto"/>
                    <w:left w:val="none" w:sz="0" w:space="0" w:color="auto"/>
                    <w:bottom w:val="none" w:sz="0" w:space="0" w:color="auto"/>
                    <w:right w:val="none" w:sz="0" w:space="0" w:color="auto"/>
                  </w:divBdr>
                  <w:divsChild>
                    <w:div w:id="1974408158">
                      <w:marLeft w:val="0"/>
                      <w:marRight w:val="0"/>
                      <w:marTop w:val="0"/>
                      <w:marBottom w:val="0"/>
                      <w:divBdr>
                        <w:top w:val="none" w:sz="0" w:space="0" w:color="auto"/>
                        <w:left w:val="none" w:sz="0" w:space="0" w:color="auto"/>
                        <w:bottom w:val="none" w:sz="0" w:space="0" w:color="auto"/>
                        <w:right w:val="none" w:sz="0" w:space="0" w:color="auto"/>
                      </w:divBdr>
                    </w:div>
                  </w:divsChild>
                </w:div>
                <w:div w:id="1100955741">
                  <w:marLeft w:val="0"/>
                  <w:marRight w:val="0"/>
                  <w:marTop w:val="0"/>
                  <w:marBottom w:val="0"/>
                  <w:divBdr>
                    <w:top w:val="none" w:sz="0" w:space="0" w:color="auto"/>
                    <w:left w:val="none" w:sz="0" w:space="0" w:color="auto"/>
                    <w:bottom w:val="none" w:sz="0" w:space="0" w:color="auto"/>
                    <w:right w:val="none" w:sz="0" w:space="0" w:color="auto"/>
                  </w:divBdr>
                  <w:divsChild>
                    <w:div w:id="997079806">
                      <w:marLeft w:val="0"/>
                      <w:marRight w:val="0"/>
                      <w:marTop w:val="0"/>
                      <w:marBottom w:val="0"/>
                      <w:divBdr>
                        <w:top w:val="none" w:sz="0" w:space="0" w:color="auto"/>
                        <w:left w:val="none" w:sz="0" w:space="0" w:color="auto"/>
                        <w:bottom w:val="none" w:sz="0" w:space="0" w:color="auto"/>
                        <w:right w:val="none" w:sz="0" w:space="0" w:color="auto"/>
                      </w:divBdr>
                    </w:div>
                  </w:divsChild>
                </w:div>
                <w:div w:id="1143473902">
                  <w:marLeft w:val="0"/>
                  <w:marRight w:val="0"/>
                  <w:marTop w:val="0"/>
                  <w:marBottom w:val="0"/>
                  <w:divBdr>
                    <w:top w:val="none" w:sz="0" w:space="0" w:color="auto"/>
                    <w:left w:val="none" w:sz="0" w:space="0" w:color="auto"/>
                    <w:bottom w:val="none" w:sz="0" w:space="0" w:color="auto"/>
                    <w:right w:val="none" w:sz="0" w:space="0" w:color="auto"/>
                  </w:divBdr>
                  <w:divsChild>
                    <w:div w:id="206837960">
                      <w:marLeft w:val="0"/>
                      <w:marRight w:val="0"/>
                      <w:marTop w:val="0"/>
                      <w:marBottom w:val="0"/>
                      <w:divBdr>
                        <w:top w:val="none" w:sz="0" w:space="0" w:color="auto"/>
                        <w:left w:val="none" w:sz="0" w:space="0" w:color="auto"/>
                        <w:bottom w:val="none" w:sz="0" w:space="0" w:color="auto"/>
                        <w:right w:val="none" w:sz="0" w:space="0" w:color="auto"/>
                      </w:divBdr>
                    </w:div>
                  </w:divsChild>
                </w:div>
                <w:div w:id="1166821344">
                  <w:marLeft w:val="0"/>
                  <w:marRight w:val="0"/>
                  <w:marTop w:val="0"/>
                  <w:marBottom w:val="0"/>
                  <w:divBdr>
                    <w:top w:val="none" w:sz="0" w:space="0" w:color="auto"/>
                    <w:left w:val="none" w:sz="0" w:space="0" w:color="auto"/>
                    <w:bottom w:val="none" w:sz="0" w:space="0" w:color="auto"/>
                    <w:right w:val="none" w:sz="0" w:space="0" w:color="auto"/>
                  </w:divBdr>
                  <w:divsChild>
                    <w:div w:id="43918117">
                      <w:marLeft w:val="0"/>
                      <w:marRight w:val="0"/>
                      <w:marTop w:val="0"/>
                      <w:marBottom w:val="0"/>
                      <w:divBdr>
                        <w:top w:val="none" w:sz="0" w:space="0" w:color="auto"/>
                        <w:left w:val="none" w:sz="0" w:space="0" w:color="auto"/>
                        <w:bottom w:val="none" w:sz="0" w:space="0" w:color="auto"/>
                        <w:right w:val="none" w:sz="0" w:space="0" w:color="auto"/>
                      </w:divBdr>
                    </w:div>
                  </w:divsChild>
                </w:div>
                <w:div w:id="1184439388">
                  <w:marLeft w:val="0"/>
                  <w:marRight w:val="0"/>
                  <w:marTop w:val="0"/>
                  <w:marBottom w:val="0"/>
                  <w:divBdr>
                    <w:top w:val="none" w:sz="0" w:space="0" w:color="auto"/>
                    <w:left w:val="none" w:sz="0" w:space="0" w:color="auto"/>
                    <w:bottom w:val="none" w:sz="0" w:space="0" w:color="auto"/>
                    <w:right w:val="none" w:sz="0" w:space="0" w:color="auto"/>
                  </w:divBdr>
                  <w:divsChild>
                    <w:div w:id="1633290169">
                      <w:marLeft w:val="0"/>
                      <w:marRight w:val="0"/>
                      <w:marTop w:val="0"/>
                      <w:marBottom w:val="0"/>
                      <w:divBdr>
                        <w:top w:val="none" w:sz="0" w:space="0" w:color="auto"/>
                        <w:left w:val="none" w:sz="0" w:space="0" w:color="auto"/>
                        <w:bottom w:val="none" w:sz="0" w:space="0" w:color="auto"/>
                        <w:right w:val="none" w:sz="0" w:space="0" w:color="auto"/>
                      </w:divBdr>
                    </w:div>
                  </w:divsChild>
                </w:div>
                <w:div w:id="1193298819">
                  <w:marLeft w:val="0"/>
                  <w:marRight w:val="0"/>
                  <w:marTop w:val="0"/>
                  <w:marBottom w:val="0"/>
                  <w:divBdr>
                    <w:top w:val="none" w:sz="0" w:space="0" w:color="auto"/>
                    <w:left w:val="none" w:sz="0" w:space="0" w:color="auto"/>
                    <w:bottom w:val="none" w:sz="0" w:space="0" w:color="auto"/>
                    <w:right w:val="none" w:sz="0" w:space="0" w:color="auto"/>
                  </w:divBdr>
                  <w:divsChild>
                    <w:div w:id="846286799">
                      <w:marLeft w:val="0"/>
                      <w:marRight w:val="0"/>
                      <w:marTop w:val="0"/>
                      <w:marBottom w:val="0"/>
                      <w:divBdr>
                        <w:top w:val="none" w:sz="0" w:space="0" w:color="auto"/>
                        <w:left w:val="none" w:sz="0" w:space="0" w:color="auto"/>
                        <w:bottom w:val="none" w:sz="0" w:space="0" w:color="auto"/>
                        <w:right w:val="none" w:sz="0" w:space="0" w:color="auto"/>
                      </w:divBdr>
                    </w:div>
                  </w:divsChild>
                </w:div>
                <w:div w:id="1215922118">
                  <w:marLeft w:val="0"/>
                  <w:marRight w:val="0"/>
                  <w:marTop w:val="0"/>
                  <w:marBottom w:val="0"/>
                  <w:divBdr>
                    <w:top w:val="none" w:sz="0" w:space="0" w:color="auto"/>
                    <w:left w:val="none" w:sz="0" w:space="0" w:color="auto"/>
                    <w:bottom w:val="none" w:sz="0" w:space="0" w:color="auto"/>
                    <w:right w:val="none" w:sz="0" w:space="0" w:color="auto"/>
                  </w:divBdr>
                  <w:divsChild>
                    <w:div w:id="1609922824">
                      <w:marLeft w:val="0"/>
                      <w:marRight w:val="0"/>
                      <w:marTop w:val="0"/>
                      <w:marBottom w:val="0"/>
                      <w:divBdr>
                        <w:top w:val="none" w:sz="0" w:space="0" w:color="auto"/>
                        <w:left w:val="none" w:sz="0" w:space="0" w:color="auto"/>
                        <w:bottom w:val="none" w:sz="0" w:space="0" w:color="auto"/>
                        <w:right w:val="none" w:sz="0" w:space="0" w:color="auto"/>
                      </w:divBdr>
                    </w:div>
                  </w:divsChild>
                </w:div>
                <w:div w:id="1240139907">
                  <w:marLeft w:val="0"/>
                  <w:marRight w:val="0"/>
                  <w:marTop w:val="0"/>
                  <w:marBottom w:val="0"/>
                  <w:divBdr>
                    <w:top w:val="none" w:sz="0" w:space="0" w:color="auto"/>
                    <w:left w:val="none" w:sz="0" w:space="0" w:color="auto"/>
                    <w:bottom w:val="none" w:sz="0" w:space="0" w:color="auto"/>
                    <w:right w:val="none" w:sz="0" w:space="0" w:color="auto"/>
                  </w:divBdr>
                  <w:divsChild>
                    <w:div w:id="630288107">
                      <w:marLeft w:val="0"/>
                      <w:marRight w:val="0"/>
                      <w:marTop w:val="0"/>
                      <w:marBottom w:val="0"/>
                      <w:divBdr>
                        <w:top w:val="none" w:sz="0" w:space="0" w:color="auto"/>
                        <w:left w:val="none" w:sz="0" w:space="0" w:color="auto"/>
                        <w:bottom w:val="none" w:sz="0" w:space="0" w:color="auto"/>
                        <w:right w:val="none" w:sz="0" w:space="0" w:color="auto"/>
                      </w:divBdr>
                    </w:div>
                  </w:divsChild>
                </w:div>
                <w:div w:id="1287347520">
                  <w:marLeft w:val="0"/>
                  <w:marRight w:val="0"/>
                  <w:marTop w:val="0"/>
                  <w:marBottom w:val="0"/>
                  <w:divBdr>
                    <w:top w:val="none" w:sz="0" w:space="0" w:color="auto"/>
                    <w:left w:val="none" w:sz="0" w:space="0" w:color="auto"/>
                    <w:bottom w:val="none" w:sz="0" w:space="0" w:color="auto"/>
                    <w:right w:val="none" w:sz="0" w:space="0" w:color="auto"/>
                  </w:divBdr>
                  <w:divsChild>
                    <w:div w:id="246773563">
                      <w:marLeft w:val="0"/>
                      <w:marRight w:val="0"/>
                      <w:marTop w:val="0"/>
                      <w:marBottom w:val="0"/>
                      <w:divBdr>
                        <w:top w:val="none" w:sz="0" w:space="0" w:color="auto"/>
                        <w:left w:val="none" w:sz="0" w:space="0" w:color="auto"/>
                        <w:bottom w:val="none" w:sz="0" w:space="0" w:color="auto"/>
                        <w:right w:val="none" w:sz="0" w:space="0" w:color="auto"/>
                      </w:divBdr>
                    </w:div>
                  </w:divsChild>
                </w:div>
                <w:div w:id="1296133305">
                  <w:marLeft w:val="0"/>
                  <w:marRight w:val="0"/>
                  <w:marTop w:val="0"/>
                  <w:marBottom w:val="0"/>
                  <w:divBdr>
                    <w:top w:val="none" w:sz="0" w:space="0" w:color="auto"/>
                    <w:left w:val="none" w:sz="0" w:space="0" w:color="auto"/>
                    <w:bottom w:val="none" w:sz="0" w:space="0" w:color="auto"/>
                    <w:right w:val="none" w:sz="0" w:space="0" w:color="auto"/>
                  </w:divBdr>
                  <w:divsChild>
                    <w:div w:id="1118990663">
                      <w:marLeft w:val="0"/>
                      <w:marRight w:val="0"/>
                      <w:marTop w:val="0"/>
                      <w:marBottom w:val="0"/>
                      <w:divBdr>
                        <w:top w:val="none" w:sz="0" w:space="0" w:color="auto"/>
                        <w:left w:val="none" w:sz="0" w:space="0" w:color="auto"/>
                        <w:bottom w:val="none" w:sz="0" w:space="0" w:color="auto"/>
                        <w:right w:val="none" w:sz="0" w:space="0" w:color="auto"/>
                      </w:divBdr>
                    </w:div>
                  </w:divsChild>
                </w:div>
                <w:div w:id="1333799164">
                  <w:marLeft w:val="0"/>
                  <w:marRight w:val="0"/>
                  <w:marTop w:val="0"/>
                  <w:marBottom w:val="0"/>
                  <w:divBdr>
                    <w:top w:val="none" w:sz="0" w:space="0" w:color="auto"/>
                    <w:left w:val="none" w:sz="0" w:space="0" w:color="auto"/>
                    <w:bottom w:val="none" w:sz="0" w:space="0" w:color="auto"/>
                    <w:right w:val="none" w:sz="0" w:space="0" w:color="auto"/>
                  </w:divBdr>
                  <w:divsChild>
                    <w:div w:id="1097822451">
                      <w:marLeft w:val="0"/>
                      <w:marRight w:val="0"/>
                      <w:marTop w:val="0"/>
                      <w:marBottom w:val="0"/>
                      <w:divBdr>
                        <w:top w:val="none" w:sz="0" w:space="0" w:color="auto"/>
                        <w:left w:val="none" w:sz="0" w:space="0" w:color="auto"/>
                        <w:bottom w:val="none" w:sz="0" w:space="0" w:color="auto"/>
                        <w:right w:val="none" w:sz="0" w:space="0" w:color="auto"/>
                      </w:divBdr>
                    </w:div>
                  </w:divsChild>
                </w:div>
                <w:div w:id="1346446680">
                  <w:marLeft w:val="0"/>
                  <w:marRight w:val="0"/>
                  <w:marTop w:val="0"/>
                  <w:marBottom w:val="0"/>
                  <w:divBdr>
                    <w:top w:val="none" w:sz="0" w:space="0" w:color="auto"/>
                    <w:left w:val="none" w:sz="0" w:space="0" w:color="auto"/>
                    <w:bottom w:val="none" w:sz="0" w:space="0" w:color="auto"/>
                    <w:right w:val="none" w:sz="0" w:space="0" w:color="auto"/>
                  </w:divBdr>
                  <w:divsChild>
                    <w:div w:id="2027900025">
                      <w:marLeft w:val="0"/>
                      <w:marRight w:val="0"/>
                      <w:marTop w:val="0"/>
                      <w:marBottom w:val="0"/>
                      <w:divBdr>
                        <w:top w:val="none" w:sz="0" w:space="0" w:color="auto"/>
                        <w:left w:val="none" w:sz="0" w:space="0" w:color="auto"/>
                        <w:bottom w:val="none" w:sz="0" w:space="0" w:color="auto"/>
                        <w:right w:val="none" w:sz="0" w:space="0" w:color="auto"/>
                      </w:divBdr>
                    </w:div>
                  </w:divsChild>
                </w:div>
                <w:div w:id="1362589194">
                  <w:marLeft w:val="0"/>
                  <w:marRight w:val="0"/>
                  <w:marTop w:val="0"/>
                  <w:marBottom w:val="0"/>
                  <w:divBdr>
                    <w:top w:val="none" w:sz="0" w:space="0" w:color="auto"/>
                    <w:left w:val="none" w:sz="0" w:space="0" w:color="auto"/>
                    <w:bottom w:val="none" w:sz="0" w:space="0" w:color="auto"/>
                    <w:right w:val="none" w:sz="0" w:space="0" w:color="auto"/>
                  </w:divBdr>
                  <w:divsChild>
                    <w:div w:id="1819032455">
                      <w:marLeft w:val="0"/>
                      <w:marRight w:val="0"/>
                      <w:marTop w:val="0"/>
                      <w:marBottom w:val="0"/>
                      <w:divBdr>
                        <w:top w:val="none" w:sz="0" w:space="0" w:color="auto"/>
                        <w:left w:val="none" w:sz="0" w:space="0" w:color="auto"/>
                        <w:bottom w:val="none" w:sz="0" w:space="0" w:color="auto"/>
                        <w:right w:val="none" w:sz="0" w:space="0" w:color="auto"/>
                      </w:divBdr>
                    </w:div>
                  </w:divsChild>
                </w:div>
                <w:div w:id="1372992362">
                  <w:marLeft w:val="0"/>
                  <w:marRight w:val="0"/>
                  <w:marTop w:val="0"/>
                  <w:marBottom w:val="0"/>
                  <w:divBdr>
                    <w:top w:val="none" w:sz="0" w:space="0" w:color="auto"/>
                    <w:left w:val="none" w:sz="0" w:space="0" w:color="auto"/>
                    <w:bottom w:val="none" w:sz="0" w:space="0" w:color="auto"/>
                    <w:right w:val="none" w:sz="0" w:space="0" w:color="auto"/>
                  </w:divBdr>
                  <w:divsChild>
                    <w:div w:id="918370390">
                      <w:marLeft w:val="0"/>
                      <w:marRight w:val="0"/>
                      <w:marTop w:val="0"/>
                      <w:marBottom w:val="0"/>
                      <w:divBdr>
                        <w:top w:val="none" w:sz="0" w:space="0" w:color="auto"/>
                        <w:left w:val="none" w:sz="0" w:space="0" w:color="auto"/>
                        <w:bottom w:val="none" w:sz="0" w:space="0" w:color="auto"/>
                        <w:right w:val="none" w:sz="0" w:space="0" w:color="auto"/>
                      </w:divBdr>
                    </w:div>
                  </w:divsChild>
                </w:div>
                <w:div w:id="1376929304">
                  <w:marLeft w:val="0"/>
                  <w:marRight w:val="0"/>
                  <w:marTop w:val="0"/>
                  <w:marBottom w:val="0"/>
                  <w:divBdr>
                    <w:top w:val="none" w:sz="0" w:space="0" w:color="auto"/>
                    <w:left w:val="none" w:sz="0" w:space="0" w:color="auto"/>
                    <w:bottom w:val="none" w:sz="0" w:space="0" w:color="auto"/>
                    <w:right w:val="none" w:sz="0" w:space="0" w:color="auto"/>
                  </w:divBdr>
                  <w:divsChild>
                    <w:div w:id="1018577616">
                      <w:marLeft w:val="0"/>
                      <w:marRight w:val="0"/>
                      <w:marTop w:val="0"/>
                      <w:marBottom w:val="0"/>
                      <w:divBdr>
                        <w:top w:val="none" w:sz="0" w:space="0" w:color="auto"/>
                        <w:left w:val="none" w:sz="0" w:space="0" w:color="auto"/>
                        <w:bottom w:val="none" w:sz="0" w:space="0" w:color="auto"/>
                        <w:right w:val="none" w:sz="0" w:space="0" w:color="auto"/>
                      </w:divBdr>
                    </w:div>
                  </w:divsChild>
                </w:div>
                <w:div w:id="1379012343">
                  <w:marLeft w:val="0"/>
                  <w:marRight w:val="0"/>
                  <w:marTop w:val="0"/>
                  <w:marBottom w:val="0"/>
                  <w:divBdr>
                    <w:top w:val="none" w:sz="0" w:space="0" w:color="auto"/>
                    <w:left w:val="none" w:sz="0" w:space="0" w:color="auto"/>
                    <w:bottom w:val="none" w:sz="0" w:space="0" w:color="auto"/>
                    <w:right w:val="none" w:sz="0" w:space="0" w:color="auto"/>
                  </w:divBdr>
                  <w:divsChild>
                    <w:div w:id="1755323312">
                      <w:marLeft w:val="0"/>
                      <w:marRight w:val="0"/>
                      <w:marTop w:val="0"/>
                      <w:marBottom w:val="0"/>
                      <w:divBdr>
                        <w:top w:val="none" w:sz="0" w:space="0" w:color="auto"/>
                        <w:left w:val="none" w:sz="0" w:space="0" w:color="auto"/>
                        <w:bottom w:val="none" w:sz="0" w:space="0" w:color="auto"/>
                        <w:right w:val="none" w:sz="0" w:space="0" w:color="auto"/>
                      </w:divBdr>
                    </w:div>
                  </w:divsChild>
                </w:div>
                <w:div w:id="1381129249">
                  <w:marLeft w:val="0"/>
                  <w:marRight w:val="0"/>
                  <w:marTop w:val="0"/>
                  <w:marBottom w:val="0"/>
                  <w:divBdr>
                    <w:top w:val="none" w:sz="0" w:space="0" w:color="auto"/>
                    <w:left w:val="none" w:sz="0" w:space="0" w:color="auto"/>
                    <w:bottom w:val="none" w:sz="0" w:space="0" w:color="auto"/>
                    <w:right w:val="none" w:sz="0" w:space="0" w:color="auto"/>
                  </w:divBdr>
                  <w:divsChild>
                    <w:div w:id="654340716">
                      <w:marLeft w:val="0"/>
                      <w:marRight w:val="0"/>
                      <w:marTop w:val="0"/>
                      <w:marBottom w:val="0"/>
                      <w:divBdr>
                        <w:top w:val="none" w:sz="0" w:space="0" w:color="auto"/>
                        <w:left w:val="none" w:sz="0" w:space="0" w:color="auto"/>
                        <w:bottom w:val="none" w:sz="0" w:space="0" w:color="auto"/>
                        <w:right w:val="none" w:sz="0" w:space="0" w:color="auto"/>
                      </w:divBdr>
                    </w:div>
                  </w:divsChild>
                </w:div>
                <w:div w:id="1400784466">
                  <w:marLeft w:val="0"/>
                  <w:marRight w:val="0"/>
                  <w:marTop w:val="0"/>
                  <w:marBottom w:val="0"/>
                  <w:divBdr>
                    <w:top w:val="none" w:sz="0" w:space="0" w:color="auto"/>
                    <w:left w:val="none" w:sz="0" w:space="0" w:color="auto"/>
                    <w:bottom w:val="none" w:sz="0" w:space="0" w:color="auto"/>
                    <w:right w:val="none" w:sz="0" w:space="0" w:color="auto"/>
                  </w:divBdr>
                  <w:divsChild>
                    <w:div w:id="56366821">
                      <w:marLeft w:val="0"/>
                      <w:marRight w:val="0"/>
                      <w:marTop w:val="0"/>
                      <w:marBottom w:val="0"/>
                      <w:divBdr>
                        <w:top w:val="none" w:sz="0" w:space="0" w:color="auto"/>
                        <w:left w:val="none" w:sz="0" w:space="0" w:color="auto"/>
                        <w:bottom w:val="none" w:sz="0" w:space="0" w:color="auto"/>
                        <w:right w:val="none" w:sz="0" w:space="0" w:color="auto"/>
                      </w:divBdr>
                    </w:div>
                  </w:divsChild>
                </w:div>
                <w:div w:id="1402287559">
                  <w:marLeft w:val="0"/>
                  <w:marRight w:val="0"/>
                  <w:marTop w:val="0"/>
                  <w:marBottom w:val="0"/>
                  <w:divBdr>
                    <w:top w:val="none" w:sz="0" w:space="0" w:color="auto"/>
                    <w:left w:val="none" w:sz="0" w:space="0" w:color="auto"/>
                    <w:bottom w:val="none" w:sz="0" w:space="0" w:color="auto"/>
                    <w:right w:val="none" w:sz="0" w:space="0" w:color="auto"/>
                  </w:divBdr>
                  <w:divsChild>
                    <w:div w:id="677269772">
                      <w:marLeft w:val="0"/>
                      <w:marRight w:val="0"/>
                      <w:marTop w:val="0"/>
                      <w:marBottom w:val="0"/>
                      <w:divBdr>
                        <w:top w:val="none" w:sz="0" w:space="0" w:color="auto"/>
                        <w:left w:val="none" w:sz="0" w:space="0" w:color="auto"/>
                        <w:bottom w:val="none" w:sz="0" w:space="0" w:color="auto"/>
                        <w:right w:val="none" w:sz="0" w:space="0" w:color="auto"/>
                      </w:divBdr>
                    </w:div>
                  </w:divsChild>
                </w:div>
                <w:div w:id="1428499577">
                  <w:marLeft w:val="0"/>
                  <w:marRight w:val="0"/>
                  <w:marTop w:val="0"/>
                  <w:marBottom w:val="0"/>
                  <w:divBdr>
                    <w:top w:val="none" w:sz="0" w:space="0" w:color="auto"/>
                    <w:left w:val="none" w:sz="0" w:space="0" w:color="auto"/>
                    <w:bottom w:val="none" w:sz="0" w:space="0" w:color="auto"/>
                    <w:right w:val="none" w:sz="0" w:space="0" w:color="auto"/>
                  </w:divBdr>
                  <w:divsChild>
                    <w:div w:id="156770325">
                      <w:marLeft w:val="0"/>
                      <w:marRight w:val="0"/>
                      <w:marTop w:val="0"/>
                      <w:marBottom w:val="0"/>
                      <w:divBdr>
                        <w:top w:val="none" w:sz="0" w:space="0" w:color="auto"/>
                        <w:left w:val="none" w:sz="0" w:space="0" w:color="auto"/>
                        <w:bottom w:val="none" w:sz="0" w:space="0" w:color="auto"/>
                        <w:right w:val="none" w:sz="0" w:space="0" w:color="auto"/>
                      </w:divBdr>
                    </w:div>
                  </w:divsChild>
                </w:div>
                <w:div w:id="1438020259">
                  <w:marLeft w:val="0"/>
                  <w:marRight w:val="0"/>
                  <w:marTop w:val="0"/>
                  <w:marBottom w:val="0"/>
                  <w:divBdr>
                    <w:top w:val="none" w:sz="0" w:space="0" w:color="auto"/>
                    <w:left w:val="none" w:sz="0" w:space="0" w:color="auto"/>
                    <w:bottom w:val="none" w:sz="0" w:space="0" w:color="auto"/>
                    <w:right w:val="none" w:sz="0" w:space="0" w:color="auto"/>
                  </w:divBdr>
                  <w:divsChild>
                    <w:div w:id="1796216672">
                      <w:marLeft w:val="0"/>
                      <w:marRight w:val="0"/>
                      <w:marTop w:val="0"/>
                      <w:marBottom w:val="0"/>
                      <w:divBdr>
                        <w:top w:val="none" w:sz="0" w:space="0" w:color="auto"/>
                        <w:left w:val="none" w:sz="0" w:space="0" w:color="auto"/>
                        <w:bottom w:val="none" w:sz="0" w:space="0" w:color="auto"/>
                        <w:right w:val="none" w:sz="0" w:space="0" w:color="auto"/>
                      </w:divBdr>
                    </w:div>
                  </w:divsChild>
                </w:div>
                <w:div w:id="1455516351">
                  <w:marLeft w:val="0"/>
                  <w:marRight w:val="0"/>
                  <w:marTop w:val="0"/>
                  <w:marBottom w:val="0"/>
                  <w:divBdr>
                    <w:top w:val="none" w:sz="0" w:space="0" w:color="auto"/>
                    <w:left w:val="none" w:sz="0" w:space="0" w:color="auto"/>
                    <w:bottom w:val="none" w:sz="0" w:space="0" w:color="auto"/>
                    <w:right w:val="none" w:sz="0" w:space="0" w:color="auto"/>
                  </w:divBdr>
                  <w:divsChild>
                    <w:div w:id="167985449">
                      <w:marLeft w:val="0"/>
                      <w:marRight w:val="0"/>
                      <w:marTop w:val="0"/>
                      <w:marBottom w:val="0"/>
                      <w:divBdr>
                        <w:top w:val="none" w:sz="0" w:space="0" w:color="auto"/>
                        <w:left w:val="none" w:sz="0" w:space="0" w:color="auto"/>
                        <w:bottom w:val="none" w:sz="0" w:space="0" w:color="auto"/>
                        <w:right w:val="none" w:sz="0" w:space="0" w:color="auto"/>
                      </w:divBdr>
                    </w:div>
                  </w:divsChild>
                </w:div>
                <w:div w:id="1471552419">
                  <w:marLeft w:val="0"/>
                  <w:marRight w:val="0"/>
                  <w:marTop w:val="0"/>
                  <w:marBottom w:val="0"/>
                  <w:divBdr>
                    <w:top w:val="none" w:sz="0" w:space="0" w:color="auto"/>
                    <w:left w:val="none" w:sz="0" w:space="0" w:color="auto"/>
                    <w:bottom w:val="none" w:sz="0" w:space="0" w:color="auto"/>
                    <w:right w:val="none" w:sz="0" w:space="0" w:color="auto"/>
                  </w:divBdr>
                  <w:divsChild>
                    <w:div w:id="1268655876">
                      <w:marLeft w:val="0"/>
                      <w:marRight w:val="0"/>
                      <w:marTop w:val="0"/>
                      <w:marBottom w:val="0"/>
                      <w:divBdr>
                        <w:top w:val="none" w:sz="0" w:space="0" w:color="auto"/>
                        <w:left w:val="none" w:sz="0" w:space="0" w:color="auto"/>
                        <w:bottom w:val="none" w:sz="0" w:space="0" w:color="auto"/>
                        <w:right w:val="none" w:sz="0" w:space="0" w:color="auto"/>
                      </w:divBdr>
                    </w:div>
                  </w:divsChild>
                </w:div>
                <w:div w:id="1478065880">
                  <w:marLeft w:val="0"/>
                  <w:marRight w:val="0"/>
                  <w:marTop w:val="0"/>
                  <w:marBottom w:val="0"/>
                  <w:divBdr>
                    <w:top w:val="none" w:sz="0" w:space="0" w:color="auto"/>
                    <w:left w:val="none" w:sz="0" w:space="0" w:color="auto"/>
                    <w:bottom w:val="none" w:sz="0" w:space="0" w:color="auto"/>
                    <w:right w:val="none" w:sz="0" w:space="0" w:color="auto"/>
                  </w:divBdr>
                  <w:divsChild>
                    <w:div w:id="1888099899">
                      <w:marLeft w:val="0"/>
                      <w:marRight w:val="0"/>
                      <w:marTop w:val="0"/>
                      <w:marBottom w:val="0"/>
                      <w:divBdr>
                        <w:top w:val="none" w:sz="0" w:space="0" w:color="auto"/>
                        <w:left w:val="none" w:sz="0" w:space="0" w:color="auto"/>
                        <w:bottom w:val="none" w:sz="0" w:space="0" w:color="auto"/>
                        <w:right w:val="none" w:sz="0" w:space="0" w:color="auto"/>
                      </w:divBdr>
                    </w:div>
                  </w:divsChild>
                </w:div>
                <w:div w:id="1489442278">
                  <w:marLeft w:val="0"/>
                  <w:marRight w:val="0"/>
                  <w:marTop w:val="0"/>
                  <w:marBottom w:val="0"/>
                  <w:divBdr>
                    <w:top w:val="none" w:sz="0" w:space="0" w:color="auto"/>
                    <w:left w:val="none" w:sz="0" w:space="0" w:color="auto"/>
                    <w:bottom w:val="none" w:sz="0" w:space="0" w:color="auto"/>
                    <w:right w:val="none" w:sz="0" w:space="0" w:color="auto"/>
                  </w:divBdr>
                  <w:divsChild>
                    <w:div w:id="2143307670">
                      <w:marLeft w:val="0"/>
                      <w:marRight w:val="0"/>
                      <w:marTop w:val="0"/>
                      <w:marBottom w:val="0"/>
                      <w:divBdr>
                        <w:top w:val="none" w:sz="0" w:space="0" w:color="auto"/>
                        <w:left w:val="none" w:sz="0" w:space="0" w:color="auto"/>
                        <w:bottom w:val="none" w:sz="0" w:space="0" w:color="auto"/>
                        <w:right w:val="none" w:sz="0" w:space="0" w:color="auto"/>
                      </w:divBdr>
                    </w:div>
                  </w:divsChild>
                </w:div>
                <w:div w:id="1505903036">
                  <w:marLeft w:val="0"/>
                  <w:marRight w:val="0"/>
                  <w:marTop w:val="0"/>
                  <w:marBottom w:val="0"/>
                  <w:divBdr>
                    <w:top w:val="none" w:sz="0" w:space="0" w:color="auto"/>
                    <w:left w:val="none" w:sz="0" w:space="0" w:color="auto"/>
                    <w:bottom w:val="none" w:sz="0" w:space="0" w:color="auto"/>
                    <w:right w:val="none" w:sz="0" w:space="0" w:color="auto"/>
                  </w:divBdr>
                  <w:divsChild>
                    <w:div w:id="307125537">
                      <w:marLeft w:val="0"/>
                      <w:marRight w:val="0"/>
                      <w:marTop w:val="0"/>
                      <w:marBottom w:val="0"/>
                      <w:divBdr>
                        <w:top w:val="none" w:sz="0" w:space="0" w:color="auto"/>
                        <w:left w:val="none" w:sz="0" w:space="0" w:color="auto"/>
                        <w:bottom w:val="none" w:sz="0" w:space="0" w:color="auto"/>
                        <w:right w:val="none" w:sz="0" w:space="0" w:color="auto"/>
                      </w:divBdr>
                    </w:div>
                  </w:divsChild>
                </w:div>
                <w:div w:id="1541282313">
                  <w:marLeft w:val="0"/>
                  <w:marRight w:val="0"/>
                  <w:marTop w:val="0"/>
                  <w:marBottom w:val="0"/>
                  <w:divBdr>
                    <w:top w:val="none" w:sz="0" w:space="0" w:color="auto"/>
                    <w:left w:val="none" w:sz="0" w:space="0" w:color="auto"/>
                    <w:bottom w:val="none" w:sz="0" w:space="0" w:color="auto"/>
                    <w:right w:val="none" w:sz="0" w:space="0" w:color="auto"/>
                  </w:divBdr>
                  <w:divsChild>
                    <w:div w:id="1342702144">
                      <w:marLeft w:val="0"/>
                      <w:marRight w:val="0"/>
                      <w:marTop w:val="0"/>
                      <w:marBottom w:val="0"/>
                      <w:divBdr>
                        <w:top w:val="none" w:sz="0" w:space="0" w:color="auto"/>
                        <w:left w:val="none" w:sz="0" w:space="0" w:color="auto"/>
                        <w:bottom w:val="none" w:sz="0" w:space="0" w:color="auto"/>
                        <w:right w:val="none" w:sz="0" w:space="0" w:color="auto"/>
                      </w:divBdr>
                    </w:div>
                  </w:divsChild>
                </w:div>
                <w:div w:id="1551333830">
                  <w:marLeft w:val="0"/>
                  <w:marRight w:val="0"/>
                  <w:marTop w:val="0"/>
                  <w:marBottom w:val="0"/>
                  <w:divBdr>
                    <w:top w:val="none" w:sz="0" w:space="0" w:color="auto"/>
                    <w:left w:val="none" w:sz="0" w:space="0" w:color="auto"/>
                    <w:bottom w:val="none" w:sz="0" w:space="0" w:color="auto"/>
                    <w:right w:val="none" w:sz="0" w:space="0" w:color="auto"/>
                  </w:divBdr>
                  <w:divsChild>
                    <w:div w:id="1173568508">
                      <w:marLeft w:val="0"/>
                      <w:marRight w:val="0"/>
                      <w:marTop w:val="0"/>
                      <w:marBottom w:val="0"/>
                      <w:divBdr>
                        <w:top w:val="none" w:sz="0" w:space="0" w:color="auto"/>
                        <w:left w:val="none" w:sz="0" w:space="0" w:color="auto"/>
                        <w:bottom w:val="none" w:sz="0" w:space="0" w:color="auto"/>
                        <w:right w:val="none" w:sz="0" w:space="0" w:color="auto"/>
                      </w:divBdr>
                    </w:div>
                  </w:divsChild>
                </w:div>
                <w:div w:id="1553730564">
                  <w:marLeft w:val="0"/>
                  <w:marRight w:val="0"/>
                  <w:marTop w:val="0"/>
                  <w:marBottom w:val="0"/>
                  <w:divBdr>
                    <w:top w:val="none" w:sz="0" w:space="0" w:color="auto"/>
                    <w:left w:val="none" w:sz="0" w:space="0" w:color="auto"/>
                    <w:bottom w:val="none" w:sz="0" w:space="0" w:color="auto"/>
                    <w:right w:val="none" w:sz="0" w:space="0" w:color="auto"/>
                  </w:divBdr>
                  <w:divsChild>
                    <w:div w:id="808787879">
                      <w:marLeft w:val="0"/>
                      <w:marRight w:val="0"/>
                      <w:marTop w:val="0"/>
                      <w:marBottom w:val="0"/>
                      <w:divBdr>
                        <w:top w:val="none" w:sz="0" w:space="0" w:color="auto"/>
                        <w:left w:val="none" w:sz="0" w:space="0" w:color="auto"/>
                        <w:bottom w:val="none" w:sz="0" w:space="0" w:color="auto"/>
                        <w:right w:val="none" w:sz="0" w:space="0" w:color="auto"/>
                      </w:divBdr>
                    </w:div>
                  </w:divsChild>
                </w:div>
                <w:div w:id="1572347015">
                  <w:marLeft w:val="0"/>
                  <w:marRight w:val="0"/>
                  <w:marTop w:val="0"/>
                  <w:marBottom w:val="0"/>
                  <w:divBdr>
                    <w:top w:val="none" w:sz="0" w:space="0" w:color="auto"/>
                    <w:left w:val="none" w:sz="0" w:space="0" w:color="auto"/>
                    <w:bottom w:val="none" w:sz="0" w:space="0" w:color="auto"/>
                    <w:right w:val="none" w:sz="0" w:space="0" w:color="auto"/>
                  </w:divBdr>
                  <w:divsChild>
                    <w:div w:id="793065765">
                      <w:marLeft w:val="0"/>
                      <w:marRight w:val="0"/>
                      <w:marTop w:val="0"/>
                      <w:marBottom w:val="0"/>
                      <w:divBdr>
                        <w:top w:val="none" w:sz="0" w:space="0" w:color="auto"/>
                        <w:left w:val="none" w:sz="0" w:space="0" w:color="auto"/>
                        <w:bottom w:val="none" w:sz="0" w:space="0" w:color="auto"/>
                        <w:right w:val="none" w:sz="0" w:space="0" w:color="auto"/>
                      </w:divBdr>
                    </w:div>
                  </w:divsChild>
                </w:div>
                <w:div w:id="1579899616">
                  <w:marLeft w:val="0"/>
                  <w:marRight w:val="0"/>
                  <w:marTop w:val="0"/>
                  <w:marBottom w:val="0"/>
                  <w:divBdr>
                    <w:top w:val="none" w:sz="0" w:space="0" w:color="auto"/>
                    <w:left w:val="none" w:sz="0" w:space="0" w:color="auto"/>
                    <w:bottom w:val="none" w:sz="0" w:space="0" w:color="auto"/>
                    <w:right w:val="none" w:sz="0" w:space="0" w:color="auto"/>
                  </w:divBdr>
                  <w:divsChild>
                    <w:div w:id="827552181">
                      <w:marLeft w:val="0"/>
                      <w:marRight w:val="0"/>
                      <w:marTop w:val="0"/>
                      <w:marBottom w:val="0"/>
                      <w:divBdr>
                        <w:top w:val="none" w:sz="0" w:space="0" w:color="auto"/>
                        <w:left w:val="none" w:sz="0" w:space="0" w:color="auto"/>
                        <w:bottom w:val="none" w:sz="0" w:space="0" w:color="auto"/>
                        <w:right w:val="none" w:sz="0" w:space="0" w:color="auto"/>
                      </w:divBdr>
                    </w:div>
                  </w:divsChild>
                </w:div>
                <w:div w:id="1643803613">
                  <w:marLeft w:val="0"/>
                  <w:marRight w:val="0"/>
                  <w:marTop w:val="0"/>
                  <w:marBottom w:val="0"/>
                  <w:divBdr>
                    <w:top w:val="none" w:sz="0" w:space="0" w:color="auto"/>
                    <w:left w:val="none" w:sz="0" w:space="0" w:color="auto"/>
                    <w:bottom w:val="none" w:sz="0" w:space="0" w:color="auto"/>
                    <w:right w:val="none" w:sz="0" w:space="0" w:color="auto"/>
                  </w:divBdr>
                  <w:divsChild>
                    <w:div w:id="1540045547">
                      <w:marLeft w:val="0"/>
                      <w:marRight w:val="0"/>
                      <w:marTop w:val="0"/>
                      <w:marBottom w:val="0"/>
                      <w:divBdr>
                        <w:top w:val="none" w:sz="0" w:space="0" w:color="auto"/>
                        <w:left w:val="none" w:sz="0" w:space="0" w:color="auto"/>
                        <w:bottom w:val="none" w:sz="0" w:space="0" w:color="auto"/>
                        <w:right w:val="none" w:sz="0" w:space="0" w:color="auto"/>
                      </w:divBdr>
                    </w:div>
                  </w:divsChild>
                </w:div>
                <w:div w:id="1674802238">
                  <w:marLeft w:val="0"/>
                  <w:marRight w:val="0"/>
                  <w:marTop w:val="0"/>
                  <w:marBottom w:val="0"/>
                  <w:divBdr>
                    <w:top w:val="none" w:sz="0" w:space="0" w:color="auto"/>
                    <w:left w:val="none" w:sz="0" w:space="0" w:color="auto"/>
                    <w:bottom w:val="none" w:sz="0" w:space="0" w:color="auto"/>
                    <w:right w:val="none" w:sz="0" w:space="0" w:color="auto"/>
                  </w:divBdr>
                  <w:divsChild>
                    <w:div w:id="219676865">
                      <w:marLeft w:val="0"/>
                      <w:marRight w:val="0"/>
                      <w:marTop w:val="0"/>
                      <w:marBottom w:val="0"/>
                      <w:divBdr>
                        <w:top w:val="none" w:sz="0" w:space="0" w:color="auto"/>
                        <w:left w:val="none" w:sz="0" w:space="0" w:color="auto"/>
                        <w:bottom w:val="none" w:sz="0" w:space="0" w:color="auto"/>
                        <w:right w:val="none" w:sz="0" w:space="0" w:color="auto"/>
                      </w:divBdr>
                    </w:div>
                  </w:divsChild>
                </w:div>
                <w:div w:id="1691174642">
                  <w:marLeft w:val="0"/>
                  <w:marRight w:val="0"/>
                  <w:marTop w:val="0"/>
                  <w:marBottom w:val="0"/>
                  <w:divBdr>
                    <w:top w:val="none" w:sz="0" w:space="0" w:color="auto"/>
                    <w:left w:val="none" w:sz="0" w:space="0" w:color="auto"/>
                    <w:bottom w:val="none" w:sz="0" w:space="0" w:color="auto"/>
                    <w:right w:val="none" w:sz="0" w:space="0" w:color="auto"/>
                  </w:divBdr>
                  <w:divsChild>
                    <w:div w:id="71969681">
                      <w:marLeft w:val="0"/>
                      <w:marRight w:val="0"/>
                      <w:marTop w:val="0"/>
                      <w:marBottom w:val="0"/>
                      <w:divBdr>
                        <w:top w:val="none" w:sz="0" w:space="0" w:color="auto"/>
                        <w:left w:val="none" w:sz="0" w:space="0" w:color="auto"/>
                        <w:bottom w:val="none" w:sz="0" w:space="0" w:color="auto"/>
                        <w:right w:val="none" w:sz="0" w:space="0" w:color="auto"/>
                      </w:divBdr>
                    </w:div>
                  </w:divsChild>
                </w:div>
                <w:div w:id="1730424592">
                  <w:marLeft w:val="0"/>
                  <w:marRight w:val="0"/>
                  <w:marTop w:val="0"/>
                  <w:marBottom w:val="0"/>
                  <w:divBdr>
                    <w:top w:val="none" w:sz="0" w:space="0" w:color="auto"/>
                    <w:left w:val="none" w:sz="0" w:space="0" w:color="auto"/>
                    <w:bottom w:val="none" w:sz="0" w:space="0" w:color="auto"/>
                    <w:right w:val="none" w:sz="0" w:space="0" w:color="auto"/>
                  </w:divBdr>
                  <w:divsChild>
                    <w:div w:id="395127804">
                      <w:marLeft w:val="0"/>
                      <w:marRight w:val="0"/>
                      <w:marTop w:val="0"/>
                      <w:marBottom w:val="0"/>
                      <w:divBdr>
                        <w:top w:val="none" w:sz="0" w:space="0" w:color="auto"/>
                        <w:left w:val="none" w:sz="0" w:space="0" w:color="auto"/>
                        <w:bottom w:val="none" w:sz="0" w:space="0" w:color="auto"/>
                        <w:right w:val="none" w:sz="0" w:space="0" w:color="auto"/>
                      </w:divBdr>
                    </w:div>
                  </w:divsChild>
                </w:div>
                <w:div w:id="1748990738">
                  <w:marLeft w:val="0"/>
                  <w:marRight w:val="0"/>
                  <w:marTop w:val="0"/>
                  <w:marBottom w:val="0"/>
                  <w:divBdr>
                    <w:top w:val="none" w:sz="0" w:space="0" w:color="auto"/>
                    <w:left w:val="none" w:sz="0" w:space="0" w:color="auto"/>
                    <w:bottom w:val="none" w:sz="0" w:space="0" w:color="auto"/>
                    <w:right w:val="none" w:sz="0" w:space="0" w:color="auto"/>
                  </w:divBdr>
                  <w:divsChild>
                    <w:div w:id="408160046">
                      <w:marLeft w:val="0"/>
                      <w:marRight w:val="0"/>
                      <w:marTop w:val="0"/>
                      <w:marBottom w:val="0"/>
                      <w:divBdr>
                        <w:top w:val="none" w:sz="0" w:space="0" w:color="auto"/>
                        <w:left w:val="none" w:sz="0" w:space="0" w:color="auto"/>
                        <w:bottom w:val="none" w:sz="0" w:space="0" w:color="auto"/>
                        <w:right w:val="none" w:sz="0" w:space="0" w:color="auto"/>
                      </w:divBdr>
                    </w:div>
                  </w:divsChild>
                </w:div>
                <w:div w:id="1772430406">
                  <w:marLeft w:val="0"/>
                  <w:marRight w:val="0"/>
                  <w:marTop w:val="0"/>
                  <w:marBottom w:val="0"/>
                  <w:divBdr>
                    <w:top w:val="none" w:sz="0" w:space="0" w:color="auto"/>
                    <w:left w:val="none" w:sz="0" w:space="0" w:color="auto"/>
                    <w:bottom w:val="none" w:sz="0" w:space="0" w:color="auto"/>
                    <w:right w:val="none" w:sz="0" w:space="0" w:color="auto"/>
                  </w:divBdr>
                  <w:divsChild>
                    <w:div w:id="1940483799">
                      <w:marLeft w:val="0"/>
                      <w:marRight w:val="0"/>
                      <w:marTop w:val="0"/>
                      <w:marBottom w:val="0"/>
                      <w:divBdr>
                        <w:top w:val="none" w:sz="0" w:space="0" w:color="auto"/>
                        <w:left w:val="none" w:sz="0" w:space="0" w:color="auto"/>
                        <w:bottom w:val="none" w:sz="0" w:space="0" w:color="auto"/>
                        <w:right w:val="none" w:sz="0" w:space="0" w:color="auto"/>
                      </w:divBdr>
                    </w:div>
                  </w:divsChild>
                </w:div>
                <w:div w:id="1787432032">
                  <w:marLeft w:val="0"/>
                  <w:marRight w:val="0"/>
                  <w:marTop w:val="0"/>
                  <w:marBottom w:val="0"/>
                  <w:divBdr>
                    <w:top w:val="none" w:sz="0" w:space="0" w:color="auto"/>
                    <w:left w:val="none" w:sz="0" w:space="0" w:color="auto"/>
                    <w:bottom w:val="none" w:sz="0" w:space="0" w:color="auto"/>
                    <w:right w:val="none" w:sz="0" w:space="0" w:color="auto"/>
                  </w:divBdr>
                  <w:divsChild>
                    <w:div w:id="2007128593">
                      <w:marLeft w:val="0"/>
                      <w:marRight w:val="0"/>
                      <w:marTop w:val="0"/>
                      <w:marBottom w:val="0"/>
                      <w:divBdr>
                        <w:top w:val="none" w:sz="0" w:space="0" w:color="auto"/>
                        <w:left w:val="none" w:sz="0" w:space="0" w:color="auto"/>
                        <w:bottom w:val="none" w:sz="0" w:space="0" w:color="auto"/>
                        <w:right w:val="none" w:sz="0" w:space="0" w:color="auto"/>
                      </w:divBdr>
                    </w:div>
                  </w:divsChild>
                </w:div>
                <w:div w:id="1793089938">
                  <w:marLeft w:val="0"/>
                  <w:marRight w:val="0"/>
                  <w:marTop w:val="0"/>
                  <w:marBottom w:val="0"/>
                  <w:divBdr>
                    <w:top w:val="none" w:sz="0" w:space="0" w:color="auto"/>
                    <w:left w:val="none" w:sz="0" w:space="0" w:color="auto"/>
                    <w:bottom w:val="none" w:sz="0" w:space="0" w:color="auto"/>
                    <w:right w:val="none" w:sz="0" w:space="0" w:color="auto"/>
                  </w:divBdr>
                  <w:divsChild>
                    <w:div w:id="1947761475">
                      <w:marLeft w:val="0"/>
                      <w:marRight w:val="0"/>
                      <w:marTop w:val="0"/>
                      <w:marBottom w:val="0"/>
                      <w:divBdr>
                        <w:top w:val="none" w:sz="0" w:space="0" w:color="auto"/>
                        <w:left w:val="none" w:sz="0" w:space="0" w:color="auto"/>
                        <w:bottom w:val="none" w:sz="0" w:space="0" w:color="auto"/>
                        <w:right w:val="none" w:sz="0" w:space="0" w:color="auto"/>
                      </w:divBdr>
                    </w:div>
                  </w:divsChild>
                </w:div>
                <w:div w:id="1798638831">
                  <w:marLeft w:val="0"/>
                  <w:marRight w:val="0"/>
                  <w:marTop w:val="0"/>
                  <w:marBottom w:val="0"/>
                  <w:divBdr>
                    <w:top w:val="none" w:sz="0" w:space="0" w:color="auto"/>
                    <w:left w:val="none" w:sz="0" w:space="0" w:color="auto"/>
                    <w:bottom w:val="none" w:sz="0" w:space="0" w:color="auto"/>
                    <w:right w:val="none" w:sz="0" w:space="0" w:color="auto"/>
                  </w:divBdr>
                  <w:divsChild>
                    <w:div w:id="403530858">
                      <w:marLeft w:val="0"/>
                      <w:marRight w:val="0"/>
                      <w:marTop w:val="0"/>
                      <w:marBottom w:val="0"/>
                      <w:divBdr>
                        <w:top w:val="none" w:sz="0" w:space="0" w:color="auto"/>
                        <w:left w:val="none" w:sz="0" w:space="0" w:color="auto"/>
                        <w:bottom w:val="none" w:sz="0" w:space="0" w:color="auto"/>
                        <w:right w:val="none" w:sz="0" w:space="0" w:color="auto"/>
                      </w:divBdr>
                    </w:div>
                  </w:divsChild>
                </w:div>
                <w:div w:id="1808547325">
                  <w:marLeft w:val="0"/>
                  <w:marRight w:val="0"/>
                  <w:marTop w:val="0"/>
                  <w:marBottom w:val="0"/>
                  <w:divBdr>
                    <w:top w:val="none" w:sz="0" w:space="0" w:color="auto"/>
                    <w:left w:val="none" w:sz="0" w:space="0" w:color="auto"/>
                    <w:bottom w:val="none" w:sz="0" w:space="0" w:color="auto"/>
                    <w:right w:val="none" w:sz="0" w:space="0" w:color="auto"/>
                  </w:divBdr>
                  <w:divsChild>
                    <w:div w:id="703868310">
                      <w:marLeft w:val="0"/>
                      <w:marRight w:val="0"/>
                      <w:marTop w:val="0"/>
                      <w:marBottom w:val="0"/>
                      <w:divBdr>
                        <w:top w:val="none" w:sz="0" w:space="0" w:color="auto"/>
                        <w:left w:val="none" w:sz="0" w:space="0" w:color="auto"/>
                        <w:bottom w:val="none" w:sz="0" w:space="0" w:color="auto"/>
                        <w:right w:val="none" w:sz="0" w:space="0" w:color="auto"/>
                      </w:divBdr>
                    </w:div>
                  </w:divsChild>
                </w:div>
                <w:div w:id="1816336568">
                  <w:marLeft w:val="0"/>
                  <w:marRight w:val="0"/>
                  <w:marTop w:val="0"/>
                  <w:marBottom w:val="0"/>
                  <w:divBdr>
                    <w:top w:val="none" w:sz="0" w:space="0" w:color="auto"/>
                    <w:left w:val="none" w:sz="0" w:space="0" w:color="auto"/>
                    <w:bottom w:val="none" w:sz="0" w:space="0" w:color="auto"/>
                    <w:right w:val="none" w:sz="0" w:space="0" w:color="auto"/>
                  </w:divBdr>
                  <w:divsChild>
                    <w:div w:id="1232279243">
                      <w:marLeft w:val="0"/>
                      <w:marRight w:val="0"/>
                      <w:marTop w:val="0"/>
                      <w:marBottom w:val="0"/>
                      <w:divBdr>
                        <w:top w:val="none" w:sz="0" w:space="0" w:color="auto"/>
                        <w:left w:val="none" w:sz="0" w:space="0" w:color="auto"/>
                        <w:bottom w:val="none" w:sz="0" w:space="0" w:color="auto"/>
                        <w:right w:val="none" w:sz="0" w:space="0" w:color="auto"/>
                      </w:divBdr>
                    </w:div>
                  </w:divsChild>
                </w:div>
                <w:div w:id="1846361516">
                  <w:marLeft w:val="0"/>
                  <w:marRight w:val="0"/>
                  <w:marTop w:val="0"/>
                  <w:marBottom w:val="0"/>
                  <w:divBdr>
                    <w:top w:val="none" w:sz="0" w:space="0" w:color="auto"/>
                    <w:left w:val="none" w:sz="0" w:space="0" w:color="auto"/>
                    <w:bottom w:val="none" w:sz="0" w:space="0" w:color="auto"/>
                    <w:right w:val="none" w:sz="0" w:space="0" w:color="auto"/>
                  </w:divBdr>
                  <w:divsChild>
                    <w:div w:id="1955332793">
                      <w:marLeft w:val="0"/>
                      <w:marRight w:val="0"/>
                      <w:marTop w:val="0"/>
                      <w:marBottom w:val="0"/>
                      <w:divBdr>
                        <w:top w:val="none" w:sz="0" w:space="0" w:color="auto"/>
                        <w:left w:val="none" w:sz="0" w:space="0" w:color="auto"/>
                        <w:bottom w:val="none" w:sz="0" w:space="0" w:color="auto"/>
                        <w:right w:val="none" w:sz="0" w:space="0" w:color="auto"/>
                      </w:divBdr>
                    </w:div>
                  </w:divsChild>
                </w:div>
                <w:div w:id="1861385374">
                  <w:marLeft w:val="0"/>
                  <w:marRight w:val="0"/>
                  <w:marTop w:val="0"/>
                  <w:marBottom w:val="0"/>
                  <w:divBdr>
                    <w:top w:val="none" w:sz="0" w:space="0" w:color="auto"/>
                    <w:left w:val="none" w:sz="0" w:space="0" w:color="auto"/>
                    <w:bottom w:val="none" w:sz="0" w:space="0" w:color="auto"/>
                    <w:right w:val="none" w:sz="0" w:space="0" w:color="auto"/>
                  </w:divBdr>
                  <w:divsChild>
                    <w:div w:id="1939675277">
                      <w:marLeft w:val="0"/>
                      <w:marRight w:val="0"/>
                      <w:marTop w:val="0"/>
                      <w:marBottom w:val="0"/>
                      <w:divBdr>
                        <w:top w:val="none" w:sz="0" w:space="0" w:color="auto"/>
                        <w:left w:val="none" w:sz="0" w:space="0" w:color="auto"/>
                        <w:bottom w:val="none" w:sz="0" w:space="0" w:color="auto"/>
                        <w:right w:val="none" w:sz="0" w:space="0" w:color="auto"/>
                      </w:divBdr>
                    </w:div>
                  </w:divsChild>
                </w:div>
                <w:div w:id="1882861404">
                  <w:marLeft w:val="0"/>
                  <w:marRight w:val="0"/>
                  <w:marTop w:val="0"/>
                  <w:marBottom w:val="0"/>
                  <w:divBdr>
                    <w:top w:val="none" w:sz="0" w:space="0" w:color="auto"/>
                    <w:left w:val="none" w:sz="0" w:space="0" w:color="auto"/>
                    <w:bottom w:val="none" w:sz="0" w:space="0" w:color="auto"/>
                    <w:right w:val="none" w:sz="0" w:space="0" w:color="auto"/>
                  </w:divBdr>
                  <w:divsChild>
                    <w:div w:id="183521051">
                      <w:marLeft w:val="0"/>
                      <w:marRight w:val="0"/>
                      <w:marTop w:val="0"/>
                      <w:marBottom w:val="0"/>
                      <w:divBdr>
                        <w:top w:val="none" w:sz="0" w:space="0" w:color="auto"/>
                        <w:left w:val="none" w:sz="0" w:space="0" w:color="auto"/>
                        <w:bottom w:val="none" w:sz="0" w:space="0" w:color="auto"/>
                        <w:right w:val="none" w:sz="0" w:space="0" w:color="auto"/>
                      </w:divBdr>
                    </w:div>
                  </w:divsChild>
                </w:div>
                <w:div w:id="1908371606">
                  <w:marLeft w:val="0"/>
                  <w:marRight w:val="0"/>
                  <w:marTop w:val="0"/>
                  <w:marBottom w:val="0"/>
                  <w:divBdr>
                    <w:top w:val="none" w:sz="0" w:space="0" w:color="auto"/>
                    <w:left w:val="none" w:sz="0" w:space="0" w:color="auto"/>
                    <w:bottom w:val="none" w:sz="0" w:space="0" w:color="auto"/>
                    <w:right w:val="none" w:sz="0" w:space="0" w:color="auto"/>
                  </w:divBdr>
                  <w:divsChild>
                    <w:div w:id="1728992088">
                      <w:marLeft w:val="0"/>
                      <w:marRight w:val="0"/>
                      <w:marTop w:val="0"/>
                      <w:marBottom w:val="0"/>
                      <w:divBdr>
                        <w:top w:val="none" w:sz="0" w:space="0" w:color="auto"/>
                        <w:left w:val="none" w:sz="0" w:space="0" w:color="auto"/>
                        <w:bottom w:val="none" w:sz="0" w:space="0" w:color="auto"/>
                        <w:right w:val="none" w:sz="0" w:space="0" w:color="auto"/>
                      </w:divBdr>
                    </w:div>
                  </w:divsChild>
                </w:div>
                <w:div w:id="1941142409">
                  <w:marLeft w:val="0"/>
                  <w:marRight w:val="0"/>
                  <w:marTop w:val="0"/>
                  <w:marBottom w:val="0"/>
                  <w:divBdr>
                    <w:top w:val="none" w:sz="0" w:space="0" w:color="auto"/>
                    <w:left w:val="none" w:sz="0" w:space="0" w:color="auto"/>
                    <w:bottom w:val="none" w:sz="0" w:space="0" w:color="auto"/>
                    <w:right w:val="none" w:sz="0" w:space="0" w:color="auto"/>
                  </w:divBdr>
                  <w:divsChild>
                    <w:div w:id="1700813166">
                      <w:marLeft w:val="0"/>
                      <w:marRight w:val="0"/>
                      <w:marTop w:val="0"/>
                      <w:marBottom w:val="0"/>
                      <w:divBdr>
                        <w:top w:val="none" w:sz="0" w:space="0" w:color="auto"/>
                        <w:left w:val="none" w:sz="0" w:space="0" w:color="auto"/>
                        <w:bottom w:val="none" w:sz="0" w:space="0" w:color="auto"/>
                        <w:right w:val="none" w:sz="0" w:space="0" w:color="auto"/>
                      </w:divBdr>
                    </w:div>
                  </w:divsChild>
                </w:div>
                <w:div w:id="1961952919">
                  <w:marLeft w:val="0"/>
                  <w:marRight w:val="0"/>
                  <w:marTop w:val="0"/>
                  <w:marBottom w:val="0"/>
                  <w:divBdr>
                    <w:top w:val="none" w:sz="0" w:space="0" w:color="auto"/>
                    <w:left w:val="none" w:sz="0" w:space="0" w:color="auto"/>
                    <w:bottom w:val="none" w:sz="0" w:space="0" w:color="auto"/>
                    <w:right w:val="none" w:sz="0" w:space="0" w:color="auto"/>
                  </w:divBdr>
                  <w:divsChild>
                    <w:div w:id="1129981924">
                      <w:marLeft w:val="0"/>
                      <w:marRight w:val="0"/>
                      <w:marTop w:val="0"/>
                      <w:marBottom w:val="0"/>
                      <w:divBdr>
                        <w:top w:val="none" w:sz="0" w:space="0" w:color="auto"/>
                        <w:left w:val="none" w:sz="0" w:space="0" w:color="auto"/>
                        <w:bottom w:val="none" w:sz="0" w:space="0" w:color="auto"/>
                        <w:right w:val="none" w:sz="0" w:space="0" w:color="auto"/>
                      </w:divBdr>
                    </w:div>
                  </w:divsChild>
                </w:div>
                <w:div w:id="1975329314">
                  <w:marLeft w:val="0"/>
                  <w:marRight w:val="0"/>
                  <w:marTop w:val="0"/>
                  <w:marBottom w:val="0"/>
                  <w:divBdr>
                    <w:top w:val="none" w:sz="0" w:space="0" w:color="auto"/>
                    <w:left w:val="none" w:sz="0" w:space="0" w:color="auto"/>
                    <w:bottom w:val="none" w:sz="0" w:space="0" w:color="auto"/>
                    <w:right w:val="none" w:sz="0" w:space="0" w:color="auto"/>
                  </w:divBdr>
                  <w:divsChild>
                    <w:div w:id="1213154982">
                      <w:marLeft w:val="0"/>
                      <w:marRight w:val="0"/>
                      <w:marTop w:val="0"/>
                      <w:marBottom w:val="0"/>
                      <w:divBdr>
                        <w:top w:val="none" w:sz="0" w:space="0" w:color="auto"/>
                        <w:left w:val="none" w:sz="0" w:space="0" w:color="auto"/>
                        <w:bottom w:val="none" w:sz="0" w:space="0" w:color="auto"/>
                        <w:right w:val="none" w:sz="0" w:space="0" w:color="auto"/>
                      </w:divBdr>
                    </w:div>
                  </w:divsChild>
                </w:div>
                <w:div w:id="1982537538">
                  <w:marLeft w:val="0"/>
                  <w:marRight w:val="0"/>
                  <w:marTop w:val="0"/>
                  <w:marBottom w:val="0"/>
                  <w:divBdr>
                    <w:top w:val="none" w:sz="0" w:space="0" w:color="auto"/>
                    <w:left w:val="none" w:sz="0" w:space="0" w:color="auto"/>
                    <w:bottom w:val="none" w:sz="0" w:space="0" w:color="auto"/>
                    <w:right w:val="none" w:sz="0" w:space="0" w:color="auto"/>
                  </w:divBdr>
                  <w:divsChild>
                    <w:div w:id="848760943">
                      <w:marLeft w:val="0"/>
                      <w:marRight w:val="0"/>
                      <w:marTop w:val="0"/>
                      <w:marBottom w:val="0"/>
                      <w:divBdr>
                        <w:top w:val="none" w:sz="0" w:space="0" w:color="auto"/>
                        <w:left w:val="none" w:sz="0" w:space="0" w:color="auto"/>
                        <w:bottom w:val="none" w:sz="0" w:space="0" w:color="auto"/>
                        <w:right w:val="none" w:sz="0" w:space="0" w:color="auto"/>
                      </w:divBdr>
                    </w:div>
                  </w:divsChild>
                </w:div>
                <w:div w:id="2009405033">
                  <w:marLeft w:val="0"/>
                  <w:marRight w:val="0"/>
                  <w:marTop w:val="0"/>
                  <w:marBottom w:val="0"/>
                  <w:divBdr>
                    <w:top w:val="none" w:sz="0" w:space="0" w:color="auto"/>
                    <w:left w:val="none" w:sz="0" w:space="0" w:color="auto"/>
                    <w:bottom w:val="none" w:sz="0" w:space="0" w:color="auto"/>
                    <w:right w:val="none" w:sz="0" w:space="0" w:color="auto"/>
                  </w:divBdr>
                  <w:divsChild>
                    <w:div w:id="377050084">
                      <w:marLeft w:val="0"/>
                      <w:marRight w:val="0"/>
                      <w:marTop w:val="0"/>
                      <w:marBottom w:val="0"/>
                      <w:divBdr>
                        <w:top w:val="none" w:sz="0" w:space="0" w:color="auto"/>
                        <w:left w:val="none" w:sz="0" w:space="0" w:color="auto"/>
                        <w:bottom w:val="none" w:sz="0" w:space="0" w:color="auto"/>
                        <w:right w:val="none" w:sz="0" w:space="0" w:color="auto"/>
                      </w:divBdr>
                    </w:div>
                  </w:divsChild>
                </w:div>
                <w:div w:id="2013143217">
                  <w:marLeft w:val="0"/>
                  <w:marRight w:val="0"/>
                  <w:marTop w:val="0"/>
                  <w:marBottom w:val="0"/>
                  <w:divBdr>
                    <w:top w:val="none" w:sz="0" w:space="0" w:color="auto"/>
                    <w:left w:val="none" w:sz="0" w:space="0" w:color="auto"/>
                    <w:bottom w:val="none" w:sz="0" w:space="0" w:color="auto"/>
                    <w:right w:val="none" w:sz="0" w:space="0" w:color="auto"/>
                  </w:divBdr>
                  <w:divsChild>
                    <w:div w:id="1066294014">
                      <w:marLeft w:val="0"/>
                      <w:marRight w:val="0"/>
                      <w:marTop w:val="0"/>
                      <w:marBottom w:val="0"/>
                      <w:divBdr>
                        <w:top w:val="none" w:sz="0" w:space="0" w:color="auto"/>
                        <w:left w:val="none" w:sz="0" w:space="0" w:color="auto"/>
                        <w:bottom w:val="none" w:sz="0" w:space="0" w:color="auto"/>
                        <w:right w:val="none" w:sz="0" w:space="0" w:color="auto"/>
                      </w:divBdr>
                    </w:div>
                  </w:divsChild>
                </w:div>
                <w:div w:id="2022704449">
                  <w:marLeft w:val="0"/>
                  <w:marRight w:val="0"/>
                  <w:marTop w:val="0"/>
                  <w:marBottom w:val="0"/>
                  <w:divBdr>
                    <w:top w:val="none" w:sz="0" w:space="0" w:color="auto"/>
                    <w:left w:val="none" w:sz="0" w:space="0" w:color="auto"/>
                    <w:bottom w:val="none" w:sz="0" w:space="0" w:color="auto"/>
                    <w:right w:val="none" w:sz="0" w:space="0" w:color="auto"/>
                  </w:divBdr>
                  <w:divsChild>
                    <w:div w:id="1695417834">
                      <w:marLeft w:val="0"/>
                      <w:marRight w:val="0"/>
                      <w:marTop w:val="0"/>
                      <w:marBottom w:val="0"/>
                      <w:divBdr>
                        <w:top w:val="none" w:sz="0" w:space="0" w:color="auto"/>
                        <w:left w:val="none" w:sz="0" w:space="0" w:color="auto"/>
                        <w:bottom w:val="none" w:sz="0" w:space="0" w:color="auto"/>
                        <w:right w:val="none" w:sz="0" w:space="0" w:color="auto"/>
                      </w:divBdr>
                    </w:div>
                  </w:divsChild>
                </w:div>
                <w:div w:id="2076049845">
                  <w:marLeft w:val="0"/>
                  <w:marRight w:val="0"/>
                  <w:marTop w:val="0"/>
                  <w:marBottom w:val="0"/>
                  <w:divBdr>
                    <w:top w:val="none" w:sz="0" w:space="0" w:color="auto"/>
                    <w:left w:val="none" w:sz="0" w:space="0" w:color="auto"/>
                    <w:bottom w:val="none" w:sz="0" w:space="0" w:color="auto"/>
                    <w:right w:val="none" w:sz="0" w:space="0" w:color="auto"/>
                  </w:divBdr>
                  <w:divsChild>
                    <w:div w:id="473180463">
                      <w:marLeft w:val="0"/>
                      <w:marRight w:val="0"/>
                      <w:marTop w:val="0"/>
                      <w:marBottom w:val="0"/>
                      <w:divBdr>
                        <w:top w:val="none" w:sz="0" w:space="0" w:color="auto"/>
                        <w:left w:val="none" w:sz="0" w:space="0" w:color="auto"/>
                        <w:bottom w:val="none" w:sz="0" w:space="0" w:color="auto"/>
                        <w:right w:val="none" w:sz="0" w:space="0" w:color="auto"/>
                      </w:divBdr>
                    </w:div>
                  </w:divsChild>
                </w:div>
                <w:div w:id="2118214110">
                  <w:marLeft w:val="0"/>
                  <w:marRight w:val="0"/>
                  <w:marTop w:val="0"/>
                  <w:marBottom w:val="0"/>
                  <w:divBdr>
                    <w:top w:val="none" w:sz="0" w:space="0" w:color="auto"/>
                    <w:left w:val="none" w:sz="0" w:space="0" w:color="auto"/>
                    <w:bottom w:val="none" w:sz="0" w:space="0" w:color="auto"/>
                    <w:right w:val="none" w:sz="0" w:space="0" w:color="auto"/>
                  </w:divBdr>
                  <w:divsChild>
                    <w:div w:id="1552839775">
                      <w:marLeft w:val="0"/>
                      <w:marRight w:val="0"/>
                      <w:marTop w:val="0"/>
                      <w:marBottom w:val="0"/>
                      <w:divBdr>
                        <w:top w:val="none" w:sz="0" w:space="0" w:color="auto"/>
                        <w:left w:val="none" w:sz="0" w:space="0" w:color="auto"/>
                        <w:bottom w:val="none" w:sz="0" w:space="0" w:color="auto"/>
                        <w:right w:val="none" w:sz="0" w:space="0" w:color="auto"/>
                      </w:divBdr>
                    </w:div>
                  </w:divsChild>
                </w:div>
                <w:div w:id="2138066673">
                  <w:marLeft w:val="0"/>
                  <w:marRight w:val="0"/>
                  <w:marTop w:val="0"/>
                  <w:marBottom w:val="0"/>
                  <w:divBdr>
                    <w:top w:val="none" w:sz="0" w:space="0" w:color="auto"/>
                    <w:left w:val="none" w:sz="0" w:space="0" w:color="auto"/>
                    <w:bottom w:val="none" w:sz="0" w:space="0" w:color="auto"/>
                    <w:right w:val="none" w:sz="0" w:space="0" w:color="auto"/>
                  </w:divBdr>
                  <w:divsChild>
                    <w:div w:id="861288412">
                      <w:marLeft w:val="0"/>
                      <w:marRight w:val="0"/>
                      <w:marTop w:val="0"/>
                      <w:marBottom w:val="0"/>
                      <w:divBdr>
                        <w:top w:val="none" w:sz="0" w:space="0" w:color="auto"/>
                        <w:left w:val="none" w:sz="0" w:space="0" w:color="auto"/>
                        <w:bottom w:val="none" w:sz="0" w:space="0" w:color="auto"/>
                        <w:right w:val="none" w:sz="0" w:space="0" w:color="auto"/>
                      </w:divBdr>
                    </w:div>
                  </w:divsChild>
                </w:div>
                <w:div w:id="2141652116">
                  <w:marLeft w:val="0"/>
                  <w:marRight w:val="0"/>
                  <w:marTop w:val="0"/>
                  <w:marBottom w:val="0"/>
                  <w:divBdr>
                    <w:top w:val="none" w:sz="0" w:space="0" w:color="auto"/>
                    <w:left w:val="none" w:sz="0" w:space="0" w:color="auto"/>
                    <w:bottom w:val="none" w:sz="0" w:space="0" w:color="auto"/>
                    <w:right w:val="none" w:sz="0" w:space="0" w:color="auto"/>
                  </w:divBdr>
                  <w:divsChild>
                    <w:div w:id="67074276">
                      <w:marLeft w:val="0"/>
                      <w:marRight w:val="0"/>
                      <w:marTop w:val="0"/>
                      <w:marBottom w:val="0"/>
                      <w:divBdr>
                        <w:top w:val="none" w:sz="0" w:space="0" w:color="auto"/>
                        <w:left w:val="none" w:sz="0" w:space="0" w:color="auto"/>
                        <w:bottom w:val="none" w:sz="0" w:space="0" w:color="auto"/>
                        <w:right w:val="none" w:sz="0" w:space="0" w:color="auto"/>
                      </w:divBdr>
                    </w:div>
                  </w:divsChild>
                </w:div>
                <w:div w:id="2144693118">
                  <w:marLeft w:val="0"/>
                  <w:marRight w:val="0"/>
                  <w:marTop w:val="0"/>
                  <w:marBottom w:val="0"/>
                  <w:divBdr>
                    <w:top w:val="none" w:sz="0" w:space="0" w:color="auto"/>
                    <w:left w:val="none" w:sz="0" w:space="0" w:color="auto"/>
                    <w:bottom w:val="none" w:sz="0" w:space="0" w:color="auto"/>
                    <w:right w:val="none" w:sz="0" w:space="0" w:color="auto"/>
                  </w:divBdr>
                  <w:divsChild>
                    <w:div w:id="13078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68732">
          <w:marLeft w:val="0"/>
          <w:marRight w:val="0"/>
          <w:marTop w:val="0"/>
          <w:marBottom w:val="0"/>
          <w:divBdr>
            <w:top w:val="none" w:sz="0" w:space="0" w:color="auto"/>
            <w:left w:val="none" w:sz="0" w:space="0" w:color="auto"/>
            <w:bottom w:val="none" w:sz="0" w:space="0" w:color="auto"/>
            <w:right w:val="none" w:sz="0" w:space="0" w:color="auto"/>
          </w:divBdr>
          <w:divsChild>
            <w:div w:id="2009939735">
              <w:marLeft w:val="-75"/>
              <w:marRight w:val="0"/>
              <w:marTop w:val="30"/>
              <w:marBottom w:val="30"/>
              <w:divBdr>
                <w:top w:val="none" w:sz="0" w:space="0" w:color="auto"/>
                <w:left w:val="none" w:sz="0" w:space="0" w:color="auto"/>
                <w:bottom w:val="none" w:sz="0" w:space="0" w:color="auto"/>
                <w:right w:val="none" w:sz="0" w:space="0" w:color="auto"/>
              </w:divBdr>
              <w:divsChild>
                <w:div w:id="12264602">
                  <w:marLeft w:val="0"/>
                  <w:marRight w:val="0"/>
                  <w:marTop w:val="0"/>
                  <w:marBottom w:val="0"/>
                  <w:divBdr>
                    <w:top w:val="none" w:sz="0" w:space="0" w:color="auto"/>
                    <w:left w:val="none" w:sz="0" w:space="0" w:color="auto"/>
                    <w:bottom w:val="none" w:sz="0" w:space="0" w:color="auto"/>
                    <w:right w:val="none" w:sz="0" w:space="0" w:color="auto"/>
                  </w:divBdr>
                  <w:divsChild>
                    <w:div w:id="78798514">
                      <w:marLeft w:val="0"/>
                      <w:marRight w:val="0"/>
                      <w:marTop w:val="0"/>
                      <w:marBottom w:val="0"/>
                      <w:divBdr>
                        <w:top w:val="none" w:sz="0" w:space="0" w:color="auto"/>
                        <w:left w:val="none" w:sz="0" w:space="0" w:color="auto"/>
                        <w:bottom w:val="none" w:sz="0" w:space="0" w:color="auto"/>
                        <w:right w:val="none" w:sz="0" w:space="0" w:color="auto"/>
                      </w:divBdr>
                    </w:div>
                  </w:divsChild>
                </w:div>
                <w:div w:id="49502915">
                  <w:marLeft w:val="0"/>
                  <w:marRight w:val="0"/>
                  <w:marTop w:val="0"/>
                  <w:marBottom w:val="0"/>
                  <w:divBdr>
                    <w:top w:val="none" w:sz="0" w:space="0" w:color="auto"/>
                    <w:left w:val="none" w:sz="0" w:space="0" w:color="auto"/>
                    <w:bottom w:val="none" w:sz="0" w:space="0" w:color="auto"/>
                    <w:right w:val="none" w:sz="0" w:space="0" w:color="auto"/>
                  </w:divBdr>
                  <w:divsChild>
                    <w:div w:id="564418953">
                      <w:marLeft w:val="0"/>
                      <w:marRight w:val="0"/>
                      <w:marTop w:val="0"/>
                      <w:marBottom w:val="0"/>
                      <w:divBdr>
                        <w:top w:val="none" w:sz="0" w:space="0" w:color="auto"/>
                        <w:left w:val="none" w:sz="0" w:space="0" w:color="auto"/>
                        <w:bottom w:val="none" w:sz="0" w:space="0" w:color="auto"/>
                        <w:right w:val="none" w:sz="0" w:space="0" w:color="auto"/>
                      </w:divBdr>
                    </w:div>
                  </w:divsChild>
                </w:div>
                <w:div w:id="56706218">
                  <w:marLeft w:val="0"/>
                  <w:marRight w:val="0"/>
                  <w:marTop w:val="0"/>
                  <w:marBottom w:val="0"/>
                  <w:divBdr>
                    <w:top w:val="none" w:sz="0" w:space="0" w:color="auto"/>
                    <w:left w:val="none" w:sz="0" w:space="0" w:color="auto"/>
                    <w:bottom w:val="none" w:sz="0" w:space="0" w:color="auto"/>
                    <w:right w:val="none" w:sz="0" w:space="0" w:color="auto"/>
                  </w:divBdr>
                  <w:divsChild>
                    <w:div w:id="1494176687">
                      <w:marLeft w:val="0"/>
                      <w:marRight w:val="0"/>
                      <w:marTop w:val="0"/>
                      <w:marBottom w:val="0"/>
                      <w:divBdr>
                        <w:top w:val="none" w:sz="0" w:space="0" w:color="auto"/>
                        <w:left w:val="none" w:sz="0" w:space="0" w:color="auto"/>
                        <w:bottom w:val="none" w:sz="0" w:space="0" w:color="auto"/>
                        <w:right w:val="none" w:sz="0" w:space="0" w:color="auto"/>
                      </w:divBdr>
                    </w:div>
                  </w:divsChild>
                </w:div>
                <w:div w:id="59718917">
                  <w:marLeft w:val="0"/>
                  <w:marRight w:val="0"/>
                  <w:marTop w:val="0"/>
                  <w:marBottom w:val="0"/>
                  <w:divBdr>
                    <w:top w:val="none" w:sz="0" w:space="0" w:color="auto"/>
                    <w:left w:val="none" w:sz="0" w:space="0" w:color="auto"/>
                    <w:bottom w:val="none" w:sz="0" w:space="0" w:color="auto"/>
                    <w:right w:val="none" w:sz="0" w:space="0" w:color="auto"/>
                  </w:divBdr>
                  <w:divsChild>
                    <w:div w:id="66417395">
                      <w:marLeft w:val="0"/>
                      <w:marRight w:val="0"/>
                      <w:marTop w:val="0"/>
                      <w:marBottom w:val="0"/>
                      <w:divBdr>
                        <w:top w:val="none" w:sz="0" w:space="0" w:color="auto"/>
                        <w:left w:val="none" w:sz="0" w:space="0" w:color="auto"/>
                        <w:bottom w:val="none" w:sz="0" w:space="0" w:color="auto"/>
                        <w:right w:val="none" w:sz="0" w:space="0" w:color="auto"/>
                      </w:divBdr>
                    </w:div>
                  </w:divsChild>
                </w:div>
                <w:div w:id="82148205">
                  <w:marLeft w:val="0"/>
                  <w:marRight w:val="0"/>
                  <w:marTop w:val="0"/>
                  <w:marBottom w:val="0"/>
                  <w:divBdr>
                    <w:top w:val="none" w:sz="0" w:space="0" w:color="auto"/>
                    <w:left w:val="none" w:sz="0" w:space="0" w:color="auto"/>
                    <w:bottom w:val="none" w:sz="0" w:space="0" w:color="auto"/>
                    <w:right w:val="none" w:sz="0" w:space="0" w:color="auto"/>
                  </w:divBdr>
                  <w:divsChild>
                    <w:div w:id="1264993849">
                      <w:marLeft w:val="0"/>
                      <w:marRight w:val="0"/>
                      <w:marTop w:val="0"/>
                      <w:marBottom w:val="0"/>
                      <w:divBdr>
                        <w:top w:val="none" w:sz="0" w:space="0" w:color="auto"/>
                        <w:left w:val="none" w:sz="0" w:space="0" w:color="auto"/>
                        <w:bottom w:val="none" w:sz="0" w:space="0" w:color="auto"/>
                        <w:right w:val="none" w:sz="0" w:space="0" w:color="auto"/>
                      </w:divBdr>
                    </w:div>
                  </w:divsChild>
                </w:div>
                <w:div w:id="89744414">
                  <w:marLeft w:val="0"/>
                  <w:marRight w:val="0"/>
                  <w:marTop w:val="0"/>
                  <w:marBottom w:val="0"/>
                  <w:divBdr>
                    <w:top w:val="none" w:sz="0" w:space="0" w:color="auto"/>
                    <w:left w:val="none" w:sz="0" w:space="0" w:color="auto"/>
                    <w:bottom w:val="none" w:sz="0" w:space="0" w:color="auto"/>
                    <w:right w:val="none" w:sz="0" w:space="0" w:color="auto"/>
                  </w:divBdr>
                  <w:divsChild>
                    <w:div w:id="518589671">
                      <w:marLeft w:val="0"/>
                      <w:marRight w:val="0"/>
                      <w:marTop w:val="0"/>
                      <w:marBottom w:val="0"/>
                      <w:divBdr>
                        <w:top w:val="none" w:sz="0" w:space="0" w:color="auto"/>
                        <w:left w:val="none" w:sz="0" w:space="0" w:color="auto"/>
                        <w:bottom w:val="none" w:sz="0" w:space="0" w:color="auto"/>
                        <w:right w:val="none" w:sz="0" w:space="0" w:color="auto"/>
                      </w:divBdr>
                    </w:div>
                  </w:divsChild>
                </w:div>
                <w:div w:id="98331728">
                  <w:marLeft w:val="0"/>
                  <w:marRight w:val="0"/>
                  <w:marTop w:val="0"/>
                  <w:marBottom w:val="0"/>
                  <w:divBdr>
                    <w:top w:val="none" w:sz="0" w:space="0" w:color="auto"/>
                    <w:left w:val="none" w:sz="0" w:space="0" w:color="auto"/>
                    <w:bottom w:val="none" w:sz="0" w:space="0" w:color="auto"/>
                    <w:right w:val="none" w:sz="0" w:space="0" w:color="auto"/>
                  </w:divBdr>
                  <w:divsChild>
                    <w:div w:id="140385719">
                      <w:marLeft w:val="0"/>
                      <w:marRight w:val="0"/>
                      <w:marTop w:val="0"/>
                      <w:marBottom w:val="0"/>
                      <w:divBdr>
                        <w:top w:val="none" w:sz="0" w:space="0" w:color="auto"/>
                        <w:left w:val="none" w:sz="0" w:space="0" w:color="auto"/>
                        <w:bottom w:val="none" w:sz="0" w:space="0" w:color="auto"/>
                        <w:right w:val="none" w:sz="0" w:space="0" w:color="auto"/>
                      </w:divBdr>
                    </w:div>
                  </w:divsChild>
                </w:div>
                <w:div w:id="144128076">
                  <w:marLeft w:val="0"/>
                  <w:marRight w:val="0"/>
                  <w:marTop w:val="0"/>
                  <w:marBottom w:val="0"/>
                  <w:divBdr>
                    <w:top w:val="none" w:sz="0" w:space="0" w:color="auto"/>
                    <w:left w:val="none" w:sz="0" w:space="0" w:color="auto"/>
                    <w:bottom w:val="none" w:sz="0" w:space="0" w:color="auto"/>
                    <w:right w:val="none" w:sz="0" w:space="0" w:color="auto"/>
                  </w:divBdr>
                  <w:divsChild>
                    <w:div w:id="66850817">
                      <w:marLeft w:val="0"/>
                      <w:marRight w:val="0"/>
                      <w:marTop w:val="0"/>
                      <w:marBottom w:val="0"/>
                      <w:divBdr>
                        <w:top w:val="none" w:sz="0" w:space="0" w:color="auto"/>
                        <w:left w:val="none" w:sz="0" w:space="0" w:color="auto"/>
                        <w:bottom w:val="none" w:sz="0" w:space="0" w:color="auto"/>
                        <w:right w:val="none" w:sz="0" w:space="0" w:color="auto"/>
                      </w:divBdr>
                    </w:div>
                  </w:divsChild>
                </w:div>
                <w:div w:id="144205849">
                  <w:marLeft w:val="0"/>
                  <w:marRight w:val="0"/>
                  <w:marTop w:val="0"/>
                  <w:marBottom w:val="0"/>
                  <w:divBdr>
                    <w:top w:val="none" w:sz="0" w:space="0" w:color="auto"/>
                    <w:left w:val="none" w:sz="0" w:space="0" w:color="auto"/>
                    <w:bottom w:val="none" w:sz="0" w:space="0" w:color="auto"/>
                    <w:right w:val="none" w:sz="0" w:space="0" w:color="auto"/>
                  </w:divBdr>
                  <w:divsChild>
                    <w:div w:id="1279676178">
                      <w:marLeft w:val="0"/>
                      <w:marRight w:val="0"/>
                      <w:marTop w:val="0"/>
                      <w:marBottom w:val="0"/>
                      <w:divBdr>
                        <w:top w:val="none" w:sz="0" w:space="0" w:color="auto"/>
                        <w:left w:val="none" w:sz="0" w:space="0" w:color="auto"/>
                        <w:bottom w:val="none" w:sz="0" w:space="0" w:color="auto"/>
                        <w:right w:val="none" w:sz="0" w:space="0" w:color="auto"/>
                      </w:divBdr>
                    </w:div>
                  </w:divsChild>
                </w:div>
                <w:div w:id="144442579">
                  <w:marLeft w:val="0"/>
                  <w:marRight w:val="0"/>
                  <w:marTop w:val="0"/>
                  <w:marBottom w:val="0"/>
                  <w:divBdr>
                    <w:top w:val="none" w:sz="0" w:space="0" w:color="auto"/>
                    <w:left w:val="none" w:sz="0" w:space="0" w:color="auto"/>
                    <w:bottom w:val="none" w:sz="0" w:space="0" w:color="auto"/>
                    <w:right w:val="none" w:sz="0" w:space="0" w:color="auto"/>
                  </w:divBdr>
                  <w:divsChild>
                    <w:div w:id="2122868980">
                      <w:marLeft w:val="0"/>
                      <w:marRight w:val="0"/>
                      <w:marTop w:val="0"/>
                      <w:marBottom w:val="0"/>
                      <w:divBdr>
                        <w:top w:val="none" w:sz="0" w:space="0" w:color="auto"/>
                        <w:left w:val="none" w:sz="0" w:space="0" w:color="auto"/>
                        <w:bottom w:val="none" w:sz="0" w:space="0" w:color="auto"/>
                        <w:right w:val="none" w:sz="0" w:space="0" w:color="auto"/>
                      </w:divBdr>
                    </w:div>
                  </w:divsChild>
                </w:div>
                <w:div w:id="156728090">
                  <w:marLeft w:val="0"/>
                  <w:marRight w:val="0"/>
                  <w:marTop w:val="0"/>
                  <w:marBottom w:val="0"/>
                  <w:divBdr>
                    <w:top w:val="none" w:sz="0" w:space="0" w:color="auto"/>
                    <w:left w:val="none" w:sz="0" w:space="0" w:color="auto"/>
                    <w:bottom w:val="none" w:sz="0" w:space="0" w:color="auto"/>
                    <w:right w:val="none" w:sz="0" w:space="0" w:color="auto"/>
                  </w:divBdr>
                  <w:divsChild>
                    <w:div w:id="1512067318">
                      <w:marLeft w:val="0"/>
                      <w:marRight w:val="0"/>
                      <w:marTop w:val="0"/>
                      <w:marBottom w:val="0"/>
                      <w:divBdr>
                        <w:top w:val="none" w:sz="0" w:space="0" w:color="auto"/>
                        <w:left w:val="none" w:sz="0" w:space="0" w:color="auto"/>
                        <w:bottom w:val="none" w:sz="0" w:space="0" w:color="auto"/>
                        <w:right w:val="none" w:sz="0" w:space="0" w:color="auto"/>
                      </w:divBdr>
                    </w:div>
                  </w:divsChild>
                </w:div>
                <w:div w:id="162749280">
                  <w:marLeft w:val="0"/>
                  <w:marRight w:val="0"/>
                  <w:marTop w:val="0"/>
                  <w:marBottom w:val="0"/>
                  <w:divBdr>
                    <w:top w:val="none" w:sz="0" w:space="0" w:color="auto"/>
                    <w:left w:val="none" w:sz="0" w:space="0" w:color="auto"/>
                    <w:bottom w:val="none" w:sz="0" w:space="0" w:color="auto"/>
                    <w:right w:val="none" w:sz="0" w:space="0" w:color="auto"/>
                  </w:divBdr>
                  <w:divsChild>
                    <w:div w:id="1003901167">
                      <w:marLeft w:val="0"/>
                      <w:marRight w:val="0"/>
                      <w:marTop w:val="0"/>
                      <w:marBottom w:val="0"/>
                      <w:divBdr>
                        <w:top w:val="none" w:sz="0" w:space="0" w:color="auto"/>
                        <w:left w:val="none" w:sz="0" w:space="0" w:color="auto"/>
                        <w:bottom w:val="none" w:sz="0" w:space="0" w:color="auto"/>
                        <w:right w:val="none" w:sz="0" w:space="0" w:color="auto"/>
                      </w:divBdr>
                    </w:div>
                  </w:divsChild>
                </w:div>
                <w:div w:id="173110294">
                  <w:marLeft w:val="0"/>
                  <w:marRight w:val="0"/>
                  <w:marTop w:val="0"/>
                  <w:marBottom w:val="0"/>
                  <w:divBdr>
                    <w:top w:val="none" w:sz="0" w:space="0" w:color="auto"/>
                    <w:left w:val="none" w:sz="0" w:space="0" w:color="auto"/>
                    <w:bottom w:val="none" w:sz="0" w:space="0" w:color="auto"/>
                    <w:right w:val="none" w:sz="0" w:space="0" w:color="auto"/>
                  </w:divBdr>
                  <w:divsChild>
                    <w:div w:id="504637800">
                      <w:marLeft w:val="0"/>
                      <w:marRight w:val="0"/>
                      <w:marTop w:val="0"/>
                      <w:marBottom w:val="0"/>
                      <w:divBdr>
                        <w:top w:val="none" w:sz="0" w:space="0" w:color="auto"/>
                        <w:left w:val="none" w:sz="0" w:space="0" w:color="auto"/>
                        <w:bottom w:val="none" w:sz="0" w:space="0" w:color="auto"/>
                        <w:right w:val="none" w:sz="0" w:space="0" w:color="auto"/>
                      </w:divBdr>
                    </w:div>
                  </w:divsChild>
                </w:div>
                <w:div w:id="193081170">
                  <w:marLeft w:val="0"/>
                  <w:marRight w:val="0"/>
                  <w:marTop w:val="0"/>
                  <w:marBottom w:val="0"/>
                  <w:divBdr>
                    <w:top w:val="none" w:sz="0" w:space="0" w:color="auto"/>
                    <w:left w:val="none" w:sz="0" w:space="0" w:color="auto"/>
                    <w:bottom w:val="none" w:sz="0" w:space="0" w:color="auto"/>
                    <w:right w:val="none" w:sz="0" w:space="0" w:color="auto"/>
                  </w:divBdr>
                  <w:divsChild>
                    <w:div w:id="2146926364">
                      <w:marLeft w:val="0"/>
                      <w:marRight w:val="0"/>
                      <w:marTop w:val="0"/>
                      <w:marBottom w:val="0"/>
                      <w:divBdr>
                        <w:top w:val="none" w:sz="0" w:space="0" w:color="auto"/>
                        <w:left w:val="none" w:sz="0" w:space="0" w:color="auto"/>
                        <w:bottom w:val="none" w:sz="0" w:space="0" w:color="auto"/>
                        <w:right w:val="none" w:sz="0" w:space="0" w:color="auto"/>
                      </w:divBdr>
                    </w:div>
                  </w:divsChild>
                </w:div>
                <w:div w:id="208612119">
                  <w:marLeft w:val="0"/>
                  <w:marRight w:val="0"/>
                  <w:marTop w:val="0"/>
                  <w:marBottom w:val="0"/>
                  <w:divBdr>
                    <w:top w:val="none" w:sz="0" w:space="0" w:color="auto"/>
                    <w:left w:val="none" w:sz="0" w:space="0" w:color="auto"/>
                    <w:bottom w:val="none" w:sz="0" w:space="0" w:color="auto"/>
                    <w:right w:val="none" w:sz="0" w:space="0" w:color="auto"/>
                  </w:divBdr>
                  <w:divsChild>
                    <w:div w:id="1058548866">
                      <w:marLeft w:val="0"/>
                      <w:marRight w:val="0"/>
                      <w:marTop w:val="0"/>
                      <w:marBottom w:val="0"/>
                      <w:divBdr>
                        <w:top w:val="none" w:sz="0" w:space="0" w:color="auto"/>
                        <w:left w:val="none" w:sz="0" w:space="0" w:color="auto"/>
                        <w:bottom w:val="none" w:sz="0" w:space="0" w:color="auto"/>
                        <w:right w:val="none" w:sz="0" w:space="0" w:color="auto"/>
                      </w:divBdr>
                    </w:div>
                  </w:divsChild>
                </w:div>
                <w:div w:id="241374378">
                  <w:marLeft w:val="0"/>
                  <w:marRight w:val="0"/>
                  <w:marTop w:val="0"/>
                  <w:marBottom w:val="0"/>
                  <w:divBdr>
                    <w:top w:val="none" w:sz="0" w:space="0" w:color="auto"/>
                    <w:left w:val="none" w:sz="0" w:space="0" w:color="auto"/>
                    <w:bottom w:val="none" w:sz="0" w:space="0" w:color="auto"/>
                    <w:right w:val="none" w:sz="0" w:space="0" w:color="auto"/>
                  </w:divBdr>
                  <w:divsChild>
                    <w:div w:id="1102719860">
                      <w:marLeft w:val="0"/>
                      <w:marRight w:val="0"/>
                      <w:marTop w:val="0"/>
                      <w:marBottom w:val="0"/>
                      <w:divBdr>
                        <w:top w:val="none" w:sz="0" w:space="0" w:color="auto"/>
                        <w:left w:val="none" w:sz="0" w:space="0" w:color="auto"/>
                        <w:bottom w:val="none" w:sz="0" w:space="0" w:color="auto"/>
                        <w:right w:val="none" w:sz="0" w:space="0" w:color="auto"/>
                      </w:divBdr>
                    </w:div>
                  </w:divsChild>
                </w:div>
                <w:div w:id="243032535">
                  <w:marLeft w:val="0"/>
                  <w:marRight w:val="0"/>
                  <w:marTop w:val="0"/>
                  <w:marBottom w:val="0"/>
                  <w:divBdr>
                    <w:top w:val="none" w:sz="0" w:space="0" w:color="auto"/>
                    <w:left w:val="none" w:sz="0" w:space="0" w:color="auto"/>
                    <w:bottom w:val="none" w:sz="0" w:space="0" w:color="auto"/>
                    <w:right w:val="none" w:sz="0" w:space="0" w:color="auto"/>
                  </w:divBdr>
                  <w:divsChild>
                    <w:div w:id="78259039">
                      <w:marLeft w:val="0"/>
                      <w:marRight w:val="0"/>
                      <w:marTop w:val="0"/>
                      <w:marBottom w:val="0"/>
                      <w:divBdr>
                        <w:top w:val="none" w:sz="0" w:space="0" w:color="auto"/>
                        <w:left w:val="none" w:sz="0" w:space="0" w:color="auto"/>
                        <w:bottom w:val="none" w:sz="0" w:space="0" w:color="auto"/>
                        <w:right w:val="none" w:sz="0" w:space="0" w:color="auto"/>
                      </w:divBdr>
                    </w:div>
                  </w:divsChild>
                </w:div>
                <w:div w:id="258802744">
                  <w:marLeft w:val="0"/>
                  <w:marRight w:val="0"/>
                  <w:marTop w:val="0"/>
                  <w:marBottom w:val="0"/>
                  <w:divBdr>
                    <w:top w:val="none" w:sz="0" w:space="0" w:color="auto"/>
                    <w:left w:val="none" w:sz="0" w:space="0" w:color="auto"/>
                    <w:bottom w:val="none" w:sz="0" w:space="0" w:color="auto"/>
                    <w:right w:val="none" w:sz="0" w:space="0" w:color="auto"/>
                  </w:divBdr>
                  <w:divsChild>
                    <w:div w:id="70548526">
                      <w:marLeft w:val="0"/>
                      <w:marRight w:val="0"/>
                      <w:marTop w:val="0"/>
                      <w:marBottom w:val="0"/>
                      <w:divBdr>
                        <w:top w:val="none" w:sz="0" w:space="0" w:color="auto"/>
                        <w:left w:val="none" w:sz="0" w:space="0" w:color="auto"/>
                        <w:bottom w:val="none" w:sz="0" w:space="0" w:color="auto"/>
                        <w:right w:val="none" w:sz="0" w:space="0" w:color="auto"/>
                      </w:divBdr>
                    </w:div>
                  </w:divsChild>
                </w:div>
                <w:div w:id="284586581">
                  <w:marLeft w:val="0"/>
                  <w:marRight w:val="0"/>
                  <w:marTop w:val="0"/>
                  <w:marBottom w:val="0"/>
                  <w:divBdr>
                    <w:top w:val="none" w:sz="0" w:space="0" w:color="auto"/>
                    <w:left w:val="none" w:sz="0" w:space="0" w:color="auto"/>
                    <w:bottom w:val="none" w:sz="0" w:space="0" w:color="auto"/>
                    <w:right w:val="none" w:sz="0" w:space="0" w:color="auto"/>
                  </w:divBdr>
                  <w:divsChild>
                    <w:div w:id="908661601">
                      <w:marLeft w:val="0"/>
                      <w:marRight w:val="0"/>
                      <w:marTop w:val="0"/>
                      <w:marBottom w:val="0"/>
                      <w:divBdr>
                        <w:top w:val="none" w:sz="0" w:space="0" w:color="auto"/>
                        <w:left w:val="none" w:sz="0" w:space="0" w:color="auto"/>
                        <w:bottom w:val="none" w:sz="0" w:space="0" w:color="auto"/>
                        <w:right w:val="none" w:sz="0" w:space="0" w:color="auto"/>
                      </w:divBdr>
                    </w:div>
                  </w:divsChild>
                </w:div>
                <w:div w:id="288516939">
                  <w:marLeft w:val="0"/>
                  <w:marRight w:val="0"/>
                  <w:marTop w:val="0"/>
                  <w:marBottom w:val="0"/>
                  <w:divBdr>
                    <w:top w:val="none" w:sz="0" w:space="0" w:color="auto"/>
                    <w:left w:val="none" w:sz="0" w:space="0" w:color="auto"/>
                    <w:bottom w:val="none" w:sz="0" w:space="0" w:color="auto"/>
                    <w:right w:val="none" w:sz="0" w:space="0" w:color="auto"/>
                  </w:divBdr>
                  <w:divsChild>
                    <w:div w:id="1710178375">
                      <w:marLeft w:val="0"/>
                      <w:marRight w:val="0"/>
                      <w:marTop w:val="0"/>
                      <w:marBottom w:val="0"/>
                      <w:divBdr>
                        <w:top w:val="none" w:sz="0" w:space="0" w:color="auto"/>
                        <w:left w:val="none" w:sz="0" w:space="0" w:color="auto"/>
                        <w:bottom w:val="none" w:sz="0" w:space="0" w:color="auto"/>
                        <w:right w:val="none" w:sz="0" w:space="0" w:color="auto"/>
                      </w:divBdr>
                    </w:div>
                  </w:divsChild>
                </w:div>
                <w:div w:id="289366439">
                  <w:marLeft w:val="0"/>
                  <w:marRight w:val="0"/>
                  <w:marTop w:val="0"/>
                  <w:marBottom w:val="0"/>
                  <w:divBdr>
                    <w:top w:val="none" w:sz="0" w:space="0" w:color="auto"/>
                    <w:left w:val="none" w:sz="0" w:space="0" w:color="auto"/>
                    <w:bottom w:val="none" w:sz="0" w:space="0" w:color="auto"/>
                    <w:right w:val="none" w:sz="0" w:space="0" w:color="auto"/>
                  </w:divBdr>
                  <w:divsChild>
                    <w:div w:id="1138449542">
                      <w:marLeft w:val="0"/>
                      <w:marRight w:val="0"/>
                      <w:marTop w:val="0"/>
                      <w:marBottom w:val="0"/>
                      <w:divBdr>
                        <w:top w:val="none" w:sz="0" w:space="0" w:color="auto"/>
                        <w:left w:val="none" w:sz="0" w:space="0" w:color="auto"/>
                        <w:bottom w:val="none" w:sz="0" w:space="0" w:color="auto"/>
                        <w:right w:val="none" w:sz="0" w:space="0" w:color="auto"/>
                      </w:divBdr>
                    </w:div>
                  </w:divsChild>
                </w:div>
                <w:div w:id="294607297">
                  <w:marLeft w:val="0"/>
                  <w:marRight w:val="0"/>
                  <w:marTop w:val="0"/>
                  <w:marBottom w:val="0"/>
                  <w:divBdr>
                    <w:top w:val="none" w:sz="0" w:space="0" w:color="auto"/>
                    <w:left w:val="none" w:sz="0" w:space="0" w:color="auto"/>
                    <w:bottom w:val="none" w:sz="0" w:space="0" w:color="auto"/>
                    <w:right w:val="none" w:sz="0" w:space="0" w:color="auto"/>
                  </w:divBdr>
                  <w:divsChild>
                    <w:div w:id="382410691">
                      <w:marLeft w:val="0"/>
                      <w:marRight w:val="0"/>
                      <w:marTop w:val="0"/>
                      <w:marBottom w:val="0"/>
                      <w:divBdr>
                        <w:top w:val="none" w:sz="0" w:space="0" w:color="auto"/>
                        <w:left w:val="none" w:sz="0" w:space="0" w:color="auto"/>
                        <w:bottom w:val="none" w:sz="0" w:space="0" w:color="auto"/>
                        <w:right w:val="none" w:sz="0" w:space="0" w:color="auto"/>
                      </w:divBdr>
                    </w:div>
                  </w:divsChild>
                </w:div>
                <w:div w:id="305861866">
                  <w:marLeft w:val="0"/>
                  <w:marRight w:val="0"/>
                  <w:marTop w:val="0"/>
                  <w:marBottom w:val="0"/>
                  <w:divBdr>
                    <w:top w:val="none" w:sz="0" w:space="0" w:color="auto"/>
                    <w:left w:val="none" w:sz="0" w:space="0" w:color="auto"/>
                    <w:bottom w:val="none" w:sz="0" w:space="0" w:color="auto"/>
                    <w:right w:val="none" w:sz="0" w:space="0" w:color="auto"/>
                  </w:divBdr>
                  <w:divsChild>
                    <w:div w:id="980843496">
                      <w:marLeft w:val="0"/>
                      <w:marRight w:val="0"/>
                      <w:marTop w:val="0"/>
                      <w:marBottom w:val="0"/>
                      <w:divBdr>
                        <w:top w:val="none" w:sz="0" w:space="0" w:color="auto"/>
                        <w:left w:val="none" w:sz="0" w:space="0" w:color="auto"/>
                        <w:bottom w:val="none" w:sz="0" w:space="0" w:color="auto"/>
                        <w:right w:val="none" w:sz="0" w:space="0" w:color="auto"/>
                      </w:divBdr>
                    </w:div>
                  </w:divsChild>
                </w:div>
                <w:div w:id="308554693">
                  <w:marLeft w:val="0"/>
                  <w:marRight w:val="0"/>
                  <w:marTop w:val="0"/>
                  <w:marBottom w:val="0"/>
                  <w:divBdr>
                    <w:top w:val="none" w:sz="0" w:space="0" w:color="auto"/>
                    <w:left w:val="none" w:sz="0" w:space="0" w:color="auto"/>
                    <w:bottom w:val="none" w:sz="0" w:space="0" w:color="auto"/>
                    <w:right w:val="none" w:sz="0" w:space="0" w:color="auto"/>
                  </w:divBdr>
                  <w:divsChild>
                    <w:div w:id="808353751">
                      <w:marLeft w:val="0"/>
                      <w:marRight w:val="0"/>
                      <w:marTop w:val="0"/>
                      <w:marBottom w:val="0"/>
                      <w:divBdr>
                        <w:top w:val="none" w:sz="0" w:space="0" w:color="auto"/>
                        <w:left w:val="none" w:sz="0" w:space="0" w:color="auto"/>
                        <w:bottom w:val="none" w:sz="0" w:space="0" w:color="auto"/>
                        <w:right w:val="none" w:sz="0" w:space="0" w:color="auto"/>
                      </w:divBdr>
                    </w:div>
                  </w:divsChild>
                </w:div>
                <w:div w:id="360056156">
                  <w:marLeft w:val="0"/>
                  <w:marRight w:val="0"/>
                  <w:marTop w:val="0"/>
                  <w:marBottom w:val="0"/>
                  <w:divBdr>
                    <w:top w:val="none" w:sz="0" w:space="0" w:color="auto"/>
                    <w:left w:val="none" w:sz="0" w:space="0" w:color="auto"/>
                    <w:bottom w:val="none" w:sz="0" w:space="0" w:color="auto"/>
                    <w:right w:val="none" w:sz="0" w:space="0" w:color="auto"/>
                  </w:divBdr>
                  <w:divsChild>
                    <w:div w:id="674721817">
                      <w:marLeft w:val="0"/>
                      <w:marRight w:val="0"/>
                      <w:marTop w:val="0"/>
                      <w:marBottom w:val="0"/>
                      <w:divBdr>
                        <w:top w:val="none" w:sz="0" w:space="0" w:color="auto"/>
                        <w:left w:val="none" w:sz="0" w:space="0" w:color="auto"/>
                        <w:bottom w:val="none" w:sz="0" w:space="0" w:color="auto"/>
                        <w:right w:val="none" w:sz="0" w:space="0" w:color="auto"/>
                      </w:divBdr>
                    </w:div>
                  </w:divsChild>
                </w:div>
                <w:div w:id="368115929">
                  <w:marLeft w:val="0"/>
                  <w:marRight w:val="0"/>
                  <w:marTop w:val="0"/>
                  <w:marBottom w:val="0"/>
                  <w:divBdr>
                    <w:top w:val="none" w:sz="0" w:space="0" w:color="auto"/>
                    <w:left w:val="none" w:sz="0" w:space="0" w:color="auto"/>
                    <w:bottom w:val="none" w:sz="0" w:space="0" w:color="auto"/>
                    <w:right w:val="none" w:sz="0" w:space="0" w:color="auto"/>
                  </w:divBdr>
                  <w:divsChild>
                    <w:div w:id="917641111">
                      <w:marLeft w:val="0"/>
                      <w:marRight w:val="0"/>
                      <w:marTop w:val="0"/>
                      <w:marBottom w:val="0"/>
                      <w:divBdr>
                        <w:top w:val="none" w:sz="0" w:space="0" w:color="auto"/>
                        <w:left w:val="none" w:sz="0" w:space="0" w:color="auto"/>
                        <w:bottom w:val="none" w:sz="0" w:space="0" w:color="auto"/>
                        <w:right w:val="none" w:sz="0" w:space="0" w:color="auto"/>
                      </w:divBdr>
                    </w:div>
                  </w:divsChild>
                </w:div>
                <w:div w:id="378868759">
                  <w:marLeft w:val="0"/>
                  <w:marRight w:val="0"/>
                  <w:marTop w:val="0"/>
                  <w:marBottom w:val="0"/>
                  <w:divBdr>
                    <w:top w:val="none" w:sz="0" w:space="0" w:color="auto"/>
                    <w:left w:val="none" w:sz="0" w:space="0" w:color="auto"/>
                    <w:bottom w:val="none" w:sz="0" w:space="0" w:color="auto"/>
                    <w:right w:val="none" w:sz="0" w:space="0" w:color="auto"/>
                  </w:divBdr>
                  <w:divsChild>
                    <w:div w:id="1799958005">
                      <w:marLeft w:val="0"/>
                      <w:marRight w:val="0"/>
                      <w:marTop w:val="0"/>
                      <w:marBottom w:val="0"/>
                      <w:divBdr>
                        <w:top w:val="none" w:sz="0" w:space="0" w:color="auto"/>
                        <w:left w:val="none" w:sz="0" w:space="0" w:color="auto"/>
                        <w:bottom w:val="none" w:sz="0" w:space="0" w:color="auto"/>
                        <w:right w:val="none" w:sz="0" w:space="0" w:color="auto"/>
                      </w:divBdr>
                    </w:div>
                  </w:divsChild>
                </w:div>
                <w:div w:id="392654179">
                  <w:marLeft w:val="0"/>
                  <w:marRight w:val="0"/>
                  <w:marTop w:val="0"/>
                  <w:marBottom w:val="0"/>
                  <w:divBdr>
                    <w:top w:val="none" w:sz="0" w:space="0" w:color="auto"/>
                    <w:left w:val="none" w:sz="0" w:space="0" w:color="auto"/>
                    <w:bottom w:val="none" w:sz="0" w:space="0" w:color="auto"/>
                    <w:right w:val="none" w:sz="0" w:space="0" w:color="auto"/>
                  </w:divBdr>
                  <w:divsChild>
                    <w:div w:id="572205276">
                      <w:marLeft w:val="0"/>
                      <w:marRight w:val="0"/>
                      <w:marTop w:val="0"/>
                      <w:marBottom w:val="0"/>
                      <w:divBdr>
                        <w:top w:val="none" w:sz="0" w:space="0" w:color="auto"/>
                        <w:left w:val="none" w:sz="0" w:space="0" w:color="auto"/>
                        <w:bottom w:val="none" w:sz="0" w:space="0" w:color="auto"/>
                        <w:right w:val="none" w:sz="0" w:space="0" w:color="auto"/>
                      </w:divBdr>
                    </w:div>
                  </w:divsChild>
                </w:div>
                <w:div w:id="411583931">
                  <w:marLeft w:val="0"/>
                  <w:marRight w:val="0"/>
                  <w:marTop w:val="0"/>
                  <w:marBottom w:val="0"/>
                  <w:divBdr>
                    <w:top w:val="none" w:sz="0" w:space="0" w:color="auto"/>
                    <w:left w:val="none" w:sz="0" w:space="0" w:color="auto"/>
                    <w:bottom w:val="none" w:sz="0" w:space="0" w:color="auto"/>
                    <w:right w:val="none" w:sz="0" w:space="0" w:color="auto"/>
                  </w:divBdr>
                  <w:divsChild>
                    <w:div w:id="323511300">
                      <w:marLeft w:val="0"/>
                      <w:marRight w:val="0"/>
                      <w:marTop w:val="0"/>
                      <w:marBottom w:val="0"/>
                      <w:divBdr>
                        <w:top w:val="none" w:sz="0" w:space="0" w:color="auto"/>
                        <w:left w:val="none" w:sz="0" w:space="0" w:color="auto"/>
                        <w:bottom w:val="none" w:sz="0" w:space="0" w:color="auto"/>
                        <w:right w:val="none" w:sz="0" w:space="0" w:color="auto"/>
                      </w:divBdr>
                    </w:div>
                  </w:divsChild>
                </w:div>
                <w:div w:id="462693533">
                  <w:marLeft w:val="0"/>
                  <w:marRight w:val="0"/>
                  <w:marTop w:val="0"/>
                  <w:marBottom w:val="0"/>
                  <w:divBdr>
                    <w:top w:val="none" w:sz="0" w:space="0" w:color="auto"/>
                    <w:left w:val="none" w:sz="0" w:space="0" w:color="auto"/>
                    <w:bottom w:val="none" w:sz="0" w:space="0" w:color="auto"/>
                    <w:right w:val="none" w:sz="0" w:space="0" w:color="auto"/>
                  </w:divBdr>
                  <w:divsChild>
                    <w:div w:id="677925467">
                      <w:marLeft w:val="0"/>
                      <w:marRight w:val="0"/>
                      <w:marTop w:val="0"/>
                      <w:marBottom w:val="0"/>
                      <w:divBdr>
                        <w:top w:val="none" w:sz="0" w:space="0" w:color="auto"/>
                        <w:left w:val="none" w:sz="0" w:space="0" w:color="auto"/>
                        <w:bottom w:val="none" w:sz="0" w:space="0" w:color="auto"/>
                        <w:right w:val="none" w:sz="0" w:space="0" w:color="auto"/>
                      </w:divBdr>
                    </w:div>
                  </w:divsChild>
                </w:div>
                <w:div w:id="486017245">
                  <w:marLeft w:val="0"/>
                  <w:marRight w:val="0"/>
                  <w:marTop w:val="0"/>
                  <w:marBottom w:val="0"/>
                  <w:divBdr>
                    <w:top w:val="none" w:sz="0" w:space="0" w:color="auto"/>
                    <w:left w:val="none" w:sz="0" w:space="0" w:color="auto"/>
                    <w:bottom w:val="none" w:sz="0" w:space="0" w:color="auto"/>
                    <w:right w:val="none" w:sz="0" w:space="0" w:color="auto"/>
                  </w:divBdr>
                  <w:divsChild>
                    <w:div w:id="1845780798">
                      <w:marLeft w:val="0"/>
                      <w:marRight w:val="0"/>
                      <w:marTop w:val="0"/>
                      <w:marBottom w:val="0"/>
                      <w:divBdr>
                        <w:top w:val="none" w:sz="0" w:space="0" w:color="auto"/>
                        <w:left w:val="none" w:sz="0" w:space="0" w:color="auto"/>
                        <w:bottom w:val="none" w:sz="0" w:space="0" w:color="auto"/>
                        <w:right w:val="none" w:sz="0" w:space="0" w:color="auto"/>
                      </w:divBdr>
                    </w:div>
                  </w:divsChild>
                </w:div>
                <w:div w:id="493957526">
                  <w:marLeft w:val="0"/>
                  <w:marRight w:val="0"/>
                  <w:marTop w:val="0"/>
                  <w:marBottom w:val="0"/>
                  <w:divBdr>
                    <w:top w:val="none" w:sz="0" w:space="0" w:color="auto"/>
                    <w:left w:val="none" w:sz="0" w:space="0" w:color="auto"/>
                    <w:bottom w:val="none" w:sz="0" w:space="0" w:color="auto"/>
                    <w:right w:val="none" w:sz="0" w:space="0" w:color="auto"/>
                  </w:divBdr>
                  <w:divsChild>
                    <w:div w:id="1259824826">
                      <w:marLeft w:val="0"/>
                      <w:marRight w:val="0"/>
                      <w:marTop w:val="0"/>
                      <w:marBottom w:val="0"/>
                      <w:divBdr>
                        <w:top w:val="none" w:sz="0" w:space="0" w:color="auto"/>
                        <w:left w:val="none" w:sz="0" w:space="0" w:color="auto"/>
                        <w:bottom w:val="none" w:sz="0" w:space="0" w:color="auto"/>
                        <w:right w:val="none" w:sz="0" w:space="0" w:color="auto"/>
                      </w:divBdr>
                    </w:div>
                  </w:divsChild>
                </w:div>
                <w:div w:id="497581133">
                  <w:marLeft w:val="0"/>
                  <w:marRight w:val="0"/>
                  <w:marTop w:val="0"/>
                  <w:marBottom w:val="0"/>
                  <w:divBdr>
                    <w:top w:val="none" w:sz="0" w:space="0" w:color="auto"/>
                    <w:left w:val="none" w:sz="0" w:space="0" w:color="auto"/>
                    <w:bottom w:val="none" w:sz="0" w:space="0" w:color="auto"/>
                    <w:right w:val="none" w:sz="0" w:space="0" w:color="auto"/>
                  </w:divBdr>
                  <w:divsChild>
                    <w:div w:id="1539392087">
                      <w:marLeft w:val="0"/>
                      <w:marRight w:val="0"/>
                      <w:marTop w:val="0"/>
                      <w:marBottom w:val="0"/>
                      <w:divBdr>
                        <w:top w:val="none" w:sz="0" w:space="0" w:color="auto"/>
                        <w:left w:val="none" w:sz="0" w:space="0" w:color="auto"/>
                        <w:bottom w:val="none" w:sz="0" w:space="0" w:color="auto"/>
                        <w:right w:val="none" w:sz="0" w:space="0" w:color="auto"/>
                      </w:divBdr>
                    </w:div>
                  </w:divsChild>
                </w:div>
                <w:div w:id="520514108">
                  <w:marLeft w:val="0"/>
                  <w:marRight w:val="0"/>
                  <w:marTop w:val="0"/>
                  <w:marBottom w:val="0"/>
                  <w:divBdr>
                    <w:top w:val="none" w:sz="0" w:space="0" w:color="auto"/>
                    <w:left w:val="none" w:sz="0" w:space="0" w:color="auto"/>
                    <w:bottom w:val="none" w:sz="0" w:space="0" w:color="auto"/>
                    <w:right w:val="none" w:sz="0" w:space="0" w:color="auto"/>
                  </w:divBdr>
                  <w:divsChild>
                    <w:div w:id="196816903">
                      <w:marLeft w:val="0"/>
                      <w:marRight w:val="0"/>
                      <w:marTop w:val="0"/>
                      <w:marBottom w:val="0"/>
                      <w:divBdr>
                        <w:top w:val="none" w:sz="0" w:space="0" w:color="auto"/>
                        <w:left w:val="none" w:sz="0" w:space="0" w:color="auto"/>
                        <w:bottom w:val="none" w:sz="0" w:space="0" w:color="auto"/>
                        <w:right w:val="none" w:sz="0" w:space="0" w:color="auto"/>
                      </w:divBdr>
                    </w:div>
                  </w:divsChild>
                </w:div>
                <w:div w:id="523593895">
                  <w:marLeft w:val="0"/>
                  <w:marRight w:val="0"/>
                  <w:marTop w:val="0"/>
                  <w:marBottom w:val="0"/>
                  <w:divBdr>
                    <w:top w:val="none" w:sz="0" w:space="0" w:color="auto"/>
                    <w:left w:val="none" w:sz="0" w:space="0" w:color="auto"/>
                    <w:bottom w:val="none" w:sz="0" w:space="0" w:color="auto"/>
                    <w:right w:val="none" w:sz="0" w:space="0" w:color="auto"/>
                  </w:divBdr>
                  <w:divsChild>
                    <w:div w:id="1374958573">
                      <w:marLeft w:val="0"/>
                      <w:marRight w:val="0"/>
                      <w:marTop w:val="0"/>
                      <w:marBottom w:val="0"/>
                      <w:divBdr>
                        <w:top w:val="none" w:sz="0" w:space="0" w:color="auto"/>
                        <w:left w:val="none" w:sz="0" w:space="0" w:color="auto"/>
                        <w:bottom w:val="none" w:sz="0" w:space="0" w:color="auto"/>
                        <w:right w:val="none" w:sz="0" w:space="0" w:color="auto"/>
                      </w:divBdr>
                    </w:div>
                  </w:divsChild>
                </w:div>
                <w:div w:id="554119318">
                  <w:marLeft w:val="0"/>
                  <w:marRight w:val="0"/>
                  <w:marTop w:val="0"/>
                  <w:marBottom w:val="0"/>
                  <w:divBdr>
                    <w:top w:val="none" w:sz="0" w:space="0" w:color="auto"/>
                    <w:left w:val="none" w:sz="0" w:space="0" w:color="auto"/>
                    <w:bottom w:val="none" w:sz="0" w:space="0" w:color="auto"/>
                    <w:right w:val="none" w:sz="0" w:space="0" w:color="auto"/>
                  </w:divBdr>
                  <w:divsChild>
                    <w:div w:id="1919365978">
                      <w:marLeft w:val="0"/>
                      <w:marRight w:val="0"/>
                      <w:marTop w:val="0"/>
                      <w:marBottom w:val="0"/>
                      <w:divBdr>
                        <w:top w:val="none" w:sz="0" w:space="0" w:color="auto"/>
                        <w:left w:val="none" w:sz="0" w:space="0" w:color="auto"/>
                        <w:bottom w:val="none" w:sz="0" w:space="0" w:color="auto"/>
                        <w:right w:val="none" w:sz="0" w:space="0" w:color="auto"/>
                      </w:divBdr>
                    </w:div>
                  </w:divsChild>
                </w:div>
                <w:div w:id="591864913">
                  <w:marLeft w:val="0"/>
                  <w:marRight w:val="0"/>
                  <w:marTop w:val="0"/>
                  <w:marBottom w:val="0"/>
                  <w:divBdr>
                    <w:top w:val="none" w:sz="0" w:space="0" w:color="auto"/>
                    <w:left w:val="none" w:sz="0" w:space="0" w:color="auto"/>
                    <w:bottom w:val="none" w:sz="0" w:space="0" w:color="auto"/>
                    <w:right w:val="none" w:sz="0" w:space="0" w:color="auto"/>
                  </w:divBdr>
                  <w:divsChild>
                    <w:div w:id="925041762">
                      <w:marLeft w:val="0"/>
                      <w:marRight w:val="0"/>
                      <w:marTop w:val="0"/>
                      <w:marBottom w:val="0"/>
                      <w:divBdr>
                        <w:top w:val="none" w:sz="0" w:space="0" w:color="auto"/>
                        <w:left w:val="none" w:sz="0" w:space="0" w:color="auto"/>
                        <w:bottom w:val="none" w:sz="0" w:space="0" w:color="auto"/>
                        <w:right w:val="none" w:sz="0" w:space="0" w:color="auto"/>
                      </w:divBdr>
                    </w:div>
                  </w:divsChild>
                </w:div>
                <w:div w:id="610745758">
                  <w:marLeft w:val="0"/>
                  <w:marRight w:val="0"/>
                  <w:marTop w:val="0"/>
                  <w:marBottom w:val="0"/>
                  <w:divBdr>
                    <w:top w:val="none" w:sz="0" w:space="0" w:color="auto"/>
                    <w:left w:val="none" w:sz="0" w:space="0" w:color="auto"/>
                    <w:bottom w:val="none" w:sz="0" w:space="0" w:color="auto"/>
                    <w:right w:val="none" w:sz="0" w:space="0" w:color="auto"/>
                  </w:divBdr>
                  <w:divsChild>
                    <w:div w:id="190806796">
                      <w:marLeft w:val="0"/>
                      <w:marRight w:val="0"/>
                      <w:marTop w:val="0"/>
                      <w:marBottom w:val="0"/>
                      <w:divBdr>
                        <w:top w:val="none" w:sz="0" w:space="0" w:color="auto"/>
                        <w:left w:val="none" w:sz="0" w:space="0" w:color="auto"/>
                        <w:bottom w:val="none" w:sz="0" w:space="0" w:color="auto"/>
                        <w:right w:val="none" w:sz="0" w:space="0" w:color="auto"/>
                      </w:divBdr>
                    </w:div>
                  </w:divsChild>
                </w:div>
                <w:div w:id="612708698">
                  <w:marLeft w:val="0"/>
                  <w:marRight w:val="0"/>
                  <w:marTop w:val="0"/>
                  <w:marBottom w:val="0"/>
                  <w:divBdr>
                    <w:top w:val="none" w:sz="0" w:space="0" w:color="auto"/>
                    <w:left w:val="none" w:sz="0" w:space="0" w:color="auto"/>
                    <w:bottom w:val="none" w:sz="0" w:space="0" w:color="auto"/>
                    <w:right w:val="none" w:sz="0" w:space="0" w:color="auto"/>
                  </w:divBdr>
                  <w:divsChild>
                    <w:div w:id="1400442919">
                      <w:marLeft w:val="0"/>
                      <w:marRight w:val="0"/>
                      <w:marTop w:val="0"/>
                      <w:marBottom w:val="0"/>
                      <w:divBdr>
                        <w:top w:val="none" w:sz="0" w:space="0" w:color="auto"/>
                        <w:left w:val="none" w:sz="0" w:space="0" w:color="auto"/>
                        <w:bottom w:val="none" w:sz="0" w:space="0" w:color="auto"/>
                        <w:right w:val="none" w:sz="0" w:space="0" w:color="auto"/>
                      </w:divBdr>
                    </w:div>
                  </w:divsChild>
                </w:div>
                <w:div w:id="632716146">
                  <w:marLeft w:val="0"/>
                  <w:marRight w:val="0"/>
                  <w:marTop w:val="0"/>
                  <w:marBottom w:val="0"/>
                  <w:divBdr>
                    <w:top w:val="none" w:sz="0" w:space="0" w:color="auto"/>
                    <w:left w:val="none" w:sz="0" w:space="0" w:color="auto"/>
                    <w:bottom w:val="none" w:sz="0" w:space="0" w:color="auto"/>
                    <w:right w:val="none" w:sz="0" w:space="0" w:color="auto"/>
                  </w:divBdr>
                  <w:divsChild>
                    <w:div w:id="1319655184">
                      <w:marLeft w:val="0"/>
                      <w:marRight w:val="0"/>
                      <w:marTop w:val="0"/>
                      <w:marBottom w:val="0"/>
                      <w:divBdr>
                        <w:top w:val="none" w:sz="0" w:space="0" w:color="auto"/>
                        <w:left w:val="none" w:sz="0" w:space="0" w:color="auto"/>
                        <w:bottom w:val="none" w:sz="0" w:space="0" w:color="auto"/>
                        <w:right w:val="none" w:sz="0" w:space="0" w:color="auto"/>
                      </w:divBdr>
                    </w:div>
                  </w:divsChild>
                </w:div>
                <w:div w:id="649478859">
                  <w:marLeft w:val="0"/>
                  <w:marRight w:val="0"/>
                  <w:marTop w:val="0"/>
                  <w:marBottom w:val="0"/>
                  <w:divBdr>
                    <w:top w:val="none" w:sz="0" w:space="0" w:color="auto"/>
                    <w:left w:val="none" w:sz="0" w:space="0" w:color="auto"/>
                    <w:bottom w:val="none" w:sz="0" w:space="0" w:color="auto"/>
                    <w:right w:val="none" w:sz="0" w:space="0" w:color="auto"/>
                  </w:divBdr>
                  <w:divsChild>
                    <w:div w:id="1377511107">
                      <w:marLeft w:val="0"/>
                      <w:marRight w:val="0"/>
                      <w:marTop w:val="0"/>
                      <w:marBottom w:val="0"/>
                      <w:divBdr>
                        <w:top w:val="none" w:sz="0" w:space="0" w:color="auto"/>
                        <w:left w:val="none" w:sz="0" w:space="0" w:color="auto"/>
                        <w:bottom w:val="none" w:sz="0" w:space="0" w:color="auto"/>
                        <w:right w:val="none" w:sz="0" w:space="0" w:color="auto"/>
                      </w:divBdr>
                    </w:div>
                  </w:divsChild>
                </w:div>
                <w:div w:id="658315292">
                  <w:marLeft w:val="0"/>
                  <w:marRight w:val="0"/>
                  <w:marTop w:val="0"/>
                  <w:marBottom w:val="0"/>
                  <w:divBdr>
                    <w:top w:val="none" w:sz="0" w:space="0" w:color="auto"/>
                    <w:left w:val="none" w:sz="0" w:space="0" w:color="auto"/>
                    <w:bottom w:val="none" w:sz="0" w:space="0" w:color="auto"/>
                    <w:right w:val="none" w:sz="0" w:space="0" w:color="auto"/>
                  </w:divBdr>
                  <w:divsChild>
                    <w:div w:id="152257712">
                      <w:marLeft w:val="0"/>
                      <w:marRight w:val="0"/>
                      <w:marTop w:val="0"/>
                      <w:marBottom w:val="0"/>
                      <w:divBdr>
                        <w:top w:val="none" w:sz="0" w:space="0" w:color="auto"/>
                        <w:left w:val="none" w:sz="0" w:space="0" w:color="auto"/>
                        <w:bottom w:val="none" w:sz="0" w:space="0" w:color="auto"/>
                        <w:right w:val="none" w:sz="0" w:space="0" w:color="auto"/>
                      </w:divBdr>
                    </w:div>
                  </w:divsChild>
                </w:div>
                <w:div w:id="678894512">
                  <w:marLeft w:val="0"/>
                  <w:marRight w:val="0"/>
                  <w:marTop w:val="0"/>
                  <w:marBottom w:val="0"/>
                  <w:divBdr>
                    <w:top w:val="none" w:sz="0" w:space="0" w:color="auto"/>
                    <w:left w:val="none" w:sz="0" w:space="0" w:color="auto"/>
                    <w:bottom w:val="none" w:sz="0" w:space="0" w:color="auto"/>
                    <w:right w:val="none" w:sz="0" w:space="0" w:color="auto"/>
                  </w:divBdr>
                  <w:divsChild>
                    <w:div w:id="1376347291">
                      <w:marLeft w:val="0"/>
                      <w:marRight w:val="0"/>
                      <w:marTop w:val="0"/>
                      <w:marBottom w:val="0"/>
                      <w:divBdr>
                        <w:top w:val="none" w:sz="0" w:space="0" w:color="auto"/>
                        <w:left w:val="none" w:sz="0" w:space="0" w:color="auto"/>
                        <w:bottom w:val="none" w:sz="0" w:space="0" w:color="auto"/>
                        <w:right w:val="none" w:sz="0" w:space="0" w:color="auto"/>
                      </w:divBdr>
                    </w:div>
                  </w:divsChild>
                </w:div>
                <w:div w:id="680619762">
                  <w:marLeft w:val="0"/>
                  <w:marRight w:val="0"/>
                  <w:marTop w:val="0"/>
                  <w:marBottom w:val="0"/>
                  <w:divBdr>
                    <w:top w:val="none" w:sz="0" w:space="0" w:color="auto"/>
                    <w:left w:val="none" w:sz="0" w:space="0" w:color="auto"/>
                    <w:bottom w:val="none" w:sz="0" w:space="0" w:color="auto"/>
                    <w:right w:val="none" w:sz="0" w:space="0" w:color="auto"/>
                  </w:divBdr>
                  <w:divsChild>
                    <w:div w:id="1927762724">
                      <w:marLeft w:val="0"/>
                      <w:marRight w:val="0"/>
                      <w:marTop w:val="0"/>
                      <w:marBottom w:val="0"/>
                      <w:divBdr>
                        <w:top w:val="none" w:sz="0" w:space="0" w:color="auto"/>
                        <w:left w:val="none" w:sz="0" w:space="0" w:color="auto"/>
                        <w:bottom w:val="none" w:sz="0" w:space="0" w:color="auto"/>
                        <w:right w:val="none" w:sz="0" w:space="0" w:color="auto"/>
                      </w:divBdr>
                    </w:div>
                  </w:divsChild>
                </w:div>
                <w:div w:id="693650757">
                  <w:marLeft w:val="0"/>
                  <w:marRight w:val="0"/>
                  <w:marTop w:val="0"/>
                  <w:marBottom w:val="0"/>
                  <w:divBdr>
                    <w:top w:val="none" w:sz="0" w:space="0" w:color="auto"/>
                    <w:left w:val="none" w:sz="0" w:space="0" w:color="auto"/>
                    <w:bottom w:val="none" w:sz="0" w:space="0" w:color="auto"/>
                    <w:right w:val="none" w:sz="0" w:space="0" w:color="auto"/>
                  </w:divBdr>
                  <w:divsChild>
                    <w:div w:id="392630744">
                      <w:marLeft w:val="0"/>
                      <w:marRight w:val="0"/>
                      <w:marTop w:val="0"/>
                      <w:marBottom w:val="0"/>
                      <w:divBdr>
                        <w:top w:val="none" w:sz="0" w:space="0" w:color="auto"/>
                        <w:left w:val="none" w:sz="0" w:space="0" w:color="auto"/>
                        <w:bottom w:val="none" w:sz="0" w:space="0" w:color="auto"/>
                        <w:right w:val="none" w:sz="0" w:space="0" w:color="auto"/>
                      </w:divBdr>
                    </w:div>
                  </w:divsChild>
                </w:div>
                <w:div w:id="701706757">
                  <w:marLeft w:val="0"/>
                  <w:marRight w:val="0"/>
                  <w:marTop w:val="0"/>
                  <w:marBottom w:val="0"/>
                  <w:divBdr>
                    <w:top w:val="none" w:sz="0" w:space="0" w:color="auto"/>
                    <w:left w:val="none" w:sz="0" w:space="0" w:color="auto"/>
                    <w:bottom w:val="none" w:sz="0" w:space="0" w:color="auto"/>
                    <w:right w:val="none" w:sz="0" w:space="0" w:color="auto"/>
                  </w:divBdr>
                  <w:divsChild>
                    <w:div w:id="1656177560">
                      <w:marLeft w:val="0"/>
                      <w:marRight w:val="0"/>
                      <w:marTop w:val="0"/>
                      <w:marBottom w:val="0"/>
                      <w:divBdr>
                        <w:top w:val="none" w:sz="0" w:space="0" w:color="auto"/>
                        <w:left w:val="none" w:sz="0" w:space="0" w:color="auto"/>
                        <w:bottom w:val="none" w:sz="0" w:space="0" w:color="auto"/>
                        <w:right w:val="none" w:sz="0" w:space="0" w:color="auto"/>
                      </w:divBdr>
                    </w:div>
                  </w:divsChild>
                </w:div>
                <w:div w:id="762844118">
                  <w:marLeft w:val="0"/>
                  <w:marRight w:val="0"/>
                  <w:marTop w:val="0"/>
                  <w:marBottom w:val="0"/>
                  <w:divBdr>
                    <w:top w:val="none" w:sz="0" w:space="0" w:color="auto"/>
                    <w:left w:val="none" w:sz="0" w:space="0" w:color="auto"/>
                    <w:bottom w:val="none" w:sz="0" w:space="0" w:color="auto"/>
                    <w:right w:val="none" w:sz="0" w:space="0" w:color="auto"/>
                  </w:divBdr>
                  <w:divsChild>
                    <w:div w:id="342971966">
                      <w:marLeft w:val="0"/>
                      <w:marRight w:val="0"/>
                      <w:marTop w:val="0"/>
                      <w:marBottom w:val="0"/>
                      <w:divBdr>
                        <w:top w:val="none" w:sz="0" w:space="0" w:color="auto"/>
                        <w:left w:val="none" w:sz="0" w:space="0" w:color="auto"/>
                        <w:bottom w:val="none" w:sz="0" w:space="0" w:color="auto"/>
                        <w:right w:val="none" w:sz="0" w:space="0" w:color="auto"/>
                      </w:divBdr>
                    </w:div>
                  </w:divsChild>
                </w:div>
                <w:div w:id="775104913">
                  <w:marLeft w:val="0"/>
                  <w:marRight w:val="0"/>
                  <w:marTop w:val="0"/>
                  <w:marBottom w:val="0"/>
                  <w:divBdr>
                    <w:top w:val="none" w:sz="0" w:space="0" w:color="auto"/>
                    <w:left w:val="none" w:sz="0" w:space="0" w:color="auto"/>
                    <w:bottom w:val="none" w:sz="0" w:space="0" w:color="auto"/>
                    <w:right w:val="none" w:sz="0" w:space="0" w:color="auto"/>
                  </w:divBdr>
                  <w:divsChild>
                    <w:div w:id="918369365">
                      <w:marLeft w:val="0"/>
                      <w:marRight w:val="0"/>
                      <w:marTop w:val="0"/>
                      <w:marBottom w:val="0"/>
                      <w:divBdr>
                        <w:top w:val="none" w:sz="0" w:space="0" w:color="auto"/>
                        <w:left w:val="none" w:sz="0" w:space="0" w:color="auto"/>
                        <w:bottom w:val="none" w:sz="0" w:space="0" w:color="auto"/>
                        <w:right w:val="none" w:sz="0" w:space="0" w:color="auto"/>
                      </w:divBdr>
                    </w:div>
                  </w:divsChild>
                </w:div>
                <w:div w:id="777064181">
                  <w:marLeft w:val="0"/>
                  <w:marRight w:val="0"/>
                  <w:marTop w:val="0"/>
                  <w:marBottom w:val="0"/>
                  <w:divBdr>
                    <w:top w:val="none" w:sz="0" w:space="0" w:color="auto"/>
                    <w:left w:val="none" w:sz="0" w:space="0" w:color="auto"/>
                    <w:bottom w:val="none" w:sz="0" w:space="0" w:color="auto"/>
                    <w:right w:val="none" w:sz="0" w:space="0" w:color="auto"/>
                  </w:divBdr>
                  <w:divsChild>
                    <w:div w:id="705522153">
                      <w:marLeft w:val="0"/>
                      <w:marRight w:val="0"/>
                      <w:marTop w:val="0"/>
                      <w:marBottom w:val="0"/>
                      <w:divBdr>
                        <w:top w:val="none" w:sz="0" w:space="0" w:color="auto"/>
                        <w:left w:val="none" w:sz="0" w:space="0" w:color="auto"/>
                        <w:bottom w:val="none" w:sz="0" w:space="0" w:color="auto"/>
                        <w:right w:val="none" w:sz="0" w:space="0" w:color="auto"/>
                      </w:divBdr>
                    </w:div>
                  </w:divsChild>
                </w:div>
                <w:div w:id="810102408">
                  <w:marLeft w:val="0"/>
                  <w:marRight w:val="0"/>
                  <w:marTop w:val="0"/>
                  <w:marBottom w:val="0"/>
                  <w:divBdr>
                    <w:top w:val="none" w:sz="0" w:space="0" w:color="auto"/>
                    <w:left w:val="none" w:sz="0" w:space="0" w:color="auto"/>
                    <w:bottom w:val="none" w:sz="0" w:space="0" w:color="auto"/>
                    <w:right w:val="none" w:sz="0" w:space="0" w:color="auto"/>
                  </w:divBdr>
                  <w:divsChild>
                    <w:div w:id="1355424528">
                      <w:marLeft w:val="0"/>
                      <w:marRight w:val="0"/>
                      <w:marTop w:val="0"/>
                      <w:marBottom w:val="0"/>
                      <w:divBdr>
                        <w:top w:val="none" w:sz="0" w:space="0" w:color="auto"/>
                        <w:left w:val="none" w:sz="0" w:space="0" w:color="auto"/>
                        <w:bottom w:val="none" w:sz="0" w:space="0" w:color="auto"/>
                        <w:right w:val="none" w:sz="0" w:space="0" w:color="auto"/>
                      </w:divBdr>
                    </w:div>
                  </w:divsChild>
                </w:div>
                <w:div w:id="842744521">
                  <w:marLeft w:val="0"/>
                  <w:marRight w:val="0"/>
                  <w:marTop w:val="0"/>
                  <w:marBottom w:val="0"/>
                  <w:divBdr>
                    <w:top w:val="none" w:sz="0" w:space="0" w:color="auto"/>
                    <w:left w:val="none" w:sz="0" w:space="0" w:color="auto"/>
                    <w:bottom w:val="none" w:sz="0" w:space="0" w:color="auto"/>
                    <w:right w:val="none" w:sz="0" w:space="0" w:color="auto"/>
                  </w:divBdr>
                  <w:divsChild>
                    <w:div w:id="1963267999">
                      <w:marLeft w:val="0"/>
                      <w:marRight w:val="0"/>
                      <w:marTop w:val="0"/>
                      <w:marBottom w:val="0"/>
                      <w:divBdr>
                        <w:top w:val="none" w:sz="0" w:space="0" w:color="auto"/>
                        <w:left w:val="none" w:sz="0" w:space="0" w:color="auto"/>
                        <w:bottom w:val="none" w:sz="0" w:space="0" w:color="auto"/>
                        <w:right w:val="none" w:sz="0" w:space="0" w:color="auto"/>
                      </w:divBdr>
                    </w:div>
                  </w:divsChild>
                </w:div>
                <w:div w:id="847984427">
                  <w:marLeft w:val="0"/>
                  <w:marRight w:val="0"/>
                  <w:marTop w:val="0"/>
                  <w:marBottom w:val="0"/>
                  <w:divBdr>
                    <w:top w:val="none" w:sz="0" w:space="0" w:color="auto"/>
                    <w:left w:val="none" w:sz="0" w:space="0" w:color="auto"/>
                    <w:bottom w:val="none" w:sz="0" w:space="0" w:color="auto"/>
                    <w:right w:val="none" w:sz="0" w:space="0" w:color="auto"/>
                  </w:divBdr>
                  <w:divsChild>
                    <w:div w:id="1494489962">
                      <w:marLeft w:val="0"/>
                      <w:marRight w:val="0"/>
                      <w:marTop w:val="0"/>
                      <w:marBottom w:val="0"/>
                      <w:divBdr>
                        <w:top w:val="none" w:sz="0" w:space="0" w:color="auto"/>
                        <w:left w:val="none" w:sz="0" w:space="0" w:color="auto"/>
                        <w:bottom w:val="none" w:sz="0" w:space="0" w:color="auto"/>
                        <w:right w:val="none" w:sz="0" w:space="0" w:color="auto"/>
                      </w:divBdr>
                    </w:div>
                  </w:divsChild>
                </w:div>
                <w:div w:id="866454635">
                  <w:marLeft w:val="0"/>
                  <w:marRight w:val="0"/>
                  <w:marTop w:val="0"/>
                  <w:marBottom w:val="0"/>
                  <w:divBdr>
                    <w:top w:val="none" w:sz="0" w:space="0" w:color="auto"/>
                    <w:left w:val="none" w:sz="0" w:space="0" w:color="auto"/>
                    <w:bottom w:val="none" w:sz="0" w:space="0" w:color="auto"/>
                    <w:right w:val="none" w:sz="0" w:space="0" w:color="auto"/>
                  </w:divBdr>
                  <w:divsChild>
                    <w:div w:id="1786851870">
                      <w:marLeft w:val="0"/>
                      <w:marRight w:val="0"/>
                      <w:marTop w:val="0"/>
                      <w:marBottom w:val="0"/>
                      <w:divBdr>
                        <w:top w:val="none" w:sz="0" w:space="0" w:color="auto"/>
                        <w:left w:val="none" w:sz="0" w:space="0" w:color="auto"/>
                        <w:bottom w:val="none" w:sz="0" w:space="0" w:color="auto"/>
                        <w:right w:val="none" w:sz="0" w:space="0" w:color="auto"/>
                      </w:divBdr>
                    </w:div>
                  </w:divsChild>
                </w:div>
                <w:div w:id="936444477">
                  <w:marLeft w:val="0"/>
                  <w:marRight w:val="0"/>
                  <w:marTop w:val="0"/>
                  <w:marBottom w:val="0"/>
                  <w:divBdr>
                    <w:top w:val="none" w:sz="0" w:space="0" w:color="auto"/>
                    <w:left w:val="none" w:sz="0" w:space="0" w:color="auto"/>
                    <w:bottom w:val="none" w:sz="0" w:space="0" w:color="auto"/>
                    <w:right w:val="none" w:sz="0" w:space="0" w:color="auto"/>
                  </w:divBdr>
                  <w:divsChild>
                    <w:div w:id="2137136668">
                      <w:marLeft w:val="0"/>
                      <w:marRight w:val="0"/>
                      <w:marTop w:val="0"/>
                      <w:marBottom w:val="0"/>
                      <w:divBdr>
                        <w:top w:val="none" w:sz="0" w:space="0" w:color="auto"/>
                        <w:left w:val="none" w:sz="0" w:space="0" w:color="auto"/>
                        <w:bottom w:val="none" w:sz="0" w:space="0" w:color="auto"/>
                        <w:right w:val="none" w:sz="0" w:space="0" w:color="auto"/>
                      </w:divBdr>
                    </w:div>
                  </w:divsChild>
                </w:div>
                <w:div w:id="951935997">
                  <w:marLeft w:val="0"/>
                  <w:marRight w:val="0"/>
                  <w:marTop w:val="0"/>
                  <w:marBottom w:val="0"/>
                  <w:divBdr>
                    <w:top w:val="none" w:sz="0" w:space="0" w:color="auto"/>
                    <w:left w:val="none" w:sz="0" w:space="0" w:color="auto"/>
                    <w:bottom w:val="none" w:sz="0" w:space="0" w:color="auto"/>
                    <w:right w:val="none" w:sz="0" w:space="0" w:color="auto"/>
                  </w:divBdr>
                  <w:divsChild>
                    <w:div w:id="681973853">
                      <w:marLeft w:val="0"/>
                      <w:marRight w:val="0"/>
                      <w:marTop w:val="0"/>
                      <w:marBottom w:val="0"/>
                      <w:divBdr>
                        <w:top w:val="none" w:sz="0" w:space="0" w:color="auto"/>
                        <w:left w:val="none" w:sz="0" w:space="0" w:color="auto"/>
                        <w:bottom w:val="none" w:sz="0" w:space="0" w:color="auto"/>
                        <w:right w:val="none" w:sz="0" w:space="0" w:color="auto"/>
                      </w:divBdr>
                    </w:div>
                  </w:divsChild>
                </w:div>
                <w:div w:id="977566049">
                  <w:marLeft w:val="0"/>
                  <w:marRight w:val="0"/>
                  <w:marTop w:val="0"/>
                  <w:marBottom w:val="0"/>
                  <w:divBdr>
                    <w:top w:val="none" w:sz="0" w:space="0" w:color="auto"/>
                    <w:left w:val="none" w:sz="0" w:space="0" w:color="auto"/>
                    <w:bottom w:val="none" w:sz="0" w:space="0" w:color="auto"/>
                    <w:right w:val="none" w:sz="0" w:space="0" w:color="auto"/>
                  </w:divBdr>
                  <w:divsChild>
                    <w:div w:id="485977020">
                      <w:marLeft w:val="0"/>
                      <w:marRight w:val="0"/>
                      <w:marTop w:val="0"/>
                      <w:marBottom w:val="0"/>
                      <w:divBdr>
                        <w:top w:val="none" w:sz="0" w:space="0" w:color="auto"/>
                        <w:left w:val="none" w:sz="0" w:space="0" w:color="auto"/>
                        <w:bottom w:val="none" w:sz="0" w:space="0" w:color="auto"/>
                        <w:right w:val="none" w:sz="0" w:space="0" w:color="auto"/>
                      </w:divBdr>
                    </w:div>
                  </w:divsChild>
                </w:div>
                <w:div w:id="1032879181">
                  <w:marLeft w:val="0"/>
                  <w:marRight w:val="0"/>
                  <w:marTop w:val="0"/>
                  <w:marBottom w:val="0"/>
                  <w:divBdr>
                    <w:top w:val="none" w:sz="0" w:space="0" w:color="auto"/>
                    <w:left w:val="none" w:sz="0" w:space="0" w:color="auto"/>
                    <w:bottom w:val="none" w:sz="0" w:space="0" w:color="auto"/>
                    <w:right w:val="none" w:sz="0" w:space="0" w:color="auto"/>
                  </w:divBdr>
                  <w:divsChild>
                    <w:div w:id="831946192">
                      <w:marLeft w:val="0"/>
                      <w:marRight w:val="0"/>
                      <w:marTop w:val="0"/>
                      <w:marBottom w:val="0"/>
                      <w:divBdr>
                        <w:top w:val="none" w:sz="0" w:space="0" w:color="auto"/>
                        <w:left w:val="none" w:sz="0" w:space="0" w:color="auto"/>
                        <w:bottom w:val="none" w:sz="0" w:space="0" w:color="auto"/>
                        <w:right w:val="none" w:sz="0" w:space="0" w:color="auto"/>
                      </w:divBdr>
                    </w:div>
                  </w:divsChild>
                </w:div>
                <w:div w:id="1045448872">
                  <w:marLeft w:val="0"/>
                  <w:marRight w:val="0"/>
                  <w:marTop w:val="0"/>
                  <w:marBottom w:val="0"/>
                  <w:divBdr>
                    <w:top w:val="none" w:sz="0" w:space="0" w:color="auto"/>
                    <w:left w:val="none" w:sz="0" w:space="0" w:color="auto"/>
                    <w:bottom w:val="none" w:sz="0" w:space="0" w:color="auto"/>
                    <w:right w:val="none" w:sz="0" w:space="0" w:color="auto"/>
                  </w:divBdr>
                  <w:divsChild>
                    <w:div w:id="1014653236">
                      <w:marLeft w:val="0"/>
                      <w:marRight w:val="0"/>
                      <w:marTop w:val="0"/>
                      <w:marBottom w:val="0"/>
                      <w:divBdr>
                        <w:top w:val="none" w:sz="0" w:space="0" w:color="auto"/>
                        <w:left w:val="none" w:sz="0" w:space="0" w:color="auto"/>
                        <w:bottom w:val="none" w:sz="0" w:space="0" w:color="auto"/>
                        <w:right w:val="none" w:sz="0" w:space="0" w:color="auto"/>
                      </w:divBdr>
                    </w:div>
                  </w:divsChild>
                </w:div>
                <w:div w:id="1048605431">
                  <w:marLeft w:val="0"/>
                  <w:marRight w:val="0"/>
                  <w:marTop w:val="0"/>
                  <w:marBottom w:val="0"/>
                  <w:divBdr>
                    <w:top w:val="none" w:sz="0" w:space="0" w:color="auto"/>
                    <w:left w:val="none" w:sz="0" w:space="0" w:color="auto"/>
                    <w:bottom w:val="none" w:sz="0" w:space="0" w:color="auto"/>
                    <w:right w:val="none" w:sz="0" w:space="0" w:color="auto"/>
                  </w:divBdr>
                  <w:divsChild>
                    <w:div w:id="1648973498">
                      <w:marLeft w:val="0"/>
                      <w:marRight w:val="0"/>
                      <w:marTop w:val="0"/>
                      <w:marBottom w:val="0"/>
                      <w:divBdr>
                        <w:top w:val="none" w:sz="0" w:space="0" w:color="auto"/>
                        <w:left w:val="none" w:sz="0" w:space="0" w:color="auto"/>
                        <w:bottom w:val="none" w:sz="0" w:space="0" w:color="auto"/>
                        <w:right w:val="none" w:sz="0" w:space="0" w:color="auto"/>
                      </w:divBdr>
                    </w:div>
                  </w:divsChild>
                </w:div>
                <w:div w:id="1051920284">
                  <w:marLeft w:val="0"/>
                  <w:marRight w:val="0"/>
                  <w:marTop w:val="0"/>
                  <w:marBottom w:val="0"/>
                  <w:divBdr>
                    <w:top w:val="none" w:sz="0" w:space="0" w:color="auto"/>
                    <w:left w:val="none" w:sz="0" w:space="0" w:color="auto"/>
                    <w:bottom w:val="none" w:sz="0" w:space="0" w:color="auto"/>
                    <w:right w:val="none" w:sz="0" w:space="0" w:color="auto"/>
                  </w:divBdr>
                  <w:divsChild>
                    <w:div w:id="961812924">
                      <w:marLeft w:val="0"/>
                      <w:marRight w:val="0"/>
                      <w:marTop w:val="0"/>
                      <w:marBottom w:val="0"/>
                      <w:divBdr>
                        <w:top w:val="none" w:sz="0" w:space="0" w:color="auto"/>
                        <w:left w:val="none" w:sz="0" w:space="0" w:color="auto"/>
                        <w:bottom w:val="none" w:sz="0" w:space="0" w:color="auto"/>
                        <w:right w:val="none" w:sz="0" w:space="0" w:color="auto"/>
                      </w:divBdr>
                    </w:div>
                  </w:divsChild>
                </w:div>
                <w:div w:id="1071731210">
                  <w:marLeft w:val="0"/>
                  <w:marRight w:val="0"/>
                  <w:marTop w:val="0"/>
                  <w:marBottom w:val="0"/>
                  <w:divBdr>
                    <w:top w:val="none" w:sz="0" w:space="0" w:color="auto"/>
                    <w:left w:val="none" w:sz="0" w:space="0" w:color="auto"/>
                    <w:bottom w:val="none" w:sz="0" w:space="0" w:color="auto"/>
                    <w:right w:val="none" w:sz="0" w:space="0" w:color="auto"/>
                  </w:divBdr>
                  <w:divsChild>
                    <w:div w:id="1292126952">
                      <w:marLeft w:val="0"/>
                      <w:marRight w:val="0"/>
                      <w:marTop w:val="0"/>
                      <w:marBottom w:val="0"/>
                      <w:divBdr>
                        <w:top w:val="none" w:sz="0" w:space="0" w:color="auto"/>
                        <w:left w:val="none" w:sz="0" w:space="0" w:color="auto"/>
                        <w:bottom w:val="none" w:sz="0" w:space="0" w:color="auto"/>
                        <w:right w:val="none" w:sz="0" w:space="0" w:color="auto"/>
                      </w:divBdr>
                    </w:div>
                  </w:divsChild>
                </w:div>
                <w:div w:id="1083843095">
                  <w:marLeft w:val="0"/>
                  <w:marRight w:val="0"/>
                  <w:marTop w:val="0"/>
                  <w:marBottom w:val="0"/>
                  <w:divBdr>
                    <w:top w:val="none" w:sz="0" w:space="0" w:color="auto"/>
                    <w:left w:val="none" w:sz="0" w:space="0" w:color="auto"/>
                    <w:bottom w:val="none" w:sz="0" w:space="0" w:color="auto"/>
                    <w:right w:val="none" w:sz="0" w:space="0" w:color="auto"/>
                  </w:divBdr>
                  <w:divsChild>
                    <w:div w:id="968514621">
                      <w:marLeft w:val="0"/>
                      <w:marRight w:val="0"/>
                      <w:marTop w:val="0"/>
                      <w:marBottom w:val="0"/>
                      <w:divBdr>
                        <w:top w:val="none" w:sz="0" w:space="0" w:color="auto"/>
                        <w:left w:val="none" w:sz="0" w:space="0" w:color="auto"/>
                        <w:bottom w:val="none" w:sz="0" w:space="0" w:color="auto"/>
                        <w:right w:val="none" w:sz="0" w:space="0" w:color="auto"/>
                      </w:divBdr>
                    </w:div>
                  </w:divsChild>
                </w:div>
                <w:div w:id="1084305304">
                  <w:marLeft w:val="0"/>
                  <w:marRight w:val="0"/>
                  <w:marTop w:val="0"/>
                  <w:marBottom w:val="0"/>
                  <w:divBdr>
                    <w:top w:val="none" w:sz="0" w:space="0" w:color="auto"/>
                    <w:left w:val="none" w:sz="0" w:space="0" w:color="auto"/>
                    <w:bottom w:val="none" w:sz="0" w:space="0" w:color="auto"/>
                    <w:right w:val="none" w:sz="0" w:space="0" w:color="auto"/>
                  </w:divBdr>
                  <w:divsChild>
                    <w:div w:id="379983315">
                      <w:marLeft w:val="0"/>
                      <w:marRight w:val="0"/>
                      <w:marTop w:val="0"/>
                      <w:marBottom w:val="0"/>
                      <w:divBdr>
                        <w:top w:val="none" w:sz="0" w:space="0" w:color="auto"/>
                        <w:left w:val="none" w:sz="0" w:space="0" w:color="auto"/>
                        <w:bottom w:val="none" w:sz="0" w:space="0" w:color="auto"/>
                        <w:right w:val="none" w:sz="0" w:space="0" w:color="auto"/>
                      </w:divBdr>
                    </w:div>
                  </w:divsChild>
                </w:div>
                <w:div w:id="1087649295">
                  <w:marLeft w:val="0"/>
                  <w:marRight w:val="0"/>
                  <w:marTop w:val="0"/>
                  <w:marBottom w:val="0"/>
                  <w:divBdr>
                    <w:top w:val="none" w:sz="0" w:space="0" w:color="auto"/>
                    <w:left w:val="none" w:sz="0" w:space="0" w:color="auto"/>
                    <w:bottom w:val="none" w:sz="0" w:space="0" w:color="auto"/>
                    <w:right w:val="none" w:sz="0" w:space="0" w:color="auto"/>
                  </w:divBdr>
                  <w:divsChild>
                    <w:div w:id="1523785361">
                      <w:marLeft w:val="0"/>
                      <w:marRight w:val="0"/>
                      <w:marTop w:val="0"/>
                      <w:marBottom w:val="0"/>
                      <w:divBdr>
                        <w:top w:val="none" w:sz="0" w:space="0" w:color="auto"/>
                        <w:left w:val="none" w:sz="0" w:space="0" w:color="auto"/>
                        <w:bottom w:val="none" w:sz="0" w:space="0" w:color="auto"/>
                        <w:right w:val="none" w:sz="0" w:space="0" w:color="auto"/>
                      </w:divBdr>
                    </w:div>
                  </w:divsChild>
                </w:div>
                <w:div w:id="1100755802">
                  <w:marLeft w:val="0"/>
                  <w:marRight w:val="0"/>
                  <w:marTop w:val="0"/>
                  <w:marBottom w:val="0"/>
                  <w:divBdr>
                    <w:top w:val="none" w:sz="0" w:space="0" w:color="auto"/>
                    <w:left w:val="none" w:sz="0" w:space="0" w:color="auto"/>
                    <w:bottom w:val="none" w:sz="0" w:space="0" w:color="auto"/>
                    <w:right w:val="none" w:sz="0" w:space="0" w:color="auto"/>
                  </w:divBdr>
                  <w:divsChild>
                    <w:div w:id="1989629066">
                      <w:marLeft w:val="0"/>
                      <w:marRight w:val="0"/>
                      <w:marTop w:val="0"/>
                      <w:marBottom w:val="0"/>
                      <w:divBdr>
                        <w:top w:val="none" w:sz="0" w:space="0" w:color="auto"/>
                        <w:left w:val="none" w:sz="0" w:space="0" w:color="auto"/>
                        <w:bottom w:val="none" w:sz="0" w:space="0" w:color="auto"/>
                        <w:right w:val="none" w:sz="0" w:space="0" w:color="auto"/>
                      </w:divBdr>
                    </w:div>
                  </w:divsChild>
                </w:div>
                <w:div w:id="1104614657">
                  <w:marLeft w:val="0"/>
                  <w:marRight w:val="0"/>
                  <w:marTop w:val="0"/>
                  <w:marBottom w:val="0"/>
                  <w:divBdr>
                    <w:top w:val="none" w:sz="0" w:space="0" w:color="auto"/>
                    <w:left w:val="none" w:sz="0" w:space="0" w:color="auto"/>
                    <w:bottom w:val="none" w:sz="0" w:space="0" w:color="auto"/>
                    <w:right w:val="none" w:sz="0" w:space="0" w:color="auto"/>
                  </w:divBdr>
                  <w:divsChild>
                    <w:div w:id="618729001">
                      <w:marLeft w:val="0"/>
                      <w:marRight w:val="0"/>
                      <w:marTop w:val="0"/>
                      <w:marBottom w:val="0"/>
                      <w:divBdr>
                        <w:top w:val="none" w:sz="0" w:space="0" w:color="auto"/>
                        <w:left w:val="none" w:sz="0" w:space="0" w:color="auto"/>
                        <w:bottom w:val="none" w:sz="0" w:space="0" w:color="auto"/>
                        <w:right w:val="none" w:sz="0" w:space="0" w:color="auto"/>
                      </w:divBdr>
                    </w:div>
                  </w:divsChild>
                </w:div>
                <w:div w:id="1129931176">
                  <w:marLeft w:val="0"/>
                  <w:marRight w:val="0"/>
                  <w:marTop w:val="0"/>
                  <w:marBottom w:val="0"/>
                  <w:divBdr>
                    <w:top w:val="none" w:sz="0" w:space="0" w:color="auto"/>
                    <w:left w:val="none" w:sz="0" w:space="0" w:color="auto"/>
                    <w:bottom w:val="none" w:sz="0" w:space="0" w:color="auto"/>
                    <w:right w:val="none" w:sz="0" w:space="0" w:color="auto"/>
                  </w:divBdr>
                  <w:divsChild>
                    <w:div w:id="802581456">
                      <w:marLeft w:val="0"/>
                      <w:marRight w:val="0"/>
                      <w:marTop w:val="0"/>
                      <w:marBottom w:val="0"/>
                      <w:divBdr>
                        <w:top w:val="none" w:sz="0" w:space="0" w:color="auto"/>
                        <w:left w:val="none" w:sz="0" w:space="0" w:color="auto"/>
                        <w:bottom w:val="none" w:sz="0" w:space="0" w:color="auto"/>
                        <w:right w:val="none" w:sz="0" w:space="0" w:color="auto"/>
                      </w:divBdr>
                    </w:div>
                  </w:divsChild>
                </w:div>
                <w:div w:id="1168448862">
                  <w:marLeft w:val="0"/>
                  <w:marRight w:val="0"/>
                  <w:marTop w:val="0"/>
                  <w:marBottom w:val="0"/>
                  <w:divBdr>
                    <w:top w:val="none" w:sz="0" w:space="0" w:color="auto"/>
                    <w:left w:val="none" w:sz="0" w:space="0" w:color="auto"/>
                    <w:bottom w:val="none" w:sz="0" w:space="0" w:color="auto"/>
                    <w:right w:val="none" w:sz="0" w:space="0" w:color="auto"/>
                  </w:divBdr>
                  <w:divsChild>
                    <w:div w:id="1068454649">
                      <w:marLeft w:val="0"/>
                      <w:marRight w:val="0"/>
                      <w:marTop w:val="0"/>
                      <w:marBottom w:val="0"/>
                      <w:divBdr>
                        <w:top w:val="none" w:sz="0" w:space="0" w:color="auto"/>
                        <w:left w:val="none" w:sz="0" w:space="0" w:color="auto"/>
                        <w:bottom w:val="none" w:sz="0" w:space="0" w:color="auto"/>
                        <w:right w:val="none" w:sz="0" w:space="0" w:color="auto"/>
                      </w:divBdr>
                    </w:div>
                  </w:divsChild>
                </w:div>
                <w:div w:id="1183132212">
                  <w:marLeft w:val="0"/>
                  <w:marRight w:val="0"/>
                  <w:marTop w:val="0"/>
                  <w:marBottom w:val="0"/>
                  <w:divBdr>
                    <w:top w:val="none" w:sz="0" w:space="0" w:color="auto"/>
                    <w:left w:val="none" w:sz="0" w:space="0" w:color="auto"/>
                    <w:bottom w:val="none" w:sz="0" w:space="0" w:color="auto"/>
                    <w:right w:val="none" w:sz="0" w:space="0" w:color="auto"/>
                  </w:divBdr>
                  <w:divsChild>
                    <w:div w:id="425463804">
                      <w:marLeft w:val="0"/>
                      <w:marRight w:val="0"/>
                      <w:marTop w:val="0"/>
                      <w:marBottom w:val="0"/>
                      <w:divBdr>
                        <w:top w:val="none" w:sz="0" w:space="0" w:color="auto"/>
                        <w:left w:val="none" w:sz="0" w:space="0" w:color="auto"/>
                        <w:bottom w:val="none" w:sz="0" w:space="0" w:color="auto"/>
                        <w:right w:val="none" w:sz="0" w:space="0" w:color="auto"/>
                      </w:divBdr>
                    </w:div>
                  </w:divsChild>
                </w:div>
                <w:div w:id="1205025476">
                  <w:marLeft w:val="0"/>
                  <w:marRight w:val="0"/>
                  <w:marTop w:val="0"/>
                  <w:marBottom w:val="0"/>
                  <w:divBdr>
                    <w:top w:val="none" w:sz="0" w:space="0" w:color="auto"/>
                    <w:left w:val="none" w:sz="0" w:space="0" w:color="auto"/>
                    <w:bottom w:val="none" w:sz="0" w:space="0" w:color="auto"/>
                    <w:right w:val="none" w:sz="0" w:space="0" w:color="auto"/>
                  </w:divBdr>
                  <w:divsChild>
                    <w:div w:id="2102026025">
                      <w:marLeft w:val="0"/>
                      <w:marRight w:val="0"/>
                      <w:marTop w:val="0"/>
                      <w:marBottom w:val="0"/>
                      <w:divBdr>
                        <w:top w:val="none" w:sz="0" w:space="0" w:color="auto"/>
                        <w:left w:val="none" w:sz="0" w:space="0" w:color="auto"/>
                        <w:bottom w:val="none" w:sz="0" w:space="0" w:color="auto"/>
                        <w:right w:val="none" w:sz="0" w:space="0" w:color="auto"/>
                      </w:divBdr>
                    </w:div>
                  </w:divsChild>
                </w:div>
                <w:div w:id="1223174630">
                  <w:marLeft w:val="0"/>
                  <w:marRight w:val="0"/>
                  <w:marTop w:val="0"/>
                  <w:marBottom w:val="0"/>
                  <w:divBdr>
                    <w:top w:val="none" w:sz="0" w:space="0" w:color="auto"/>
                    <w:left w:val="none" w:sz="0" w:space="0" w:color="auto"/>
                    <w:bottom w:val="none" w:sz="0" w:space="0" w:color="auto"/>
                    <w:right w:val="none" w:sz="0" w:space="0" w:color="auto"/>
                  </w:divBdr>
                  <w:divsChild>
                    <w:div w:id="2128162211">
                      <w:marLeft w:val="0"/>
                      <w:marRight w:val="0"/>
                      <w:marTop w:val="0"/>
                      <w:marBottom w:val="0"/>
                      <w:divBdr>
                        <w:top w:val="none" w:sz="0" w:space="0" w:color="auto"/>
                        <w:left w:val="none" w:sz="0" w:space="0" w:color="auto"/>
                        <w:bottom w:val="none" w:sz="0" w:space="0" w:color="auto"/>
                        <w:right w:val="none" w:sz="0" w:space="0" w:color="auto"/>
                      </w:divBdr>
                    </w:div>
                  </w:divsChild>
                </w:div>
                <w:div w:id="1240673341">
                  <w:marLeft w:val="0"/>
                  <w:marRight w:val="0"/>
                  <w:marTop w:val="0"/>
                  <w:marBottom w:val="0"/>
                  <w:divBdr>
                    <w:top w:val="none" w:sz="0" w:space="0" w:color="auto"/>
                    <w:left w:val="none" w:sz="0" w:space="0" w:color="auto"/>
                    <w:bottom w:val="none" w:sz="0" w:space="0" w:color="auto"/>
                    <w:right w:val="none" w:sz="0" w:space="0" w:color="auto"/>
                  </w:divBdr>
                  <w:divsChild>
                    <w:div w:id="384139151">
                      <w:marLeft w:val="0"/>
                      <w:marRight w:val="0"/>
                      <w:marTop w:val="0"/>
                      <w:marBottom w:val="0"/>
                      <w:divBdr>
                        <w:top w:val="none" w:sz="0" w:space="0" w:color="auto"/>
                        <w:left w:val="none" w:sz="0" w:space="0" w:color="auto"/>
                        <w:bottom w:val="none" w:sz="0" w:space="0" w:color="auto"/>
                        <w:right w:val="none" w:sz="0" w:space="0" w:color="auto"/>
                      </w:divBdr>
                    </w:div>
                  </w:divsChild>
                </w:div>
                <w:div w:id="1266502701">
                  <w:marLeft w:val="0"/>
                  <w:marRight w:val="0"/>
                  <w:marTop w:val="0"/>
                  <w:marBottom w:val="0"/>
                  <w:divBdr>
                    <w:top w:val="none" w:sz="0" w:space="0" w:color="auto"/>
                    <w:left w:val="none" w:sz="0" w:space="0" w:color="auto"/>
                    <w:bottom w:val="none" w:sz="0" w:space="0" w:color="auto"/>
                    <w:right w:val="none" w:sz="0" w:space="0" w:color="auto"/>
                  </w:divBdr>
                  <w:divsChild>
                    <w:div w:id="926042646">
                      <w:marLeft w:val="0"/>
                      <w:marRight w:val="0"/>
                      <w:marTop w:val="0"/>
                      <w:marBottom w:val="0"/>
                      <w:divBdr>
                        <w:top w:val="none" w:sz="0" w:space="0" w:color="auto"/>
                        <w:left w:val="none" w:sz="0" w:space="0" w:color="auto"/>
                        <w:bottom w:val="none" w:sz="0" w:space="0" w:color="auto"/>
                        <w:right w:val="none" w:sz="0" w:space="0" w:color="auto"/>
                      </w:divBdr>
                    </w:div>
                  </w:divsChild>
                </w:div>
                <w:div w:id="1298683254">
                  <w:marLeft w:val="0"/>
                  <w:marRight w:val="0"/>
                  <w:marTop w:val="0"/>
                  <w:marBottom w:val="0"/>
                  <w:divBdr>
                    <w:top w:val="none" w:sz="0" w:space="0" w:color="auto"/>
                    <w:left w:val="none" w:sz="0" w:space="0" w:color="auto"/>
                    <w:bottom w:val="none" w:sz="0" w:space="0" w:color="auto"/>
                    <w:right w:val="none" w:sz="0" w:space="0" w:color="auto"/>
                  </w:divBdr>
                  <w:divsChild>
                    <w:div w:id="638802695">
                      <w:marLeft w:val="0"/>
                      <w:marRight w:val="0"/>
                      <w:marTop w:val="0"/>
                      <w:marBottom w:val="0"/>
                      <w:divBdr>
                        <w:top w:val="none" w:sz="0" w:space="0" w:color="auto"/>
                        <w:left w:val="none" w:sz="0" w:space="0" w:color="auto"/>
                        <w:bottom w:val="none" w:sz="0" w:space="0" w:color="auto"/>
                        <w:right w:val="none" w:sz="0" w:space="0" w:color="auto"/>
                      </w:divBdr>
                    </w:div>
                  </w:divsChild>
                </w:div>
                <w:div w:id="1312249661">
                  <w:marLeft w:val="0"/>
                  <w:marRight w:val="0"/>
                  <w:marTop w:val="0"/>
                  <w:marBottom w:val="0"/>
                  <w:divBdr>
                    <w:top w:val="none" w:sz="0" w:space="0" w:color="auto"/>
                    <w:left w:val="none" w:sz="0" w:space="0" w:color="auto"/>
                    <w:bottom w:val="none" w:sz="0" w:space="0" w:color="auto"/>
                    <w:right w:val="none" w:sz="0" w:space="0" w:color="auto"/>
                  </w:divBdr>
                  <w:divsChild>
                    <w:div w:id="1142381536">
                      <w:marLeft w:val="0"/>
                      <w:marRight w:val="0"/>
                      <w:marTop w:val="0"/>
                      <w:marBottom w:val="0"/>
                      <w:divBdr>
                        <w:top w:val="none" w:sz="0" w:space="0" w:color="auto"/>
                        <w:left w:val="none" w:sz="0" w:space="0" w:color="auto"/>
                        <w:bottom w:val="none" w:sz="0" w:space="0" w:color="auto"/>
                        <w:right w:val="none" w:sz="0" w:space="0" w:color="auto"/>
                      </w:divBdr>
                    </w:div>
                  </w:divsChild>
                </w:div>
                <w:div w:id="1313019952">
                  <w:marLeft w:val="0"/>
                  <w:marRight w:val="0"/>
                  <w:marTop w:val="0"/>
                  <w:marBottom w:val="0"/>
                  <w:divBdr>
                    <w:top w:val="none" w:sz="0" w:space="0" w:color="auto"/>
                    <w:left w:val="none" w:sz="0" w:space="0" w:color="auto"/>
                    <w:bottom w:val="none" w:sz="0" w:space="0" w:color="auto"/>
                    <w:right w:val="none" w:sz="0" w:space="0" w:color="auto"/>
                  </w:divBdr>
                  <w:divsChild>
                    <w:div w:id="695614367">
                      <w:marLeft w:val="0"/>
                      <w:marRight w:val="0"/>
                      <w:marTop w:val="0"/>
                      <w:marBottom w:val="0"/>
                      <w:divBdr>
                        <w:top w:val="none" w:sz="0" w:space="0" w:color="auto"/>
                        <w:left w:val="none" w:sz="0" w:space="0" w:color="auto"/>
                        <w:bottom w:val="none" w:sz="0" w:space="0" w:color="auto"/>
                        <w:right w:val="none" w:sz="0" w:space="0" w:color="auto"/>
                      </w:divBdr>
                    </w:div>
                  </w:divsChild>
                </w:div>
                <w:div w:id="1351491526">
                  <w:marLeft w:val="0"/>
                  <w:marRight w:val="0"/>
                  <w:marTop w:val="0"/>
                  <w:marBottom w:val="0"/>
                  <w:divBdr>
                    <w:top w:val="none" w:sz="0" w:space="0" w:color="auto"/>
                    <w:left w:val="none" w:sz="0" w:space="0" w:color="auto"/>
                    <w:bottom w:val="none" w:sz="0" w:space="0" w:color="auto"/>
                    <w:right w:val="none" w:sz="0" w:space="0" w:color="auto"/>
                  </w:divBdr>
                  <w:divsChild>
                    <w:div w:id="839588708">
                      <w:marLeft w:val="0"/>
                      <w:marRight w:val="0"/>
                      <w:marTop w:val="0"/>
                      <w:marBottom w:val="0"/>
                      <w:divBdr>
                        <w:top w:val="none" w:sz="0" w:space="0" w:color="auto"/>
                        <w:left w:val="none" w:sz="0" w:space="0" w:color="auto"/>
                        <w:bottom w:val="none" w:sz="0" w:space="0" w:color="auto"/>
                        <w:right w:val="none" w:sz="0" w:space="0" w:color="auto"/>
                      </w:divBdr>
                    </w:div>
                  </w:divsChild>
                </w:div>
                <w:div w:id="1359697959">
                  <w:marLeft w:val="0"/>
                  <w:marRight w:val="0"/>
                  <w:marTop w:val="0"/>
                  <w:marBottom w:val="0"/>
                  <w:divBdr>
                    <w:top w:val="none" w:sz="0" w:space="0" w:color="auto"/>
                    <w:left w:val="none" w:sz="0" w:space="0" w:color="auto"/>
                    <w:bottom w:val="none" w:sz="0" w:space="0" w:color="auto"/>
                    <w:right w:val="none" w:sz="0" w:space="0" w:color="auto"/>
                  </w:divBdr>
                  <w:divsChild>
                    <w:div w:id="444933568">
                      <w:marLeft w:val="0"/>
                      <w:marRight w:val="0"/>
                      <w:marTop w:val="0"/>
                      <w:marBottom w:val="0"/>
                      <w:divBdr>
                        <w:top w:val="none" w:sz="0" w:space="0" w:color="auto"/>
                        <w:left w:val="none" w:sz="0" w:space="0" w:color="auto"/>
                        <w:bottom w:val="none" w:sz="0" w:space="0" w:color="auto"/>
                        <w:right w:val="none" w:sz="0" w:space="0" w:color="auto"/>
                      </w:divBdr>
                    </w:div>
                  </w:divsChild>
                </w:div>
                <w:div w:id="1365984889">
                  <w:marLeft w:val="0"/>
                  <w:marRight w:val="0"/>
                  <w:marTop w:val="0"/>
                  <w:marBottom w:val="0"/>
                  <w:divBdr>
                    <w:top w:val="none" w:sz="0" w:space="0" w:color="auto"/>
                    <w:left w:val="none" w:sz="0" w:space="0" w:color="auto"/>
                    <w:bottom w:val="none" w:sz="0" w:space="0" w:color="auto"/>
                    <w:right w:val="none" w:sz="0" w:space="0" w:color="auto"/>
                  </w:divBdr>
                  <w:divsChild>
                    <w:div w:id="152257393">
                      <w:marLeft w:val="0"/>
                      <w:marRight w:val="0"/>
                      <w:marTop w:val="0"/>
                      <w:marBottom w:val="0"/>
                      <w:divBdr>
                        <w:top w:val="none" w:sz="0" w:space="0" w:color="auto"/>
                        <w:left w:val="none" w:sz="0" w:space="0" w:color="auto"/>
                        <w:bottom w:val="none" w:sz="0" w:space="0" w:color="auto"/>
                        <w:right w:val="none" w:sz="0" w:space="0" w:color="auto"/>
                      </w:divBdr>
                    </w:div>
                  </w:divsChild>
                </w:div>
                <w:div w:id="1417635518">
                  <w:marLeft w:val="0"/>
                  <w:marRight w:val="0"/>
                  <w:marTop w:val="0"/>
                  <w:marBottom w:val="0"/>
                  <w:divBdr>
                    <w:top w:val="none" w:sz="0" w:space="0" w:color="auto"/>
                    <w:left w:val="none" w:sz="0" w:space="0" w:color="auto"/>
                    <w:bottom w:val="none" w:sz="0" w:space="0" w:color="auto"/>
                    <w:right w:val="none" w:sz="0" w:space="0" w:color="auto"/>
                  </w:divBdr>
                  <w:divsChild>
                    <w:div w:id="1639189830">
                      <w:marLeft w:val="0"/>
                      <w:marRight w:val="0"/>
                      <w:marTop w:val="0"/>
                      <w:marBottom w:val="0"/>
                      <w:divBdr>
                        <w:top w:val="none" w:sz="0" w:space="0" w:color="auto"/>
                        <w:left w:val="none" w:sz="0" w:space="0" w:color="auto"/>
                        <w:bottom w:val="none" w:sz="0" w:space="0" w:color="auto"/>
                        <w:right w:val="none" w:sz="0" w:space="0" w:color="auto"/>
                      </w:divBdr>
                    </w:div>
                  </w:divsChild>
                </w:div>
                <w:div w:id="1419906224">
                  <w:marLeft w:val="0"/>
                  <w:marRight w:val="0"/>
                  <w:marTop w:val="0"/>
                  <w:marBottom w:val="0"/>
                  <w:divBdr>
                    <w:top w:val="none" w:sz="0" w:space="0" w:color="auto"/>
                    <w:left w:val="none" w:sz="0" w:space="0" w:color="auto"/>
                    <w:bottom w:val="none" w:sz="0" w:space="0" w:color="auto"/>
                    <w:right w:val="none" w:sz="0" w:space="0" w:color="auto"/>
                  </w:divBdr>
                  <w:divsChild>
                    <w:div w:id="1666084287">
                      <w:marLeft w:val="0"/>
                      <w:marRight w:val="0"/>
                      <w:marTop w:val="0"/>
                      <w:marBottom w:val="0"/>
                      <w:divBdr>
                        <w:top w:val="none" w:sz="0" w:space="0" w:color="auto"/>
                        <w:left w:val="none" w:sz="0" w:space="0" w:color="auto"/>
                        <w:bottom w:val="none" w:sz="0" w:space="0" w:color="auto"/>
                        <w:right w:val="none" w:sz="0" w:space="0" w:color="auto"/>
                      </w:divBdr>
                    </w:div>
                  </w:divsChild>
                </w:div>
                <w:div w:id="1430931424">
                  <w:marLeft w:val="0"/>
                  <w:marRight w:val="0"/>
                  <w:marTop w:val="0"/>
                  <w:marBottom w:val="0"/>
                  <w:divBdr>
                    <w:top w:val="none" w:sz="0" w:space="0" w:color="auto"/>
                    <w:left w:val="none" w:sz="0" w:space="0" w:color="auto"/>
                    <w:bottom w:val="none" w:sz="0" w:space="0" w:color="auto"/>
                    <w:right w:val="none" w:sz="0" w:space="0" w:color="auto"/>
                  </w:divBdr>
                  <w:divsChild>
                    <w:div w:id="1923297145">
                      <w:marLeft w:val="0"/>
                      <w:marRight w:val="0"/>
                      <w:marTop w:val="0"/>
                      <w:marBottom w:val="0"/>
                      <w:divBdr>
                        <w:top w:val="none" w:sz="0" w:space="0" w:color="auto"/>
                        <w:left w:val="none" w:sz="0" w:space="0" w:color="auto"/>
                        <w:bottom w:val="none" w:sz="0" w:space="0" w:color="auto"/>
                        <w:right w:val="none" w:sz="0" w:space="0" w:color="auto"/>
                      </w:divBdr>
                    </w:div>
                  </w:divsChild>
                </w:div>
                <w:div w:id="1438019504">
                  <w:marLeft w:val="0"/>
                  <w:marRight w:val="0"/>
                  <w:marTop w:val="0"/>
                  <w:marBottom w:val="0"/>
                  <w:divBdr>
                    <w:top w:val="none" w:sz="0" w:space="0" w:color="auto"/>
                    <w:left w:val="none" w:sz="0" w:space="0" w:color="auto"/>
                    <w:bottom w:val="none" w:sz="0" w:space="0" w:color="auto"/>
                    <w:right w:val="none" w:sz="0" w:space="0" w:color="auto"/>
                  </w:divBdr>
                  <w:divsChild>
                    <w:div w:id="595358510">
                      <w:marLeft w:val="0"/>
                      <w:marRight w:val="0"/>
                      <w:marTop w:val="0"/>
                      <w:marBottom w:val="0"/>
                      <w:divBdr>
                        <w:top w:val="none" w:sz="0" w:space="0" w:color="auto"/>
                        <w:left w:val="none" w:sz="0" w:space="0" w:color="auto"/>
                        <w:bottom w:val="none" w:sz="0" w:space="0" w:color="auto"/>
                        <w:right w:val="none" w:sz="0" w:space="0" w:color="auto"/>
                      </w:divBdr>
                    </w:div>
                  </w:divsChild>
                </w:div>
                <w:div w:id="1449204416">
                  <w:marLeft w:val="0"/>
                  <w:marRight w:val="0"/>
                  <w:marTop w:val="0"/>
                  <w:marBottom w:val="0"/>
                  <w:divBdr>
                    <w:top w:val="none" w:sz="0" w:space="0" w:color="auto"/>
                    <w:left w:val="none" w:sz="0" w:space="0" w:color="auto"/>
                    <w:bottom w:val="none" w:sz="0" w:space="0" w:color="auto"/>
                    <w:right w:val="none" w:sz="0" w:space="0" w:color="auto"/>
                  </w:divBdr>
                  <w:divsChild>
                    <w:div w:id="620646181">
                      <w:marLeft w:val="0"/>
                      <w:marRight w:val="0"/>
                      <w:marTop w:val="0"/>
                      <w:marBottom w:val="0"/>
                      <w:divBdr>
                        <w:top w:val="none" w:sz="0" w:space="0" w:color="auto"/>
                        <w:left w:val="none" w:sz="0" w:space="0" w:color="auto"/>
                        <w:bottom w:val="none" w:sz="0" w:space="0" w:color="auto"/>
                        <w:right w:val="none" w:sz="0" w:space="0" w:color="auto"/>
                      </w:divBdr>
                    </w:div>
                  </w:divsChild>
                </w:div>
                <w:div w:id="1452820631">
                  <w:marLeft w:val="0"/>
                  <w:marRight w:val="0"/>
                  <w:marTop w:val="0"/>
                  <w:marBottom w:val="0"/>
                  <w:divBdr>
                    <w:top w:val="none" w:sz="0" w:space="0" w:color="auto"/>
                    <w:left w:val="none" w:sz="0" w:space="0" w:color="auto"/>
                    <w:bottom w:val="none" w:sz="0" w:space="0" w:color="auto"/>
                    <w:right w:val="none" w:sz="0" w:space="0" w:color="auto"/>
                  </w:divBdr>
                  <w:divsChild>
                    <w:div w:id="816992527">
                      <w:marLeft w:val="0"/>
                      <w:marRight w:val="0"/>
                      <w:marTop w:val="0"/>
                      <w:marBottom w:val="0"/>
                      <w:divBdr>
                        <w:top w:val="none" w:sz="0" w:space="0" w:color="auto"/>
                        <w:left w:val="none" w:sz="0" w:space="0" w:color="auto"/>
                        <w:bottom w:val="none" w:sz="0" w:space="0" w:color="auto"/>
                        <w:right w:val="none" w:sz="0" w:space="0" w:color="auto"/>
                      </w:divBdr>
                    </w:div>
                  </w:divsChild>
                </w:div>
                <w:div w:id="1466269569">
                  <w:marLeft w:val="0"/>
                  <w:marRight w:val="0"/>
                  <w:marTop w:val="0"/>
                  <w:marBottom w:val="0"/>
                  <w:divBdr>
                    <w:top w:val="none" w:sz="0" w:space="0" w:color="auto"/>
                    <w:left w:val="none" w:sz="0" w:space="0" w:color="auto"/>
                    <w:bottom w:val="none" w:sz="0" w:space="0" w:color="auto"/>
                    <w:right w:val="none" w:sz="0" w:space="0" w:color="auto"/>
                  </w:divBdr>
                  <w:divsChild>
                    <w:div w:id="482938843">
                      <w:marLeft w:val="0"/>
                      <w:marRight w:val="0"/>
                      <w:marTop w:val="0"/>
                      <w:marBottom w:val="0"/>
                      <w:divBdr>
                        <w:top w:val="none" w:sz="0" w:space="0" w:color="auto"/>
                        <w:left w:val="none" w:sz="0" w:space="0" w:color="auto"/>
                        <w:bottom w:val="none" w:sz="0" w:space="0" w:color="auto"/>
                        <w:right w:val="none" w:sz="0" w:space="0" w:color="auto"/>
                      </w:divBdr>
                    </w:div>
                  </w:divsChild>
                </w:div>
                <w:div w:id="1470828142">
                  <w:marLeft w:val="0"/>
                  <w:marRight w:val="0"/>
                  <w:marTop w:val="0"/>
                  <w:marBottom w:val="0"/>
                  <w:divBdr>
                    <w:top w:val="none" w:sz="0" w:space="0" w:color="auto"/>
                    <w:left w:val="none" w:sz="0" w:space="0" w:color="auto"/>
                    <w:bottom w:val="none" w:sz="0" w:space="0" w:color="auto"/>
                    <w:right w:val="none" w:sz="0" w:space="0" w:color="auto"/>
                  </w:divBdr>
                  <w:divsChild>
                    <w:div w:id="1259604384">
                      <w:marLeft w:val="0"/>
                      <w:marRight w:val="0"/>
                      <w:marTop w:val="0"/>
                      <w:marBottom w:val="0"/>
                      <w:divBdr>
                        <w:top w:val="none" w:sz="0" w:space="0" w:color="auto"/>
                        <w:left w:val="none" w:sz="0" w:space="0" w:color="auto"/>
                        <w:bottom w:val="none" w:sz="0" w:space="0" w:color="auto"/>
                        <w:right w:val="none" w:sz="0" w:space="0" w:color="auto"/>
                      </w:divBdr>
                    </w:div>
                  </w:divsChild>
                </w:div>
                <w:div w:id="1472285538">
                  <w:marLeft w:val="0"/>
                  <w:marRight w:val="0"/>
                  <w:marTop w:val="0"/>
                  <w:marBottom w:val="0"/>
                  <w:divBdr>
                    <w:top w:val="none" w:sz="0" w:space="0" w:color="auto"/>
                    <w:left w:val="none" w:sz="0" w:space="0" w:color="auto"/>
                    <w:bottom w:val="none" w:sz="0" w:space="0" w:color="auto"/>
                    <w:right w:val="none" w:sz="0" w:space="0" w:color="auto"/>
                  </w:divBdr>
                  <w:divsChild>
                    <w:div w:id="93207125">
                      <w:marLeft w:val="0"/>
                      <w:marRight w:val="0"/>
                      <w:marTop w:val="0"/>
                      <w:marBottom w:val="0"/>
                      <w:divBdr>
                        <w:top w:val="none" w:sz="0" w:space="0" w:color="auto"/>
                        <w:left w:val="none" w:sz="0" w:space="0" w:color="auto"/>
                        <w:bottom w:val="none" w:sz="0" w:space="0" w:color="auto"/>
                        <w:right w:val="none" w:sz="0" w:space="0" w:color="auto"/>
                      </w:divBdr>
                    </w:div>
                  </w:divsChild>
                </w:div>
                <w:div w:id="1476872626">
                  <w:marLeft w:val="0"/>
                  <w:marRight w:val="0"/>
                  <w:marTop w:val="0"/>
                  <w:marBottom w:val="0"/>
                  <w:divBdr>
                    <w:top w:val="none" w:sz="0" w:space="0" w:color="auto"/>
                    <w:left w:val="none" w:sz="0" w:space="0" w:color="auto"/>
                    <w:bottom w:val="none" w:sz="0" w:space="0" w:color="auto"/>
                    <w:right w:val="none" w:sz="0" w:space="0" w:color="auto"/>
                  </w:divBdr>
                  <w:divsChild>
                    <w:div w:id="810750159">
                      <w:marLeft w:val="0"/>
                      <w:marRight w:val="0"/>
                      <w:marTop w:val="0"/>
                      <w:marBottom w:val="0"/>
                      <w:divBdr>
                        <w:top w:val="none" w:sz="0" w:space="0" w:color="auto"/>
                        <w:left w:val="none" w:sz="0" w:space="0" w:color="auto"/>
                        <w:bottom w:val="none" w:sz="0" w:space="0" w:color="auto"/>
                        <w:right w:val="none" w:sz="0" w:space="0" w:color="auto"/>
                      </w:divBdr>
                    </w:div>
                  </w:divsChild>
                </w:div>
                <w:div w:id="1520201370">
                  <w:marLeft w:val="0"/>
                  <w:marRight w:val="0"/>
                  <w:marTop w:val="0"/>
                  <w:marBottom w:val="0"/>
                  <w:divBdr>
                    <w:top w:val="none" w:sz="0" w:space="0" w:color="auto"/>
                    <w:left w:val="none" w:sz="0" w:space="0" w:color="auto"/>
                    <w:bottom w:val="none" w:sz="0" w:space="0" w:color="auto"/>
                    <w:right w:val="none" w:sz="0" w:space="0" w:color="auto"/>
                  </w:divBdr>
                  <w:divsChild>
                    <w:div w:id="1159342422">
                      <w:marLeft w:val="0"/>
                      <w:marRight w:val="0"/>
                      <w:marTop w:val="0"/>
                      <w:marBottom w:val="0"/>
                      <w:divBdr>
                        <w:top w:val="none" w:sz="0" w:space="0" w:color="auto"/>
                        <w:left w:val="none" w:sz="0" w:space="0" w:color="auto"/>
                        <w:bottom w:val="none" w:sz="0" w:space="0" w:color="auto"/>
                        <w:right w:val="none" w:sz="0" w:space="0" w:color="auto"/>
                      </w:divBdr>
                    </w:div>
                  </w:divsChild>
                </w:div>
                <w:div w:id="1532955020">
                  <w:marLeft w:val="0"/>
                  <w:marRight w:val="0"/>
                  <w:marTop w:val="0"/>
                  <w:marBottom w:val="0"/>
                  <w:divBdr>
                    <w:top w:val="none" w:sz="0" w:space="0" w:color="auto"/>
                    <w:left w:val="none" w:sz="0" w:space="0" w:color="auto"/>
                    <w:bottom w:val="none" w:sz="0" w:space="0" w:color="auto"/>
                    <w:right w:val="none" w:sz="0" w:space="0" w:color="auto"/>
                  </w:divBdr>
                  <w:divsChild>
                    <w:div w:id="1283879139">
                      <w:marLeft w:val="0"/>
                      <w:marRight w:val="0"/>
                      <w:marTop w:val="0"/>
                      <w:marBottom w:val="0"/>
                      <w:divBdr>
                        <w:top w:val="none" w:sz="0" w:space="0" w:color="auto"/>
                        <w:left w:val="none" w:sz="0" w:space="0" w:color="auto"/>
                        <w:bottom w:val="none" w:sz="0" w:space="0" w:color="auto"/>
                        <w:right w:val="none" w:sz="0" w:space="0" w:color="auto"/>
                      </w:divBdr>
                    </w:div>
                  </w:divsChild>
                </w:div>
                <w:div w:id="1537426185">
                  <w:marLeft w:val="0"/>
                  <w:marRight w:val="0"/>
                  <w:marTop w:val="0"/>
                  <w:marBottom w:val="0"/>
                  <w:divBdr>
                    <w:top w:val="none" w:sz="0" w:space="0" w:color="auto"/>
                    <w:left w:val="none" w:sz="0" w:space="0" w:color="auto"/>
                    <w:bottom w:val="none" w:sz="0" w:space="0" w:color="auto"/>
                    <w:right w:val="none" w:sz="0" w:space="0" w:color="auto"/>
                  </w:divBdr>
                  <w:divsChild>
                    <w:div w:id="1341471417">
                      <w:marLeft w:val="0"/>
                      <w:marRight w:val="0"/>
                      <w:marTop w:val="0"/>
                      <w:marBottom w:val="0"/>
                      <w:divBdr>
                        <w:top w:val="none" w:sz="0" w:space="0" w:color="auto"/>
                        <w:left w:val="none" w:sz="0" w:space="0" w:color="auto"/>
                        <w:bottom w:val="none" w:sz="0" w:space="0" w:color="auto"/>
                        <w:right w:val="none" w:sz="0" w:space="0" w:color="auto"/>
                      </w:divBdr>
                    </w:div>
                  </w:divsChild>
                </w:div>
                <w:div w:id="1542673389">
                  <w:marLeft w:val="0"/>
                  <w:marRight w:val="0"/>
                  <w:marTop w:val="0"/>
                  <w:marBottom w:val="0"/>
                  <w:divBdr>
                    <w:top w:val="none" w:sz="0" w:space="0" w:color="auto"/>
                    <w:left w:val="none" w:sz="0" w:space="0" w:color="auto"/>
                    <w:bottom w:val="none" w:sz="0" w:space="0" w:color="auto"/>
                    <w:right w:val="none" w:sz="0" w:space="0" w:color="auto"/>
                  </w:divBdr>
                  <w:divsChild>
                    <w:div w:id="220990834">
                      <w:marLeft w:val="0"/>
                      <w:marRight w:val="0"/>
                      <w:marTop w:val="0"/>
                      <w:marBottom w:val="0"/>
                      <w:divBdr>
                        <w:top w:val="none" w:sz="0" w:space="0" w:color="auto"/>
                        <w:left w:val="none" w:sz="0" w:space="0" w:color="auto"/>
                        <w:bottom w:val="none" w:sz="0" w:space="0" w:color="auto"/>
                        <w:right w:val="none" w:sz="0" w:space="0" w:color="auto"/>
                      </w:divBdr>
                    </w:div>
                  </w:divsChild>
                </w:div>
                <w:div w:id="1582904818">
                  <w:marLeft w:val="0"/>
                  <w:marRight w:val="0"/>
                  <w:marTop w:val="0"/>
                  <w:marBottom w:val="0"/>
                  <w:divBdr>
                    <w:top w:val="none" w:sz="0" w:space="0" w:color="auto"/>
                    <w:left w:val="none" w:sz="0" w:space="0" w:color="auto"/>
                    <w:bottom w:val="none" w:sz="0" w:space="0" w:color="auto"/>
                    <w:right w:val="none" w:sz="0" w:space="0" w:color="auto"/>
                  </w:divBdr>
                  <w:divsChild>
                    <w:div w:id="1654407522">
                      <w:marLeft w:val="0"/>
                      <w:marRight w:val="0"/>
                      <w:marTop w:val="0"/>
                      <w:marBottom w:val="0"/>
                      <w:divBdr>
                        <w:top w:val="none" w:sz="0" w:space="0" w:color="auto"/>
                        <w:left w:val="none" w:sz="0" w:space="0" w:color="auto"/>
                        <w:bottom w:val="none" w:sz="0" w:space="0" w:color="auto"/>
                        <w:right w:val="none" w:sz="0" w:space="0" w:color="auto"/>
                      </w:divBdr>
                    </w:div>
                  </w:divsChild>
                </w:div>
                <w:div w:id="1596093862">
                  <w:marLeft w:val="0"/>
                  <w:marRight w:val="0"/>
                  <w:marTop w:val="0"/>
                  <w:marBottom w:val="0"/>
                  <w:divBdr>
                    <w:top w:val="none" w:sz="0" w:space="0" w:color="auto"/>
                    <w:left w:val="none" w:sz="0" w:space="0" w:color="auto"/>
                    <w:bottom w:val="none" w:sz="0" w:space="0" w:color="auto"/>
                    <w:right w:val="none" w:sz="0" w:space="0" w:color="auto"/>
                  </w:divBdr>
                  <w:divsChild>
                    <w:div w:id="705525971">
                      <w:marLeft w:val="0"/>
                      <w:marRight w:val="0"/>
                      <w:marTop w:val="0"/>
                      <w:marBottom w:val="0"/>
                      <w:divBdr>
                        <w:top w:val="none" w:sz="0" w:space="0" w:color="auto"/>
                        <w:left w:val="none" w:sz="0" w:space="0" w:color="auto"/>
                        <w:bottom w:val="none" w:sz="0" w:space="0" w:color="auto"/>
                        <w:right w:val="none" w:sz="0" w:space="0" w:color="auto"/>
                      </w:divBdr>
                    </w:div>
                  </w:divsChild>
                </w:div>
                <w:div w:id="1598362686">
                  <w:marLeft w:val="0"/>
                  <w:marRight w:val="0"/>
                  <w:marTop w:val="0"/>
                  <w:marBottom w:val="0"/>
                  <w:divBdr>
                    <w:top w:val="none" w:sz="0" w:space="0" w:color="auto"/>
                    <w:left w:val="none" w:sz="0" w:space="0" w:color="auto"/>
                    <w:bottom w:val="none" w:sz="0" w:space="0" w:color="auto"/>
                    <w:right w:val="none" w:sz="0" w:space="0" w:color="auto"/>
                  </w:divBdr>
                  <w:divsChild>
                    <w:div w:id="1192567653">
                      <w:marLeft w:val="0"/>
                      <w:marRight w:val="0"/>
                      <w:marTop w:val="0"/>
                      <w:marBottom w:val="0"/>
                      <w:divBdr>
                        <w:top w:val="none" w:sz="0" w:space="0" w:color="auto"/>
                        <w:left w:val="none" w:sz="0" w:space="0" w:color="auto"/>
                        <w:bottom w:val="none" w:sz="0" w:space="0" w:color="auto"/>
                        <w:right w:val="none" w:sz="0" w:space="0" w:color="auto"/>
                      </w:divBdr>
                    </w:div>
                  </w:divsChild>
                </w:div>
                <w:div w:id="1611086738">
                  <w:marLeft w:val="0"/>
                  <w:marRight w:val="0"/>
                  <w:marTop w:val="0"/>
                  <w:marBottom w:val="0"/>
                  <w:divBdr>
                    <w:top w:val="none" w:sz="0" w:space="0" w:color="auto"/>
                    <w:left w:val="none" w:sz="0" w:space="0" w:color="auto"/>
                    <w:bottom w:val="none" w:sz="0" w:space="0" w:color="auto"/>
                    <w:right w:val="none" w:sz="0" w:space="0" w:color="auto"/>
                  </w:divBdr>
                  <w:divsChild>
                    <w:div w:id="1874923884">
                      <w:marLeft w:val="0"/>
                      <w:marRight w:val="0"/>
                      <w:marTop w:val="0"/>
                      <w:marBottom w:val="0"/>
                      <w:divBdr>
                        <w:top w:val="none" w:sz="0" w:space="0" w:color="auto"/>
                        <w:left w:val="none" w:sz="0" w:space="0" w:color="auto"/>
                        <w:bottom w:val="none" w:sz="0" w:space="0" w:color="auto"/>
                        <w:right w:val="none" w:sz="0" w:space="0" w:color="auto"/>
                      </w:divBdr>
                    </w:div>
                  </w:divsChild>
                </w:div>
                <w:div w:id="1624965345">
                  <w:marLeft w:val="0"/>
                  <w:marRight w:val="0"/>
                  <w:marTop w:val="0"/>
                  <w:marBottom w:val="0"/>
                  <w:divBdr>
                    <w:top w:val="none" w:sz="0" w:space="0" w:color="auto"/>
                    <w:left w:val="none" w:sz="0" w:space="0" w:color="auto"/>
                    <w:bottom w:val="none" w:sz="0" w:space="0" w:color="auto"/>
                    <w:right w:val="none" w:sz="0" w:space="0" w:color="auto"/>
                  </w:divBdr>
                  <w:divsChild>
                    <w:div w:id="444813627">
                      <w:marLeft w:val="0"/>
                      <w:marRight w:val="0"/>
                      <w:marTop w:val="0"/>
                      <w:marBottom w:val="0"/>
                      <w:divBdr>
                        <w:top w:val="none" w:sz="0" w:space="0" w:color="auto"/>
                        <w:left w:val="none" w:sz="0" w:space="0" w:color="auto"/>
                        <w:bottom w:val="none" w:sz="0" w:space="0" w:color="auto"/>
                        <w:right w:val="none" w:sz="0" w:space="0" w:color="auto"/>
                      </w:divBdr>
                    </w:div>
                  </w:divsChild>
                </w:div>
                <w:div w:id="1684353809">
                  <w:marLeft w:val="0"/>
                  <w:marRight w:val="0"/>
                  <w:marTop w:val="0"/>
                  <w:marBottom w:val="0"/>
                  <w:divBdr>
                    <w:top w:val="none" w:sz="0" w:space="0" w:color="auto"/>
                    <w:left w:val="none" w:sz="0" w:space="0" w:color="auto"/>
                    <w:bottom w:val="none" w:sz="0" w:space="0" w:color="auto"/>
                    <w:right w:val="none" w:sz="0" w:space="0" w:color="auto"/>
                  </w:divBdr>
                  <w:divsChild>
                    <w:div w:id="447895674">
                      <w:marLeft w:val="0"/>
                      <w:marRight w:val="0"/>
                      <w:marTop w:val="0"/>
                      <w:marBottom w:val="0"/>
                      <w:divBdr>
                        <w:top w:val="none" w:sz="0" w:space="0" w:color="auto"/>
                        <w:left w:val="none" w:sz="0" w:space="0" w:color="auto"/>
                        <w:bottom w:val="none" w:sz="0" w:space="0" w:color="auto"/>
                        <w:right w:val="none" w:sz="0" w:space="0" w:color="auto"/>
                      </w:divBdr>
                    </w:div>
                  </w:divsChild>
                </w:div>
                <w:div w:id="1685590937">
                  <w:marLeft w:val="0"/>
                  <w:marRight w:val="0"/>
                  <w:marTop w:val="0"/>
                  <w:marBottom w:val="0"/>
                  <w:divBdr>
                    <w:top w:val="none" w:sz="0" w:space="0" w:color="auto"/>
                    <w:left w:val="none" w:sz="0" w:space="0" w:color="auto"/>
                    <w:bottom w:val="none" w:sz="0" w:space="0" w:color="auto"/>
                    <w:right w:val="none" w:sz="0" w:space="0" w:color="auto"/>
                  </w:divBdr>
                  <w:divsChild>
                    <w:div w:id="1807041066">
                      <w:marLeft w:val="0"/>
                      <w:marRight w:val="0"/>
                      <w:marTop w:val="0"/>
                      <w:marBottom w:val="0"/>
                      <w:divBdr>
                        <w:top w:val="none" w:sz="0" w:space="0" w:color="auto"/>
                        <w:left w:val="none" w:sz="0" w:space="0" w:color="auto"/>
                        <w:bottom w:val="none" w:sz="0" w:space="0" w:color="auto"/>
                        <w:right w:val="none" w:sz="0" w:space="0" w:color="auto"/>
                      </w:divBdr>
                    </w:div>
                  </w:divsChild>
                </w:div>
                <w:div w:id="1686445743">
                  <w:marLeft w:val="0"/>
                  <w:marRight w:val="0"/>
                  <w:marTop w:val="0"/>
                  <w:marBottom w:val="0"/>
                  <w:divBdr>
                    <w:top w:val="none" w:sz="0" w:space="0" w:color="auto"/>
                    <w:left w:val="none" w:sz="0" w:space="0" w:color="auto"/>
                    <w:bottom w:val="none" w:sz="0" w:space="0" w:color="auto"/>
                    <w:right w:val="none" w:sz="0" w:space="0" w:color="auto"/>
                  </w:divBdr>
                  <w:divsChild>
                    <w:div w:id="43189000">
                      <w:marLeft w:val="0"/>
                      <w:marRight w:val="0"/>
                      <w:marTop w:val="0"/>
                      <w:marBottom w:val="0"/>
                      <w:divBdr>
                        <w:top w:val="none" w:sz="0" w:space="0" w:color="auto"/>
                        <w:left w:val="none" w:sz="0" w:space="0" w:color="auto"/>
                        <w:bottom w:val="none" w:sz="0" w:space="0" w:color="auto"/>
                        <w:right w:val="none" w:sz="0" w:space="0" w:color="auto"/>
                      </w:divBdr>
                    </w:div>
                  </w:divsChild>
                </w:div>
                <w:div w:id="1710185050">
                  <w:marLeft w:val="0"/>
                  <w:marRight w:val="0"/>
                  <w:marTop w:val="0"/>
                  <w:marBottom w:val="0"/>
                  <w:divBdr>
                    <w:top w:val="none" w:sz="0" w:space="0" w:color="auto"/>
                    <w:left w:val="none" w:sz="0" w:space="0" w:color="auto"/>
                    <w:bottom w:val="none" w:sz="0" w:space="0" w:color="auto"/>
                    <w:right w:val="none" w:sz="0" w:space="0" w:color="auto"/>
                  </w:divBdr>
                  <w:divsChild>
                    <w:div w:id="264853399">
                      <w:marLeft w:val="0"/>
                      <w:marRight w:val="0"/>
                      <w:marTop w:val="0"/>
                      <w:marBottom w:val="0"/>
                      <w:divBdr>
                        <w:top w:val="none" w:sz="0" w:space="0" w:color="auto"/>
                        <w:left w:val="none" w:sz="0" w:space="0" w:color="auto"/>
                        <w:bottom w:val="none" w:sz="0" w:space="0" w:color="auto"/>
                        <w:right w:val="none" w:sz="0" w:space="0" w:color="auto"/>
                      </w:divBdr>
                    </w:div>
                  </w:divsChild>
                </w:div>
                <w:div w:id="1716081863">
                  <w:marLeft w:val="0"/>
                  <w:marRight w:val="0"/>
                  <w:marTop w:val="0"/>
                  <w:marBottom w:val="0"/>
                  <w:divBdr>
                    <w:top w:val="none" w:sz="0" w:space="0" w:color="auto"/>
                    <w:left w:val="none" w:sz="0" w:space="0" w:color="auto"/>
                    <w:bottom w:val="none" w:sz="0" w:space="0" w:color="auto"/>
                    <w:right w:val="none" w:sz="0" w:space="0" w:color="auto"/>
                  </w:divBdr>
                  <w:divsChild>
                    <w:div w:id="2004581270">
                      <w:marLeft w:val="0"/>
                      <w:marRight w:val="0"/>
                      <w:marTop w:val="0"/>
                      <w:marBottom w:val="0"/>
                      <w:divBdr>
                        <w:top w:val="none" w:sz="0" w:space="0" w:color="auto"/>
                        <w:left w:val="none" w:sz="0" w:space="0" w:color="auto"/>
                        <w:bottom w:val="none" w:sz="0" w:space="0" w:color="auto"/>
                        <w:right w:val="none" w:sz="0" w:space="0" w:color="auto"/>
                      </w:divBdr>
                    </w:div>
                  </w:divsChild>
                </w:div>
                <w:div w:id="1722048936">
                  <w:marLeft w:val="0"/>
                  <w:marRight w:val="0"/>
                  <w:marTop w:val="0"/>
                  <w:marBottom w:val="0"/>
                  <w:divBdr>
                    <w:top w:val="none" w:sz="0" w:space="0" w:color="auto"/>
                    <w:left w:val="none" w:sz="0" w:space="0" w:color="auto"/>
                    <w:bottom w:val="none" w:sz="0" w:space="0" w:color="auto"/>
                    <w:right w:val="none" w:sz="0" w:space="0" w:color="auto"/>
                  </w:divBdr>
                  <w:divsChild>
                    <w:div w:id="300961877">
                      <w:marLeft w:val="0"/>
                      <w:marRight w:val="0"/>
                      <w:marTop w:val="0"/>
                      <w:marBottom w:val="0"/>
                      <w:divBdr>
                        <w:top w:val="none" w:sz="0" w:space="0" w:color="auto"/>
                        <w:left w:val="none" w:sz="0" w:space="0" w:color="auto"/>
                        <w:bottom w:val="none" w:sz="0" w:space="0" w:color="auto"/>
                        <w:right w:val="none" w:sz="0" w:space="0" w:color="auto"/>
                      </w:divBdr>
                    </w:div>
                  </w:divsChild>
                </w:div>
                <w:div w:id="1740904575">
                  <w:marLeft w:val="0"/>
                  <w:marRight w:val="0"/>
                  <w:marTop w:val="0"/>
                  <w:marBottom w:val="0"/>
                  <w:divBdr>
                    <w:top w:val="none" w:sz="0" w:space="0" w:color="auto"/>
                    <w:left w:val="none" w:sz="0" w:space="0" w:color="auto"/>
                    <w:bottom w:val="none" w:sz="0" w:space="0" w:color="auto"/>
                    <w:right w:val="none" w:sz="0" w:space="0" w:color="auto"/>
                  </w:divBdr>
                  <w:divsChild>
                    <w:div w:id="2091802880">
                      <w:marLeft w:val="0"/>
                      <w:marRight w:val="0"/>
                      <w:marTop w:val="0"/>
                      <w:marBottom w:val="0"/>
                      <w:divBdr>
                        <w:top w:val="none" w:sz="0" w:space="0" w:color="auto"/>
                        <w:left w:val="none" w:sz="0" w:space="0" w:color="auto"/>
                        <w:bottom w:val="none" w:sz="0" w:space="0" w:color="auto"/>
                        <w:right w:val="none" w:sz="0" w:space="0" w:color="auto"/>
                      </w:divBdr>
                    </w:div>
                  </w:divsChild>
                </w:div>
                <w:div w:id="1742829888">
                  <w:marLeft w:val="0"/>
                  <w:marRight w:val="0"/>
                  <w:marTop w:val="0"/>
                  <w:marBottom w:val="0"/>
                  <w:divBdr>
                    <w:top w:val="none" w:sz="0" w:space="0" w:color="auto"/>
                    <w:left w:val="none" w:sz="0" w:space="0" w:color="auto"/>
                    <w:bottom w:val="none" w:sz="0" w:space="0" w:color="auto"/>
                    <w:right w:val="none" w:sz="0" w:space="0" w:color="auto"/>
                  </w:divBdr>
                  <w:divsChild>
                    <w:div w:id="293562388">
                      <w:marLeft w:val="0"/>
                      <w:marRight w:val="0"/>
                      <w:marTop w:val="0"/>
                      <w:marBottom w:val="0"/>
                      <w:divBdr>
                        <w:top w:val="none" w:sz="0" w:space="0" w:color="auto"/>
                        <w:left w:val="none" w:sz="0" w:space="0" w:color="auto"/>
                        <w:bottom w:val="none" w:sz="0" w:space="0" w:color="auto"/>
                        <w:right w:val="none" w:sz="0" w:space="0" w:color="auto"/>
                      </w:divBdr>
                    </w:div>
                  </w:divsChild>
                </w:div>
                <w:div w:id="1748768740">
                  <w:marLeft w:val="0"/>
                  <w:marRight w:val="0"/>
                  <w:marTop w:val="0"/>
                  <w:marBottom w:val="0"/>
                  <w:divBdr>
                    <w:top w:val="none" w:sz="0" w:space="0" w:color="auto"/>
                    <w:left w:val="none" w:sz="0" w:space="0" w:color="auto"/>
                    <w:bottom w:val="none" w:sz="0" w:space="0" w:color="auto"/>
                    <w:right w:val="none" w:sz="0" w:space="0" w:color="auto"/>
                  </w:divBdr>
                  <w:divsChild>
                    <w:div w:id="1290628089">
                      <w:marLeft w:val="0"/>
                      <w:marRight w:val="0"/>
                      <w:marTop w:val="0"/>
                      <w:marBottom w:val="0"/>
                      <w:divBdr>
                        <w:top w:val="none" w:sz="0" w:space="0" w:color="auto"/>
                        <w:left w:val="none" w:sz="0" w:space="0" w:color="auto"/>
                        <w:bottom w:val="none" w:sz="0" w:space="0" w:color="auto"/>
                        <w:right w:val="none" w:sz="0" w:space="0" w:color="auto"/>
                      </w:divBdr>
                    </w:div>
                  </w:divsChild>
                </w:div>
                <w:div w:id="1774132971">
                  <w:marLeft w:val="0"/>
                  <w:marRight w:val="0"/>
                  <w:marTop w:val="0"/>
                  <w:marBottom w:val="0"/>
                  <w:divBdr>
                    <w:top w:val="none" w:sz="0" w:space="0" w:color="auto"/>
                    <w:left w:val="none" w:sz="0" w:space="0" w:color="auto"/>
                    <w:bottom w:val="none" w:sz="0" w:space="0" w:color="auto"/>
                    <w:right w:val="none" w:sz="0" w:space="0" w:color="auto"/>
                  </w:divBdr>
                  <w:divsChild>
                    <w:div w:id="1857838983">
                      <w:marLeft w:val="0"/>
                      <w:marRight w:val="0"/>
                      <w:marTop w:val="0"/>
                      <w:marBottom w:val="0"/>
                      <w:divBdr>
                        <w:top w:val="none" w:sz="0" w:space="0" w:color="auto"/>
                        <w:left w:val="none" w:sz="0" w:space="0" w:color="auto"/>
                        <w:bottom w:val="none" w:sz="0" w:space="0" w:color="auto"/>
                        <w:right w:val="none" w:sz="0" w:space="0" w:color="auto"/>
                      </w:divBdr>
                    </w:div>
                  </w:divsChild>
                </w:div>
                <w:div w:id="1795519389">
                  <w:marLeft w:val="0"/>
                  <w:marRight w:val="0"/>
                  <w:marTop w:val="0"/>
                  <w:marBottom w:val="0"/>
                  <w:divBdr>
                    <w:top w:val="none" w:sz="0" w:space="0" w:color="auto"/>
                    <w:left w:val="none" w:sz="0" w:space="0" w:color="auto"/>
                    <w:bottom w:val="none" w:sz="0" w:space="0" w:color="auto"/>
                    <w:right w:val="none" w:sz="0" w:space="0" w:color="auto"/>
                  </w:divBdr>
                  <w:divsChild>
                    <w:div w:id="790827389">
                      <w:marLeft w:val="0"/>
                      <w:marRight w:val="0"/>
                      <w:marTop w:val="0"/>
                      <w:marBottom w:val="0"/>
                      <w:divBdr>
                        <w:top w:val="none" w:sz="0" w:space="0" w:color="auto"/>
                        <w:left w:val="none" w:sz="0" w:space="0" w:color="auto"/>
                        <w:bottom w:val="none" w:sz="0" w:space="0" w:color="auto"/>
                        <w:right w:val="none" w:sz="0" w:space="0" w:color="auto"/>
                      </w:divBdr>
                    </w:div>
                  </w:divsChild>
                </w:div>
                <w:div w:id="1808353793">
                  <w:marLeft w:val="0"/>
                  <w:marRight w:val="0"/>
                  <w:marTop w:val="0"/>
                  <w:marBottom w:val="0"/>
                  <w:divBdr>
                    <w:top w:val="none" w:sz="0" w:space="0" w:color="auto"/>
                    <w:left w:val="none" w:sz="0" w:space="0" w:color="auto"/>
                    <w:bottom w:val="none" w:sz="0" w:space="0" w:color="auto"/>
                    <w:right w:val="none" w:sz="0" w:space="0" w:color="auto"/>
                  </w:divBdr>
                  <w:divsChild>
                    <w:div w:id="1762221839">
                      <w:marLeft w:val="0"/>
                      <w:marRight w:val="0"/>
                      <w:marTop w:val="0"/>
                      <w:marBottom w:val="0"/>
                      <w:divBdr>
                        <w:top w:val="none" w:sz="0" w:space="0" w:color="auto"/>
                        <w:left w:val="none" w:sz="0" w:space="0" w:color="auto"/>
                        <w:bottom w:val="none" w:sz="0" w:space="0" w:color="auto"/>
                        <w:right w:val="none" w:sz="0" w:space="0" w:color="auto"/>
                      </w:divBdr>
                    </w:div>
                  </w:divsChild>
                </w:div>
                <w:div w:id="1814365623">
                  <w:marLeft w:val="0"/>
                  <w:marRight w:val="0"/>
                  <w:marTop w:val="0"/>
                  <w:marBottom w:val="0"/>
                  <w:divBdr>
                    <w:top w:val="none" w:sz="0" w:space="0" w:color="auto"/>
                    <w:left w:val="none" w:sz="0" w:space="0" w:color="auto"/>
                    <w:bottom w:val="none" w:sz="0" w:space="0" w:color="auto"/>
                    <w:right w:val="none" w:sz="0" w:space="0" w:color="auto"/>
                  </w:divBdr>
                  <w:divsChild>
                    <w:div w:id="1668899366">
                      <w:marLeft w:val="0"/>
                      <w:marRight w:val="0"/>
                      <w:marTop w:val="0"/>
                      <w:marBottom w:val="0"/>
                      <w:divBdr>
                        <w:top w:val="none" w:sz="0" w:space="0" w:color="auto"/>
                        <w:left w:val="none" w:sz="0" w:space="0" w:color="auto"/>
                        <w:bottom w:val="none" w:sz="0" w:space="0" w:color="auto"/>
                        <w:right w:val="none" w:sz="0" w:space="0" w:color="auto"/>
                      </w:divBdr>
                    </w:div>
                  </w:divsChild>
                </w:div>
                <w:div w:id="1823157712">
                  <w:marLeft w:val="0"/>
                  <w:marRight w:val="0"/>
                  <w:marTop w:val="0"/>
                  <w:marBottom w:val="0"/>
                  <w:divBdr>
                    <w:top w:val="none" w:sz="0" w:space="0" w:color="auto"/>
                    <w:left w:val="none" w:sz="0" w:space="0" w:color="auto"/>
                    <w:bottom w:val="none" w:sz="0" w:space="0" w:color="auto"/>
                    <w:right w:val="none" w:sz="0" w:space="0" w:color="auto"/>
                  </w:divBdr>
                  <w:divsChild>
                    <w:div w:id="1361398465">
                      <w:marLeft w:val="0"/>
                      <w:marRight w:val="0"/>
                      <w:marTop w:val="0"/>
                      <w:marBottom w:val="0"/>
                      <w:divBdr>
                        <w:top w:val="none" w:sz="0" w:space="0" w:color="auto"/>
                        <w:left w:val="none" w:sz="0" w:space="0" w:color="auto"/>
                        <w:bottom w:val="none" w:sz="0" w:space="0" w:color="auto"/>
                        <w:right w:val="none" w:sz="0" w:space="0" w:color="auto"/>
                      </w:divBdr>
                    </w:div>
                  </w:divsChild>
                </w:div>
                <w:div w:id="1848592587">
                  <w:marLeft w:val="0"/>
                  <w:marRight w:val="0"/>
                  <w:marTop w:val="0"/>
                  <w:marBottom w:val="0"/>
                  <w:divBdr>
                    <w:top w:val="none" w:sz="0" w:space="0" w:color="auto"/>
                    <w:left w:val="none" w:sz="0" w:space="0" w:color="auto"/>
                    <w:bottom w:val="none" w:sz="0" w:space="0" w:color="auto"/>
                    <w:right w:val="none" w:sz="0" w:space="0" w:color="auto"/>
                  </w:divBdr>
                  <w:divsChild>
                    <w:div w:id="1451392749">
                      <w:marLeft w:val="0"/>
                      <w:marRight w:val="0"/>
                      <w:marTop w:val="0"/>
                      <w:marBottom w:val="0"/>
                      <w:divBdr>
                        <w:top w:val="none" w:sz="0" w:space="0" w:color="auto"/>
                        <w:left w:val="none" w:sz="0" w:space="0" w:color="auto"/>
                        <w:bottom w:val="none" w:sz="0" w:space="0" w:color="auto"/>
                        <w:right w:val="none" w:sz="0" w:space="0" w:color="auto"/>
                      </w:divBdr>
                    </w:div>
                  </w:divsChild>
                </w:div>
                <w:div w:id="1860846428">
                  <w:marLeft w:val="0"/>
                  <w:marRight w:val="0"/>
                  <w:marTop w:val="0"/>
                  <w:marBottom w:val="0"/>
                  <w:divBdr>
                    <w:top w:val="none" w:sz="0" w:space="0" w:color="auto"/>
                    <w:left w:val="none" w:sz="0" w:space="0" w:color="auto"/>
                    <w:bottom w:val="none" w:sz="0" w:space="0" w:color="auto"/>
                    <w:right w:val="none" w:sz="0" w:space="0" w:color="auto"/>
                  </w:divBdr>
                  <w:divsChild>
                    <w:div w:id="1816145209">
                      <w:marLeft w:val="0"/>
                      <w:marRight w:val="0"/>
                      <w:marTop w:val="0"/>
                      <w:marBottom w:val="0"/>
                      <w:divBdr>
                        <w:top w:val="none" w:sz="0" w:space="0" w:color="auto"/>
                        <w:left w:val="none" w:sz="0" w:space="0" w:color="auto"/>
                        <w:bottom w:val="none" w:sz="0" w:space="0" w:color="auto"/>
                        <w:right w:val="none" w:sz="0" w:space="0" w:color="auto"/>
                      </w:divBdr>
                    </w:div>
                  </w:divsChild>
                </w:div>
                <w:div w:id="1867518765">
                  <w:marLeft w:val="0"/>
                  <w:marRight w:val="0"/>
                  <w:marTop w:val="0"/>
                  <w:marBottom w:val="0"/>
                  <w:divBdr>
                    <w:top w:val="none" w:sz="0" w:space="0" w:color="auto"/>
                    <w:left w:val="none" w:sz="0" w:space="0" w:color="auto"/>
                    <w:bottom w:val="none" w:sz="0" w:space="0" w:color="auto"/>
                    <w:right w:val="none" w:sz="0" w:space="0" w:color="auto"/>
                  </w:divBdr>
                  <w:divsChild>
                    <w:div w:id="104081420">
                      <w:marLeft w:val="0"/>
                      <w:marRight w:val="0"/>
                      <w:marTop w:val="0"/>
                      <w:marBottom w:val="0"/>
                      <w:divBdr>
                        <w:top w:val="none" w:sz="0" w:space="0" w:color="auto"/>
                        <w:left w:val="none" w:sz="0" w:space="0" w:color="auto"/>
                        <w:bottom w:val="none" w:sz="0" w:space="0" w:color="auto"/>
                        <w:right w:val="none" w:sz="0" w:space="0" w:color="auto"/>
                      </w:divBdr>
                    </w:div>
                  </w:divsChild>
                </w:div>
                <w:div w:id="1867794800">
                  <w:marLeft w:val="0"/>
                  <w:marRight w:val="0"/>
                  <w:marTop w:val="0"/>
                  <w:marBottom w:val="0"/>
                  <w:divBdr>
                    <w:top w:val="none" w:sz="0" w:space="0" w:color="auto"/>
                    <w:left w:val="none" w:sz="0" w:space="0" w:color="auto"/>
                    <w:bottom w:val="none" w:sz="0" w:space="0" w:color="auto"/>
                    <w:right w:val="none" w:sz="0" w:space="0" w:color="auto"/>
                  </w:divBdr>
                  <w:divsChild>
                    <w:div w:id="837960021">
                      <w:marLeft w:val="0"/>
                      <w:marRight w:val="0"/>
                      <w:marTop w:val="0"/>
                      <w:marBottom w:val="0"/>
                      <w:divBdr>
                        <w:top w:val="none" w:sz="0" w:space="0" w:color="auto"/>
                        <w:left w:val="none" w:sz="0" w:space="0" w:color="auto"/>
                        <w:bottom w:val="none" w:sz="0" w:space="0" w:color="auto"/>
                        <w:right w:val="none" w:sz="0" w:space="0" w:color="auto"/>
                      </w:divBdr>
                    </w:div>
                  </w:divsChild>
                </w:div>
                <w:div w:id="1874222743">
                  <w:marLeft w:val="0"/>
                  <w:marRight w:val="0"/>
                  <w:marTop w:val="0"/>
                  <w:marBottom w:val="0"/>
                  <w:divBdr>
                    <w:top w:val="none" w:sz="0" w:space="0" w:color="auto"/>
                    <w:left w:val="none" w:sz="0" w:space="0" w:color="auto"/>
                    <w:bottom w:val="none" w:sz="0" w:space="0" w:color="auto"/>
                    <w:right w:val="none" w:sz="0" w:space="0" w:color="auto"/>
                  </w:divBdr>
                  <w:divsChild>
                    <w:div w:id="503057375">
                      <w:marLeft w:val="0"/>
                      <w:marRight w:val="0"/>
                      <w:marTop w:val="0"/>
                      <w:marBottom w:val="0"/>
                      <w:divBdr>
                        <w:top w:val="none" w:sz="0" w:space="0" w:color="auto"/>
                        <w:left w:val="none" w:sz="0" w:space="0" w:color="auto"/>
                        <w:bottom w:val="none" w:sz="0" w:space="0" w:color="auto"/>
                        <w:right w:val="none" w:sz="0" w:space="0" w:color="auto"/>
                      </w:divBdr>
                    </w:div>
                  </w:divsChild>
                </w:div>
                <w:div w:id="1876042599">
                  <w:marLeft w:val="0"/>
                  <w:marRight w:val="0"/>
                  <w:marTop w:val="0"/>
                  <w:marBottom w:val="0"/>
                  <w:divBdr>
                    <w:top w:val="none" w:sz="0" w:space="0" w:color="auto"/>
                    <w:left w:val="none" w:sz="0" w:space="0" w:color="auto"/>
                    <w:bottom w:val="none" w:sz="0" w:space="0" w:color="auto"/>
                    <w:right w:val="none" w:sz="0" w:space="0" w:color="auto"/>
                  </w:divBdr>
                  <w:divsChild>
                    <w:div w:id="1353874614">
                      <w:marLeft w:val="0"/>
                      <w:marRight w:val="0"/>
                      <w:marTop w:val="0"/>
                      <w:marBottom w:val="0"/>
                      <w:divBdr>
                        <w:top w:val="none" w:sz="0" w:space="0" w:color="auto"/>
                        <w:left w:val="none" w:sz="0" w:space="0" w:color="auto"/>
                        <w:bottom w:val="none" w:sz="0" w:space="0" w:color="auto"/>
                        <w:right w:val="none" w:sz="0" w:space="0" w:color="auto"/>
                      </w:divBdr>
                    </w:div>
                  </w:divsChild>
                </w:div>
                <w:div w:id="1923635911">
                  <w:marLeft w:val="0"/>
                  <w:marRight w:val="0"/>
                  <w:marTop w:val="0"/>
                  <w:marBottom w:val="0"/>
                  <w:divBdr>
                    <w:top w:val="none" w:sz="0" w:space="0" w:color="auto"/>
                    <w:left w:val="none" w:sz="0" w:space="0" w:color="auto"/>
                    <w:bottom w:val="none" w:sz="0" w:space="0" w:color="auto"/>
                    <w:right w:val="none" w:sz="0" w:space="0" w:color="auto"/>
                  </w:divBdr>
                  <w:divsChild>
                    <w:div w:id="856624098">
                      <w:marLeft w:val="0"/>
                      <w:marRight w:val="0"/>
                      <w:marTop w:val="0"/>
                      <w:marBottom w:val="0"/>
                      <w:divBdr>
                        <w:top w:val="none" w:sz="0" w:space="0" w:color="auto"/>
                        <w:left w:val="none" w:sz="0" w:space="0" w:color="auto"/>
                        <w:bottom w:val="none" w:sz="0" w:space="0" w:color="auto"/>
                        <w:right w:val="none" w:sz="0" w:space="0" w:color="auto"/>
                      </w:divBdr>
                    </w:div>
                  </w:divsChild>
                </w:div>
                <w:div w:id="1927374347">
                  <w:marLeft w:val="0"/>
                  <w:marRight w:val="0"/>
                  <w:marTop w:val="0"/>
                  <w:marBottom w:val="0"/>
                  <w:divBdr>
                    <w:top w:val="none" w:sz="0" w:space="0" w:color="auto"/>
                    <w:left w:val="none" w:sz="0" w:space="0" w:color="auto"/>
                    <w:bottom w:val="none" w:sz="0" w:space="0" w:color="auto"/>
                    <w:right w:val="none" w:sz="0" w:space="0" w:color="auto"/>
                  </w:divBdr>
                  <w:divsChild>
                    <w:div w:id="1328292733">
                      <w:marLeft w:val="0"/>
                      <w:marRight w:val="0"/>
                      <w:marTop w:val="0"/>
                      <w:marBottom w:val="0"/>
                      <w:divBdr>
                        <w:top w:val="none" w:sz="0" w:space="0" w:color="auto"/>
                        <w:left w:val="none" w:sz="0" w:space="0" w:color="auto"/>
                        <w:bottom w:val="none" w:sz="0" w:space="0" w:color="auto"/>
                        <w:right w:val="none" w:sz="0" w:space="0" w:color="auto"/>
                      </w:divBdr>
                    </w:div>
                  </w:divsChild>
                </w:div>
                <w:div w:id="1928266700">
                  <w:marLeft w:val="0"/>
                  <w:marRight w:val="0"/>
                  <w:marTop w:val="0"/>
                  <w:marBottom w:val="0"/>
                  <w:divBdr>
                    <w:top w:val="none" w:sz="0" w:space="0" w:color="auto"/>
                    <w:left w:val="none" w:sz="0" w:space="0" w:color="auto"/>
                    <w:bottom w:val="none" w:sz="0" w:space="0" w:color="auto"/>
                    <w:right w:val="none" w:sz="0" w:space="0" w:color="auto"/>
                  </w:divBdr>
                  <w:divsChild>
                    <w:div w:id="611015926">
                      <w:marLeft w:val="0"/>
                      <w:marRight w:val="0"/>
                      <w:marTop w:val="0"/>
                      <w:marBottom w:val="0"/>
                      <w:divBdr>
                        <w:top w:val="none" w:sz="0" w:space="0" w:color="auto"/>
                        <w:left w:val="none" w:sz="0" w:space="0" w:color="auto"/>
                        <w:bottom w:val="none" w:sz="0" w:space="0" w:color="auto"/>
                        <w:right w:val="none" w:sz="0" w:space="0" w:color="auto"/>
                      </w:divBdr>
                    </w:div>
                  </w:divsChild>
                </w:div>
                <w:div w:id="1932276627">
                  <w:marLeft w:val="0"/>
                  <w:marRight w:val="0"/>
                  <w:marTop w:val="0"/>
                  <w:marBottom w:val="0"/>
                  <w:divBdr>
                    <w:top w:val="none" w:sz="0" w:space="0" w:color="auto"/>
                    <w:left w:val="none" w:sz="0" w:space="0" w:color="auto"/>
                    <w:bottom w:val="none" w:sz="0" w:space="0" w:color="auto"/>
                    <w:right w:val="none" w:sz="0" w:space="0" w:color="auto"/>
                  </w:divBdr>
                  <w:divsChild>
                    <w:div w:id="59989532">
                      <w:marLeft w:val="0"/>
                      <w:marRight w:val="0"/>
                      <w:marTop w:val="0"/>
                      <w:marBottom w:val="0"/>
                      <w:divBdr>
                        <w:top w:val="none" w:sz="0" w:space="0" w:color="auto"/>
                        <w:left w:val="none" w:sz="0" w:space="0" w:color="auto"/>
                        <w:bottom w:val="none" w:sz="0" w:space="0" w:color="auto"/>
                        <w:right w:val="none" w:sz="0" w:space="0" w:color="auto"/>
                      </w:divBdr>
                    </w:div>
                  </w:divsChild>
                </w:div>
                <w:div w:id="1941838547">
                  <w:marLeft w:val="0"/>
                  <w:marRight w:val="0"/>
                  <w:marTop w:val="0"/>
                  <w:marBottom w:val="0"/>
                  <w:divBdr>
                    <w:top w:val="none" w:sz="0" w:space="0" w:color="auto"/>
                    <w:left w:val="none" w:sz="0" w:space="0" w:color="auto"/>
                    <w:bottom w:val="none" w:sz="0" w:space="0" w:color="auto"/>
                    <w:right w:val="none" w:sz="0" w:space="0" w:color="auto"/>
                  </w:divBdr>
                  <w:divsChild>
                    <w:div w:id="1695886309">
                      <w:marLeft w:val="0"/>
                      <w:marRight w:val="0"/>
                      <w:marTop w:val="0"/>
                      <w:marBottom w:val="0"/>
                      <w:divBdr>
                        <w:top w:val="none" w:sz="0" w:space="0" w:color="auto"/>
                        <w:left w:val="none" w:sz="0" w:space="0" w:color="auto"/>
                        <w:bottom w:val="none" w:sz="0" w:space="0" w:color="auto"/>
                        <w:right w:val="none" w:sz="0" w:space="0" w:color="auto"/>
                      </w:divBdr>
                    </w:div>
                  </w:divsChild>
                </w:div>
                <w:div w:id="1951427868">
                  <w:marLeft w:val="0"/>
                  <w:marRight w:val="0"/>
                  <w:marTop w:val="0"/>
                  <w:marBottom w:val="0"/>
                  <w:divBdr>
                    <w:top w:val="none" w:sz="0" w:space="0" w:color="auto"/>
                    <w:left w:val="none" w:sz="0" w:space="0" w:color="auto"/>
                    <w:bottom w:val="none" w:sz="0" w:space="0" w:color="auto"/>
                    <w:right w:val="none" w:sz="0" w:space="0" w:color="auto"/>
                  </w:divBdr>
                  <w:divsChild>
                    <w:div w:id="282732133">
                      <w:marLeft w:val="0"/>
                      <w:marRight w:val="0"/>
                      <w:marTop w:val="0"/>
                      <w:marBottom w:val="0"/>
                      <w:divBdr>
                        <w:top w:val="none" w:sz="0" w:space="0" w:color="auto"/>
                        <w:left w:val="none" w:sz="0" w:space="0" w:color="auto"/>
                        <w:bottom w:val="none" w:sz="0" w:space="0" w:color="auto"/>
                        <w:right w:val="none" w:sz="0" w:space="0" w:color="auto"/>
                      </w:divBdr>
                    </w:div>
                  </w:divsChild>
                </w:div>
                <w:div w:id="1951861180">
                  <w:marLeft w:val="0"/>
                  <w:marRight w:val="0"/>
                  <w:marTop w:val="0"/>
                  <w:marBottom w:val="0"/>
                  <w:divBdr>
                    <w:top w:val="none" w:sz="0" w:space="0" w:color="auto"/>
                    <w:left w:val="none" w:sz="0" w:space="0" w:color="auto"/>
                    <w:bottom w:val="none" w:sz="0" w:space="0" w:color="auto"/>
                    <w:right w:val="none" w:sz="0" w:space="0" w:color="auto"/>
                  </w:divBdr>
                  <w:divsChild>
                    <w:div w:id="1655186624">
                      <w:marLeft w:val="0"/>
                      <w:marRight w:val="0"/>
                      <w:marTop w:val="0"/>
                      <w:marBottom w:val="0"/>
                      <w:divBdr>
                        <w:top w:val="none" w:sz="0" w:space="0" w:color="auto"/>
                        <w:left w:val="none" w:sz="0" w:space="0" w:color="auto"/>
                        <w:bottom w:val="none" w:sz="0" w:space="0" w:color="auto"/>
                        <w:right w:val="none" w:sz="0" w:space="0" w:color="auto"/>
                      </w:divBdr>
                    </w:div>
                  </w:divsChild>
                </w:div>
                <w:div w:id="1965500300">
                  <w:marLeft w:val="0"/>
                  <w:marRight w:val="0"/>
                  <w:marTop w:val="0"/>
                  <w:marBottom w:val="0"/>
                  <w:divBdr>
                    <w:top w:val="none" w:sz="0" w:space="0" w:color="auto"/>
                    <w:left w:val="none" w:sz="0" w:space="0" w:color="auto"/>
                    <w:bottom w:val="none" w:sz="0" w:space="0" w:color="auto"/>
                    <w:right w:val="none" w:sz="0" w:space="0" w:color="auto"/>
                  </w:divBdr>
                  <w:divsChild>
                    <w:div w:id="310065025">
                      <w:marLeft w:val="0"/>
                      <w:marRight w:val="0"/>
                      <w:marTop w:val="0"/>
                      <w:marBottom w:val="0"/>
                      <w:divBdr>
                        <w:top w:val="none" w:sz="0" w:space="0" w:color="auto"/>
                        <w:left w:val="none" w:sz="0" w:space="0" w:color="auto"/>
                        <w:bottom w:val="none" w:sz="0" w:space="0" w:color="auto"/>
                        <w:right w:val="none" w:sz="0" w:space="0" w:color="auto"/>
                      </w:divBdr>
                    </w:div>
                  </w:divsChild>
                </w:div>
                <w:div w:id="1967854791">
                  <w:marLeft w:val="0"/>
                  <w:marRight w:val="0"/>
                  <w:marTop w:val="0"/>
                  <w:marBottom w:val="0"/>
                  <w:divBdr>
                    <w:top w:val="none" w:sz="0" w:space="0" w:color="auto"/>
                    <w:left w:val="none" w:sz="0" w:space="0" w:color="auto"/>
                    <w:bottom w:val="none" w:sz="0" w:space="0" w:color="auto"/>
                    <w:right w:val="none" w:sz="0" w:space="0" w:color="auto"/>
                  </w:divBdr>
                  <w:divsChild>
                    <w:div w:id="1992903211">
                      <w:marLeft w:val="0"/>
                      <w:marRight w:val="0"/>
                      <w:marTop w:val="0"/>
                      <w:marBottom w:val="0"/>
                      <w:divBdr>
                        <w:top w:val="none" w:sz="0" w:space="0" w:color="auto"/>
                        <w:left w:val="none" w:sz="0" w:space="0" w:color="auto"/>
                        <w:bottom w:val="none" w:sz="0" w:space="0" w:color="auto"/>
                        <w:right w:val="none" w:sz="0" w:space="0" w:color="auto"/>
                      </w:divBdr>
                    </w:div>
                  </w:divsChild>
                </w:div>
                <w:div w:id="1980380389">
                  <w:marLeft w:val="0"/>
                  <w:marRight w:val="0"/>
                  <w:marTop w:val="0"/>
                  <w:marBottom w:val="0"/>
                  <w:divBdr>
                    <w:top w:val="none" w:sz="0" w:space="0" w:color="auto"/>
                    <w:left w:val="none" w:sz="0" w:space="0" w:color="auto"/>
                    <w:bottom w:val="none" w:sz="0" w:space="0" w:color="auto"/>
                    <w:right w:val="none" w:sz="0" w:space="0" w:color="auto"/>
                  </w:divBdr>
                  <w:divsChild>
                    <w:div w:id="430860081">
                      <w:marLeft w:val="0"/>
                      <w:marRight w:val="0"/>
                      <w:marTop w:val="0"/>
                      <w:marBottom w:val="0"/>
                      <w:divBdr>
                        <w:top w:val="none" w:sz="0" w:space="0" w:color="auto"/>
                        <w:left w:val="none" w:sz="0" w:space="0" w:color="auto"/>
                        <w:bottom w:val="none" w:sz="0" w:space="0" w:color="auto"/>
                        <w:right w:val="none" w:sz="0" w:space="0" w:color="auto"/>
                      </w:divBdr>
                    </w:div>
                  </w:divsChild>
                </w:div>
                <w:div w:id="1982925609">
                  <w:marLeft w:val="0"/>
                  <w:marRight w:val="0"/>
                  <w:marTop w:val="0"/>
                  <w:marBottom w:val="0"/>
                  <w:divBdr>
                    <w:top w:val="none" w:sz="0" w:space="0" w:color="auto"/>
                    <w:left w:val="none" w:sz="0" w:space="0" w:color="auto"/>
                    <w:bottom w:val="none" w:sz="0" w:space="0" w:color="auto"/>
                    <w:right w:val="none" w:sz="0" w:space="0" w:color="auto"/>
                  </w:divBdr>
                  <w:divsChild>
                    <w:div w:id="347365899">
                      <w:marLeft w:val="0"/>
                      <w:marRight w:val="0"/>
                      <w:marTop w:val="0"/>
                      <w:marBottom w:val="0"/>
                      <w:divBdr>
                        <w:top w:val="none" w:sz="0" w:space="0" w:color="auto"/>
                        <w:left w:val="none" w:sz="0" w:space="0" w:color="auto"/>
                        <w:bottom w:val="none" w:sz="0" w:space="0" w:color="auto"/>
                        <w:right w:val="none" w:sz="0" w:space="0" w:color="auto"/>
                      </w:divBdr>
                    </w:div>
                  </w:divsChild>
                </w:div>
                <w:div w:id="1983190357">
                  <w:marLeft w:val="0"/>
                  <w:marRight w:val="0"/>
                  <w:marTop w:val="0"/>
                  <w:marBottom w:val="0"/>
                  <w:divBdr>
                    <w:top w:val="none" w:sz="0" w:space="0" w:color="auto"/>
                    <w:left w:val="none" w:sz="0" w:space="0" w:color="auto"/>
                    <w:bottom w:val="none" w:sz="0" w:space="0" w:color="auto"/>
                    <w:right w:val="none" w:sz="0" w:space="0" w:color="auto"/>
                  </w:divBdr>
                  <w:divsChild>
                    <w:div w:id="914434921">
                      <w:marLeft w:val="0"/>
                      <w:marRight w:val="0"/>
                      <w:marTop w:val="0"/>
                      <w:marBottom w:val="0"/>
                      <w:divBdr>
                        <w:top w:val="none" w:sz="0" w:space="0" w:color="auto"/>
                        <w:left w:val="none" w:sz="0" w:space="0" w:color="auto"/>
                        <w:bottom w:val="none" w:sz="0" w:space="0" w:color="auto"/>
                        <w:right w:val="none" w:sz="0" w:space="0" w:color="auto"/>
                      </w:divBdr>
                    </w:div>
                  </w:divsChild>
                </w:div>
                <w:div w:id="1988702731">
                  <w:marLeft w:val="0"/>
                  <w:marRight w:val="0"/>
                  <w:marTop w:val="0"/>
                  <w:marBottom w:val="0"/>
                  <w:divBdr>
                    <w:top w:val="none" w:sz="0" w:space="0" w:color="auto"/>
                    <w:left w:val="none" w:sz="0" w:space="0" w:color="auto"/>
                    <w:bottom w:val="none" w:sz="0" w:space="0" w:color="auto"/>
                    <w:right w:val="none" w:sz="0" w:space="0" w:color="auto"/>
                  </w:divBdr>
                  <w:divsChild>
                    <w:div w:id="198667965">
                      <w:marLeft w:val="0"/>
                      <w:marRight w:val="0"/>
                      <w:marTop w:val="0"/>
                      <w:marBottom w:val="0"/>
                      <w:divBdr>
                        <w:top w:val="none" w:sz="0" w:space="0" w:color="auto"/>
                        <w:left w:val="none" w:sz="0" w:space="0" w:color="auto"/>
                        <w:bottom w:val="none" w:sz="0" w:space="0" w:color="auto"/>
                        <w:right w:val="none" w:sz="0" w:space="0" w:color="auto"/>
                      </w:divBdr>
                    </w:div>
                  </w:divsChild>
                </w:div>
                <w:div w:id="1989162917">
                  <w:marLeft w:val="0"/>
                  <w:marRight w:val="0"/>
                  <w:marTop w:val="0"/>
                  <w:marBottom w:val="0"/>
                  <w:divBdr>
                    <w:top w:val="none" w:sz="0" w:space="0" w:color="auto"/>
                    <w:left w:val="none" w:sz="0" w:space="0" w:color="auto"/>
                    <w:bottom w:val="none" w:sz="0" w:space="0" w:color="auto"/>
                    <w:right w:val="none" w:sz="0" w:space="0" w:color="auto"/>
                  </w:divBdr>
                  <w:divsChild>
                    <w:div w:id="1791703721">
                      <w:marLeft w:val="0"/>
                      <w:marRight w:val="0"/>
                      <w:marTop w:val="0"/>
                      <w:marBottom w:val="0"/>
                      <w:divBdr>
                        <w:top w:val="none" w:sz="0" w:space="0" w:color="auto"/>
                        <w:left w:val="none" w:sz="0" w:space="0" w:color="auto"/>
                        <w:bottom w:val="none" w:sz="0" w:space="0" w:color="auto"/>
                        <w:right w:val="none" w:sz="0" w:space="0" w:color="auto"/>
                      </w:divBdr>
                    </w:div>
                  </w:divsChild>
                </w:div>
                <w:div w:id="2007705459">
                  <w:marLeft w:val="0"/>
                  <w:marRight w:val="0"/>
                  <w:marTop w:val="0"/>
                  <w:marBottom w:val="0"/>
                  <w:divBdr>
                    <w:top w:val="none" w:sz="0" w:space="0" w:color="auto"/>
                    <w:left w:val="none" w:sz="0" w:space="0" w:color="auto"/>
                    <w:bottom w:val="none" w:sz="0" w:space="0" w:color="auto"/>
                    <w:right w:val="none" w:sz="0" w:space="0" w:color="auto"/>
                  </w:divBdr>
                  <w:divsChild>
                    <w:div w:id="1776945376">
                      <w:marLeft w:val="0"/>
                      <w:marRight w:val="0"/>
                      <w:marTop w:val="0"/>
                      <w:marBottom w:val="0"/>
                      <w:divBdr>
                        <w:top w:val="none" w:sz="0" w:space="0" w:color="auto"/>
                        <w:left w:val="none" w:sz="0" w:space="0" w:color="auto"/>
                        <w:bottom w:val="none" w:sz="0" w:space="0" w:color="auto"/>
                        <w:right w:val="none" w:sz="0" w:space="0" w:color="auto"/>
                      </w:divBdr>
                    </w:div>
                  </w:divsChild>
                </w:div>
                <w:div w:id="2021197734">
                  <w:marLeft w:val="0"/>
                  <w:marRight w:val="0"/>
                  <w:marTop w:val="0"/>
                  <w:marBottom w:val="0"/>
                  <w:divBdr>
                    <w:top w:val="none" w:sz="0" w:space="0" w:color="auto"/>
                    <w:left w:val="none" w:sz="0" w:space="0" w:color="auto"/>
                    <w:bottom w:val="none" w:sz="0" w:space="0" w:color="auto"/>
                    <w:right w:val="none" w:sz="0" w:space="0" w:color="auto"/>
                  </w:divBdr>
                  <w:divsChild>
                    <w:div w:id="1033845907">
                      <w:marLeft w:val="0"/>
                      <w:marRight w:val="0"/>
                      <w:marTop w:val="0"/>
                      <w:marBottom w:val="0"/>
                      <w:divBdr>
                        <w:top w:val="none" w:sz="0" w:space="0" w:color="auto"/>
                        <w:left w:val="none" w:sz="0" w:space="0" w:color="auto"/>
                        <w:bottom w:val="none" w:sz="0" w:space="0" w:color="auto"/>
                        <w:right w:val="none" w:sz="0" w:space="0" w:color="auto"/>
                      </w:divBdr>
                    </w:div>
                  </w:divsChild>
                </w:div>
                <w:div w:id="2030789312">
                  <w:marLeft w:val="0"/>
                  <w:marRight w:val="0"/>
                  <w:marTop w:val="0"/>
                  <w:marBottom w:val="0"/>
                  <w:divBdr>
                    <w:top w:val="none" w:sz="0" w:space="0" w:color="auto"/>
                    <w:left w:val="none" w:sz="0" w:space="0" w:color="auto"/>
                    <w:bottom w:val="none" w:sz="0" w:space="0" w:color="auto"/>
                    <w:right w:val="none" w:sz="0" w:space="0" w:color="auto"/>
                  </w:divBdr>
                  <w:divsChild>
                    <w:div w:id="1793476316">
                      <w:marLeft w:val="0"/>
                      <w:marRight w:val="0"/>
                      <w:marTop w:val="0"/>
                      <w:marBottom w:val="0"/>
                      <w:divBdr>
                        <w:top w:val="none" w:sz="0" w:space="0" w:color="auto"/>
                        <w:left w:val="none" w:sz="0" w:space="0" w:color="auto"/>
                        <w:bottom w:val="none" w:sz="0" w:space="0" w:color="auto"/>
                        <w:right w:val="none" w:sz="0" w:space="0" w:color="auto"/>
                      </w:divBdr>
                    </w:div>
                  </w:divsChild>
                </w:div>
                <w:div w:id="2054574429">
                  <w:marLeft w:val="0"/>
                  <w:marRight w:val="0"/>
                  <w:marTop w:val="0"/>
                  <w:marBottom w:val="0"/>
                  <w:divBdr>
                    <w:top w:val="none" w:sz="0" w:space="0" w:color="auto"/>
                    <w:left w:val="none" w:sz="0" w:space="0" w:color="auto"/>
                    <w:bottom w:val="none" w:sz="0" w:space="0" w:color="auto"/>
                    <w:right w:val="none" w:sz="0" w:space="0" w:color="auto"/>
                  </w:divBdr>
                  <w:divsChild>
                    <w:div w:id="2022194260">
                      <w:marLeft w:val="0"/>
                      <w:marRight w:val="0"/>
                      <w:marTop w:val="0"/>
                      <w:marBottom w:val="0"/>
                      <w:divBdr>
                        <w:top w:val="none" w:sz="0" w:space="0" w:color="auto"/>
                        <w:left w:val="none" w:sz="0" w:space="0" w:color="auto"/>
                        <w:bottom w:val="none" w:sz="0" w:space="0" w:color="auto"/>
                        <w:right w:val="none" w:sz="0" w:space="0" w:color="auto"/>
                      </w:divBdr>
                    </w:div>
                  </w:divsChild>
                </w:div>
                <w:div w:id="2063868780">
                  <w:marLeft w:val="0"/>
                  <w:marRight w:val="0"/>
                  <w:marTop w:val="0"/>
                  <w:marBottom w:val="0"/>
                  <w:divBdr>
                    <w:top w:val="none" w:sz="0" w:space="0" w:color="auto"/>
                    <w:left w:val="none" w:sz="0" w:space="0" w:color="auto"/>
                    <w:bottom w:val="none" w:sz="0" w:space="0" w:color="auto"/>
                    <w:right w:val="none" w:sz="0" w:space="0" w:color="auto"/>
                  </w:divBdr>
                  <w:divsChild>
                    <w:div w:id="171841287">
                      <w:marLeft w:val="0"/>
                      <w:marRight w:val="0"/>
                      <w:marTop w:val="0"/>
                      <w:marBottom w:val="0"/>
                      <w:divBdr>
                        <w:top w:val="none" w:sz="0" w:space="0" w:color="auto"/>
                        <w:left w:val="none" w:sz="0" w:space="0" w:color="auto"/>
                        <w:bottom w:val="none" w:sz="0" w:space="0" w:color="auto"/>
                        <w:right w:val="none" w:sz="0" w:space="0" w:color="auto"/>
                      </w:divBdr>
                    </w:div>
                  </w:divsChild>
                </w:div>
                <w:div w:id="2069642041">
                  <w:marLeft w:val="0"/>
                  <w:marRight w:val="0"/>
                  <w:marTop w:val="0"/>
                  <w:marBottom w:val="0"/>
                  <w:divBdr>
                    <w:top w:val="none" w:sz="0" w:space="0" w:color="auto"/>
                    <w:left w:val="none" w:sz="0" w:space="0" w:color="auto"/>
                    <w:bottom w:val="none" w:sz="0" w:space="0" w:color="auto"/>
                    <w:right w:val="none" w:sz="0" w:space="0" w:color="auto"/>
                  </w:divBdr>
                  <w:divsChild>
                    <w:div w:id="1774013935">
                      <w:marLeft w:val="0"/>
                      <w:marRight w:val="0"/>
                      <w:marTop w:val="0"/>
                      <w:marBottom w:val="0"/>
                      <w:divBdr>
                        <w:top w:val="none" w:sz="0" w:space="0" w:color="auto"/>
                        <w:left w:val="none" w:sz="0" w:space="0" w:color="auto"/>
                        <w:bottom w:val="none" w:sz="0" w:space="0" w:color="auto"/>
                        <w:right w:val="none" w:sz="0" w:space="0" w:color="auto"/>
                      </w:divBdr>
                    </w:div>
                  </w:divsChild>
                </w:div>
                <w:div w:id="2073237357">
                  <w:marLeft w:val="0"/>
                  <w:marRight w:val="0"/>
                  <w:marTop w:val="0"/>
                  <w:marBottom w:val="0"/>
                  <w:divBdr>
                    <w:top w:val="none" w:sz="0" w:space="0" w:color="auto"/>
                    <w:left w:val="none" w:sz="0" w:space="0" w:color="auto"/>
                    <w:bottom w:val="none" w:sz="0" w:space="0" w:color="auto"/>
                    <w:right w:val="none" w:sz="0" w:space="0" w:color="auto"/>
                  </w:divBdr>
                  <w:divsChild>
                    <w:div w:id="52897631">
                      <w:marLeft w:val="0"/>
                      <w:marRight w:val="0"/>
                      <w:marTop w:val="0"/>
                      <w:marBottom w:val="0"/>
                      <w:divBdr>
                        <w:top w:val="none" w:sz="0" w:space="0" w:color="auto"/>
                        <w:left w:val="none" w:sz="0" w:space="0" w:color="auto"/>
                        <w:bottom w:val="none" w:sz="0" w:space="0" w:color="auto"/>
                        <w:right w:val="none" w:sz="0" w:space="0" w:color="auto"/>
                      </w:divBdr>
                    </w:div>
                  </w:divsChild>
                </w:div>
                <w:div w:id="2091922987">
                  <w:marLeft w:val="0"/>
                  <w:marRight w:val="0"/>
                  <w:marTop w:val="0"/>
                  <w:marBottom w:val="0"/>
                  <w:divBdr>
                    <w:top w:val="none" w:sz="0" w:space="0" w:color="auto"/>
                    <w:left w:val="none" w:sz="0" w:space="0" w:color="auto"/>
                    <w:bottom w:val="none" w:sz="0" w:space="0" w:color="auto"/>
                    <w:right w:val="none" w:sz="0" w:space="0" w:color="auto"/>
                  </w:divBdr>
                  <w:divsChild>
                    <w:div w:id="1263605431">
                      <w:marLeft w:val="0"/>
                      <w:marRight w:val="0"/>
                      <w:marTop w:val="0"/>
                      <w:marBottom w:val="0"/>
                      <w:divBdr>
                        <w:top w:val="none" w:sz="0" w:space="0" w:color="auto"/>
                        <w:left w:val="none" w:sz="0" w:space="0" w:color="auto"/>
                        <w:bottom w:val="none" w:sz="0" w:space="0" w:color="auto"/>
                        <w:right w:val="none" w:sz="0" w:space="0" w:color="auto"/>
                      </w:divBdr>
                    </w:div>
                  </w:divsChild>
                </w:div>
                <w:div w:id="2094278631">
                  <w:marLeft w:val="0"/>
                  <w:marRight w:val="0"/>
                  <w:marTop w:val="0"/>
                  <w:marBottom w:val="0"/>
                  <w:divBdr>
                    <w:top w:val="none" w:sz="0" w:space="0" w:color="auto"/>
                    <w:left w:val="none" w:sz="0" w:space="0" w:color="auto"/>
                    <w:bottom w:val="none" w:sz="0" w:space="0" w:color="auto"/>
                    <w:right w:val="none" w:sz="0" w:space="0" w:color="auto"/>
                  </w:divBdr>
                  <w:divsChild>
                    <w:div w:id="328825694">
                      <w:marLeft w:val="0"/>
                      <w:marRight w:val="0"/>
                      <w:marTop w:val="0"/>
                      <w:marBottom w:val="0"/>
                      <w:divBdr>
                        <w:top w:val="none" w:sz="0" w:space="0" w:color="auto"/>
                        <w:left w:val="none" w:sz="0" w:space="0" w:color="auto"/>
                        <w:bottom w:val="none" w:sz="0" w:space="0" w:color="auto"/>
                        <w:right w:val="none" w:sz="0" w:space="0" w:color="auto"/>
                      </w:divBdr>
                    </w:div>
                  </w:divsChild>
                </w:div>
                <w:div w:id="2095273243">
                  <w:marLeft w:val="0"/>
                  <w:marRight w:val="0"/>
                  <w:marTop w:val="0"/>
                  <w:marBottom w:val="0"/>
                  <w:divBdr>
                    <w:top w:val="none" w:sz="0" w:space="0" w:color="auto"/>
                    <w:left w:val="none" w:sz="0" w:space="0" w:color="auto"/>
                    <w:bottom w:val="none" w:sz="0" w:space="0" w:color="auto"/>
                    <w:right w:val="none" w:sz="0" w:space="0" w:color="auto"/>
                  </w:divBdr>
                  <w:divsChild>
                    <w:div w:id="1033962753">
                      <w:marLeft w:val="0"/>
                      <w:marRight w:val="0"/>
                      <w:marTop w:val="0"/>
                      <w:marBottom w:val="0"/>
                      <w:divBdr>
                        <w:top w:val="none" w:sz="0" w:space="0" w:color="auto"/>
                        <w:left w:val="none" w:sz="0" w:space="0" w:color="auto"/>
                        <w:bottom w:val="none" w:sz="0" w:space="0" w:color="auto"/>
                        <w:right w:val="none" w:sz="0" w:space="0" w:color="auto"/>
                      </w:divBdr>
                    </w:div>
                  </w:divsChild>
                </w:div>
                <w:div w:id="2105951971">
                  <w:marLeft w:val="0"/>
                  <w:marRight w:val="0"/>
                  <w:marTop w:val="0"/>
                  <w:marBottom w:val="0"/>
                  <w:divBdr>
                    <w:top w:val="none" w:sz="0" w:space="0" w:color="auto"/>
                    <w:left w:val="none" w:sz="0" w:space="0" w:color="auto"/>
                    <w:bottom w:val="none" w:sz="0" w:space="0" w:color="auto"/>
                    <w:right w:val="none" w:sz="0" w:space="0" w:color="auto"/>
                  </w:divBdr>
                  <w:divsChild>
                    <w:div w:id="1669022694">
                      <w:marLeft w:val="0"/>
                      <w:marRight w:val="0"/>
                      <w:marTop w:val="0"/>
                      <w:marBottom w:val="0"/>
                      <w:divBdr>
                        <w:top w:val="none" w:sz="0" w:space="0" w:color="auto"/>
                        <w:left w:val="none" w:sz="0" w:space="0" w:color="auto"/>
                        <w:bottom w:val="none" w:sz="0" w:space="0" w:color="auto"/>
                        <w:right w:val="none" w:sz="0" w:space="0" w:color="auto"/>
                      </w:divBdr>
                    </w:div>
                  </w:divsChild>
                </w:div>
                <w:div w:id="2127919932">
                  <w:marLeft w:val="0"/>
                  <w:marRight w:val="0"/>
                  <w:marTop w:val="0"/>
                  <w:marBottom w:val="0"/>
                  <w:divBdr>
                    <w:top w:val="none" w:sz="0" w:space="0" w:color="auto"/>
                    <w:left w:val="none" w:sz="0" w:space="0" w:color="auto"/>
                    <w:bottom w:val="none" w:sz="0" w:space="0" w:color="auto"/>
                    <w:right w:val="none" w:sz="0" w:space="0" w:color="auto"/>
                  </w:divBdr>
                  <w:divsChild>
                    <w:div w:id="2115710422">
                      <w:marLeft w:val="0"/>
                      <w:marRight w:val="0"/>
                      <w:marTop w:val="0"/>
                      <w:marBottom w:val="0"/>
                      <w:divBdr>
                        <w:top w:val="none" w:sz="0" w:space="0" w:color="auto"/>
                        <w:left w:val="none" w:sz="0" w:space="0" w:color="auto"/>
                        <w:bottom w:val="none" w:sz="0" w:space="0" w:color="auto"/>
                        <w:right w:val="none" w:sz="0" w:space="0" w:color="auto"/>
                      </w:divBdr>
                    </w:div>
                  </w:divsChild>
                </w:div>
                <w:div w:id="2138908295">
                  <w:marLeft w:val="0"/>
                  <w:marRight w:val="0"/>
                  <w:marTop w:val="0"/>
                  <w:marBottom w:val="0"/>
                  <w:divBdr>
                    <w:top w:val="none" w:sz="0" w:space="0" w:color="auto"/>
                    <w:left w:val="none" w:sz="0" w:space="0" w:color="auto"/>
                    <w:bottom w:val="none" w:sz="0" w:space="0" w:color="auto"/>
                    <w:right w:val="none" w:sz="0" w:space="0" w:color="auto"/>
                  </w:divBdr>
                  <w:divsChild>
                    <w:div w:id="532496575">
                      <w:marLeft w:val="0"/>
                      <w:marRight w:val="0"/>
                      <w:marTop w:val="0"/>
                      <w:marBottom w:val="0"/>
                      <w:divBdr>
                        <w:top w:val="none" w:sz="0" w:space="0" w:color="auto"/>
                        <w:left w:val="none" w:sz="0" w:space="0" w:color="auto"/>
                        <w:bottom w:val="none" w:sz="0" w:space="0" w:color="auto"/>
                        <w:right w:val="none" w:sz="0" w:space="0" w:color="auto"/>
                      </w:divBdr>
                    </w:div>
                  </w:divsChild>
                </w:div>
                <w:div w:id="2139950219">
                  <w:marLeft w:val="0"/>
                  <w:marRight w:val="0"/>
                  <w:marTop w:val="0"/>
                  <w:marBottom w:val="0"/>
                  <w:divBdr>
                    <w:top w:val="none" w:sz="0" w:space="0" w:color="auto"/>
                    <w:left w:val="none" w:sz="0" w:space="0" w:color="auto"/>
                    <w:bottom w:val="none" w:sz="0" w:space="0" w:color="auto"/>
                    <w:right w:val="none" w:sz="0" w:space="0" w:color="auto"/>
                  </w:divBdr>
                  <w:divsChild>
                    <w:div w:id="948897699">
                      <w:marLeft w:val="0"/>
                      <w:marRight w:val="0"/>
                      <w:marTop w:val="0"/>
                      <w:marBottom w:val="0"/>
                      <w:divBdr>
                        <w:top w:val="none" w:sz="0" w:space="0" w:color="auto"/>
                        <w:left w:val="none" w:sz="0" w:space="0" w:color="auto"/>
                        <w:bottom w:val="none" w:sz="0" w:space="0" w:color="auto"/>
                        <w:right w:val="none" w:sz="0" w:space="0" w:color="auto"/>
                      </w:divBdr>
                    </w:div>
                  </w:divsChild>
                </w:div>
                <w:div w:id="2143889398">
                  <w:marLeft w:val="0"/>
                  <w:marRight w:val="0"/>
                  <w:marTop w:val="0"/>
                  <w:marBottom w:val="0"/>
                  <w:divBdr>
                    <w:top w:val="none" w:sz="0" w:space="0" w:color="auto"/>
                    <w:left w:val="none" w:sz="0" w:space="0" w:color="auto"/>
                    <w:bottom w:val="none" w:sz="0" w:space="0" w:color="auto"/>
                    <w:right w:val="none" w:sz="0" w:space="0" w:color="auto"/>
                  </w:divBdr>
                  <w:divsChild>
                    <w:div w:id="11070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3133">
      <w:bodyDiv w:val="1"/>
      <w:marLeft w:val="0"/>
      <w:marRight w:val="0"/>
      <w:marTop w:val="0"/>
      <w:marBottom w:val="0"/>
      <w:divBdr>
        <w:top w:val="none" w:sz="0" w:space="0" w:color="auto"/>
        <w:left w:val="none" w:sz="0" w:space="0" w:color="auto"/>
        <w:bottom w:val="none" w:sz="0" w:space="0" w:color="auto"/>
        <w:right w:val="none" w:sz="0" w:space="0" w:color="auto"/>
      </w:divBdr>
    </w:div>
    <w:div w:id="2024504048">
      <w:bodyDiv w:val="1"/>
      <w:marLeft w:val="0"/>
      <w:marRight w:val="0"/>
      <w:marTop w:val="0"/>
      <w:marBottom w:val="0"/>
      <w:divBdr>
        <w:top w:val="none" w:sz="0" w:space="0" w:color="auto"/>
        <w:left w:val="none" w:sz="0" w:space="0" w:color="auto"/>
        <w:bottom w:val="none" w:sz="0" w:space="0" w:color="auto"/>
        <w:right w:val="none" w:sz="0" w:space="0" w:color="auto"/>
      </w:divBdr>
      <w:divsChild>
        <w:div w:id="1592199996">
          <w:marLeft w:val="0"/>
          <w:marRight w:val="0"/>
          <w:marTop w:val="0"/>
          <w:marBottom w:val="0"/>
          <w:divBdr>
            <w:top w:val="none" w:sz="0" w:space="0" w:color="auto"/>
            <w:left w:val="none" w:sz="0" w:space="0" w:color="auto"/>
            <w:bottom w:val="none" w:sz="0" w:space="0" w:color="auto"/>
            <w:right w:val="none" w:sz="0" w:space="0" w:color="auto"/>
          </w:divBdr>
        </w:div>
      </w:divsChild>
    </w:div>
    <w:div w:id="2030911372">
      <w:bodyDiv w:val="1"/>
      <w:marLeft w:val="0"/>
      <w:marRight w:val="0"/>
      <w:marTop w:val="0"/>
      <w:marBottom w:val="0"/>
      <w:divBdr>
        <w:top w:val="none" w:sz="0" w:space="0" w:color="auto"/>
        <w:left w:val="none" w:sz="0" w:space="0" w:color="auto"/>
        <w:bottom w:val="none" w:sz="0" w:space="0" w:color="auto"/>
        <w:right w:val="none" w:sz="0" w:space="0" w:color="auto"/>
      </w:divBdr>
      <w:divsChild>
        <w:div w:id="2093502339">
          <w:marLeft w:val="0"/>
          <w:marRight w:val="0"/>
          <w:marTop w:val="0"/>
          <w:marBottom w:val="0"/>
          <w:divBdr>
            <w:top w:val="none" w:sz="0" w:space="0" w:color="auto"/>
            <w:left w:val="none" w:sz="0" w:space="0" w:color="auto"/>
            <w:bottom w:val="none" w:sz="0" w:space="0" w:color="auto"/>
            <w:right w:val="none" w:sz="0" w:space="0" w:color="auto"/>
          </w:divBdr>
        </w:div>
      </w:divsChild>
    </w:div>
    <w:div w:id="2118986048">
      <w:bodyDiv w:val="1"/>
      <w:marLeft w:val="0"/>
      <w:marRight w:val="0"/>
      <w:marTop w:val="0"/>
      <w:marBottom w:val="0"/>
      <w:divBdr>
        <w:top w:val="none" w:sz="0" w:space="0" w:color="auto"/>
        <w:left w:val="none" w:sz="0" w:space="0" w:color="auto"/>
        <w:bottom w:val="none" w:sz="0" w:space="0" w:color="auto"/>
        <w:right w:val="none" w:sz="0" w:space="0" w:color="auto"/>
      </w:divBdr>
      <w:divsChild>
        <w:div w:id="1510291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chart" Target="charts/chart1.xml"/><Relationship Id="rId42" Type="http://schemas.openxmlformats.org/officeDocument/2006/relationships/header" Target="header12.xml"/><Relationship Id="rId47" Type="http://schemas.openxmlformats.org/officeDocument/2006/relationships/header" Target="header14.xml"/><Relationship Id="rId63" Type="http://schemas.openxmlformats.org/officeDocument/2006/relationships/hyperlink" Target="https://www.doe.mass.edu/instruction/curate/default.html" TargetMode="External"/><Relationship Id="rId68" Type="http://schemas.openxmlformats.org/officeDocument/2006/relationships/hyperlink" Target="https://www.doe.mass.edu/edeffectiveness/talent-guide/default.html" TargetMode="External"/><Relationship Id="rId84" Type="http://schemas.openxmlformats.org/officeDocument/2006/relationships/header" Target="header21.xml"/><Relationship Id="rId89" Type="http://schemas.openxmlformats.org/officeDocument/2006/relationships/hyperlink" Target="https://www.doe.mass.edu/finance/chapter70/default.html" TargetMode="External"/><Relationship Id="rId16" Type="http://schemas.openxmlformats.org/officeDocument/2006/relationships/image" Target="media/image4.jpeg"/><Relationship Id="rId11" Type="http://schemas.openxmlformats.org/officeDocument/2006/relationships/hyperlink" Target="http://www.doe.mass.edu" TargetMode="External"/><Relationship Id="rId32" Type="http://schemas.openxmlformats.org/officeDocument/2006/relationships/header" Target="header6.xml"/><Relationship Id="rId37" Type="http://schemas.openxmlformats.org/officeDocument/2006/relationships/footer" Target="footer6.xml"/><Relationship Id="rId53" Type="http://schemas.openxmlformats.org/officeDocument/2006/relationships/header" Target="header17.xml"/><Relationship Id="rId58" Type="http://schemas.openxmlformats.org/officeDocument/2006/relationships/hyperlink" Target="https://www.doe.mass.edu/ele/families/elpac/" TargetMode="External"/><Relationship Id="rId74" Type="http://schemas.openxmlformats.org/officeDocument/2006/relationships/hyperlink" Target="https://www.doe.mass.edu/sfs/?section=family" TargetMode="External"/><Relationship Id="rId79" Type="http://schemas.openxmlformats.org/officeDocument/2006/relationships/hyperlink" Target="https://www.doe.mass.edu/sfs/lgbtq/" TargetMode="External"/><Relationship Id="rId102" Type="http://schemas.openxmlformats.org/officeDocument/2006/relationships/header" Target="header31.xml"/><Relationship Id="rId5" Type="http://schemas.openxmlformats.org/officeDocument/2006/relationships/numbering" Target="numbering.xml"/><Relationship Id="rId90" Type="http://schemas.openxmlformats.org/officeDocument/2006/relationships/hyperlink" Target="https://www.doe.mass.edu/research/radar/default.html" TargetMode="External"/><Relationship Id="rId95" Type="http://schemas.openxmlformats.org/officeDocument/2006/relationships/header" Target="header26.xml"/><Relationship Id="rId22" Type="http://schemas.openxmlformats.org/officeDocument/2006/relationships/chart" Target="charts/chart2.xml"/><Relationship Id="rId27" Type="http://schemas.openxmlformats.org/officeDocument/2006/relationships/header" Target="header3.xml"/><Relationship Id="rId43" Type="http://schemas.openxmlformats.org/officeDocument/2006/relationships/footer" Target="footer7.xml"/><Relationship Id="rId48" Type="http://schemas.openxmlformats.org/officeDocument/2006/relationships/header" Target="header15.xml"/><Relationship Id="rId64" Type="http://schemas.openxmlformats.org/officeDocument/2006/relationships/hyperlink" Target="https://www.doe.mass.edu/instruction/culturally-sustaining/default.html" TargetMode="External"/><Relationship Id="rId69" Type="http://schemas.openxmlformats.org/officeDocument/2006/relationships/hyperlink" Target="https://plpartnerguide.org/" TargetMode="External"/><Relationship Id="rId80" Type="http://schemas.openxmlformats.org/officeDocument/2006/relationships/hyperlink" Target="https://www.doe.mass.edu/sfs/bullying/default.html" TargetMode="External"/><Relationship Id="rId85" Type="http://schemas.openxmlformats.org/officeDocument/2006/relationships/footer" Target="footer11.xml"/><Relationship Id="rId12" Type="http://schemas.openxmlformats.org/officeDocument/2006/relationships/hyperlink" Target="http://www.air.org" TargetMode="External"/><Relationship Id="rId17" Type="http://schemas.openxmlformats.org/officeDocument/2006/relationships/header" Target="header1.xml"/><Relationship Id="rId25" Type="http://schemas.openxmlformats.org/officeDocument/2006/relationships/chart" Target="charts/chart5.xml"/><Relationship Id="rId33" Type="http://schemas.openxmlformats.org/officeDocument/2006/relationships/footer" Target="footer5.xml"/><Relationship Id="rId38" Type="http://schemas.openxmlformats.org/officeDocument/2006/relationships/header" Target="header10.xml"/><Relationship Id="rId46" Type="http://schemas.openxmlformats.org/officeDocument/2006/relationships/hyperlink" Target="http://www.air.org" TargetMode="External"/><Relationship Id="rId59" Type="http://schemas.openxmlformats.org/officeDocument/2006/relationships/hyperlink" Target="https://www.doe.mass.edu/csdp/guidebook/coherence-guidebook.pdf" TargetMode="External"/><Relationship Id="rId67" Type="http://schemas.openxmlformats.org/officeDocument/2006/relationships/hyperlink" Target="https://www.doe.mass.edu/edeffectiveness/mentor/principal.html" TargetMode="External"/><Relationship Id="rId103" Type="http://schemas.openxmlformats.org/officeDocument/2006/relationships/fontTable" Target="fontTable.xml"/><Relationship Id="rId20" Type="http://schemas.openxmlformats.org/officeDocument/2006/relationships/hyperlink" Target="https://www.census.gov/quickfacts/fact/table/brocktoncitymassachusetts,MA/POP715224" TargetMode="External"/><Relationship Id="rId41" Type="http://schemas.openxmlformats.org/officeDocument/2006/relationships/header" Target="header11.xml"/><Relationship Id="rId54" Type="http://schemas.openxmlformats.org/officeDocument/2006/relationships/header" Target="header18.xml"/><Relationship Id="rId62" Type="http://schemas.openxmlformats.org/officeDocument/2006/relationships/hyperlink" Target="https://www.doe.mass.edu/instruction/impd/implement-ma.html" TargetMode="External"/><Relationship Id="rId70" Type="http://schemas.openxmlformats.org/officeDocument/2006/relationships/hyperlink" Target="https://www.doe.mass.edu/ele/prof-learning/wida/default.html" TargetMode="External"/><Relationship Id="rId75" Type="http://schemas.openxmlformats.org/officeDocument/2006/relationships/hyperlink" Target="https://www.doe.mass.edu/language-access/interpreters/default.html" TargetMode="External"/><Relationship Id="rId83" Type="http://schemas.openxmlformats.org/officeDocument/2006/relationships/header" Target="header20.xml"/><Relationship Id="rId88" Type="http://schemas.openxmlformats.org/officeDocument/2006/relationships/hyperlink" Target="https://www.doe.mass.edu/research/radar/default.html" TargetMode="External"/><Relationship Id="rId91" Type="http://schemas.openxmlformats.org/officeDocument/2006/relationships/header" Target="header23.xml"/><Relationship Id="rId96"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chart" Target="charts/chart3.xml"/><Relationship Id="rId28" Type="http://schemas.openxmlformats.org/officeDocument/2006/relationships/footer" Target="footer3.xml"/><Relationship Id="rId36" Type="http://schemas.openxmlformats.org/officeDocument/2006/relationships/header" Target="header9.xml"/><Relationship Id="rId49" Type="http://schemas.openxmlformats.org/officeDocument/2006/relationships/footer" Target="footer8.xml"/><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eader" Target="header5.xml"/><Relationship Id="rId44" Type="http://schemas.openxmlformats.org/officeDocument/2006/relationships/header" Target="header13.xml"/><Relationship Id="rId52" Type="http://schemas.openxmlformats.org/officeDocument/2006/relationships/hyperlink" Target="http://metproject.org/resources/CLASS_10_29_10.pdf" TargetMode="External"/><Relationship Id="rId60" Type="http://schemas.openxmlformats.org/officeDocument/2006/relationships/hyperlink" Target="https://www.doe.mass.edu/instruction/impd/default.html" TargetMode="External"/><Relationship Id="rId65" Type="http://schemas.openxmlformats.org/officeDocument/2006/relationships/hyperlink" Target="https://www.doe.mass.edu/edeval/implementation/default.html" TargetMode="External"/><Relationship Id="rId73" Type="http://schemas.openxmlformats.org/officeDocument/2006/relationships/hyperlink" Target="https://www.doe.mass.edu/ele/resources/immigrant-refugee.html" TargetMode="External"/><Relationship Id="rId78" Type="http://schemas.openxmlformats.org/officeDocument/2006/relationships/hyperlink" Target="https://www.sassma.org/" TargetMode="External"/><Relationship Id="rId81" Type="http://schemas.openxmlformats.org/officeDocument/2006/relationships/hyperlink" Target="https://www.doe.mass.edu/sfs/discipline/" TargetMode="External"/><Relationship Id="rId86" Type="http://schemas.openxmlformats.org/officeDocument/2006/relationships/header" Target="header22.xml"/><Relationship Id="rId94" Type="http://schemas.openxmlformats.org/officeDocument/2006/relationships/header" Target="header25.xml"/><Relationship Id="rId99" Type="http://schemas.openxmlformats.org/officeDocument/2006/relationships/header" Target="header29.xml"/><Relationship Id="rId10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oter" Target="footer1.xml"/><Relationship Id="rId39" Type="http://schemas.openxmlformats.org/officeDocument/2006/relationships/image" Target="media/image5.png"/><Relationship Id="rId34" Type="http://schemas.openxmlformats.org/officeDocument/2006/relationships/header" Target="header7.xml"/><Relationship Id="rId50" Type="http://schemas.openxmlformats.org/officeDocument/2006/relationships/header" Target="header16.xml"/><Relationship Id="rId55" Type="http://schemas.openxmlformats.org/officeDocument/2006/relationships/footer" Target="footer9.xml"/><Relationship Id="rId76" Type="http://schemas.openxmlformats.org/officeDocument/2006/relationships/hyperlink" Target="https://www.doe.mass.edu/sfss/mtss/" TargetMode="External"/><Relationship Id="rId97" Type="http://schemas.openxmlformats.org/officeDocument/2006/relationships/footer" Target="footer14.xm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doe.mass.edu/sfs/edstability.html" TargetMode="External"/><Relationship Id="rId92" Type="http://schemas.openxmlformats.org/officeDocument/2006/relationships/header" Target="header24.xml"/><Relationship Id="rId2" Type="http://schemas.openxmlformats.org/officeDocument/2006/relationships/customXml" Target="../customXml/item2.xml"/><Relationship Id="rId29" Type="http://schemas.openxmlformats.org/officeDocument/2006/relationships/header" Target="header4.xml"/><Relationship Id="rId24" Type="http://schemas.openxmlformats.org/officeDocument/2006/relationships/chart" Target="charts/chart4.xml"/><Relationship Id="rId40" Type="http://schemas.openxmlformats.org/officeDocument/2006/relationships/image" Target="media/image6.png"/><Relationship Id="rId45" Type="http://schemas.openxmlformats.org/officeDocument/2006/relationships/image" Target="media/image7.png"/><Relationship Id="rId66" Type="http://schemas.openxmlformats.org/officeDocument/2006/relationships/hyperlink" Target="https://www.doe.mass.edu/edeffectiveness/mentor/default.html" TargetMode="External"/><Relationship Id="rId87" Type="http://schemas.openxmlformats.org/officeDocument/2006/relationships/footer" Target="footer12.xml"/><Relationship Id="rId61" Type="http://schemas.openxmlformats.org/officeDocument/2006/relationships/hyperlink" Target="https://www.doe.mass.edu/frameworks/current.html" TargetMode="External"/><Relationship Id="rId82" Type="http://schemas.openxmlformats.org/officeDocument/2006/relationships/hyperlink" Target="https://www.doe.mass.edu/sac/" TargetMode="External"/><Relationship Id="rId19" Type="http://schemas.openxmlformats.org/officeDocument/2006/relationships/footer" Target="footer2.xml"/><Relationship Id="rId14" Type="http://schemas.openxmlformats.org/officeDocument/2006/relationships/image" Target="media/image2.png"/><Relationship Id="rId30" Type="http://schemas.openxmlformats.org/officeDocument/2006/relationships/footer" Target="footer4.xml"/><Relationship Id="rId35" Type="http://schemas.openxmlformats.org/officeDocument/2006/relationships/header" Target="header8.xml"/><Relationship Id="rId56" Type="http://schemas.openxmlformats.org/officeDocument/2006/relationships/header" Target="header19.xml"/><Relationship Id="rId77" Type="http://schemas.openxmlformats.org/officeDocument/2006/relationships/hyperlink" Target="https://matoolsforschools.com/" TargetMode="External"/><Relationship Id="rId100" Type="http://schemas.openxmlformats.org/officeDocument/2006/relationships/header" Target="header30.xml"/><Relationship Id="rId8" Type="http://schemas.openxmlformats.org/officeDocument/2006/relationships/webSettings" Target="webSettings.xml"/><Relationship Id="rId51" Type="http://schemas.openxmlformats.org/officeDocument/2006/relationships/hyperlink" Target="http://www.teachstone.com/wp-content/uploads/2011/05/class-mtp-pk-12-brief.pdf" TargetMode="External"/><Relationship Id="rId72" Type="http://schemas.openxmlformats.org/officeDocument/2006/relationships/hyperlink" Target="https://www.doe.mass.edu/ele/slife/default.html" TargetMode="External"/><Relationship Id="rId93" Type="http://schemas.openxmlformats.org/officeDocument/2006/relationships/footer" Target="footer13.xml"/><Relationship Id="rId98" Type="http://schemas.openxmlformats.org/officeDocument/2006/relationships/header" Target="header2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doe.mass.edu/research/radar/" TargetMode="External"/><Relationship Id="rId2" Type="http://schemas.openxmlformats.org/officeDocument/2006/relationships/hyperlink" Target="https://teachstone.com/class/" TargetMode="External"/><Relationship Id="rId1" Type="http://schemas.openxmlformats.org/officeDocument/2006/relationships/hyperlink" Target="http://www.doe.mass.edu/accountability/district-review/district-standards-indicators.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Brockton/Brockton%20DR%20Profile%20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Brockton/Brockton%20DR%20Profile%20Figu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Brockton/Brockton%20DR%20Profile%20Figur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Brockton/Brockton%20DR%20Profile%20Figu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Brockton/Brockton%20DR%20Profile%20Figure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'Figure 1a'!$B$1</c:f>
              <c:strCache>
                <c:ptCount val="1"/>
                <c:pt idx="0">
                  <c:v>Percent</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E18D-4F6C-8B7C-9D84E3E69682}"/>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E18D-4F6C-8B7C-9D84E3E69682}"/>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E18D-4F6C-8B7C-9D84E3E69682}"/>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E18D-4F6C-8B7C-9D84E3E69682}"/>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E18D-4F6C-8B7C-9D84E3E69682}"/>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3-E18D-4F6C-8B7C-9D84E3E69682}"/>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7-E18D-4F6C-8B7C-9D84E3E69682}"/>
                </c:ext>
              </c:extLst>
            </c:dLbl>
            <c:dLbl>
              <c:idx val="4"/>
              <c:layout>
                <c:manualLayout>
                  <c:x val="1.8792937307740256E-2"/>
                  <c:y val="1.3242662848962062E-3"/>
                </c:manualLayout>
              </c:layout>
              <c:spPr>
                <a:noFill/>
                <a:ln>
                  <a:noFill/>
                </a:ln>
                <a:effectLst/>
              </c:spPr>
              <c:txPr>
                <a:bodyPr rot="0" spcFirstLastPara="1" vertOverflow="overflow" horzOverflow="overflow" vert="horz" wrap="square" lIns="36576" tIns="18288" rIns="36576" bIns="18288"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9-E18D-4F6C-8B7C-9D84E3E696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1a'!$A$2:$A$6</c:f>
              <c:strCache>
                <c:ptCount val="5"/>
                <c:pt idx="0">
                  <c:v>Hispanic or Latino</c:v>
                </c:pt>
                <c:pt idx="1">
                  <c:v>Black or African American</c:v>
                </c:pt>
                <c:pt idx="2">
                  <c:v>White</c:v>
                </c:pt>
                <c:pt idx="3">
                  <c:v>Asian</c:v>
                </c:pt>
                <c:pt idx="4">
                  <c:v>Multi-Race, Not Hispanic or Latino</c:v>
                </c:pt>
              </c:strCache>
            </c:strRef>
          </c:cat>
          <c:val>
            <c:numRef>
              <c:f>'Figure 1a'!$B$2:$B$6</c:f>
              <c:numCache>
                <c:formatCode>0%</c:formatCode>
                <c:ptCount val="5"/>
                <c:pt idx="0">
                  <c:v>0.218</c:v>
                </c:pt>
                <c:pt idx="1">
                  <c:v>0.62</c:v>
                </c:pt>
                <c:pt idx="2">
                  <c:v>0.1</c:v>
                </c:pt>
                <c:pt idx="3">
                  <c:v>1.2999999999999999E-2</c:v>
                </c:pt>
                <c:pt idx="4">
                  <c:v>4.3999999999999997E-2</c:v>
                </c:pt>
              </c:numCache>
            </c:numRef>
          </c:val>
          <c:extLst>
            <c:ext xmlns:c16="http://schemas.microsoft.com/office/drawing/2014/chart" uri="{C3380CC4-5D6E-409C-BE32-E72D297353CC}">
              <c16:uniqueId val="{0000000A-E18D-4F6C-8B7C-9D84E3E6968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636854768153986"/>
          <c:y val="0.1822889326334208"/>
          <c:w val="0.31696478565179353"/>
          <c:h val="0.64236657917760276"/>
        </c:manualLayout>
      </c:layout>
      <c:overlay val="0"/>
      <c:spPr>
        <a:solidFill>
          <a:srgbClr val="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2 (new)'!$B$1</c:f>
              <c:strCache>
                <c:ptCount val="1"/>
                <c:pt idx="0">
                  <c:v>Brockton</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 (new)'!$A$2:$A$6</c:f>
              <c:strCache>
                <c:ptCount val="5"/>
                <c:pt idx="0">
                  <c:v>High Needs</c:v>
                </c:pt>
                <c:pt idx="1">
                  <c:v>English Learners</c:v>
                </c:pt>
                <c:pt idx="2">
                  <c:v>First Language Not English</c:v>
                </c:pt>
                <c:pt idx="3">
                  <c:v>Low Income</c:v>
                </c:pt>
                <c:pt idx="4">
                  <c:v>Students With Disabilities</c:v>
                </c:pt>
              </c:strCache>
            </c:strRef>
          </c:cat>
          <c:val>
            <c:numRef>
              <c:f>'Figure 2 (new)'!$B$2:$B$6</c:f>
              <c:numCache>
                <c:formatCode>0%</c:formatCode>
                <c:ptCount val="5"/>
                <c:pt idx="0">
                  <c:v>0.83599999999999997</c:v>
                </c:pt>
                <c:pt idx="1">
                  <c:v>0.34200000000000003</c:v>
                </c:pt>
                <c:pt idx="2">
                  <c:v>0.53400000000000003</c:v>
                </c:pt>
                <c:pt idx="3">
                  <c:v>0.72299999999999998</c:v>
                </c:pt>
                <c:pt idx="4">
                  <c:v>0.22</c:v>
                </c:pt>
              </c:numCache>
            </c:numRef>
          </c:val>
          <c:extLst>
            <c:ext xmlns:c16="http://schemas.microsoft.com/office/drawing/2014/chart" uri="{C3380CC4-5D6E-409C-BE32-E72D297353CC}">
              <c16:uniqueId val="{00000000-C613-4348-90FD-FDF63495C24B}"/>
            </c:ext>
          </c:extLst>
        </c:ser>
        <c:ser>
          <c:idx val="1"/>
          <c:order val="1"/>
          <c:tx>
            <c:strRef>
              <c:f>'Figure 2 (new)'!$C$1</c:f>
              <c:strCache>
                <c:ptCount val="1"/>
                <c:pt idx="0">
                  <c:v>State</c:v>
                </c:pt>
              </c:strCache>
            </c:strRef>
          </c:tx>
          <c:spPr>
            <a:solidFill>
              <a:srgbClr val="E9713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 (new)'!$A$2:$A$6</c:f>
              <c:strCache>
                <c:ptCount val="5"/>
                <c:pt idx="0">
                  <c:v>High Needs</c:v>
                </c:pt>
                <c:pt idx="1">
                  <c:v>English Learners</c:v>
                </c:pt>
                <c:pt idx="2">
                  <c:v>First Language Not English</c:v>
                </c:pt>
                <c:pt idx="3">
                  <c:v>Low Income</c:v>
                </c:pt>
                <c:pt idx="4">
                  <c:v>Students With Disabilities</c:v>
                </c:pt>
              </c:strCache>
            </c:strRef>
          </c:cat>
          <c:val>
            <c:numRef>
              <c:f>'Figure 2 (new)'!$C$2:$C$6</c:f>
              <c:numCache>
                <c:formatCode>0%</c:formatCode>
                <c:ptCount val="5"/>
                <c:pt idx="0">
                  <c:v>0.55400000000000005</c:v>
                </c:pt>
                <c:pt idx="1">
                  <c:v>0.13400000000000001</c:v>
                </c:pt>
                <c:pt idx="2">
                  <c:v>0.27300000000000002</c:v>
                </c:pt>
                <c:pt idx="3">
                  <c:v>0.41099999999999998</c:v>
                </c:pt>
                <c:pt idx="4">
                  <c:v>0.21099999999999999</c:v>
                </c:pt>
              </c:numCache>
            </c:numRef>
          </c:val>
          <c:extLst>
            <c:ext xmlns:c16="http://schemas.microsoft.com/office/drawing/2014/chart" uri="{C3380CC4-5D6E-409C-BE32-E72D297353CC}">
              <c16:uniqueId val="{00000001-C613-4348-90FD-FDF63495C24B}"/>
            </c:ext>
          </c:extLst>
        </c:ser>
        <c:dLbls>
          <c:showLegendKey val="0"/>
          <c:showVal val="0"/>
          <c:showCatName val="0"/>
          <c:showSerName val="0"/>
          <c:showPercent val="0"/>
          <c:showBubbleSize val="0"/>
        </c:dLbls>
        <c:gapWidth val="219"/>
        <c:overlap val="-27"/>
        <c:axId val="553352711"/>
        <c:axId val="553375239"/>
      </c:barChart>
      <c:catAx>
        <c:axId val="553352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75239"/>
        <c:crosses val="autoZero"/>
        <c:auto val="1"/>
        <c:lblAlgn val="ctr"/>
        <c:lblOffset val="100"/>
        <c:noMultiLvlLbl val="0"/>
      </c:catAx>
      <c:valAx>
        <c:axId val="553375239"/>
        <c:scaling>
          <c:orientation val="minMax"/>
          <c:max val="0.9"/>
        </c:scaling>
        <c:delete val="0"/>
        <c:axPos val="l"/>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52711"/>
        <c:crosses val="autoZero"/>
        <c:crossBetween val="between"/>
        <c:minorUnit val="0.02"/>
      </c:valAx>
      <c:spPr>
        <a:noFill/>
        <a:ln>
          <a:noFill/>
        </a:ln>
        <a:effectLst/>
      </c:spPr>
    </c:plotArea>
    <c:legend>
      <c:legendPos val="r"/>
      <c:layout>
        <c:manualLayout>
          <c:xMode val="edge"/>
          <c:yMode val="edge"/>
          <c:x val="0.83268963254593176"/>
          <c:y val="0.42187445319335082"/>
          <c:w val="0.14856036745406825"/>
          <c:h val="0.15625109361329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3'!$B$1</c:f>
              <c:strCache>
                <c:ptCount val="1"/>
                <c:pt idx="0">
                  <c:v>Brockton</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3'!$A$2:$A$7</c:f>
              <c:strCache>
                <c:ptCount val="6"/>
                <c:pt idx="0">
                  <c:v>Grade 3-8 (ELA)</c:v>
                </c:pt>
                <c:pt idx="1">
                  <c:v>Grades 3-8 (Math)</c:v>
                </c:pt>
                <c:pt idx="2">
                  <c:v>Grades 5&amp;8 (Science)</c:v>
                </c:pt>
                <c:pt idx="3">
                  <c:v>Grade 10 (ELA)</c:v>
                </c:pt>
                <c:pt idx="4">
                  <c:v>Grade 10 (Math)</c:v>
                </c:pt>
                <c:pt idx="5">
                  <c:v>Grade 10 (Science)</c:v>
                </c:pt>
              </c:strCache>
            </c:strRef>
          </c:cat>
          <c:val>
            <c:numRef>
              <c:f>'Figure 3'!$B$2:$B$7</c:f>
              <c:numCache>
                <c:formatCode>0%</c:formatCode>
                <c:ptCount val="6"/>
                <c:pt idx="0">
                  <c:v>0.21</c:v>
                </c:pt>
                <c:pt idx="1">
                  <c:v>0.19</c:v>
                </c:pt>
                <c:pt idx="2">
                  <c:v>0.18</c:v>
                </c:pt>
                <c:pt idx="3">
                  <c:v>0.28999999999999998</c:v>
                </c:pt>
                <c:pt idx="4">
                  <c:v>0.18</c:v>
                </c:pt>
                <c:pt idx="5">
                  <c:v>0.19</c:v>
                </c:pt>
              </c:numCache>
            </c:numRef>
          </c:val>
          <c:extLst>
            <c:ext xmlns:c16="http://schemas.microsoft.com/office/drawing/2014/chart" uri="{C3380CC4-5D6E-409C-BE32-E72D297353CC}">
              <c16:uniqueId val="{00000000-93BF-43F8-AE69-660034A24414}"/>
            </c:ext>
          </c:extLst>
        </c:ser>
        <c:ser>
          <c:idx val="1"/>
          <c:order val="1"/>
          <c:tx>
            <c:strRef>
              <c:f>'Figure 3'!$C$1</c:f>
              <c:strCache>
                <c:ptCount val="1"/>
                <c:pt idx="0">
                  <c:v>State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3'!$A$2:$A$7</c:f>
              <c:strCache>
                <c:ptCount val="6"/>
                <c:pt idx="0">
                  <c:v>Grade 3-8 (ELA)</c:v>
                </c:pt>
                <c:pt idx="1">
                  <c:v>Grades 3-8 (Math)</c:v>
                </c:pt>
                <c:pt idx="2">
                  <c:v>Grades 5&amp;8 (Science)</c:v>
                </c:pt>
                <c:pt idx="3">
                  <c:v>Grade 10 (ELA)</c:v>
                </c:pt>
                <c:pt idx="4">
                  <c:v>Grade 10 (Math)</c:v>
                </c:pt>
                <c:pt idx="5">
                  <c:v>Grade 10 (Science)</c:v>
                </c:pt>
              </c:strCache>
            </c:strRef>
          </c:cat>
          <c:val>
            <c:numRef>
              <c:f>'Figure 3'!$C$2:$C$7</c:f>
              <c:numCache>
                <c:formatCode>0%</c:formatCode>
                <c:ptCount val="6"/>
                <c:pt idx="0">
                  <c:v>0.42</c:v>
                </c:pt>
                <c:pt idx="1">
                  <c:v>0.41</c:v>
                </c:pt>
                <c:pt idx="2">
                  <c:v>0.42</c:v>
                </c:pt>
                <c:pt idx="3">
                  <c:v>0.51</c:v>
                </c:pt>
                <c:pt idx="4">
                  <c:v>0.45</c:v>
                </c:pt>
                <c:pt idx="5">
                  <c:v>0.46</c:v>
                </c:pt>
              </c:numCache>
            </c:numRef>
          </c:val>
          <c:extLst>
            <c:ext xmlns:c16="http://schemas.microsoft.com/office/drawing/2014/chart" uri="{C3380CC4-5D6E-409C-BE32-E72D297353CC}">
              <c16:uniqueId val="{00000001-93BF-43F8-AE69-660034A24414}"/>
            </c:ext>
          </c:extLst>
        </c:ser>
        <c:dLbls>
          <c:dLblPos val="outEnd"/>
          <c:showLegendKey val="0"/>
          <c:showVal val="1"/>
          <c:showCatName val="0"/>
          <c:showSerName val="0"/>
          <c:showPercent val="0"/>
          <c:showBubbleSize val="0"/>
        </c:dLbls>
        <c:gapWidth val="219"/>
        <c:overlap val="-27"/>
        <c:axId val="702160272"/>
        <c:axId val="702164592"/>
      </c:barChart>
      <c:catAx>
        <c:axId val="70216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164592"/>
        <c:crosses val="autoZero"/>
        <c:auto val="1"/>
        <c:lblAlgn val="ctr"/>
        <c:lblOffset val="100"/>
        <c:noMultiLvlLbl val="0"/>
      </c:catAx>
      <c:valAx>
        <c:axId val="702164592"/>
        <c:scaling>
          <c:orientation val="minMax"/>
        </c:scaling>
        <c:delete val="1"/>
        <c:axPos val="l"/>
        <c:numFmt formatCode="0%" sourceLinked="1"/>
        <c:majorTickMark val="none"/>
        <c:minorTickMark val="none"/>
        <c:tickLblPos val="nextTo"/>
        <c:crossAx val="702160272"/>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4'!$B$1</c:f>
              <c:strCache>
                <c:ptCount val="1"/>
                <c:pt idx="0">
                  <c:v>Brockton</c:v>
                </c:pt>
              </c:strCache>
            </c:strRef>
          </c:tx>
          <c:spPr>
            <a:solidFill>
              <a:srgbClr val="00B0F0"/>
            </a:solidFill>
            <a:ln>
              <a:solidFill>
                <a:srgbClr val="00B0F0"/>
              </a:solidFill>
              <a:prstDash val="solid"/>
            </a:ln>
            <a:effectLst/>
          </c:spPr>
          <c:invertIfNegative val="0"/>
          <c:dLbls>
            <c:dLbl>
              <c:idx val="0"/>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269-4C30-BE69-723B5A554E50}"/>
                </c:ext>
              </c:extLst>
            </c:dLbl>
            <c:dLbl>
              <c:idx val="3"/>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269-4C30-BE69-723B5A554E50}"/>
                </c:ext>
              </c:extLst>
            </c:dLbl>
            <c:dLbl>
              <c:idx val="4"/>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269-4C30-BE69-723B5A554E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4'!$A$2:$A$7</c:f>
              <c:strCache>
                <c:ptCount val="6"/>
                <c:pt idx="0">
                  <c:v>Grade 3-8 (ELA)</c:v>
                </c:pt>
                <c:pt idx="1">
                  <c:v>Grades 3-8 (Math)</c:v>
                </c:pt>
                <c:pt idx="2">
                  <c:v>Grades 5&amp;8 (Science)</c:v>
                </c:pt>
                <c:pt idx="3">
                  <c:v>Grade 10 (ELA)</c:v>
                </c:pt>
                <c:pt idx="4">
                  <c:v>Grade 10 (Math)</c:v>
                </c:pt>
                <c:pt idx="5">
                  <c:v>Grade 10 (Science)</c:v>
                </c:pt>
              </c:strCache>
            </c:strRef>
          </c:cat>
          <c:val>
            <c:numRef>
              <c:f>'Figure 4'!$B$2:$B$7</c:f>
              <c:numCache>
                <c:formatCode>0%</c:formatCode>
                <c:ptCount val="6"/>
                <c:pt idx="0">
                  <c:v>0.16</c:v>
                </c:pt>
                <c:pt idx="1">
                  <c:v>0.15</c:v>
                </c:pt>
                <c:pt idx="2">
                  <c:v>0.15</c:v>
                </c:pt>
                <c:pt idx="3">
                  <c:v>0.22</c:v>
                </c:pt>
                <c:pt idx="4">
                  <c:v>0.15</c:v>
                </c:pt>
                <c:pt idx="5">
                  <c:v>0.13</c:v>
                </c:pt>
              </c:numCache>
            </c:numRef>
          </c:val>
          <c:extLst>
            <c:ext xmlns:c16="http://schemas.microsoft.com/office/drawing/2014/chart" uri="{C3380CC4-5D6E-409C-BE32-E72D297353CC}">
              <c16:uniqueId val="{00000000-9368-411B-B721-B8A08D382E71}"/>
            </c:ext>
          </c:extLst>
        </c:ser>
        <c:ser>
          <c:idx val="1"/>
          <c:order val="1"/>
          <c:tx>
            <c:strRef>
              <c:f>'Figure 4'!$C$1</c:f>
              <c:strCache>
                <c:ptCount val="1"/>
                <c:pt idx="0">
                  <c:v>State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4'!$A$2:$A$7</c:f>
              <c:strCache>
                <c:ptCount val="6"/>
                <c:pt idx="0">
                  <c:v>Grade 3-8 (ELA)</c:v>
                </c:pt>
                <c:pt idx="1">
                  <c:v>Grades 3-8 (Math)</c:v>
                </c:pt>
                <c:pt idx="2">
                  <c:v>Grades 5&amp;8 (Science)</c:v>
                </c:pt>
                <c:pt idx="3">
                  <c:v>Grade 10 (ELA)</c:v>
                </c:pt>
                <c:pt idx="4">
                  <c:v>Grade 10 (Math)</c:v>
                </c:pt>
                <c:pt idx="5">
                  <c:v>Grade 10 (Science)</c:v>
                </c:pt>
              </c:strCache>
            </c:strRef>
          </c:cat>
          <c:val>
            <c:numRef>
              <c:f>'Figure 4'!$C$2:$C$7</c:f>
              <c:numCache>
                <c:formatCode>0%</c:formatCode>
                <c:ptCount val="6"/>
                <c:pt idx="0">
                  <c:v>0.23</c:v>
                </c:pt>
                <c:pt idx="1">
                  <c:v>0.23</c:v>
                </c:pt>
                <c:pt idx="2">
                  <c:v>0.23</c:v>
                </c:pt>
                <c:pt idx="3">
                  <c:v>0.3</c:v>
                </c:pt>
                <c:pt idx="4">
                  <c:v>0.24</c:v>
                </c:pt>
                <c:pt idx="5">
                  <c:v>0.25</c:v>
                </c:pt>
              </c:numCache>
            </c:numRef>
          </c:val>
          <c:extLst>
            <c:ext xmlns:c16="http://schemas.microsoft.com/office/drawing/2014/chart" uri="{C3380CC4-5D6E-409C-BE32-E72D297353CC}">
              <c16:uniqueId val="{00000001-9368-411B-B721-B8A08D382E71}"/>
            </c:ext>
          </c:extLst>
        </c:ser>
        <c:dLbls>
          <c:dLblPos val="outEnd"/>
          <c:showLegendKey val="0"/>
          <c:showVal val="1"/>
          <c:showCatName val="0"/>
          <c:showSerName val="0"/>
          <c:showPercent val="0"/>
          <c:showBubbleSize val="0"/>
        </c:dLbls>
        <c:gapWidth val="219"/>
        <c:overlap val="-27"/>
        <c:axId val="1910934735"/>
        <c:axId val="1910932815"/>
      </c:barChart>
      <c:catAx>
        <c:axId val="191093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0932815"/>
        <c:crosses val="autoZero"/>
        <c:auto val="1"/>
        <c:lblAlgn val="ctr"/>
        <c:lblOffset val="100"/>
        <c:noMultiLvlLbl val="0"/>
      </c:catAx>
      <c:valAx>
        <c:axId val="1910932815"/>
        <c:scaling>
          <c:orientation val="minMax"/>
        </c:scaling>
        <c:delete val="1"/>
        <c:axPos val="l"/>
        <c:numFmt formatCode="0%" sourceLinked="1"/>
        <c:majorTickMark val="none"/>
        <c:minorTickMark val="none"/>
        <c:tickLblPos val="nextTo"/>
        <c:crossAx val="191093473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5'!$B$1</c:f>
              <c:strCache>
                <c:ptCount val="1"/>
                <c:pt idx="0">
                  <c:v>PK-5 Average </c:v>
                </c:pt>
              </c:strCache>
            </c:strRef>
          </c:tx>
          <c:spPr>
            <a:solidFill>
              <a:srgbClr val="00B0F0"/>
            </a:solidFill>
            <a:ln>
              <a:solidFill>
                <a:srgbClr val="00B0F0"/>
              </a:solidFill>
              <a:prstDash val="solid"/>
            </a:ln>
            <a:effectLst/>
          </c:spPr>
          <c:invertIfNegative val="0"/>
          <c:dLbls>
            <c:dLbl>
              <c:idx val="1"/>
              <c:tx>
                <c:rich>
                  <a:bodyPr/>
                  <a:lstStyle/>
                  <a:p>
                    <a:r>
                      <a:rPr lang="en-US"/>
                      <a:t>6.0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AE3-48BC-A848-07B9A7381F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5'!$B$2:$B$5</c:f>
              <c:numCache>
                <c:formatCode>General</c:formatCode>
                <c:ptCount val="4"/>
                <c:pt idx="0">
                  <c:v>5.2</c:v>
                </c:pt>
                <c:pt idx="1">
                  <c:v>6</c:v>
                </c:pt>
                <c:pt idx="2">
                  <c:v>3.1</c:v>
                </c:pt>
                <c:pt idx="3">
                  <c:v>5.5</c:v>
                </c:pt>
              </c:numCache>
            </c:numRef>
          </c:val>
          <c:extLst>
            <c:ext xmlns:c16="http://schemas.microsoft.com/office/drawing/2014/chart" uri="{C3380CC4-5D6E-409C-BE32-E72D297353CC}">
              <c16:uniqueId val="{00000000-BC69-46A3-82A6-2609581272FD}"/>
            </c:ext>
          </c:extLst>
        </c:ser>
        <c:ser>
          <c:idx val="1"/>
          <c:order val="1"/>
          <c:tx>
            <c:strRef>
              <c:f>'Figure 5'!$C$1</c:f>
              <c:strCache>
                <c:ptCount val="1"/>
                <c:pt idx="0">
                  <c:v>6-8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5'!$C$2:$C$5</c:f>
              <c:numCache>
                <c:formatCode>General</c:formatCode>
                <c:ptCount val="4"/>
                <c:pt idx="0">
                  <c:v>4.8</c:v>
                </c:pt>
                <c:pt idx="1">
                  <c:v>6.3</c:v>
                </c:pt>
                <c:pt idx="2">
                  <c:v>3.4</c:v>
                </c:pt>
                <c:pt idx="3">
                  <c:v>5.0999999999999996</c:v>
                </c:pt>
              </c:numCache>
            </c:numRef>
          </c:val>
          <c:extLst>
            <c:ext xmlns:c16="http://schemas.microsoft.com/office/drawing/2014/chart" uri="{C3380CC4-5D6E-409C-BE32-E72D297353CC}">
              <c16:uniqueId val="{00000001-BC69-46A3-82A6-2609581272FD}"/>
            </c:ext>
          </c:extLst>
        </c:ser>
        <c:ser>
          <c:idx val="2"/>
          <c:order val="2"/>
          <c:tx>
            <c:strRef>
              <c:f>'Figure 5'!$D$1</c:f>
              <c:strCache>
                <c:ptCount val="1"/>
                <c:pt idx="0">
                  <c:v>9-12 Average </c:v>
                </c:pt>
              </c:strCache>
            </c:strRef>
          </c:tx>
          <c:spPr>
            <a:solidFill>
              <a:srgbClr val="ADAD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5'!$D$2:$D$5</c:f>
              <c:numCache>
                <c:formatCode>General</c:formatCode>
                <c:ptCount val="4"/>
                <c:pt idx="0">
                  <c:v>4.7</c:v>
                </c:pt>
                <c:pt idx="1">
                  <c:v>6.2</c:v>
                </c:pt>
                <c:pt idx="2">
                  <c:v>3.6</c:v>
                </c:pt>
                <c:pt idx="3">
                  <c:v>4.8</c:v>
                </c:pt>
              </c:numCache>
            </c:numRef>
          </c:val>
          <c:extLst>
            <c:ext xmlns:c16="http://schemas.microsoft.com/office/drawing/2014/chart" uri="{C3380CC4-5D6E-409C-BE32-E72D297353CC}">
              <c16:uniqueId val="{00000002-BC69-46A3-82A6-2609581272FD}"/>
            </c:ext>
          </c:extLst>
        </c:ser>
        <c:dLbls>
          <c:dLblPos val="outEnd"/>
          <c:showLegendKey val="0"/>
          <c:showVal val="1"/>
          <c:showCatName val="0"/>
          <c:showSerName val="0"/>
          <c:showPercent val="0"/>
          <c:showBubbleSize val="0"/>
        </c:dLbls>
        <c:gapWidth val="219"/>
        <c:overlap val="-27"/>
        <c:axId val="1569284095"/>
        <c:axId val="1569284575"/>
      </c:barChart>
      <c:catAx>
        <c:axId val="15692840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Dimension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575"/>
        <c:crosses val="autoZero"/>
        <c:auto val="1"/>
        <c:lblAlgn val="ctr"/>
        <c:lblOffset val="100"/>
        <c:noMultiLvlLbl val="0"/>
      </c:catAx>
      <c:valAx>
        <c:axId val="1569284575"/>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095"/>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A ES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b45241-2e0a-4324-b6cd-9efd2f11b483">
      <Terms xmlns="http://schemas.microsoft.com/office/infopath/2007/PartnerControls"/>
    </lcf76f155ced4ddcb4097134ff3c332f>
    <TaxCatchAll xmlns="22602442-92ee-4d3a-8ce8-f0d739bf7d54" xsi:nil="true"/>
    <Lorraine_x0020_Test xmlns="68b45241-2e0a-4324-b6cd-9efd2f11b483">true</Lorraine_x0020_Test>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866D5547EFD1A4DBC9DB48B0354D5FD" ma:contentTypeVersion="19" ma:contentTypeDescription="Create a new document." ma:contentTypeScope="" ma:versionID="ec9039004e89dafd267f53496d2d0432">
  <xsd:schema xmlns:xsd="http://www.w3.org/2001/XMLSchema" xmlns:xs="http://www.w3.org/2001/XMLSchema" xmlns:p="http://schemas.microsoft.com/office/2006/metadata/properties" xmlns:ns2="68b45241-2e0a-4324-b6cd-9efd2f11b483" xmlns:ns3="22602442-92ee-4d3a-8ce8-f0d739bf7d54" targetNamespace="http://schemas.microsoft.com/office/2006/metadata/properties" ma:root="true" ma:fieldsID="05594490d14ebeb3142828cc4257cb49" ns2:_="" ns3:_="">
    <xsd:import namespace="68b45241-2e0a-4324-b6cd-9efd2f11b483"/>
    <xsd:import namespace="22602442-92ee-4d3a-8ce8-f0d739bf7d54"/>
    <xsd:element name="properties">
      <xsd:complexType>
        <xsd:sequence>
          <xsd:element name="documentManagement">
            <xsd:complexType>
              <xsd:all>
                <xsd:element ref="ns2:Lorraine_x0020_Test"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45241-2e0a-4324-b6cd-9efd2f11b483" elementFormDefault="qualified">
    <xsd:import namespace="http://schemas.microsoft.com/office/2006/documentManagement/types"/>
    <xsd:import namespace="http://schemas.microsoft.com/office/infopath/2007/PartnerControls"/>
    <xsd:element name="Lorraine_x0020_Test" ma:index="8" nillable="true" ma:displayName="Lorraine Test" ma:default="1" ma:description="say yes or no" ma:internalName="Lorraine_x0020_Test"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602442-92ee-4d3a-8ce8-f0d739bf7d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b6a1e5b-2d58-482d-a272-c66f84e62d3b}" ma:internalName="TaxCatchAll" ma:showField="CatchAllData" ma:web="22602442-92ee-4d3a-8ce8-f0d739bf7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BBA46-623E-4740-AAB6-01824C52AFD7}">
  <ds:schemaRefs>
    <ds:schemaRef ds:uri="http://schemas.microsoft.com/office/2006/metadata/properties"/>
    <ds:schemaRef ds:uri="http://schemas.microsoft.com/office/infopath/2007/PartnerControls"/>
    <ds:schemaRef ds:uri="68b45241-2e0a-4324-b6cd-9efd2f11b483"/>
    <ds:schemaRef ds:uri="22602442-92ee-4d3a-8ce8-f0d739bf7d54"/>
  </ds:schemaRefs>
</ds:datastoreItem>
</file>

<file path=customXml/itemProps2.xml><?xml version="1.0" encoding="utf-8"?>
<ds:datastoreItem xmlns:ds="http://schemas.openxmlformats.org/officeDocument/2006/customXml" ds:itemID="{5A530547-E219-4CA4-AC39-1FE3AB43296F}">
  <ds:schemaRefs>
    <ds:schemaRef ds:uri="http://schemas.openxmlformats.org/officeDocument/2006/bibliography"/>
  </ds:schemaRefs>
</ds:datastoreItem>
</file>

<file path=customXml/itemProps3.xml><?xml version="1.0" encoding="utf-8"?>
<ds:datastoreItem xmlns:ds="http://schemas.openxmlformats.org/officeDocument/2006/customXml" ds:itemID="{515EE8B9-8E13-46FC-9829-895BFC360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45241-2e0a-4324-b6cd-9efd2f11b483"/>
    <ds:schemaRef ds:uri="22602442-92ee-4d3a-8ce8-f0d739bf7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68E5E8-958F-48D8-B769-C97F3E1B872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62</TotalTime>
  <Pages>38</Pages>
  <Words>43700</Words>
  <Characters>249093</Characters>
  <Application>Microsoft Office Word</Application>
  <DocSecurity>0</DocSecurity>
  <Lines>2075</Lines>
  <Paragraphs>584</Paragraphs>
  <ScaleCrop>false</ScaleCrop>
  <HeadingPairs>
    <vt:vector size="2" baseType="variant">
      <vt:variant>
        <vt:lpstr>Title</vt:lpstr>
      </vt:variant>
      <vt:variant>
        <vt:i4>1</vt:i4>
      </vt:variant>
    </vt:vector>
  </HeadingPairs>
  <TitlesOfParts>
    <vt:vector size="1" baseType="lpstr">
      <vt:lpstr>Brockton Public Schools Comprehensive District Review Report 2026</vt:lpstr>
    </vt:vector>
  </TitlesOfParts>
  <Company/>
  <LinksUpToDate>false</LinksUpToDate>
  <CharactersWithSpaces>292209</CharactersWithSpaces>
  <SharedDoc>false</SharedDoc>
  <HLinks>
    <vt:vector size="708" baseType="variant">
      <vt:variant>
        <vt:i4>1376308</vt:i4>
      </vt:variant>
      <vt:variant>
        <vt:i4>509</vt:i4>
      </vt:variant>
      <vt:variant>
        <vt:i4>0</vt:i4>
      </vt:variant>
      <vt:variant>
        <vt:i4>5</vt:i4>
      </vt:variant>
      <vt:variant>
        <vt:lpwstr/>
      </vt:variant>
      <vt:variant>
        <vt:lpwstr>_Toc230970182</vt:lpwstr>
      </vt:variant>
      <vt:variant>
        <vt:i4>1376308</vt:i4>
      </vt:variant>
      <vt:variant>
        <vt:i4>503</vt:i4>
      </vt:variant>
      <vt:variant>
        <vt:i4>0</vt:i4>
      </vt:variant>
      <vt:variant>
        <vt:i4>5</vt:i4>
      </vt:variant>
      <vt:variant>
        <vt:lpwstr/>
      </vt:variant>
      <vt:variant>
        <vt:lpwstr>_Toc230970181</vt:lpwstr>
      </vt:variant>
      <vt:variant>
        <vt:i4>1376308</vt:i4>
      </vt:variant>
      <vt:variant>
        <vt:i4>497</vt:i4>
      </vt:variant>
      <vt:variant>
        <vt:i4>0</vt:i4>
      </vt:variant>
      <vt:variant>
        <vt:i4>5</vt:i4>
      </vt:variant>
      <vt:variant>
        <vt:lpwstr/>
      </vt:variant>
      <vt:variant>
        <vt:lpwstr>_Toc230970180</vt:lpwstr>
      </vt:variant>
      <vt:variant>
        <vt:i4>1703988</vt:i4>
      </vt:variant>
      <vt:variant>
        <vt:i4>491</vt:i4>
      </vt:variant>
      <vt:variant>
        <vt:i4>0</vt:i4>
      </vt:variant>
      <vt:variant>
        <vt:i4>5</vt:i4>
      </vt:variant>
      <vt:variant>
        <vt:lpwstr/>
      </vt:variant>
      <vt:variant>
        <vt:lpwstr>_Toc230970179</vt:lpwstr>
      </vt:variant>
      <vt:variant>
        <vt:i4>1703988</vt:i4>
      </vt:variant>
      <vt:variant>
        <vt:i4>485</vt:i4>
      </vt:variant>
      <vt:variant>
        <vt:i4>0</vt:i4>
      </vt:variant>
      <vt:variant>
        <vt:i4>5</vt:i4>
      </vt:variant>
      <vt:variant>
        <vt:lpwstr/>
      </vt:variant>
      <vt:variant>
        <vt:lpwstr>_Toc230970178</vt:lpwstr>
      </vt:variant>
      <vt:variant>
        <vt:i4>1703988</vt:i4>
      </vt:variant>
      <vt:variant>
        <vt:i4>479</vt:i4>
      </vt:variant>
      <vt:variant>
        <vt:i4>0</vt:i4>
      </vt:variant>
      <vt:variant>
        <vt:i4>5</vt:i4>
      </vt:variant>
      <vt:variant>
        <vt:lpwstr/>
      </vt:variant>
      <vt:variant>
        <vt:lpwstr>_Toc230970177</vt:lpwstr>
      </vt:variant>
      <vt:variant>
        <vt:i4>1703988</vt:i4>
      </vt:variant>
      <vt:variant>
        <vt:i4>473</vt:i4>
      </vt:variant>
      <vt:variant>
        <vt:i4>0</vt:i4>
      </vt:variant>
      <vt:variant>
        <vt:i4>5</vt:i4>
      </vt:variant>
      <vt:variant>
        <vt:lpwstr/>
      </vt:variant>
      <vt:variant>
        <vt:lpwstr>_Toc230970176</vt:lpwstr>
      </vt:variant>
      <vt:variant>
        <vt:i4>1703988</vt:i4>
      </vt:variant>
      <vt:variant>
        <vt:i4>467</vt:i4>
      </vt:variant>
      <vt:variant>
        <vt:i4>0</vt:i4>
      </vt:variant>
      <vt:variant>
        <vt:i4>5</vt:i4>
      </vt:variant>
      <vt:variant>
        <vt:lpwstr/>
      </vt:variant>
      <vt:variant>
        <vt:lpwstr>_Toc230970175</vt:lpwstr>
      </vt:variant>
      <vt:variant>
        <vt:i4>1703988</vt:i4>
      </vt:variant>
      <vt:variant>
        <vt:i4>461</vt:i4>
      </vt:variant>
      <vt:variant>
        <vt:i4>0</vt:i4>
      </vt:variant>
      <vt:variant>
        <vt:i4>5</vt:i4>
      </vt:variant>
      <vt:variant>
        <vt:lpwstr/>
      </vt:variant>
      <vt:variant>
        <vt:lpwstr>_Toc230970174</vt:lpwstr>
      </vt:variant>
      <vt:variant>
        <vt:i4>1703988</vt:i4>
      </vt:variant>
      <vt:variant>
        <vt:i4>455</vt:i4>
      </vt:variant>
      <vt:variant>
        <vt:i4>0</vt:i4>
      </vt:variant>
      <vt:variant>
        <vt:i4>5</vt:i4>
      </vt:variant>
      <vt:variant>
        <vt:lpwstr/>
      </vt:variant>
      <vt:variant>
        <vt:lpwstr>_Toc230970173</vt:lpwstr>
      </vt:variant>
      <vt:variant>
        <vt:i4>1703988</vt:i4>
      </vt:variant>
      <vt:variant>
        <vt:i4>449</vt:i4>
      </vt:variant>
      <vt:variant>
        <vt:i4>0</vt:i4>
      </vt:variant>
      <vt:variant>
        <vt:i4>5</vt:i4>
      </vt:variant>
      <vt:variant>
        <vt:lpwstr/>
      </vt:variant>
      <vt:variant>
        <vt:lpwstr>_Toc230970172</vt:lpwstr>
      </vt:variant>
      <vt:variant>
        <vt:i4>1703988</vt:i4>
      </vt:variant>
      <vt:variant>
        <vt:i4>443</vt:i4>
      </vt:variant>
      <vt:variant>
        <vt:i4>0</vt:i4>
      </vt:variant>
      <vt:variant>
        <vt:i4>5</vt:i4>
      </vt:variant>
      <vt:variant>
        <vt:lpwstr/>
      </vt:variant>
      <vt:variant>
        <vt:lpwstr>_Toc230970171</vt:lpwstr>
      </vt:variant>
      <vt:variant>
        <vt:i4>1703988</vt:i4>
      </vt:variant>
      <vt:variant>
        <vt:i4>437</vt:i4>
      </vt:variant>
      <vt:variant>
        <vt:i4>0</vt:i4>
      </vt:variant>
      <vt:variant>
        <vt:i4>5</vt:i4>
      </vt:variant>
      <vt:variant>
        <vt:lpwstr/>
      </vt:variant>
      <vt:variant>
        <vt:lpwstr>_Toc230970170</vt:lpwstr>
      </vt:variant>
      <vt:variant>
        <vt:i4>1769524</vt:i4>
      </vt:variant>
      <vt:variant>
        <vt:i4>431</vt:i4>
      </vt:variant>
      <vt:variant>
        <vt:i4>0</vt:i4>
      </vt:variant>
      <vt:variant>
        <vt:i4>5</vt:i4>
      </vt:variant>
      <vt:variant>
        <vt:lpwstr/>
      </vt:variant>
      <vt:variant>
        <vt:lpwstr>_Toc230970169</vt:lpwstr>
      </vt:variant>
      <vt:variant>
        <vt:i4>1769524</vt:i4>
      </vt:variant>
      <vt:variant>
        <vt:i4>425</vt:i4>
      </vt:variant>
      <vt:variant>
        <vt:i4>0</vt:i4>
      </vt:variant>
      <vt:variant>
        <vt:i4>5</vt:i4>
      </vt:variant>
      <vt:variant>
        <vt:lpwstr/>
      </vt:variant>
      <vt:variant>
        <vt:lpwstr>_Toc230970168</vt:lpwstr>
      </vt:variant>
      <vt:variant>
        <vt:i4>1769524</vt:i4>
      </vt:variant>
      <vt:variant>
        <vt:i4>419</vt:i4>
      </vt:variant>
      <vt:variant>
        <vt:i4>0</vt:i4>
      </vt:variant>
      <vt:variant>
        <vt:i4>5</vt:i4>
      </vt:variant>
      <vt:variant>
        <vt:lpwstr/>
      </vt:variant>
      <vt:variant>
        <vt:lpwstr>_Toc230970167</vt:lpwstr>
      </vt:variant>
      <vt:variant>
        <vt:i4>1769524</vt:i4>
      </vt:variant>
      <vt:variant>
        <vt:i4>413</vt:i4>
      </vt:variant>
      <vt:variant>
        <vt:i4>0</vt:i4>
      </vt:variant>
      <vt:variant>
        <vt:i4>5</vt:i4>
      </vt:variant>
      <vt:variant>
        <vt:lpwstr/>
      </vt:variant>
      <vt:variant>
        <vt:lpwstr>_Toc230970166</vt:lpwstr>
      </vt:variant>
      <vt:variant>
        <vt:i4>1769524</vt:i4>
      </vt:variant>
      <vt:variant>
        <vt:i4>407</vt:i4>
      </vt:variant>
      <vt:variant>
        <vt:i4>0</vt:i4>
      </vt:variant>
      <vt:variant>
        <vt:i4>5</vt:i4>
      </vt:variant>
      <vt:variant>
        <vt:lpwstr/>
      </vt:variant>
      <vt:variant>
        <vt:lpwstr>_Toc230970165</vt:lpwstr>
      </vt:variant>
      <vt:variant>
        <vt:i4>1769524</vt:i4>
      </vt:variant>
      <vt:variant>
        <vt:i4>401</vt:i4>
      </vt:variant>
      <vt:variant>
        <vt:i4>0</vt:i4>
      </vt:variant>
      <vt:variant>
        <vt:i4>5</vt:i4>
      </vt:variant>
      <vt:variant>
        <vt:lpwstr/>
      </vt:variant>
      <vt:variant>
        <vt:lpwstr>_Toc230970164</vt:lpwstr>
      </vt:variant>
      <vt:variant>
        <vt:i4>1769524</vt:i4>
      </vt:variant>
      <vt:variant>
        <vt:i4>395</vt:i4>
      </vt:variant>
      <vt:variant>
        <vt:i4>0</vt:i4>
      </vt:variant>
      <vt:variant>
        <vt:i4>5</vt:i4>
      </vt:variant>
      <vt:variant>
        <vt:lpwstr/>
      </vt:variant>
      <vt:variant>
        <vt:lpwstr>_Toc230970163</vt:lpwstr>
      </vt:variant>
      <vt:variant>
        <vt:i4>1769524</vt:i4>
      </vt:variant>
      <vt:variant>
        <vt:i4>389</vt:i4>
      </vt:variant>
      <vt:variant>
        <vt:i4>0</vt:i4>
      </vt:variant>
      <vt:variant>
        <vt:i4>5</vt:i4>
      </vt:variant>
      <vt:variant>
        <vt:lpwstr/>
      </vt:variant>
      <vt:variant>
        <vt:lpwstr>_Toc230970162</vt:lpwstr>
      </vt:variant>
      <vt:variant>
        <vt:i4>1769524</vt:i4>
      </vt:variant>
      <vt:variant>
        <vt:i4>383</vt:i4>
      </vt:variant>
      <vt:variant>
        <vt:i4>0</vt:i4>
      </vt:variant>
      <vt:variant>
        <vt:i4>5</vt:i4>
      </vt:variant>
      <vt:variant>
        <vt:lpwstr/>
      </vt:variant>
      <vt:variant>
        <vt:lpwstr>_Toc230970161</vt:lpwstr>
      </vt:variant>
      <vt:variant>
        <vt:i4>5636162</vt:i4>
      </vt:variant>
      <vt:variant>
        <vt:i4>378</vt:i4>
      </vt:variant>
      <vt:variant>
        <vt:i4>0</vt:i4>
      </vt:variant>
      <vt:variant>
        <vt:i4>5</vt:i4>
      </vt:variant>
      <vt:variant>
        <vt:lpwstr>https://www.doe.mass.edu/research/radar/default.html</vt:lpwstr>
      </vt:variant>
      <vt:variant>
        <vt:lpwstr/>
      </vt:variant>
      <vt:variant>
        <vt:i4>3801129</vt:i4>
      </vt:variant>
      <vt:variant>
        <vt:i4>375</vt:i4>
      </vt:variant>
      <vt:variant>
        <vt:i4>0</vt:i4>
      </vt:variant>
      <vt:variant>
        <vt:i4>5</vt:i4>
      </vt:variant>
      <vt:variant>
        <vt:lpwstr>https://www.doe.mass.edu/finance/chapter70/default.html</vt:lpwstr>
      </vt:variant>
      <vt:variant>
        <vt:lpwstr/>
      </vt:variant>
      <vt:variant>
        <vt:i4>5636162</vt:i4>
      </vt:variant>
      <vt:variant>
        <vt:i4>372</vt:i4>
      </vt:variant>
      <vt:variant>
        <vt:i4>0</vt:i4>
      </vt:variant>
      <vt:variant>
        <vt:i4>5</vt:i4>
      </vt:variant>
      <vt:variant>
        <vt:lpwstr>https://www.doe.mass.edu/research/radar/default.html</vt:lpwstr>
      </vt:variant>
      <vt:variant>
        <vt:lpwstr/>
      </vt:variant>
      <vt:variant>
        <vt:i4>1769563</vt:i4>
      </vt:variant>
      <vt:variant>
        <vt:i4>369</vt:i4>
      </vt:variant>
      <vt:variant>
        <vt:i4>0</vt:i4>
      </vt:variant>
      <vt:variant>
        <vt:i4>5</vt:i4>
      </vt:variant>
      <vt:variant>
        <vt:lpwstr>https://www.doe.mass.edu/sac/</vt:lpwstr>
      </vt:variant>
      <vt:variant>
        <vt:lpwstr/>
      </vt:variant>
      <vt:variant>
        <vt:i4>5767173</vt:i4>
      </vt:variant>
      <vt:variant>
        <vt:i4>366</vt:i4>
      </vt:variant>
      <vt:variant>
        <vt:i4>0</vt:i4>
      </vt:variant>
      <vt:variant>
        <vt:i4>5</vt:i4>
      </vt:variant>
      <vt:variant>
        <vt:lpwstr>https://www.doe.mass.edu/sfs/discipline/</vt:lpwstr>
      </vt:variant>
      <vt:variant>
        <vt:lpwstr/>
      </vt:variant>
      <vt:variant>
        <vt:i4>6488162</vt:i4>
      </vt:variant>
      <vt:variant>
        <vt:i4>363</vt:i4>
      </vt:variant>
      <vt:variant>
        <vt:i4>0</vt:i4>
      </vt:variant>
      <vt:variant>
        <vt:i4>5</vt:i4>
      </vt:variant>
      <vt:variant>
        <vt:lpwstr>https://www.doe.mass.edu/sfs/bullying/default.html</vt:lpwstr>
      </vt:variant>
      <vt:variant>
        <vt:lpwstr/>
      </vt:variant>
      <vt:variant>
        <vt:i4>7602272</vt:i4>
      </vt:variant>
      <vt:variant>
        <vt:i4>360</vt:i4>
      </vt:variant>
      <vt:variant>
        <vt:i4>0</vt:i4>
      </vt:variant>
      <vt:variant>
        <vt:i4>5</vt:i4>
      </vt:variant>
      <vt:variant>
        <vt:lpwstr>https://www.doe.mass.edu/sfs/lgbtq/</vt:lpwstr>
      </vt:variant>
      <vt:variant>
        <vt:lpwstr/>
      </vt:variant>
      <vt:variant>
        <vt:i4>3342449</vt:i4>
      </vt:variant>
      <vt:variant>
        <vt:i4>357</vt:i4>
      </vt:variant>
      <vt:variant>
        <vt:i4>0</vt:i4>
      </vt:variant>
      <vt:variant>
        <vt:i4>5</vt:i4>
      </vt:variant>
      <vt:variant>
        <vt:lpwstr>https://www.sassma.org/</vt:lpwstr>
      </vt:variant>
      <vt:variant>
        <vt:lpwstr/>
      </vt:variant>
      <vt:variant>
        <vt:i4>6881315</vt:i4>
      </vt:variant>
      <vt:variant>
        <vt:i4>354</vt:i4>
      </vt:variant>
      <vt:variant>
        <vt:i4>0</vt:i4>
      </vt:variant>
      <vt:variant>
        <vt:i4>5</vt:i4>
      </vt:variant>
      <vt:variant>
        <vt:lpwstr>https://matoolsforschools.com/</vt:lpwstr>
      </vt:variant>
      <vt:variant>
        <vt:lpwstr/>
      </vt:variant>
      <vt:variant>
        <vt:i4>2293809</vt:i4>
      </vt:variant>
      <vt:variant>
        <vt:i4>351</vt:i4>
      </vt:variant>
      <vt:variant>
        <vt:i4>0</vt:i4>
      </vt:variant>
      <vt:variant>
        <vt:i4>5</vt:i4>
      </vt:variant>
      <vt:variant>
        <vt:lpwstr>https://www.doe.mass.edu/sfss/mtss/</vt:lpwstr>
      </vt:variant>
      <vt:variant>
        <vt:lpwstr/>
      </vt:variant>
      <vt:variant>
        <vt:i4>2687080</vt:i4>
      </vt:variant>
      <vt:variant>
        <vt:i4>348</vt:i4>
      </vt:variant>
      <vt:variant>
        <vt:i4>0</vt:i4>
      </vt:variant>
      <vt:variant>
        <vt:i4>5</vt:i4>
      </vt:variant>
      <vt:variant>
        <vt:lpwstr>https://www.doe.mass.edu/language-access/interpreters/default.html</vt:lpwstr>
      </vt:variant>
      <vt:variant>
        <vt:lpwstr/>
      </vt:variant>
      <vt:variant>
        <vt:i4>393219</vt:i4>
      </vt:variant>
      <vt:variant>
        <vt:i4>345</vt:i4>
      </vt:variant>
      <vt:variant>
        <vt:i4>0</vt:i4>
      </vt:variant>
      <vt:variant>
        <vt:i4>5</vt:i4>
      </vt:variant>
      <vt:variant>
        <vt:lpwstr>https://www.doe.mass.edu/sfs/?section=family</vt:lpwstr>
      </vt:variant>
      <vt:variant>
        <vt:lpwstr/>
      </vt:variant>
      <vt:variant>
        <vt:i4>655441</vt:i4>
      </vt:variant>
      <vt:variant>
        <vt:i4>342</vt:i4>
      </vt:variant>
      <vt:variant>
        <vt:i4>0</vt:i4>
      </vt:variant>
      <vt:variant>
        <vt:i4>5</vt:i4>
      </vt:variant>
      <vt:variant>
        <vt:lpwstr>https://www.doe.mass.edu/ele/resources/immigrant-refugee.html</vt:lpwstr>
      </vt:variant>
      <vt:variant>
        <vt:lpwstr/>
      </vt:variant>
      <vt:variant>
        <vt:i4>7471214</vt:i4>
      </vt:variant>
      <vt:variant>
        <vt:i4>339</vt:i4>
      </vt:variant>
      <vt:variant>
        <vt:i4>0</vt:i4>
      </vt:variant>
      <vt:variant>
        <vt:i4>5</vt:i4>
      </vt:variant>
      <vt:variant>
        <vt:lpwstr>https://www.doe.mass.edu/ele/slife/default.html</vt:lpwstr>
      </vt:variant>
      <vt:variant>
        <vt:lpwstr/>
      </vt:variant>
      <vt:variant>
        <vt:i4>67</vt:i4>
      </vt:variant>
      <vt:variant>
        <vt:i4>336</vt:i4>
      </vt:variant>
      <vt:variant>
        <vt:i4>0</vt:i4>
      </vt:variant>
      <vt:variant>
        <vt:i4>5</vt:i4>
      </vt:variant>
      <vt:variant>
        <vt:lpwstr>https://www.doe.mass.edu/sfs/edstability.html</vt:lpwstr>
      </vt:variant>
      <vt:variant>
        <vt:lpwstr/>
      </vt:variant>
      <vt:variant>
        <vt:i4>4325441</vt:i4>
      </vt:variant>
      <vt:variant>
        <vt:i4>333</vt:i4>
      </vt:variant>
      <vt:variant>
        <vt:i4>0</vt:i4>
      </vt:variant>
      <vt:variant>
        <vt:i4>5</vt:i4>
      </vt:variant>
      <vt:variant>
        <vt:lpwstr>https://www.doe.mass.edu/ele/prof-learning/wida/default.html</vt:lpwstr>
      </vt:variant>
      <vt:variant>
        <vt:lpwstr/>
      </vt:variant>
      <vt:variant>
        <vt:i4>7209059</vt:i4>
      </vt:variant>
      <vt:variant>
        <vt:i4>330</vt:i4>
      </vt:variant>
      <vt:variant>
        <vt:i4>0</vt:i4>
      </vt:variant>
      <vt:variant>
        <vt:i4>5</vt:i4>
      </vt:variant>
      <vt:variant>
        <vt:lpwstr>https://plpartnerguide.org/</vt:lpwstr>
      </vt:variant>
      <vt:variant>
        <vt:lpwstr/>
      </vt:variant>
      <vt:variant>
        <vt:i4>3080304</vt:i4>
      </vt:variant>
      <vt:variant>
        <vt:i4>327</vt:i4>
      </vt:variant>
      <vt:variant>
        <vt:i4>0</vt:i4>
      </vt:variant>
      <vt:variant>
        <vt:i4>5</vt:i4>
      </vt:variant>
      <vt:variant>
        <vt:lpwstr>https://www.doe.mass.edu/edeffectiveness/talent-guide/default.html</vt:lpwstr>
      </vt:variant>
      <vt:variant>
        <vt:lpwstr/>
      </vt:variant>
      <vt:variant>
        <vt:i4>7667821</vt:i4>
      </vt:variant>
      <vt:variant>
        <vt:i4>324</vt:i4>
      </vt:variant>
      <vt:variant>
        <vt:i4>0</vt:i4>
      </vt:variant>
      <vt:variant>
        <vt:i4>5</vt:i4>
      </vt:variant>
      <vt:variant>
        <vt:lpwstr>https://www.doe.mass.edu/edeffectiveness/mentor/principal.html</vt:lpwstr>
      </vt:variant>
      <vt:variant>
        <vt:lpwstr/>
      </vt:variant>
      <vt:variant>
        <vt:i4>589832</vt:i4>
      </vt:variant>
      <vt:variant>
        <vt:i4>321</vt:i4>
      </vt:variant>
      <vt:variant>
        <vt:i4>0</vt:i4>
      </vt:variant>
      <vt:variant>
        <vt:i4>5</vt:i4>
      </vt:variant>
      <vt:variant>
        <vt:lpwstr>https://www.doe.mass.edu/edeffectiveness/mentor/default.html</vt:lpwstr>
      </vt:variant>
      <vt:variant>
        <vt:lpwstr/>
      </vt:variant>
      <vt:variant>
        <vt:i4>2555951</vt:i4>
      </vt:variant>
      <vt:variant>
        <vt:i4>318</vt:i4>
      </vt:variant>
      <vt:variant>
        <vt:i4>0</vt:i4>
      </vt:variant>
      <vt:variant>
        <vt:i4>5</vt:i4>
      </vt:variant>
      <vt:variant>
        <vt:lpwstr>https://www.doe.mass.edu/edeval/implementation/default.html</vt:lpwstr>
      </vt:variant>
      <vt:variant>
        <vt:lpwstr/>
      </vt:variant>
      <vt:variant>
        <vt:i4>3997819</vt:i4>
      </vt:variant>
      <vt:variant>
        <vt:i4>315</vt:i4>
      </vt:variant>
      <vt:variant>
        <vt:i4>0</vt:i4>
      </vt:variant>
      <vt:variant>
        <vt:i4>5</vt:i4>
      </vt:variant>
      <vt:variant>
        <vt:lpwstr>https://www.doe.mass.edu/instruction/culturally-sustaining/default.html</vt:lpwstr>
      </vt:variant>
      <vt:variant>
        <vt:lpwstr/>
      </vt:variant>
      <vt:variant>
        <vt:i4>1245206</vt:i4>
      </vt:variant>
      <vt:variant>
        <vt:i4>312</vt:i4>
      </vt:variant>
      <vt:variant>
        <vt:i4>0</vt:i4>
      </vt:variant>
      <vt:variant>
        <vt:i4>5</vt:i4>
      </vt:variant>
      <vt:variant>
        <vt:lpwstr>https://www.doe.mass.edu/instruction/curate/default.html</vt:lpwstr>
      </vt:variant>
      <vt:variant>
        <vt:lpwstr/>
      </vt:variant>
      <vt:variant>
        <vt:i4>7995442</vt:i4>
      </vt:variant>
      <vt:variant>
        <vt:i4>309</vt:i4>
      </vt:variant>
      <vt:variant>
        <vt:i4>0</vt:i4>
      </vt:variant>
      <vt:variant>
        <vt:i4>5</vt:i4>
      </vt:variant>
      <vt:variant>
        <vt:lpwstr>https://www.doe.mass.edu/instruction/impd/implement-ma.html</vt:lpwstr>
      </vt:variant>
      <vt:variant>
        <vt:lpwstr/>
      </vt:variant>
      <vt:variant>
        <vt:i4>1900630</vt:i4>
      </vt:variant>
      <vt:variant>
        <vt:i4>306</vt:i4>
      </vt:variant>
      <vt:variant>
        <vt:i4>0</vt:i4>
      </vt:variant>
      <vt:variant>
        <vt:i4>5</vt:i4>
      </vt:variant>
      <vt:variant>
        <vt:lpwstr>https://www.doe.mass.edu/frameworks/current.html</vt:lpwstr>
      </vt:variant>
      <vt:variant>
        <vt:lpwstr/>
      </vt:variant>
      <vt:variant>
        <vt:i4>7274606</vt:i4>
      </vt:variant>
      <vt:variant>
        <vt:i4>303</vt:i4>
      </vt:variant>
      <vt:variant>
        <vt:i4>0</vt:i4>
      </vt:variant>
      <vt:variant>
        <vt:i4>5</vt:i4>
      </vt:variant>
      <vt:variant>
        <vt:lpwstr>https://www.doe.mass.edu/instruction/impd/default.html</vt:lpwstr>
      </vt:variant>
      <vt:variant>
        <vt:lpwstr/>
      </vt:variant>
      <vt:variant>
        <vt:i4>6750267</vt:i4>
      </vt:variant>
      <vt:variant>
        <vt:i4>300</vt:i4>
      </vt:variant>
      <vt:variant>
        <vt:i4>0</vt:i4>
      </vt:variant>
      <vt:variant>
        <vt:i4>5</vt:i4>
      </vt:variant>
      <vt:variant>
        <vt:lpwstr>https://www.doe.mass.edu/csdp/guidebook/coherence-guidebook.pdf</vt:lpwstr>
      </vt:variant>
      <vt:variant>
        <vt:lpwstr/>
      </vt:variant>
      <vt:variant>
        <vt:i4>262173</vt:i4>
      </vt:variant>
      <vt:variant>
        <vt:i4>297</vt:i4>
      </vt:variant>
      <vt:variant>
        <vt:i4>0</vt:i4>
      </vt:variant>
      <vt:variant>
        <vt:i4>5</vt:i4>
      </vt:variant>
      <vt:variant>
        <vt:lpwstr>https://www.doe.mass.edu/ele/families/elpac/</vt:lpwstr>
      </vt:variant>
      <vt:variant>
        <vt:lpwstr/>
      </vt:variant>
      <vt:variant>
        <vt:i4>3342419</vt:i4>
      </vt:variant>
      <vt:variant>
        <vt:i4>294</vt:i4>
      </vt:variant>
      <vt:variant>
        <vt:i4>0</vt:i4>
      </vt:variant>
      <vt:variant>
        <vt:i4>5</vt:i4>
      </vt:variant>
      <vt:variant>
        <vt:lpwstr>http://metproject.org/resources/CLASS_10_29_10.pdf</vt:lpwstr>
      </vt:variant>
      <vt:variant>
        <vt:lpwstr/>
      </vt:variant>
      <vt:variant>
        <vt:i4>2359338</vt:i4>
      </vt:variant>
      <vt:variant>
        <vt:i4>291</vt:i4>
      </vt:variant>
      <vt:variant>
        <vt:i4>0</vt:i4>
      </vt:variant>
      <vt:variant>
        <vt:i4>5</vt:i4>
      </vt:variant>
      <vt:variant>
        <vt:lpwstr>http://www.teachstone.com/wp-content/uploads/2011/05/class-mtp-pk-12-brief.pdf</vt:lpwstr>
      </vt:variant>
      <vt:variant>
        <vt:lpwstr/>
      </vt:variant>
      <vt:variant>
        <vt:i4>1048636</vt:i4>
      </vt:variant>
      <vt:variant>
        <vt:i4>284</vt:i4>
      </vt:variant>
      <vt:variant>
        <vt:i4>0</vt:i4>
      </vt:variant>
      <vt:variant>
        <vt:i4>5</vt:i4>
      </vt:variant>
      <vt:variant>
        <vt:lpwstr/>
      </vt:variant>
      <vt:variant>
        <vt:lpwstr>_Toc231296602</vt:lpwstr>
      </vt:variant>
      <vt:variant>
        <vt:i4>1048636</vt:i4>
      </vt:variant>
      <vt:variant>
        <vt:i4>278</vt:i4>
      </vt:variant>
      <vt:variant>
        <vt:i4>0</vt:i4>
      </vt:variant>
      <vt:variant>
        <vt:i4>5</vt:i4>
      </vt:variant>
      <vt:variant>
        <vt:lpwstr/>
      </vt:variant>
      <vt:variant>
        <vt:lpwstr>_Toc231296601</vt:lpwstr>
      </vt:variant>
      <vt:variant>
        <vt:i4>1048636</vt:i4>
      </vt:variant>
      <vt:variant>
        <vt:i4>272</vt:i4>
      </vt:variant>
      <vt:variant>
        <vt:i4>0</vt:i4>
      </vt:variant>
      <vt:variant>
        <vt:i4>5</vt:i4>
      </vt:variant>
      <vt:variant>
        <vt:lpwstr/>
      </vt:variant>
      <vt:variant>
        <vt:lpwstr>_Toc231296600</vt:lpwstr>
      </vt:variant>
      <vt:variant>
        <vt:i4>1638463</vt:i4>
      </vt:variant>
      <vt:variant>
        <vt:i4>266</vt:i4>
      </vt:variant>
      <vt:variant>
        <vt:i4>0</vt:i4>
      </vt:variant>
      <vt:variant>
        <vt:i4>5</vt:i4>
      </vt:variant>
      <vt:variant>
        <vt:lpwstr/>
      </vt:variant>
      <vt:variant>
        <vt:lpwstr>_Toc231296599</vt:lpwstr>
      </vt:variant>
      <vt:variant>
        <vt:i4>1638463</vt:i4>
      </vt:variant>
      <vt:variant>
        <vt:i4>260</vt:i4>
      </vt:variant>
      <vt:variant>
        <vt:i4>0</vt:i4>
      </vt:variant>
      <vt:variant>
        <vt:i4>5</vt:i4>
      </vt:variant>
      <vt:variant>
        <vt:lpwstr/>
      </vt:variant>
      <vt:variant>
        <vt:lpwstr>_Toc231296598</vt:lpwstr>
      </vt:variant>
      <vt:variant>
        <vt:i4>1638463</vt:i4>
      </vt:variant>
      <vt:variant>
        <vt:i4>254</vt:i4>
      </vt:variant>
      <vt:variant>
        <vt:i4>0</vt:i4>
      </vt:variant>
      <vt:variant>
        <vt:i4>5</vt:i4>
      </vt:variant>
      <vt:variant>
        <vt:lpwstr/>
      </vt:variant>
      <vt:variant>
        <vt:lpwstr>_Toc231296597</vt:lpwstr>
      </vt:variant>
      <vt:variant>
        <vt:i4>1638463</vt:i4>
      </vt:variant>
      <vt:variant>
        <vt:i4>248</vt:i4>
      </vt:variant>
      <vt:variant>
        <vt:i4>0</vt:i4>
      </vt:variant>
      <vt:variant>
        <vt:i4>5</vt:i4>
      </vt:variant>
      <vt:variant>
        <vt:lpwstr/>
      </vt:variant>
      <vt:variant>
        <vt:lpwstr>_Toc231296596</vt:lpwstr>
      </vt:variant>
      <vt:variant>
        <vt:i4>1638463</vt:i4>
      </vt:variant>
      <vt:variant>
        <vt:i4>242</vt:i4>
      </vt:variant>
      <vt:variant>
        <vt:i4>0</vt:i4>
      </vt:variant>
      <vt:variant>
        <vt:i4>5</vt:i4>
      </vt:variant>
      <vt:variant>
        <vt:lpwstr/>
      </vt:variant>
      <vt:variant>
        <vt:lpwstr>_Toc231296595</vt:lpwstr>
      </vt:variant>
      <vt:variant>
        <vt:i4>1638463</vt:i4>
      </vt:variant>
      <vt:variant>
        <vt:i4>236</vt:i4>
      </vt:variant>
      <vt:variant>
        <vt:i4>0</vt:i4>
      </vt:variant>
      <vt:variant>
        <vt:i4>5</vt:i4>
      </vt:variant>
      <vt:variant>
        <vt:lpwstr/>
      </vt:variant>
      <vt:variant>
        <vt:lpwstr>_Toc231296594</vt:lpwstr>
      </vt:variant>
      <vt:variant>
        <vt:i4>1638463</vt:i4>
      </vt:variant>
      <vt:variant>
        <vt:i4>230</vt:i4>
      </vt:variant>
      <vt:variant>
        <vt:i4>0</vt:i4>
      </vt:variant>
      <vt:variant>
        <vt:i4>5</vt:i4>
      </vt:variant>
      <vt:variant>
        <vt:lpwstr/>
      </vt:variant>
      <vt:variant>
        <vt:lpwstr>_Toc231296593</vt:lpwstr>
      </vt:variant>
      <vt:variant>
        <vt:i4>1638463</vt:i4>
      </vt:variant>
      <vt:variant>
        <vt:i4>224</vt:i4>
      </vt:variant>
      <vt:variant>
        <vt:i4>0</vt:i4>
      </vt:variant>
      <vt:variant>
        <vt:i4>5</vt:i4>
      </vt:variant>
      <vt:variant>
        <vt:lpwstr/>
      </vt:variant>
      <vt:variant>
        <vt:lpwstr>_Toc231296592</vt:lpwstr>
      </vt:variant>
      <vt:variant>
        <vt:i4>1638463</vt:i4>
      </vt:variant>
      <vt:variant>
        <vt:i4>218</vt:i4>
      </vt:variant>
      <vt:variant>
        <vt:i4>0</vt:i4>
      </vt:variant>
      <vt:variant>
        <vt:i4>5</vt:i4>
      </vt:variant>
      <vt:variant>
        <vt:lpwstr/>
      </vt:variant>
      <vt:variant>
        <vt:lpwstr>_Toc231296591</vt:lpwstr>
      </vt:variant>
      <vt:variant>
        <vt:i4>1638463</vt:i4>
      </vt:variant>
      <vt:variant>
        <vt:i4>212</vt:i4>
      </vt:variant>
      <vt:variant>
        <vt:i4>0</vt:i4>
      </vt:variant>
      <vt:variant>
        <vt:i4>5</vt:i4>
      </vt:variant>
      <vt:variant>
        <vt:lpwstr/>
      </vt:variant>
      <vt:variant>
        <vt:lpwstr>_Toc231296590</vt:lpwstr>
      </vt:variant>
      <vt:variant>
        <vt:i4>1572927</vt:i4>
      </vt:variant>
      <vt:variant>
        <vt:i4>206</vt:i4>
      </vt:variant>
      <vt:variant>
        <vt:i4>0</vt:i4>
      </vt:variant>
      <vt:variant>
        <vt:i4>5</vt:i4>
      </vt:variant>
      <vt:variant>
        <vt:lpwstr/>
      </vt:variant>
      <vt:variant>
        <vt:lpwstr>_Toc231296589</vt:lpwstr>
      </vt:variant>
      <vt:variant>
        <vt:i4>1572927</vt:i4>
      </vt:variant>
      <vt:variant>
        <vt:i4>200</vt:i4>
      </vt:variant>
      <vt:variant>
        <vt:i4>0</vt:i4>
      </vt:variant>
      <vt:variant>
        <vt:i4>5</vt:i4>
      </vt:variant>
      <vt:variant>
        <vt:lpwstr/>
      </vt:variant>
      <vt:variant>
        <vt:lpwstr>_Toc231296588</vt:lpwstr>
      </vt:variant>
      <vt:variant>
        <vt:i4>1572927</vt:i4>
      </vt:variant>
      <vt:variant>
        <vt:i4>194</vt:i4>
      </vt:variant>
      <vt:variant>
        <vt:i4>0</vt:i4>
      </vt:variant>
      <vt:variant>
        <vt:i4>5</vt:i4>
      </vt:variant>
      <vt:variant>
        <vt:lpwstr/>
      </vt:variant>
      <vt:variant>
        <vt:lpwstr>_Toc231296587</vt:lpwstr>
      </vt:variant>
      <vt:variant>
        <vt:i4>1572927</vt:i4>
      </vt:variant>
      <vt:variant>
        <vt:i4>188</vt:i4>
      </vt:variant>
      <vt:variant>
        <vt:i4>0</vt:i4>
      </vt:variant>
      <vt:variant>
        <vt:i4>5</vt:i4>
      </vt:variant>
      <vt:variant>
        <vt:lpwstr/>
      </vt:variant>
      <vt:variant>
        <vt:lpwstr>_Toc231296586</vt:lpwstr>
      </vt:variant>
      <vt:variant>
        <vt:i4>1572927</vt:i4>
      </vt:variant>
      <vt:variant>
        <vt:i4>182</vt:i4>
      </vt:variant>
      <vt:variant>
        <vt:i4>0</vt:i4>
      </vt:variant>
      <vt:variant>
        <vt:i4>5</vt:i4>
      </vt:variant>
      <vt:variant>
        <vt:lpwstr/>
      </vt:variant>
      <vt:variant>
        <vt:lpwstr>_Toc231296585</vt:lpwstr>
      </vt:variant>
      <vt:variant>
        <vt:i4>1572927</vt:i4>
      </vt:variant>
      <vt:variant>
        <vt:i4>176</vt:i4>
      </vt:variant>
      <vt:variant>
        <vt:i4>0</vt:i4>
      </vt:variant>
      <vt:variant>
        <vt:i4>5</vt:i4>
      </vt:variant>
      <vt:variant>
        <vt:lpwstr/>
      </vt:variant>
      <vt:variant>
        <vt:lpwstr>_Toc231296584</vt:lpwstr>
      </vt:variant>
      <vt:variant>
        <vt:i4>3145829</vt:i4>
      </vt:variant>
      <vt:variant>
        <vt:i4>171</vt:i4>
      </vt:variant>
      <vt:variant>
        <vt:i4>0</vt:i4>
      </vt:variant>
      <vt:variant>
        <vt:i4>5</vt:i4>
      </vt:variant>
      <vt:variant>
        <vt:lpwstr>http://www.air.org/</vt:lpwstr>
      </vt:variant>
      <vt:variant>
        <vt:lpwstr/>
      </vt:variant>
      <vt:variant>
        <vt:i4>393276</vt:i4>
      </vt:variant>
      <vt:variant>
        <vt:i4>168</vt:i4>
      </vt:variant>
      <vt:variant>
        <vt:i4>0</vt:i4>
      </vt:variant>
      <vt:variant>
        <vt:i4>5</vt:i4>
      </vt:variant>
      <vt:variant>
        <vt:lpwstr/>
      </vt:variant>
      <vt:variant>
        <vt:lpwstr>_Managing_Capital_Assets</vt:lpwstr>
      </vt:variant>
      <vt:variant>
        <vt:i4>7077958</vt:i4>
      </vt:variant>
      <vt:variant>
        <vt:i4>165</vt:i4>
      </vt:variant>
      <vt:variant>
        <vt:i4>0</vt:i4>
      </vt:variant>
      <vt:variant>
        <vt:i4>5</vt:i4>
      </vt:variant>
      <vt:variant>
        <vt:lpwstr/>
      </vt:variant>
      <vt:variant>
        <vt:lpwstr>_Operations</vt:lpwstr>
      </vt:variant>
      <vt:variant>
        <vt:i4>720939</vt:i4>
      </vt:variant>
      <vt:variant>
        <vt:i4>162</vt:i4>
      </vt:variant>
      <vt:variant>
        <vt:i4>0</vt:i4>
      </vt:variant>
      <vt:variant>
        <vt:i4>5</vt:i4>
      </vt:variant>
      <vt:variant>
        <vt:lpwstr/>
      </vt:variant>
      <vt:variant>
        <vt:lpwstr>_Budgeting_and_Budget</vt:lpwstr>
      </vt:variant>
      <vt:variant>
        <vt:i4>2293787</vt:i4>
      </vt:variant>
      <vt:variant>
        <vt:i4>159</vt:i4>
      </vt:variant>
      <vt:variant>
        <vt:i4>0</vt:i4>
      </vt:variant>
      <vt:variant>
        <vt:i4>5</vt:i4>
      </vt:variant>
      <vt:variant>
        <vt:lpwstr/>
      </vt:variant>
      <vt:variant>
        <vt:lpwstr>_Business_Office_Staffing</vt:lpwstr>
      </vt:variant>
      <vt:variant>
        <vt:i4>1704053</vt:i4>
      </vt:variant>
      <vt:variant>
        <vt:i4>156</vt:i4>
      </vt:variant>
      <vt:variant>
        <vt:i4>0</vt:i4>
      </vt:variant>
      <vt:variant>
        <vt:i4>5</vt:i4>
      </vt:variant>
      <vt:variant>
        <vt:lpwstr/>
      </vt:variant>
      <vt:variant>
        <vt:lpwstr>_Multi-Tiered_Systems_of</vt:lpwstr>
      </vt:variant>
      <vt:variant>
        <vt:i4>1114169</vt:i4>
      </vt:variant>
      <vt:variant>
        <vt:i4>153</vt:i4>
      </vt:variant>
      <vt:variant>
        <vt:i4>0</vt:i4>
      </vt:variant>
      <vt:variant>
        <vt:i4>5</vt:i4>
      </vt:variant>
      <vt:variant>
        <vt:lpwstr/>
      </vt:variant>
      <vt:variant>
        <vt:lpwstr>_Family_and_Community</vt:lpwstr>
      </vt:variant>
      <vt:variant>
        <vt:i4>7471193</vt:i4>
      </vt:variant>
      <vt:variant>
        <vt:i4>150</vt:i4>
      </vt:variant>
      <vt:variant>
        <vt:i4>0</vt:i4>
      </vt:variant>
      <vt:variant>
        <vt:i4>5</vt:i4>
      </vt:variant>
      <vt:variant>
        <vt:lpwstr/>
      </vt:variant>
      <vt:variant>
        <vt:lpwstr>_Tiered_Systems_of</vt:lpwstr>
      </vt:variant>
      <vt:variant>
        <vt:i4>48</vt:i4>
      </vt:variant>
      <vt:variant>
        <vt:i4>147</vt:i4>
      </vt:variant>
      <vt:variant>
        <vt:i4>0</vt:i4>
      </vt:variant>
      <vt:variant>
        <vt:i4>5</vt:i4>
      </vt:variant>
      <vt:variant>
        <vt:lpwstr/>
      </vt:variant>
      <vt:variant>
        <vt:lpwstr>_Safe_and_Supportive</vt:lpwstr>
      </vt:variant>
      <vt:variant>
        <vt:i4>4259934</vt:i4>
      </vt:variant>
      <vt:variant>
        <vt:i4>144</vt:i4>
      </vt:variant>
      <vt:variant>
        <vt:i4>0</vt:i4>
      </vt:variant>
      <vt:variant>
        <vt:i4>5</vt:i4>
      </vt:variant>
      <vt:variant>
        <vt:lpwstr/>
      </vt:variant>
      <vt:variant>
        <vt:lpwstr>_Professional_Learning</vt:lpwstr>
      </vt:variant>
      <vt:variant>
        <vt:i4>1703972</vt:i4>
      </vt:variant>
      <vt:variant>
        <vt:i4>141</vt:i4>
      </vt:variant>
      <vt:variant>
        <vt:i4>0</vt:i4>
      </vt:variant>
      <vt:variant>
        <vt:i4>5</vt:i4>
      </vt:variant>
      <vt:variant>
        <vt:lpwstr/>
      </vt:variant>
      <vt:variant>
        <vt:lpwstr>_Staffing</vt:lpwstr>
      </vt:variant>
      <vt:variant>
        <vt:i4>4849720</vt:i4>
      </vt:variant>
      <vt:variant>
        <vt:i4>138</vt:i4>
      </vt:variant>
      <vt:variant>
        <vt:i4>0</vt:i4>
      </vt:variant>
      <vt:variant>
        <vt:i4>5</vt:i4>
      </vt:variant>
      <vt:variant>
        <vt:lpwstr/>
      </vt:variant>
      <vt:variant>
        <vt:lpwstr>_Human_Resources_Infrastructure,</vt:lpwstr>
      </vt:variant>
      <vt:variant>
        <vt:i4>786453</vt:i4>
      </vt:variant>
      <vt:variant>
        <vt:i4>135</vt:i4>
      </vt:variant>
      <vt:variant>
        <vt:i4>0</vt:i4>
      </vt:variant>
      <vt:variant>
        <vt:i4>5</vt:i4>
      </vt:variant>
      <vt:variant>
        <vt:lpwstr/>
      </vt:variant>
      <vt:variant>
        <vt:lpwstr>_Sharing_Data</vt:lpwstr>
      </vt:variant>
      <vt:variant>
        <vt:i4>852014</vt:i4>
      </vt:variant>
      <vt:variant>
        <vt:i4>132</vt:i4>
      </vt:variant>
      <vt:variant>
        <vt:i4>0</vt:i4>
      </vt:variant>
      <vt:variant>
        <vt:i4>5</vt:i4>
      </vt:variant>
      <vt:variant>
        <vt:lpwstr/>
      </vt:variant>
      <vt:variant>
        <vt:lpwstr>_Data_Use_and</vt:lpwstr>
      </vt:variant>
      <vt:variant>
        <vt:i4>2621486</vt:i4>
      </vt:variant>
      <vt:variant>
        <vt:i4>129</vt:i4>
      </vt:variant>
      <vt:variant>
        <vt:i4>0</vt:i4>
      </vt:variant>
      <vt:variant>
        <vt:i4>5</vt:i4>
      </vt:variant>
      <vt:variant>
        <vt:lpwstr/>
      </vt:variant>
      <vt:variant>
        <vt:lpwstr>_Data_Collection</vt:lpwstr>
      </vt:variant>
      <vt:variant>
        <vt:i4>6619204</vt:i4>
      </vt:variant>
      <vt:variant>
        <vt:i4>126</vt:i4>
      </vt:variant>
      <vt:variant>
        <vt:i4>0</vt:i4>
      </vt:variant>
      <vt:variant>
        <vt:i4>5</vt:i4>
      </vt:variant>
      <vt:variant>
        <vt:lpwstr/>
      </vt:variant>
      <vt:variant>
        <vt:lpwstr>_Effective_Instruction_and</vt:lpwstr>
      </vt:variant>
      <vt:variant>
        <vt:i4>1245241</vt:i4>
      </vt:variant>
      <vt:variant>
        <vt:i4>123</vt:i4>
      </vt:variant>
      <vt:variant>
        <vt:i4>0</vt:i4>
      </vt:variant>
      <vt:variant>
        <vt:i4>5</vt:i4>
      </vt:variant>
      <vt:variant>
        <vt:lpwstr/>
      </vt:variant>
      <vt:variant>
        <vt:lpwstr>_Equitable_Practices_and</vt:lpwstr>
      </vt:variant>
      <vt:variant>
        <vt:i4>196659</vt:i4>
      </vt:variant>
      <vt:variant>
        <vt:i4>120</vt:i4>
      </vt:variant>
      <vt:variant>
        <vt:i4>0</vt:i4>
      </vt:variant>
      <vt:variant>
        <vt:i4>5</vt:i4>
      </vt:variant>
      <vt:variant>
        <vt:lpwstr/>
      </vt:variant>
      <vt:variant>
        <vt:lpwstr>_Curriculum_and_Instructional</vt:lpwstr>
      </vt:variant>
      <vt:variant>
        <vt:i4>1179662</vt:i4>
      </vt:variant>
      <vt:variant>
        <vt:i4>117</vt:i4>
      </vt:variant>
      <vt:variant>
        <vt:i4>0</vt:i4>
      </vt:variant>
      <vt:variant>
        <vt:i4>5</vt:i4>
      </vt:variant>
      <vt:variant>
        <vt:lpwstr/>
      </vt:variant>
      <vt:variant>
        <vt:lpwstr>_Instructional_Leadership</vt:lpwstr>
      </vt:variant>
      <vt:variant>
        <vt:i4>2752549</vt:i4>
      </vt:variant>
      <vt:variant>
        <vt:i4>114</vt:i4>
      </vt:variant>
      <vt:variant>
        <vt:i4>0</vt:i4>
      </vt:variant>
      <vt:variant>
        <vt:i4>5</vt:i4>
      </vt:variant>
      <vt:variant>
        <vt:lpwstr/>
      </vt:variant>
      <vt:variant>
        <vt:lpwstr>_District_Culture</vt:lpwstr>
      </vt:variant>
      <vt:variant>
        <vt:i4>1441838</vt:i4>
      </vt:variant>
      <vt:variant>
        <vt:i4>111</vt:i4>
      </vt:variant>
      <vt:variant>
        <vt:i4>0</vt:i4>
      </vt:variant>
      <vt:variant>
        <vt:i4>5</vt:i4>
      </vt:variant>
      <vt:variant>
        <vt:lpwstr/>
      </vt:variant>
      <vt:variant>
        <vt:lpwstr>_Strategic_Planning,_Implementation,</vt:lpwstr>
      </vt:variant>
      <vt:variant>
        <vt:i4>1441851</vt:i4>
      </vt:variant>
      <vt:variant>
        <vt:i4>108</vt:i4>
      </vt:variant>
      <vt:variant>
        <vt:i4>0</vt:i4>
      </vt:variant>
      <vt:variant>
        <vt:i4>5</vt:i4>
      </vt:variant>
      <vt:variant>
        <vt:lpwstr/>
      </vt:variant>
      <vt:variant>
        <vt:lpwstr>_Leadership_and_Governing</vt:lpwstr>
      </vt:variant>
      <vt:variant>
        <vt:i4>7536766</vt:i4>
      </vt:variant>
      <vt:variant>
        <vt:i4>105</vt:i4>
      </vt:variant>
      <vt:variant>
        <vt:i4>0</vt:i4>
      </vt:variant>
      <vt:variant>
        <vt:i4>5</vt:i4>
      </vt:variant>
      <vt:variant>
        <vt:lpwstr>https://www.census.gov/quickfacts/fact/table/brocktoncitymassachusetts,MA/POP715224</vt:lpwstr>
      </vt:variant>
      <vt:variant>
        <vt:lpwstr/>
      </vt:variant>
      <vt:variant>
        <vt:i4>45</vt:i4>
      </vt:variant>
      <vt:variant>
        <vt:i4>102</vt:i4>
      </vt:variant>
      <vt:variant>
        <vt:i4>0</vt:i4>
      </vt:variant>
      <vt:variant>
        <vt:i4>5</vt:i4>
      </vt:variant>
      <vt:variant>
        <vt:lpwstr/>
      </vt:variant>
      <vt:variant>
        <vt:lpwstr>_Financial_and_Asset</vt:lpwstr>
      </vt:variant>
      <vt:variant>
        <vt:i4>983049</vt:i4>
      </vt:variant>
      <vt:variant>
        <vt:i4>99</vt:i4>
      </vt:variant>
      <vt:variant>
        <vt:i4>0</vt:i4>
      </vt:variant>
      <vt:variant>
        <vt:i4>5</vt:i4>
      </vt:variant>
      <vt:variant>
        <vt:lpwstr/>
      </vt:variant>
      <vt:variant>
        <vt:lpwstr>_Student_Support</vt:lpwstr>
      </vt:variant>
      <vt:variant>
        <vt:i4>655416</vt:i4>
      </vt:variant>
      <vt:variant>
        <vt:i4>96</vt:i4>
      </vt:variant>
      <vt:variant>
        <vt:i4>0</vt:i4>
      </vt:variant>
      <vt:variant>
        <vt:i4>5</vt:i4>
      </vt:variant>
      <vt:variant>
        <vt:lpwstr/>
      </vt:variant>
      <vt:variant>
        <vt:lpwstr>_Human_Resources_and</vt:lpwstr>
      </vt:variant>
      <vt:variant>
        <vt:i4>6422623</vt:i4>
      </vt:variant>
      <vt:variant>
        <vt:i4>93</vt:i4>
      </vt:variant>
      <vt:variant>
        <vt:i4>0</vt:i4>
      </vt:variant>
      <vt:variant>
        <vt:i4>5</vt:i4>
      </vt:variant>
      <vt:variant>
        <vt:lpwstr/>
      </vt:variant>
      <vt:variant>
        <vt:lpwstr>_Assessment</vt:lpwstr>
      </vt:variant>
      <vt:variant>
        <vt:i4>6422621</vt:i4>
      </vt:variant>
      <vt:variant>
        <vt:i4>90</vt:i4>
      </vt:variant>
      <vt:variant>
        <vt:i4>0</vt:i4>
      </vt:variant>
      <vt:variant>
        <vt:i4>5</vt:i4>
      </vt:variant>
      <vt:variant>
        <vt:lpwstr/>
      </vt:variant>
      <vt:variant>
        <vt:lpwstr>_Curriculum_and_Instruction</vt:lpwstr>
      </vt:variant>
      <vt:variant>
        <vt:i4>7536720</vt:i4>
      </vt:variant>
      <vt:variant>
        <vt:i4>87</vt:i4>
      </vt:variant>
      <vt:variant>
        <vt:i4>0</vt:i4>
      </vt:variant>
      <vt:variant>
        <vt:i4>5</vt:i4>
      </vt:variant>
      <vt:variant>
        <vt:lpwstr/>
      </vt:variant>
      <vt:variant>
        <vt:lpwstr>_Leadership_and_Governance</vt:lpwstr>
      </vt:variant>
      <vt:variant>
        <vt:i4>1507379</vt:i4>
      </vt:variant>
      <vt:variant>
        <vt:i4>80</vt:i4>
      </vt:variant>
      <vt:variant>
        <vt:i4>0</vt:i4>
      </vt:variant>
      <vt:variant>
        <vt:i4>5</vt:i4>
      </vt:variant>
      <vt:variant>
        <vt:lpwstr/>
      </vt:variant>
      <vt:variant>
        <vt:lpwstr>_Toc235104460</vt:lpwstr>
      </vt:variant>
      <vt:variant>
        <vt:i4>1310771</vt:i4>
      </vt:variant>
      <vt:variant>
        <vt:i4>74</vt:i4>
      </vt:variant>
      <vt:variant>
        <vt:i4>0</vt:i4>
      </vt:variant>
      <vt:variant>
        <vt:i4>5</vt:i4>
      </vt:variant>
      <vt:variant>
        <vt:lpwstr/>
      </vt:variant>
      <vt:variant>
        <vt:lpwstr>_Toc235104459</vt:lpwstr>
      </vt:variant>
      <vt:variant>
        <vt:i4>1310771</vt:i4>
      </vt:variant>
      <vt:variant>
        <vt:i4>68</vt:i4>
      </vt:variant>
      <vt:variant>
        <vt:i4>0</vt:i4>
      </vt:variant>
      <vt:variant>
        <vt:i4>5</vt:i4>
      </vt:variant>
      <vt:variant>
        <vt:lpwstr/>
      </vt:variant>
      <vt:variant>
        <vt:lpwstr>_Toc235104458</vt:lpwstr>
      </vt:variant>
      <vt:variant>
        <vt:i4>1310771</vt:i4>
      </vt:variant>
      <vt:variant>
        <vt:i4>62</vt:i4>
      </vt:variant>
      <vt:variant>
        <vt:i4>0</vt:i4>
      </vt:variant>
      <vt:variant>
        <vt:i4>5</vt:i4>
      </vt:variant>
      <vt:variant>
        <vt:lpwstr/>
      </vt:variant>
      <vt:variant>
        <vt:lpwstr>_Toc235104457</vt:lpwstr>
      </vt:variant>
      <vt:variant>
        <vt:i4>1310771</vt:i4>
      </vt:variant>
      <vt:variant>
        <vt:i4>56</vt:i4>
      </vt:variant>
      <vt:variant>
        <vt:i4>0</vt:i4>
      </vt:variant>
      <vt:variant>
        <vt:i4>5</vt:i4>
      </vt:variant>
      <vt:variant>
        <vt:lpwstr/>
      </vt:variant>
      <vt:variant>
        <vt:lpwstr>_Toc235104456</vt:lpwstr>
      </vt:variant>
      <vt:variant>
        <vt:i4>1310771</vt:i4>
      </vt:variant>
      <vt:variant>
        <vt:i4>50</vt:i4>
      </vt:variant>
      <vt:variant>
        <vt:i4>0</vt:i4>
      </vt:variant>
      <vt:variant>
        <vt:i4>5</vt:i4>
      </vt:variant>
      <vt:variant>
        <vt:lpwstr/>
      </vt:variant>
      <vt:variant>
        <vt:lpwstr>_Toc235104455</vt:lpwstr>
      </vt:variant>
      <vt:variant>
        <vt:i4>1310771</vt:i4>
      </vt:variant>
      <vt:variant>
        <vt:i4>44</vt:i4>
      </vt:variant>
      <vt:variant>
        <vt:i4>0</vt:i4>
      </vt:variant>
      <vt:variant>
        <vt:i4>5</vt:i4>
      </vt:variant>
      <vt:variant>
        <vt:lpwstr/>
      </vt:variant>
      <vt:variant>
        <vt:lpwstr>_Toc235104454</vt:lpwstr>
      </vt:variant>
      <vt:variant>
        <vt:i4>1310771</vt:i4>
      </vt:variant>
      <vt:variant>
        <vt:i4>38</vt:i4>
      </vt:variant>
      <vt:variant>
        <vt:i4>0</vt:i4>
      </vt:variant>
      <vt:variant>
        <vt:i4>5</vt:i4>
      </vt:variant>
      <vt:variant>
        <vt:lpwstr/>
      </vt:variant>
      <vt:variant>
        <vt:lpwstr>_Toc235104453</vt:lpwstr>
      </vt:variant>
      <vt:variant>
        <vt:i4>1310771</vt:i4>
      </vt:variant>
      <vt:variant>
        <vt:i4>32</vt:i4>
      </vt:variant>
      <vt:variant>
        <vt:i4>0</vt:i4>
      </vt:variant>
      <vt:variant>
        <vt:i4>5</vt:i4>
      </vt:variant>
      <vt:variant>
        <vt:lpwstr/>
      </vt:variant>
      <vt:variant>
        <vt:lpwstr>_Toc235104452</vt:lpwstr>
      </vt:variant>
      <vt:variant>
        <vt:i4>1310771</vt:i4>
      </vt:variant>
      <vt:variant>
        <vt:i4>26</vt:i4>
      </vt:variant>
      <vt:variant>
        <vt:i4>0</vt:i4>
      </vt:variant>
      <vt:variant>
        <vt:i4>5</vt:i4>
      </vt:variant>
      <vt:variant>
        <vt:lpwstr/>
      </vt:variant>
      <vt:variant>
        <vt:lpwstr>_Toc235104451</vt:lpwstr>
      </vt:variant>
      <vt:variant>
        <vt:i4>1310771</vt:i4>
      </vt:variant>
      <vt:variant>
        <vt:i4>20</vt:i4>
      </vt:variant>
      <vt:variant>
        <vt:i4>0</vt:i4>
      </vt:variant>
      <vt:variant>
        <vt:i4>5</vt:i4>
      </vt:variant>
      <vt:variant>
        <vt:lpwstr/>
      </vt:variant>
      <vt:variant>
        <vt:lpwstr>_Toc235104450</vt:lpwstr>
      </vt:variant>
      <vt:variant>
        <vt:i4>1376307</vt:i4>
      </vt:variant>
      <vt:variant>
        <vt:i4>14</vt:i4>
      </vt:variant>
      <vt:variant>
        <vt:i4>0</vt:i4>
      </vt:variant>
      <vt:variant>
        <vt:i4>5</vt:i4>
      </vt:variant>
      <vt:variant>
        <vt:lpwstr/>
      </vt:variant>
      <vt:variant>
        <vt:lpwstr>_Toc235104449</vt:lpwstr>
      </vt:variant>
      <vt:variant>
        <vt:i4>1376307</vt:i4>
      </vt:variant>
      <vt:variant>
        <vt:i4>8</vt:i4>
      </vt:variant>
      <vt:variant>
        <vt:i4>0</vt:i4>
      </vt:variant>
      <vt:variant>
        <vt:i4>5</vt:i4>
      </vt:variant>
      <vt:variant>
        <vt:lpwstr/>
      </vt:variant>
      <vt:variant>
        <vt:lpwstr>_Toc235104448</vt:lpwstr>
      </vt:variant>
      <vt:variant>
        <vt:i4>3145829</vt:i4>
      </vt:variant>
      <vt:variant>
        <vt:i4>3</vt:i4>
      </vt:variant>
      <vt:variant>
        <vt:i4>0</vt:i4>
      </vt:variant>
      <vt:variant>
        <vt:i4>5</vt:i4>
      </vt:variant>
      <vt:variant>
        <vt:lpwstr>http://www.air.org/</vt:lpwstr>
      </vt:variant>
      <vt:variant>
        <vt:lpwstr/>
      </vt:variant>
      <vt:variant>
        <vt:i4>5308435</vt:i4>
      </vt:variant>
      <vt:variant>
        <vt:i4>0</vt:i4>
      </vt:variant>
      <vt:variant>
        <vt:i4>0</vt:i4>
      </vt:variant>
      <vt:variant>
        <vt:i4>5</vt:i4>
      </vt:variant>
      <vt:variant>
        <vt:lpwstr>http://www.doe.mass.edu/</vt:lpwstr>
      </vt:variant>
      <vt:variant>
        <vt:lpwstr/>
      </vt:variant>
      <vt:variant>
        <vt:i4>524356</vt:i4>
      </vt:variant>
      <vt:variant>
        <vt:i4>6</vt:i4>
      </vt:variant>
      <vt:variant>
        <vt:i4>0</vt:i4>
      </vt:variant>
      <vt:variant>
        <vt:i4>5</vt:i4>
      </vt:variant>
      <vt:variant>
        <vt:lpwstr>https://www.doe.mass.edu/research/radar/</vt:lpwstr>
      </vt:variant>
      <vt:variant>
        <vt:lpwstr/>
      </vt:variant>
      <vt:variant>
        <vt:i4>1114198</vt:i4>
      </vt:variant>
      <vt:variant>
        <vt:i4>3</vt:i4>
      </vt:variant>
      <vt:variant>
        <vt:i4>0</vt:i4>
      </vt:variant>
      <vt:variant>
        <vt:i4>5</vt:i4>
      </vt:variant>
      <vt:variant>
        <vt:lpwstr>https://teachstone.com/class/</vt:lpwstr>
      </vt:variant>
      <vt:variant>
        <vt:lpwstr/>
      </vt:variant>
      <vt:variant>
        <vt:i4>917598</vt:i4>
      </vt:variant>
      <vt:variant>
        <vt:i4>0</vt:i4>
      </vt:variant>
      <vt:variant>
        <vt:i4>0</vt:i4>
      </vt:variant>
      <vt:variant>
        <vt:i4>5</vt:i4>
      </vt:variant>
      <vt:variant>
        <vt:lpwstr>http://www.doe.mass.edu/accountability/district-review/district-standards-indicators.pdf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Brockton Public Schools Comprehensive District Review Report 2026</dc:title>
  <dc:subject/>
  <dc:creator>DESE</dc:creator>
  <cp:keywords/>
  <dc:description/>
  <cp:lastModifiedBy>Zou, Dong (EOE)</cp:lastModifiedBy>
  <cp:revision>16</cp:revision>
  <cp:lastPrinted>2026-06-10T05:47:00Z</cp:lastPrinted>
  <dcterms:created xsi:type="dcterms:W3CDTF">2026-07-16T21:21:00Z</dcterms:created>
  <dcterms:modified xsi:type="dcterms:W3CDTF">2026-08-12T23:12:00Z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Aut 12 2026 12:00AM</vt:lpwstr>
  </property>
</Properties>
</file>