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23A8B9D8" w:rsidR="00E47457" w:rsidRPr="00CD29D0" w:rsidRDefault="003B7119" w:rsidP="00583C0A">
      <w:pPr>
        <w:pStyle w:val="Heading1"/>
      </w:pPr>
      <w:r w:rsidRPr="00CD29D0">
        <w:t>Norton</w:t>
      </w:r>
      <w:r w:rsidR="00CE0FF0" w:rsidRPr="00CD29D0">
        <w:t xml:space="preserve"> Public Schools</w:t>
      </w:r>
    </w:p>
    <w:p w14:paraId="7F1243B7" w14:textId="61A0E059" w:rsidR="008E314D" w:rsidRPr="00CD29D0" w:rsidRDefault="00FD0F0A" w:rsidP="00583C0A">
      <w:pPr>
        <w:pStyle w:val="Titlepagesubheading"/>
      </w:pPr>
      <w:bookmarkStart w:id="0" w:name="_Hlk101983091"/>
      <w:r w:rsidRPr="00CD29D0">
        <w:t xml:space="preserve">Comprehensive </w:t>
      </w:r>
      <w:r w:rsidR="008E314D" w:rsidRPr="00CD29D0">
        <w:t>District Review Report</w:t>
      </w:r>
      <w:bookmarkEnd w:id="0"/>
    </w:p>
    <w:p w14:paraId="3575704A" w14:textId="3B5A6C07" w:rsidR="008E314D" w:rsidRPr="00CD29D0" w:rsidRDefault="00C808CD" w:rsidP="00583C0A">
      <w:pPr>
        <w:pStyle w:val="Titlepagedate"/>
      </w:pPr>
      <w:r w:rsidRPr="00CD29D0">
        <w:t>February</w:t>
      </w:r>
      <w:r w:rsidR="00510CFD" w:rsidRPr="00CD29D0">
        <w:t xml:space="preserve"> </w:t>
      </w:r>
      <w:r w:rsidR="00D84CF0" w:rsidRPr="00CD29D0">
        <w:t>20</w:t>
      </w:r>
      <w:r w:rsidR="001707CD" w:rsidRPr="00CD29D0">
        <w:t>2</w:t>
      </w:r>
      <w:r w:rsidRPr="00CD29D0">
        <w:t>6</w:t>
      </w:r>
    </w:p>
    <w:p w14:paraId="7377D20A" w14:textId="389E5A06" w:rsidR="4DF0ADFC" w:rsidRPr="00CD29D0" w:rsidRDefault="4DF0ADFC" w:rsidP="00152265">
      <w:pPr>
        <w:pStyle w:val="Titlepageorganization"/>
        <w:spacing w:before="1440"/>
      </w:pPr>
      <w:r w:rsidRPr="00CD29D0">
        <w:t>Massachusetts Department of Elementary and Secondary Education</w:t>
      </w:r>
    </w:p>
    <w:p w14:paraId="7AB2F13C" w14:textId="0DB8189D" w:rsidR="14BBBE3B" w:rsidRPr="00CD29D0" w:rsidRDefault="14BBBE3B" w:rsidP="00583C0A">
      <w:pPr>
        <w:pStyle w:val="Titlepagetext14pt"/>
      </w:pPr>
      <w:r w:rsidRPr="00CD29D0">
        <w:t>Office of District Reviews and Monitoring</w:t>
      </w:r>
    </w:p>
    <w:p w14:paraId="5DC820FA" w14:textId="5046D58B" w:rsidR="26918BE0" w:rsidRPr="00CD29D0" w:rsidRDefault="00E34155" w:rsidP="00583C0A">
      <w:pPr>
        <w:pStyle w:val="Titlepagetext10pt"/>
      </w:pPr>
      <w:r w:rsidRPr="00CD29D0">
        <w:t>135 Santilli Highway</w:t>
      </w:r>
    </w:p>
    <w:p w14:paraId="6DA8D26D" w14:textId="3BBEE20E" w:rsidR="26918BE0" w:rsidRPr="00CD29D0" w:rsidRDefault="00E34155" w:rsidP="00583C0A">
      <w:pPr>
        <w:pStyle w:val="Titlepagetext10pt"/>
      </w:pPr>
      <w:r w:rsidRPr="00CD29D0">
        <w:t>Everett</w:t>
      </w:r>
      <w:r w:rsidR="26918BE0" w:rsidRPr="00CD29D0">
        <w:t xml:space="preserve">, MA </w:t>
      </w:r>
      <w:r w:rsidR="001B2E5F" w:rsidRPr="00CD29D0">
        <w:t>02149</w:t>
      </w:r>
    </w:p>
    <w:p w14:paraId="7CA72F40" w14:textId="4A091369" w:rsidR="26918BE0" w:rsidRPr="00CD29D0" w:rsidRDefault="26918BE0" w:rsidP="00583C0A">
      <w:pPr>
        <w:pStyle w:val="Titlepagetext10pt"/>
      </w:pPr>
      <w:r w:rsidRPr="00CD29D0">
        <w:t>781-338-3000</w:t>
      </w:r>
    </w:p>
    <w:p w14:paraId="33E67B60" w14:textId="3BC9033C" w:rsidR="26918BE0" w:rsidRPr="00CD29D0" w:rsidRDefault="001774F3" w:rsidP="00457876">
      <w:pPr>
        <w:pStyle w:val="Titlepagetext10pt"/>
        <w:rPr>
          <w:rFonts w:eastAsia="Calibri" w:cs="Arial"/>
          <w:b/>
          <w:bCs/>
        </w:rPr>
      </w:pPr>
      <w:hyperlink r:id="rId11" w:history="1">
        <w:r w:rsidRPr="00CD29D0">
          <w:rPr>
            <w:rStyle w:val="Hyperlink"/>
          </w:rPr>
          <w:t>www.doe.mass.edu</w:t>
        </w:r>
      </w:hyperlink>
    </w:p>
    <w:p w14:paraId="6A94FEA6" w14:textId="057E381B" w:rsidR="00E64C7A" w:rsidRPr="00CD29D0" w:rsidRDefault="00E64C7A" w:rsidP="00152265">
      <w:pPr>
        <w:pStyle w:val="Titlepageorganization"/>
        <w:spacing w:before="480"/>
      </w:pPr>
      <w:r w:rsidRPr="00CD29D0">
        <w:t>American Institutes for Research</w:t>
      </w:r>
    </w:p>
    <w:p w14:paraId="7AF9AAE1" w14:textId="4A3D818E" w:rsidR="00D67779" w:rsidRPr="00CD29D0" w:rsidRDefault="00D67779" w:rsidP="00583C0A">
      <w:pPr>
        <w:pStyle w:val="Titlepagetext14pt"/>
      </w:pPr>
      <w:r w:rsidRPr="00CD29D0">
        <w:t>Education Systems and Policy</w:t>
      </w:r>
    </w:p>
    <w:p w14:paraId="782FD5EE" w14:textId="77777777" w:rsidR="001774F3" w:rsidRPr="00CD29D0" w:rsidRDefault="008415C9" w:rsidP="00583C0A">
      <w:pPr>
        <w:pStyle w:val="Titlepagetext10pt"/>
        <w:rPr>
          <w:shd w:val="clear" w:color="auto" w:fill="FFFFFF"/>
        </w:rPr>
      </w:pPr>
      <w:r w:rsidRPr="00CD29D0">
        <w:t>201</w:t>
      </w:r>
      <w:r w:rsidRPr="00CD29D0">
        <w:rPr>
          <w:shd w:val="clear" w:color="auto" w:fill="FFFFFF"/>
        </w:rPr>
        <w:t xml:space="preserve"> Jones Road, Suite 100</w:t>
      </w:r>
    </w:p>
    <w:p w14:paraId="75CD3090" w14:textId="4EF05E4B" w:rsidR="008415C9" w:rsidRPr="00CD29D0" w:rsidRDefault="008415C9" w:rsidP="00583C0A">
      <w:pPr>
        <w:pStyle w:val="Titlepagetext10pt"/>
      </w:pPr>
      <w:r w:rsidRPr="00CD29D0">
        <w:t>Waltham</w:t>
      </w:r>
      <w:r w:rsidRPr="00CD29D0">
        <w:rPr>
          <w:shd w:val="clear" w:color="auto" w:fill="FFFFFF"/>
        </w:rPr>
        <w:t>, MA 02451</w:t>
      </w:r>
    </w:p>
    <w:p w14:paraId="2A326DCB" w14:textId="765E42B4" w:rsidR="00144555" w:rsidRPr="00CD29D0" w:rsidRDefault="00144555" w:rsidP="00583C0A">
      <w:pPr>
        <w:pStyle w:val="Titlepagetext10pt"/>
      </w:pPr>
      <w:r w:rsidRPr="00CD29D0">
        <w:t>202</w:t>
      </w:r>
      <w:r w:rsidR="006D04CC" w:rsidRPr="00CD29D0">
        <w:t>-</w:t>
      </w:r>
      <w:r w:rsidRPr="00CD29D0">
        <w:t>403-5000</w:t>
      </w:r>
    </w:p>
    <w:p w14:paraId="5CEDCF71" w14:textId="446BE90E" w:rsidR="002025EB" w:rsidRPr="00CD29D0" w:rsidRDefault="002025EB" w:rsidP="00390CAF">
      <w:pPr>
        <w:pStyle w:val="Titlepagetext10pt"/>
        <w:spacing w:after="4680"/>
      </w:pPr>
      <w:hyperlink r:id="rId12" w:history="1">
        <w:r w:rsidRPr="00CD29D0">
          <w:rPr>
            <w:rStyle w:val="Hyperlink"/>
          </w:rPr>
          <w:t>www.air.org</w:t>
        </w:r>
      </w:hyperlink>
    </w:p>
    <w:p w14:paraId="569E3084" w14:textId="25EB038D" w:rsidR="00E64C7A" w:rsidRPr="00CD29D0" w:rsidRDefault="002025EB" w:rsidP="00457876">
      <w:pPr>
        <w:tabs>
          <w:tab w:val="right" w:pos="9090"/>
        </w:tabs>
        <w:ind w:right="90"/>
        <w:rPr>
          <w:b/>
          <w:bCs/>
          <w:sz w:val="28"/>
          <w:szCs w:val="28"/>
        </w:rPr>
      </w:pPr>
      <w:r w:rsidRPr="00CD29D0">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CD29D0">
        <w:rPr>
          <w:b/>
          <w:bCs/>
          <w:sz w:val="28"/>
          <w:szCs w:val="28"/>
        </w:rPr>
        <w:tab/>
      </w:r>
      <w:r w:rsidR="00457876" w:rsidRPr="00CD29D0">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D29D0">
        <w:rPr>
          <w:b/>
          <w:bCs/>
          <w:sz w:val="28"/>
          <w:szCs w:val="28"/>
        </w:rPr>
        <w:br w:type="page"/>
      </w:r>
    </w:p>
    <w:p w14:paraId="224357F6" w14:textId="26DBFA6B" w:rsidR="008E314D" w:rsidRPr="00CD29D0" w:rsidRDefault="00D84CF0" w:rsidP="00390CAF">
      <w:pPr>
        <w:pStyle w:val="TOCHeading"/>
      </w:pPr>
      <w:r w:rsidRPr="00CD29D0">
        <w:lastRenderedPageBreak/>
        <w:t>Contents</w:t>
      </w:r>
    </w:p>
    <w:p w14:paraId="09B54E17" w14:textId="4A828535" w:rsidR="00FC1056" w:rsidRPr="00CD29D0" w:rsidRDefault="002E7525">
      <w:pPr>
        <w:pStyle w:val="TOC1"/>
        <w:rPr>
          <w:rFonts w:eastAsiaTheme="minorEastAsia"/>
          <w:noProof/>
          <w:kern w:val="2"/>
          <w:sz w:val="24"/>
          <w:szCs w:val="24"/>
          <w14:ligatures w14:val="standardContextual"/>
        </w:rPr>
      </w:pPr>
      <w:r w:rsidRPr="00CD29D0">
        <w:rPr>
          <w:sz w:val="20"/>
          <w:szCs w:val="20"/>
        </w:rPr>
        <w:fldChar w:fldCharType="begin"/>
      </w:r>
      <w:r w:rsidRPr="00CD29D0">
        <w:rPr>
          <w:sz w:val="20"/>
          <w:szCs w:val="20"/>
        </w:rPr>
        <w:instrText xml:space="preserve"> TOC \h \z \t "Heading 2,1" </w:instrText>
      </w:r>
      <w:r w:rsidRPr="00CD29D0">
        <w:rPr>
          <w:sz w:val="20"/>
          <w:szCs w:val="20"/>
        </w:rPr>
        <w:fldChar w:fldCharType="separate"/>
      </w:r>
      <w:hyperlink w:anchor="_Toc227589890" w:history="1">
        <w:r w:rsidR="00FC1056" w:rsidRPr="00CD29D0">
          <w:rPr>
            <w:rStyle w:val="Hyperlink"/>
            <w:noProof/>
          </w:rPr>
          <w:t>Executive Summary</w:t>
        </w:r>
        <w:r w:rsidR="00FC1056" w:rsidRPr="00CD29D0">
          <w:rPr>
            <w:noProof/>
            <w:webHidden/>
          </w:rPr>
          <w:tab/>
        </w:r>
        <w:r w:rsidR="00FC1056" w:rsidRPr="00CD29D0">
          <w:rPr>
            <w:noProof/>
            <w:webHidden/>
          </w:rPr>
          <w:fldChar w:fldCharType="begin"/>
        </w:r>
        <w:r w:rsidR="00FC1056" w:rsidRPr="00CD29D0">
          <w:rPr>
            <w:noProof/>
            <w:webHidden/>
          </w:rPr>
          <w:instrText xml:space="preserve"> PAGEREF _Toc227589890 \h </w:instrText>
        </w:r>
        <w:r w:rsidR="00FC1056" w:rsidRPr="00CD29D0">
          <w:rPr>
            <w:noProof/>
            <w:webHidden/>
          </w:rPr>
        </w:r>
        <w:r w:rsidR="00FC1056" w:rsidRPr="00CD29D0">
          <w:rPr>
            <w:noProof/>
            <w:webHidden/>
          </w:rPr>
          <w:fldChar w:fldCharType="separate"/>
        </w:r>
        <w:r w:rsidR="00EA1343">
          <w:rPr>
            <w:noProof/>
            <w:webHidden/>
          </w:rPr>
          <w:t>4</w:t>
        </w:r>
        <w:r w:rsidR="00FC1056" w:rsidRPr="00CD29D0">
          <w:rPr>
            <w:noProof/>
            <w:webHidden/>
          </w:rPr>
          <w:fldChar w:fldCharType="end"/>
        </w:r>
      </w:hyperlink>
    </w:p>
    <w:p w14:paraId="0B8184C0" w14:textId="6594F4A3" w:rsidR="00FC1056" w:rsidRPr="00CD29D0" w:rsidRDefault="00FC1056">
      <w:pPr>
        <w:pStyle w:val="TOC1"/>
        <w:rPr>
          <w:rFonts w:eastAsiaTheme="minorEastAsia"/>
          <w:noProof/>
          <w:kern w:val="2"/>
          <w:sz w:val="24"/>
          <w:szCs w:val="24"/>
          <w14:ligatures w14:val="standardContextual"/>
        </w:rPr>
      </w:pPr>
      <w:hyperlink w:anchor="_Toc227589891" w:history="1">
        <w:r w:rsidRPr="00CD29D0">
          <w:rPr>
            <w:rStyle w:val="Hyperlink"/>
            <w:noProof/>
          </w:rPr>
          <w:t>Norton Public Schools: District Review Overview</w:t>
        </w:r>
        <w:r w:rsidRPr="00CD29D0">
          <w:rPr>
            <w:noProof/>
            <w:webHidden/>
          </w:rPr>
          <w:tab/>
        </w:r>
        <w:r w:rsidRPr="00CD29D0">
          <w:rPr>
            <w:noProof/>
            <w:webHidden/>
          </w:rPr>
          <w:fldChar w:fldCharType="begin"/>
        </w:r>
        <w:r w:rsidRPr="00CD29D0">
          <w:rPr>
            <w:noProof/>
            <w:webHidden/>
          </w:rPr>
          <w:instrText xml:space="preserve"> PAGEREF _Toc227589891 \h </w:instrText>
        </w:r>
        <w:r w:rsidRPr="00CD29D0">
          <w:rPr>
            <w:noProof/>
            <w:webHidden/>
          </w:rPr>
        </w:r>
        <w:r w:rsidRPr="00CD29D0">
          <w:rPr>
            <w:noProof/>
            <w:webHidden/>
          </w:rPr>
          <w:fldChar w:fldCharType="separate"/>
        </w:r>
        <w:r w:rsidR="00EA1343">
          <w:rPr>
            <w:noProof/>
            <w:webHidden/>
          </w:rPr>
          <w:t>6</w:t>
        </w:r>
        <w:r w:rsidRPr="00CD29D0">
          <w:rPr>
            <w:noProof/>
            <w:webHidden/>
          </w:rPr>
          <w:fldChar w:fldCharType="end"/>
        </w:r>
      </w:hyperlink>
    </w:p>
    <w:p w14:paraId="02CE7CAA" w14:textId="486AC49B" w:rsidR="00FC1056" w:rsidRPr="00CD29D0" w:rsidRDefault="00FC1056">
      <w:pPr>
        <w:pStyle w:val="TOC1"/>
        <w:rPr>
          <w:rFonts w:eastAsiaTheme="minorEastAsia"/>
          <w:noProof/>
          <w:kern w:val="2"/>
          <w:sz w:val="24"/>
          <w:szCs w:val="24"/>
          <w14:ligatures w14:val="standardContextual"/>
        </w:rPr>
      </w:pPr>
      <w:hyperlink w:anchor="_Toc227589892" w:history="1">
        <w:r w:rsidRPr="00CD29D0">
          <w:rPr>
            <w:rStyle w:val="Hyperlink"/>
            <w:noProof/>
          </w:rPr>
          <w:t>Leadership and Governance</w:t>
        </w:r>
        <w:r w:rsidRPr="00CD29D0">
          <w:rPr>
            <w:noProof/>
            <w:webHidden/>
          </w:rPr>
          <w:tab/>
        </w:r>
        <w:r w:rsidRPr="00CD29D0">
          <w:rPr>
            <w:noProof/>
            <w:webHidden/>
          </w:rPr>
          <w:fldChar w:fldCharType="begin"/>
        </w:r>
        <w:r w:rsidRPr="00CD29D0">
          <w:rPr>
            <w:noProof/>
            <w:webHidden/>
          </w:rPr>
          <w:instrText xml:space="preserve"> PAGEREF _Toc227589892 \h </w:instrText>
        </w:r>
        <w:r w:rsidRPr="00CD29D0">
          <w:rPr>
            <w:noProof/>
            <w:webHidden/>
          </w:rPr>
        </w:r>
        <w:r w:rsidRPr="00CD29D0">
          <w:rPr>
            <w:noProof/>
            <w:webHidden/>
          </w:rPr>
          <w:fldChar w:fldCharType="separate"/>
        </w:r>
        <w:r w:rsidR="00EA1343">
          <w:rPr>
            <w:noProof/>
            <w:webHidden/>
          </w:rPr>
          <w:t>13</w:t>
        </w:r>
        <w:r w:rsidRPr="00CD29D0">
          <w:rPr>
            <w:noProof/>
            <w:webHidden/>
          </w:rPr>
          <w:fldChar w:fldCharType="end"/>
        </w:r>
      </w:hyperlink>
    </w:p>
    <w:p w14:paraId="4691411A" w14:textId="11FD5C7E" w:rsidR="00FC1056" w:rsidRPr="00CD29D0" w:rsidRDefault="00FC1056">
      <w:pPr>
        <w:pStyle w:val="TOC1"/>
        <w:rPr>
          <w:rFonts w:eastAsiaTheme="minorEastAsia"/>
          <w:noProof/>
          <w:kern w:val="2"/>
          <w:sz w:val="24"/>
          <w:szCs w:val="24"/>
          <w14:ligatures w14:val="standardContextual"/>
        </w:rPr>
      </w:pPr>
      <w:hyperlink w:anchor="_Toc227589893" w:history="1">
        <w:r w:rsidRPr="00CD29D0">
          <w:rPr>
            <w:rStyle w:val="Hyperlink"/>
            <w:noProof/>
          </w:rPr>
          <w:t>Curriculum and Instruction</w:t>
        </w:r>
        <w:r w:rsidRPr="00CD29D0">
          <w:rPr>
            <w:noProof/>
            <w:webHidden/>
          </w:rPr>
          <w:tab/>
        </w:r>
        <w:r w:rsidRPr="00CD29D0">
          <w:rPr>
            <w:noProof/>
            <w:webHidden/>
          </w:rPr>
          <w:fldChar w:fldCharType="begin"/>
        </w:r>
        <w:r w:rsidRPr="00CD29D0">
          <w:rPr>
            <w:noProof/>
            <w:webHidden/>
          </w:rPr>
          <w:instrText xml:space="preserve"> PAGEREF _Toc227589893 \h </w:instrText>
        </w:r>
        <w:r w:rsidRPr="00CD29D0">
          <w:rPr>
            <w:noProof/>
            <w:webHidden/>
          </w:rPr>
        </w:r>
        <w:r w:rsidRPr="00CD29D0">
          <w:rPr>
            <w:noProof/>
            <w:webHidden/>
          </w:rPr>
          <w:fldChar w:fldCharType="separate"/>
        </w:r>
        <w:r w:rsidR="00EA1343">
          <w:rPr>
            <w:noProof/>
            <w:webHidden/>
          </w:rPr>
          <w:t>21</w:t>
        </w:r>
        <w:r w:rsidRPr="00CD29D0">
          <w:rPr>
            <w:noProof/>
            <w:webHidden/>
          </w:rPr>
          <w:fldChar w:fldCharType="end"/>
        </w:r>
      </w:hyperlink>
    </w:p>
    <w:p w14:paraId="4D7B56E4" w14:textId="31C29160" w:rsidR="00FC1056" w:rsidRPr="00CD29D0" w:rsidRDefault="00FC1056">
      <w:pPr>
        <w:pStyle w:val="TOC1"/>
        <w:rPr>
          <w:rFonts w:eastAsiaTheme="minorEastAsia"/>
          <w:noProof/>
          <w:kern w:val="2"/>
          <w:sz w:val="24"/>
          <w:szCs w:val="24"/>
          <w14:ligatures w14:val="standardContextual"/>
        </w:rPr>
      </w:pPr>
      <w:hyperlink w:anchor="_Toc227589894" w:history="1">
        <w:r w:rsidRPr="00CD29D0">
          <w:rPr>
            <w:rStyle w:val="Hyperlink"/>
            <w:noProof/>
          </w:rPr>
          <w:t>Assessment</w:t>
        </w:r>
        <w:r w:rsidRPr="00CD29D0">
          <w:rPr>
            <w:noProof/>
            <w:webHidden/>
          </w:rPr>
          <w:tab/>
        </w:r>
        <w:r w:rsidRPr="00CD29D0">
          <w:rPr>
            <w:noProof/>
            <w:webHidden/>
          </w:rPr>
          <w:fldChar w:fldCharType="begin"/>
        </w:r>
        <w:r w:rsidRPr="00CD29D0">
          <w:rPr>
            <w:noProof/>
            <w:webHidden/>
          </w:rPr>
          <w:instrText xml:space="preserve"> PAGEREF _Toc227589894 \h </w:instrText>
        </w:r>
        <w:r w:rsidRPr="00CD29D0">
          <w:rPr>
            <w:noProof/>
            <w:webHidden/>
          </w:rPr>
        </w:r>
        <w:r w:rsidRPr="00CD29D0">
          <w:rPr>
            <w:noProof/>
            <w:webHidden/>
          </w:rPr>
          <w:fldChar w:fldCharType="separate"/>
        </w:r>
        <w:r w:rsidR="00EA1343">
          <w:rPr>
            <w:noProof/>
            <w:webHidden/>
          </w:rPr>
          <w:t>31</w:t>
        </w:r>
        <w:r w:rsidRPr="00CD29D0">
          <w:rPr>
            <w:noProof/>
            <w:webHidden/>
          </w:rPr>
          <w:fldChar w:fldCharType="end"/>
        </w:r>
      </w:hyperlink>
    </w:p>
    <w:p w14:paraId="0FC14E82" w14:textId="6ACE3F3B" w:rsidR="00FC1056" w:rsidRPr="00CD29D0" w:rsidRDefault="00FC1056">
      <w:pPr>
        <w:pStyle w:val="TOC1"/>
        <w:rPr>
          <w:rFonts w:eastAsiaTheme="minorEastAsia"/>
          <w:noProof/>
          <w:kern w:val="2"/>
          <w:sz w:val="24"/>
          <w:szCs w:val="24"/>
          <w14:ligatures w14:val="standardContextual"/>
        </w:rPr>
      </w:pPr>
      <w:hyperlink w:anchor="_Toc227589895" w:history="1">
        <w:r w:rsidRPr="00CD29D0">
          <w:rPr>
            <w:rStyle w:val="Hyperlink"/>
            <w:noProof/>
          </w:rPr>
          <w:t>Human Resources and Professional Development</w:t>
        </w:r>
        <w:r w:rsidRPr="00CD29D0">
          <w:rPr>
            <w:noProof/>
            <w:webHidden/>
          </w:rPr>
          <w:tab/>
        </w:r>
        <w:r w:rsidRPr="00CD29D0">
          <w:rPr>
            <w:noProof/>
            <w:webHidden/>
          </w:rPr>
          <w:fldChar w:fldCharType="begin"/>
        </w:r>
        <w:r w:rsidRPr="00CD29D0">
          <w:rPr>
            <w:noProof/>
            <w:webHidden/>
          </w:rPr>
          <w:instrText xml:space="preserve"> PAGEREF _Toc227589895 \h </w:instrText>
        </w:r>
        <w:r w:rsidRPr="00CD29D0">
          <w:rPr>
            <w:noProof/>
            <w:webHidden/>
          </w:rPr>
        </w:r>
        <w:r w:rsidRPr="00CD29D0">
          <w:rPr>
            <w:noProof/>
            <w:webHidden/>
          </w:rPr>
          <w:fldChar w:fldCharType="separate"/>
        </w:r>
        <w:r w:rsidR="00EA1343">
          <w:rPr>
            <w:noProof/>
            <w:webHidden/>
          </w:rPr>
          <w:t>37</w:t>
        </w:r>
        <w:r w:rsidRPr="00CD29D0">
          <w:rPr>
            <w:noProof/>
            <w:webHidden/>
          </w:rPr>
          <w:fldChar w:fldCharType="end"/>
        </w:r>
      </w:hyperlink>
    </w:p>
    <w:p w14:paraId="05ED975D" w14:textId="41929274" w:rsidR="00FC1056" w:rsidRPr="00CD29D0" w:rsidRDefault="00FC1056">
      <w:pPr>
        <w:pStyle w:val="TOC1"/>
        <w:rPr>
          <w:rFonts w:eastAsiaTheme="minorEastAsia"/>
          <w:noProof/>
          <w:kern w:val="2"/>
          <w:sz w:val="24"/>
          <w:szCs w:val="24"/>
          <w14:ligatures w14:val="standardContextual"/>
        </w:rPr>
      </w:pPr>
      <w:hyperlink w:anchor="_Toc227589896" w:history="1">
        <w:r w:rsidRPr="00CD29D0">
          <w:rPr>
            <w:rStyle w:val="Hyperlink"/>
            <w:noProof/>
          </w:rPr>
          <w:t>Student Support</w:t>
        </w:r>
        <w:r w:rsidRPr="00CD29D0">
          <w:rPr>
            <w:noProof/>
            <w:webHidden/>
          </w:rPr>
          <w:tab/>
        </w:r>
        <w:r w:rsidRPr="00CD29D0">
          <w:rPr>
            <w:noProof/>
            <w:webHidden/>
          </w:rPr>
          <w:fldChar w:fldCharType="begin"/>
        </w:r>
        <w:r w:rsidRPr="00CD29D0">
          <w:rPr>
            <w:noProof/>
            <w:webHidden/>
          </w:rPr>
          <w:instrText xml:space="preserve"> PAGEREF _Toc227589896 \h </w:instrText>
        </w:r>
        <w:r w:rsidRPr="00CD29D0">
          <w:rPr>
            <w:noProof/>
            <w:webHidden/>
          </w:rPr>
        </w:r>
        <w:r w:rsidRPr="00CD29D0">
          <w:rPr>
            <w:noProof/>
            <w:webHidden/>
          </w:rPr>
          <w:fldChar w:fldCharType="separate"/>
        </w:r>
        <w:r w:rsidR="00EA1343">
          <w:rPr>
            <w:noProof/>
            <w:webHidden/>
          </w:rPr>
          <w:t>43</w:t>
        </w:r>
        <w:r w:rsidRPr="00CD29D0">
          <w:rPr>
            <w:noProof/>
            <w:webHidden/>
          </w:rPr>
          <w:fldChar w:fldCharType="end"/>
        </w:r>
      </w:hyperlink>
    </w:p>
    <w:p w14:paraId="06D47EDD" w14:textId="5E1ED049" w:rsidR="00FC1056" w:rsidRPr="00CD29D0" w:rsidRDefault="00FC1056">
      <w:pPr>
        <w:pStyle w:val="TOC1"/>
        <w:rPr>
          <w:rFonts w:eastAsiaTheme="minorEastAsia"/>
          <w:noProof/>
          <w:kern w:val="2"/>
          <w:sz w:val="24"/>
          <w:szCs w:val="24"/>
          <w14:ligatures w14:val="standardContextual"/>
        </w:rPr>
      </w:pPr>
      <w:hyperlink w:anchor="_Toc227589897" w:history="1">
        <w:r w:rsidRPr="00CD29D0">
          <w:rPr>
            <w:rStyle w:val="Hyperlink"/>
            <w:noProof/>
          </w:rPr>
          <w:t>Financial and Asset Management</w:t>
        </w:r>
        <w:r w:rsidRPr="00CD29D0">
          <w:rPr>
            <w:noProof/>
            <w:webHidden/>
          </w:rPr>
          <w:tab/>
        </w:r>
        <w:r w:rsidRPr="00CD29D0">
          <w:rPr>
            <w:noProof/>
            <w:webHidden/>
          </w:rPr>
          <w:fldChar w:fldCharType="begin"/>
        </w:r>
        <w:r w:rsidRPr="00CD29D0">
          <w:rPr>
            <w:noProof/>
            <w:webHidden/>
          </w:rPr>
          <w:instrText xml:space="preserve"> PAGEREF _Toc227589897 \h </w:instrText>
        </w:r>
        <w:r w:rsidRPr="00CD29D0">
          <w:rPr>
            <w:noProof/>
            <w:webHidden/>
          </w:rPr>
        </w:r>
        <w:r w:rsidRPr="00CD29D0">
          <w:rPr>
            <w:noProof/>
            <w:webHidden/>
          </w:rPr>
          <w:fldChar w:fldCharType="separate"/>
        </w:r>
        <w:r w:rsidR="00EA1343">
          <w:rPr>
            <w:noProof/>
            <w:webHidden/>
          </w:rPr>
          <w:t>53</w:t>
        </w:r>
        <w:r w:rsidRPr="00CD29D0">
          <w:rPr>
            <w:noProof/>
            <w:webHidden/>
          </w:rPr>
          <w:fldChar w:fldCharType="end"/>
        </w:r>
      </w:hyperlink>
    </w:p>
    <w:p w14:paraId="2113A0FB" w14:textId="006D5276" w:rsidR="00FC1056" w:rsidRPr="00CD29D0" w:rsidRDefault="00FC1056">
      <w:pPr>
        <w:pStyle w:val="TOC1"/>
        <w:rPr>
          <w:rFonts w:eastAsiaTheme="minorEastAsia"/>
          <w:noProof/>
          <w:kern w:val="2"/>
          <w:sz w:val="24"/>
          <w:szCs w:val="24"/>
          <w14:ligatures w14:val="standardContextual"/>
        </w:rPr>
      </w:pPr>
      <w:hyperlink w:anchor="_Toc227589898" w:history="1">
        <w:r w:rsidRPr="00CD29D0">
          <w:rPr>
            <w:rStyle w:val="Hyperlink"/>
            <w:noProof/>
          </w:rPr>
          <w:t>Appendix A. Summary of Site Visit Activities</w:t>
        </w:r>
        <w:r w:rsidRPr="00CD29D0">
          <w:rPr>
            <w:noProof/>
            <w:webHidden/>
          </w:rPr>
          <w:tab/>
          <w:t>A-</w:t>
        </w:r>
        <w:r w:rsidRPr="00CD29D0">
          <w:rPr>
            <w:noProof/>
            <w:webHidden/>
          </w:rPr>
          <w:fldChar w:fldCharType="begin"/>
        </w:r>
        <w:r w:rsidRPr="00CD29D0">
          <w:rPr>
            <w:noProof/>
            <w:webHidden/>
          </w:rPr>
          <w:instrText xml:space="preserve"> PAGEREF _Toc227589898 \h </w:instrText>
        </w:r>
        <w:r w:rsidRPr="00CD29D0">
          <w:rPr>
            <w:noProof/>
            <w:webHidden/>
          </w:rPr>
        </w:r>
        <w:r w:rsidRPr="00CD29D0">
          <w:rPr>
            <w:noProof/>
            <w:webHidden/>
          </w:rPr>
          <w:fldChar w:fldCharType="separate"/>
        </w:r>
        <w:r w:rsidR="00EA1343">
          <w:rPr>
            <w:noProof/>
            <w:webHidden/>
          </w:rPr>
          <w:t>1</w:t>
        </w:r>
        <w:r w:rsidRPr="00CD29D0">
          <w:rPr>
            <w:noProof/>
            <w:webHidden/>
          </w:rPr>
          <w:fldChar w:fldCharType="end"/>
        </w:r>
      </w:hyperlink>
    </w:p>
    <w:p w14:paraId="0913759C" w14:textId="66B325CE" w:rsidR="00FC1056" w:rsidRPr="00CD29D0" w:rsidRDefault="00FC1056">
      <w:pPr>
        <w:pStyle w:val="TOC1"/>
        <w:rPr>
          <w:rFonts w:eastAsiaTheme="minorEastAsia"/>
          <w:noProof/>
          <w:kern w:val="2"/>
          <w:sz w:val="24"/>
          <w:szCs w:val="24"/>
          <w14:ligatures w14:val="standardContextual"/>
        </w:rPr>
      </w:pPr>
      <w:hyperlink w:anchor="_Toc227589899" w:history="1">
        <w:r w:rsidRPr="00CD29D0">
          <w:rPr>
            <w:rStyle w:val="Hyperlink"/>
            <w:noProof/>
          </w:rPr>
          <w:t>Appendix B. Districtwide Instructional Observation Report</w:t>
        </w:r>
        <w:r w:rsidRPr="00CD29D0">
          <w:rPr>
            <w:noProof/>
            <w:webHidden/>
          </w:rPr>
          <w:tab/>
          <w:t>B-</w:t>
        </w:r>
        <w:r w:rsidRPr="00CD29D0">
          <w:rPr>
            <w:noProof/>
            <w:webHidden/>
          </w:rPr>
          <w:fldChar w:fldCharType="begin"/>
        </w:r>
        <w:r w:rsidRPr="00CD29D0">
          <w:rPr>
            <w:noProof/>
            <w:webHidden/>
          </w:rPr>
          <w:instrText xml:space="preserve"> PAGEREF _Toc227589899 \h </w:instrText>
        </w:r>
        <w:r w:rsidRPr="00CD29D0">
          <w:rPr>
            <w:noProof/>
            <w:webHidden/>
          </w:rPr>
        </w:r>
        <w:r w:rsidRPr="00CD29D0">
          <w:rPr>
            <w:noProof/>
            <w:webHidden/>
          </w:rPr>
          <w:fldChar w:fldCharType="separate"/>
        </w:r>
        <w:r w:rsidR="00EA1343">
          <w:rPr>
            <w:noProof/>
            <w:webHidden/>
          </w:rPr>
          <w:t>1</w:t>
        </w:r>
        <w:r w:rsidRPr="00CD29D0">
          <w:rPr>
            <w:noProof/>
            <w:webHidden/>
          </w:rPr>
          <w:fldChar w:fldCharType="end"/>
        </w:r>
      </w:hyperlink>
    </w:p>
    <w:p w14:paraId="4A938C88" w14:textId="5F5BA910" w:rsidR="00FC1056" w:rsidRPr="00CD29D0" w:rsidRDefault="00FC1056">
      <w:pPr>
        <w:pStyle w:val="TOC1"/>
        <w:rPr>
          <w:rFonts w:eastAsiaTheme="minorEastAsia"/>
          <w:noProof/>
          <w:kern w:val="2"/>
          <w:sz w:val="24"/>
          <w:szCs w:val="24"/>
          <w14:ligatures w14:val="standardContextual"/>
        </w:rPr>
      </w:pPr>
      <w:hyperlink w:anchor="_Toc227589900" w:history="1">
        <w:r w:rsidRPr="00CD29D0">
          <w:rPr>
            <w:rStyle w:val="Hyperlink"/>
            <w:noProof/>
          </w:rPr>
          <w:t>Appendix C. Resources to Support Implementation of DESE’s District Standards and Indicators</w:t>
        </w:r>
        <w:r w:rsidRPr="00CD29D0">
          <w:rPr>
            <w:noProof/>
            <w:webHidden/>
          </w:rPr>
          <w:tab/>
          <w:t>C-</w:t>
        </w:r>
        <w:r w:rsidRPr="00CD29D0">
          <w:rPr>
            <w:noProof/>
            <w:webHidden/>
          </w:rPr>
          <w:fldChar w:fldCharType="begin"/>
        </w:r>
        <w:r w:rsidRPr="00CD29D0">
          <w:rPr>
            <w:noProof/>
            <w:webHidden/>
          </w:rPr>
          <w:instrText xml:space="preserve"> PAGEREF _Toc227589900 \h </w:instrText>
        </w:r>
        <w:r w:rsidRPr="00CD29D0">
          <w:rPr>
            <w:noProof/>
            <w:webHidden/>
          </w:rPr>
        </w:r>
        <w:r w:rsidRPr="00CD29D0">
          <w:rPr>
            <w:noProof/>
            <w:webHidden/>
          </w:rPr>
          <w:fldChar w:fldCharType="separate"/>
        </w:r>
        <w:r w:rsidR="00EA1343">
          <w:rPr>
            <w:noProof/>
            <w:webHidden/>
          </w:rPr>
          <w:t>1</w:t>
        </w:r>
        <w:r w:rsidRPr="00CD29D0">
          <w:rPr>
            <w:noProof/>
            <w:webHidden/>
          </w:rPr>
          <w:fldChar w:fldCharType="end"/>
        </w:r>
      </w:hyperlink>
    </w:p>
    <w:p w14:paraId="1983135A" w14:textId="3B7DFE67" w:rsidR="00FC1056" w:rsidRPr="00CD29D0" w:rsidRDefault="00FC1056">
      <w:pPr>
        <w:pStyle w:val="TOC1"/>
        <w:rPr>
          <w:rFonts w:eastAsiaTheme="minorEastAsia"/>
          <w:noProof/>
          <w:kern w:val="2"/>
          <w:sz w:val="24"/>
          <w:szCs w:val="24"/>
          <w14:ligatures w14:val="standardContextual"/>
        </w:rPr>
      </w:pPr>
      <w:hyperlink w:anchor="_Toc227589901" w:history="1">
        <w:r w:rsidRPr="00CD29D0">
          <w:rPr>
            <w:rStyle w:val="Hyperlink"/>
            <w:noProof/>
          </w:rPr>
          <w:t>Appendix D. Enrollment, Attendance, Expenditures</w:t>
        </w:r>
        <w:r w:rsidRPr="00CD29D0">
          <w:rPr>
            <w:noProof/>
            <w:webHidden/>
          </w:rPr>
          <w:tab/>
          <w:t>D-</w:t>
        </w:r>
        <w:r w:rsidRPr="00CD29D0">
          <w:rPr>
            <w:noProof/>
            <w:webHidden/>
          </w:rPr>
          <w:fldChar w:fldCharType="begin"/>
        </w:r>
        <w:r w:rsidRPr="00CD29D0">
          <w:rPr>
            <w:noProof/>
            <w:webHidden/>
          </w:rPr>
          <w:instrText xml:space="preserve"> PAGEREF _Toc227589901 \h </w:instrText>
        </w:r>
        <w:r w:rsidRPr="00CD29D0">
          <w:rPr>
            <w:noProof/>
            <w:webHidden/>
          </w:rPr>
        </w:r>
        <w:r w:rsidRPr="00CD29D0">
          <w:rPr>
            <w:noProof/>
            <w:webHidden/>
          </w:rPr>
          <w:fldChar w:fldCharType="separate"/>
        </w:r>
        <w:r w:rsidR="00EA1343">
          <w:rPr>
            <w:noProof/>
            <w:webHidden/>
          </w:rPr>
          <w:t>1</w:t>
        </w:r>
        <w:r w:rsidRPr="00CD29D0">
          <w:rPr>
            <w:noProof/>
            <w:webHidden/>
          </w:rPr>
          <w:fldChar w:fldCharType="end"/>
        </w:r>
      </w:hyperlink>
    </w:p>
    <w:p w14:paraId="548A2448" w14:textId="36D2442A" w:rsidR="00FC1056" w:rsidRPr="00CD29D0" w:rsidRDefault="00FC1056">
      <w:pPr>
        <w:pStyle w:val="TOC1"/>
        <w:rPr>
          <w:rFonts w:eastAsiaTheme="minorEastAsia"/>
          <w:noProof/>
          <w:kern w:val="2"/>
          <w:sz w:val="24"/>
          <w:szCs w:val="24"/>
          <w14:ligatures w14:val="standardContextual"/>
        </w:rPr>
      </w:pPr>
      <w:hyperlink w:anchor="_Toc227589902" w:history="1">
        <w:r w:rsidRPr="00CD29D0">
          <w:rPr>
            <w:rStyle w:val="Hyperlink"/>
            <w:noProof/>
          </w:rPr>
          <w:t>Appendix E. Norton Public Schools: Student Performance Data</w:t>
        </w:r>
        <w:r w:rsidRPr="00CD29D0">
          <w:rPr>
            <w:noProof/>
            <w:webHidden/>
          </w:rPr>
          <w:tab/>
          <w:t>E-</w:t>
        </w:r>
        <w:r w:rsidRPr="00CD29D0">
          <w:rPr>
            <w:noProof/>
            <w:webHidden/>
          </w:rPr>
          <w:fldChar w:fldCharType="begin"/>
        </w:r>
        <w:r w:rsidRPr="00CD29D0">
          <w:rPr>
            <w:noProof/>
            <w:webHidden/>
          </w:rPr>
          <w:instrText xml:space="preserve"> PAGEREF _Toc227589902 \h </w:instrText>
        </w:r>
        <w:r w:rsidRPr="00CD29D0">
          <w:rPr>
            <w:noProof/>
            <w:webHidden/>
          </w:rPr>
        </w:r>
        <w:r w:rsidRPr="00CD29D0">
          <w:rPr>
            <w:noProof/>
            <w:webHidden/>
          </w:rPr>
          <w:fldChar w:fldCharType="separate"/>
        </w:r>
        <w:r w:rsidR="00EA1343">
          <w:rPr>
            <w:noProof/>
            <w:webHidden/>
          </w:rPr>
          <w:t>1</w:t>
        </w:r>
        <w:r w:rsidRPr="00CD29D0">
          <w:rPr>
            <w:noProof/>
            <w:webHidden/>
          </w:rPr>
          <w:fldChar w:fldCharType="end"/>
        </w:r>
      </w:hyperlink>
    </w:p>
    <w:p w14:paraId="47E28774" w14:textId="529ECE06" w:rsidR="008E314D" w:rsidRPr="00CD29D0" w:rsidRDefault="002E7525" w:rsidP="001774F3">
      <w:pPr>
        <w:pStyle w:val="BodyText"/>
      </w:pPr>
      <w:r w:rsidRPr="00CD29D0">
        <w:fldChar w:fldCharType="end"/>
      </w:r>
      <w:r w:rsidR="008E314D" w:rsidRPr="00CD29D0">
        <w:br w:type="page"/>
      </w:r>
    </w:p>
    <w:p w14:paraId="58733E23" w14:textId="14C8A17C" w:rsidR="008E314D" w:rsidRPr="00CD29D0" w:rsidRDefault="002A28B1" w:rsidP="0066116F">
      <w:pPr>
        <w:tabs>
          <w:tab w:val="right" w:pos="9360"/>
        </w:tabs>
      </w:pPr>
      <w:r w:rsidRPr="00CD29D0">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rsidRPr="00CD29D0">
        <w:tab/>
      </w:r>
      <w:r w:rsidR="00457876" w:rsidRPr="00CD29D0">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7373EF52" w14:textId="77777777" w:rsidR="003B69F3" w:rsidRPr="00CD29D0" w:rsidRDefault="003B69F3" w:rsidP="003B69F3">
      <w:pPr>
        <w:pStyle w:val="BodyText"/>
        <w:jc w:val="center"/>
      </w:pPr>
      <w:r w:rsidRPr="00CD29D0">
        <w:t>This document was prepared by the American Institutes for Research, in collaboration with the</w:t>
      </w:r>
      <w:r w:rsidRPr="00CD29D0">
        <w:br/>
        <w:t>Massachusetts Department of Elementary and Secondary Education</w:t>
      </w:r>
    </w:p>
    <w:p w14:paraId="41B10E75" w14:textId="77777777" w:rsidR="003B69F3" w:rsidRPr="00CD29D0" w:rsidRDefault="003B69F3" w:rsidP="003B69F3">
      <w:pPr>
        <w:tabs>
          <w:tab w:val="left" w:pos="360"/>
          <w:tab w:val="left" w:pos="720"/>
          <w:tab w:val="left" w:pos="1080"/>
          <w:tab w:val="left" w:pos="1440"/>
          <w:tab w:val="left" w:pos="1800"/>
          <w:tab w:val="left" w:pos="2160"/>
          <w:tab w:val="left" w:pos="2520"/>
          <w:tab w:val="left" w:pos="2880"/>
        </w:tabs>
        <w:spacing w:before="240" w:line="240" w:lineRule="auto"/>
        <w:jc w:val="center"/>
      </w:pPr>
      <w:r w:rsidRPr="00CD29D0">
        <w:t>Pedro Martinez</w:t>
      </w:r>
    </w:p>
    <w:p w14:paraId="408472A6" w14:textId="77777777" w:rsidR="003B69F3" w:rsidRPr="00CD29D0" w:rsidRDefault="003B69F3" w:rsidP="003B69F3">
      <w:pPr>
        <w:tabs>
          <w:tab w:val="left" w:pos="360"/>
          <w:tab w:val="left" w:pos="720"/>
          <w:tab w:val="left" w:pos="1080"/>
          <w:tab w:val="left" w:pos="1440"/>
          <w:tab w:val="left" w:pos="1800"/>
          <w:tab w:val="left" w:pos="2160"/>
          <w:tab w:val="left" w:pos="2520"/>
          <w:tab w:val="left" w:pos="2880"/>
        </w:tabs>
        <w:spacing w:line="240" w:lineRule="auto"/>
        <w:jc w:val="center"/>
      </w:pPr>
      <w:r w:rsidRPr="00CD29D0">
        <w:t>Commissioner</w:t>
      </w:r>
    </w:p>
    <w:p w14:paraId="342F2378" w14:textId="3EEE337E" w:rsidR="003B69F3" w:rsidRPr="00CD29D0" w:rsidRDefault="003B69F3" w:rsidP="003B69F3">
      <w:pPr>
        <w:tabs>
          <w:tab w:val="left" w:pos="360"/>
          <w:tab w:val="left" w:pos="720"/>
          <w:tab w:val="left" w:pos="1080"/>
          <w:tab w:val="left" w:pos="1440"/>
          <w:tab w:val="left" w:pos="1800"/>
          <w:tab w:val="left" w:pos="2160"/>
          <w:tab w:val="left" w:pos="2520"/>
          <w:tab w:val="left" w:pos="2880"/>
        </w:tabs>
        <w:spacing w:after="240"/>
        <w:jc w:val="center"/>
        <w:rPr>
          <w:rStyle w:val="bold"/>
          <w:highlight w:val="yellow"/>
        </w:rPr>
      </w:pPr>
      <w:r w:rsidRPr="00CD29D0">
        <w:rPr>
          <w:rStyle w:val="bold"/>
        </w:rPr>
        <w:t xml:space="preserve">Published </w:t>
      </w:r>
      <w:r w:rsidR="0087729E">
        <w:rPr>
          <w:rStyle w:val="bold"/>
        </w:rPr>
        <w:t>July</w:t>
      </w:r>
      <w:r w:rsidRPr="00CD29D0">
        <w:rPr>
          <w:rStyle w:val="bold"/>
        </w:rPr>
        <w:t xml:space="preserve"> 202</w:t>
      </w:r>
      <w:r w:rsidR="00E45BE9" w:rsidRPr="00E45BE9">
        <w:rPr>
          <w:rStyle w:val="bold"/>
        </w:rPr>
        <w:t>6</w:t>
      </w:r>
    </w:p>
    <w:p w14:paraId="0F709248" w14:textId="77777777" w:rsidR="003B69F3" w:rsidRPr="00CD29D0" w:rsidRDefault="003B69F3" w:rsidP="003B69F3">
      <w:pPr>
        <w:pStyle w:val="BodyText"/>
        <w:jc w:val="center"/>
      </w:pPr>
      <w:r w:rsidRPr="00CD29D0">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Pr="00CD29D0">
        <w:rPr>
          <w:snapToGrid w:val="0"/>
        </w:rPr>
        <w:t>135 Santilli Highway</w:t>
      </w:r>
      <w:r w:rsidRPr="00CD29D0">
        <w:t>, Everett, MA 02149. Phone: 781-338-6105.</w:t>
      </w:r>
    </w:p>
    <w:p w14:paraId="6CA885E8" w14:textId="3BEF1E47" w:rsidR="003B69F3" w:rsidRPr="00CD29D0" w:rsidRDefault="003B69F3" w:rsidP="003B69F3">
      <w:pPr>
        <w:pStyle w:val="BodyText"/>
        <w:jc w:val="center"/>
      </w:pPr>
      <w:r w:rsidRPr="00CD29D0">
        <w:t>© 202</w:t>
      </w:r>
      <w:r w:rsidR="00E45BE9">
        <w:t>6</w:t>
      </w:r>
      <w:r w:rsidRPr="00CD29D0">
        <w:t xml:space="preserve"> Massachusetts Department of Elementary and Secondary Education</w:t>
      </w:r>
    </w:p>
    <w:p w14:paraId="18260680" w14:textId="77777777" w:rsidR="003B69F3" w:rsidRPr="00CD29D0" w:rsidRDefault="003B69F3" w:rsidP="003B69F3">
      <w:pPr>
        <w:pStyle w:val="BodyTextposthead"/>
        <w:spacing w:before="240"/>
        <w:jc w:val="center"/>
        <w:rPr>
          <w:i/>
          <w:iCs/>
          <w:spacing w:val="-4"/>
        </w:rPr>
      </w:pPr>
      <w:r w:rsidRPr="00CD29D0">
        <w:rPr>
          <w:i/>
          <w:iCs/>
          <w:spacing w:val="-4"/>
        </w:rPr>
        <w:t>Permission is hereby granted to copy any or all parts of this document for non-commercial educational purposes. Please credit the “Massachusetts Department of Elementary and Secondary Education.”</w:t>
      </w:r>
    </w:p>
    <w:p w14:paraId="05D421AA" w14:textId="77777777" w:rsidR="003B69F3" w:rsidRPr="00CD29D0" w:rsidRDefault="003B69F3" w:rsidP="003B69F3">
      <w:pPr>
        <w:tabs>
          <w:tab w:val="left" w:pos="360"/>
          <w:tab w:val="left" w:pos="720"/>
          <w:tab w:val="left" w:pos="1080"/>
          <w:tab w:val="left" w:pos="1440"/>
          <w:tab w:val="left" w:pos="1800"/>
          <w:tab w:val="left" w:pos="2160"/>
          <w:tab w:val="left" w:pos="2520"/>
          <w:tab w:val="left" w:pos="2880"/>
        </w:tabs>
        <w:spacing w:before="3480" w:after="120"/>
        <w:jc w:val="center"/>
      </w:pPr>
      <w:r w:rsidRPr="00CD29D0">
        <w:t>Massachusetts Department of Elementary and Secondary Education</w:t>
      </w:r>
      <w:r w:rsidRPr="00CD29D0">
        <w:br/>
      </w:r>
      <w:r w:rsidRPr="00CD29D0">
        <w:rPr>
          <w:snapToGrid w:val="0"/>
        </w:rPr>
        <w:t>135 Santilli Highway</w:t>
      </w:r>
      <w:r w:rsidRPr="00CD29D0">
        <w:t>, Everett MA 02149</w:t>
      </w:r>
      <w:r w:rsidRPr="00CD29D0">
        <w:br/>
        <w:t>Phone: 781-338-3000</w:t>
      </w:r>
      <w:r w:rsidRPr="00CD29D0">
        <w:tab/>
        <w:t>TTY: N.E.T. Relay 800-439-2370</w:t>
      </w:r>
      <w:r w:rsidRPr="00CD29D0">
        <w:br/>
      </w:r>
      <w:hyperlink r:id="rId17" w:history="1">
        <w:r w:rsidRPr="00CD29D0">
          <w:rPr>
            <w:rStyle w:val="Hyperlink"/>
          </w:rPr>
          <w:t>ww</w:t>
        </w:r>
        <w:r w:rsidRPr="00CD29D0">
          <w:rPr>
            <w:rStyle w:val="Hyperlink"/>
            <w:color w:val="0563C1"/>
          </w:rPr>
          <w:t>w.doe.m</w:t>
        </w:r>
        <w:r w:rsidRPr="00CD29D0">
          <w:rPr>
            <w:rStyle w:val="Hyperlink"/>
          </w:rPr>
          <w:t>ass.edu</w:t>
        </w:r>
      </w:hyperlink>
    </w:p>
    <w:p w14:paraId="09993608" w14:textId="61868EA3" w:rsidR="008E314D" w:rsidRPr="00CD29D0"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D29D0"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D29D0" w:rsidRDefault="008D6102" w:rsidP="008933A3">
      <w:pPr>
        <w:pStyle w:val="Heading2"/>
      </w:pPr>
      <w:bookmarkStart w:id="1" w:name="_Toc101446225"/>
      <w:bookmarkStart w:id="2" w:name="_Toc227589890"/>
      <w:bookmarkStart w:id="3" w:name="_Toc350870260"/>
      <w:bookmarkStart w:id="4" w:name="_Toc273777167"/>
      <w:bookmarkStart w:id="5" w:name="_Toc277066425"/>
      <w:bookmarkStart w:id="6" w:name="_Toc337817149"/>
      <w:bookmarkStart w:id="7" w:name="_Toc101878649"/>
      <w:r w:rsidRPr="00CD29D0">
        <w:lastRenderedPageBreak/>
        <w:t>Executive Summary</w:t>
      </w:r>
      <w:bookmarkEnd w:id="1"/>
      <w:bookmarkEnd w:id="2"/>
    </w:p>
    <w:p w14:paraId="0C1D0C0A" w14:textId="482590DE" w:rsidR="007B718B" w:rsidRPr="00CD29D0" w:rsidRDefault="000B1DD2" w:rsidP="007B718B">
      <w:bookmarkStart w:id="8" w:name="_Hlk40937737"/>
      <w:bookmarkStart w:id="9" w:name="_Toc104552856"/>
      <w:bookmarkEnd w:id="3"/>
      <w:r w:rsidRPr="00CD29D0">
        <w:t xml:space="preserve">In accordance with Massachusetts state law, the Massachusetts Department of Elementary and Secondary Education (DESE) contracted with </w:t>
      </w:r>
      <w:r w:rsidR="0054101D" w:rsidRPr="00CD29D0">
        <w:t xml:space="preserve">the </w:t>
      </w:r>
      <w:r w:rsidRPr="00CD29D0">
        <w:t>American Institutes for Research</w:t>
      </w:r>
      <w:r w:rsidR="0054101D" w:rsidRPr="00CD29D0">
        <w:rPr>
          <w:rFonts w:ascii="Franklin Gothic Book" w:hAnsi="Franklin Gothic Book" w:cs="Calibri"/>
          <w:vertAlign w:val="superscript"/>
        </w:rPr>
        <w:t>®</w:t>
      </w:r>
      <w:r w:rsidRPr="00CD29D0">
        <w:t xml:space="preserve"> (AIR</w:t>
      </w:r>
      <w:r w:rsidR="0054101D" w:rsidRPr="00CD29D0">
        <w:rPr>
          <w:rFonts w:ascii="Franklin Gothic Book" w:hAnsi="Franklin Gothic Book" w:cs="Calibri"/>
          <w:vertAlign w:val="superscript"/>
        </w:rPr>
        <w:t>®</w:t>
      </w:r>
      <w:r w:rsidRPr="00CD29D0">
        <w:t xml:space="preserve">) to conduct a comprehensive review of </w:t>
      </w:r>
      <w:r w:rsidR="003B7119" w:rsidRPr="00CD29D0">
        <w:t>Norton Public Schools</w:t>
      </w:r>
      <w:r w:rsidRPr="00CD29D0">
        <w:t xml:space="preserve"> (</w:t>
      </w:r>
      <w:r w:rsidR="0054101D" w:rsidRPr="00CD29D0">
        <w:t xml:space="preserve">hereafter, </w:t>
      </w:r>
      <w:r w:rsidR="003B7119" w:rsidRPr="00CD29D0">
        <w:t>Norton</w:t>
      </w:r>
      <w:r w:rsidRPr="00CD29D0">
        <w:t xml:space="preserve">) in </w:t>
      </w:r>
      <w:r w:rsidR="003B7119" w:rsidRPr="00CD29D0">
        <w:t>February</w:t>
      </w:r>
      <w:r w:rsidRPr="00CD29D0">
        <w:t xml:space="preserve"> </w:t>
      </w:r>
      <w:r w:rsidR="003B7119" w:rsidRPr="00CD29D0">
        <w:t>2026</w:t>
      </w:r>
      <w:r w:rsidRPr="00CD29D0">
        <w:t xml:space="preserve">. Data collection activities associated with the review </w:t>
      </w:r>
      <w:r w:rsidR="02F46E2F" w:rsidRPr="00CD29D0">
        <w:rPr>
          <w:rFonts w:ascii="Franklin Gothic Book" w:eastAsia="Franklin Gothic Book" w:hAnsi="Franklin Gothic Book" w:cs="Franklin Gothic Book"/>
        </w:rPr>
        <w:t>included interviews, focus groups, and document reviews and were</w:t>
      </w:r>
      <w:r w:rsidR="02F46E2F" w:rsidRPr="00CD29D0">
        <w:t xml:space="preserve"> </w:t>
      </w:r>
      <w:r w:rsidR="00DE09E1" w:rsidRPr="00CD29D0">
        <w:t>designed to understand</w:t>
      </w:r>
      <w:r w:rsidRPr="00CD29D0">
        <w:t xml:space="preserve"> how </w:t>
      </w:r>
      <w:r w:rsidR="00B47B03" w:rsidRPr="00CD29D0">
        <w:t>districts</w:t>
      </w:r>
      <w:r w:rsidRPr="00CD29D0">
        <w:t xml:space="preserve"> operate in support of continuous improvement efforts. The review focused on the six standards (and related indicators) that DESE has identified as being important components of district effectiveness.</w:t>
      </w:r>
      <w:r w:rsidR="007B718B" w:rsidRPr="00CD29D0">
        <w:t xml:space="preserve"> The resulting report provide</w:t>
      </w:r>
      <w:r w:rsidR="002F7904" w:rsidRPr="00CD29D0">
        <w:t>s</w:t>
      </w:r>
      <w:r w:rsidR="007E4538" w:rsidRPr="00CD29D0">
        <w:t xml:space="preserve"> an in-depth look at district </w:t>
      </w:r>
      <w:r w:rsidR="00D97DA0" w:rsidRPr="00CD29D0">
        <w:t xml:space="preserve">systems, </w:t>
      </w:r>
      <w:r w:rsidR="00C612B4" w:rsidRPr="00CD29D0">
        <w:t>policies</w:t>
      </w:r>
      <w:r w:rsidR="00D97DA0" w:rsidRPr="00CD29D0">
        <w:t>, and practices and includes recommendations</w:t>
      </w:r>
      <w:r w:rsidR="007B718B" w:rsidRPr="00CD29D0">
        <w:t xml:space="preserve"> </w:t>
      </w:r>
      <w:r w:rsidR="002F7904" w:rsidRPr="00CD29D0">
        <w:t>to</w:t>
      </w:r>
      <w:r w:rsidR="007B718B" w:rsidRPr="00CD29D0">
        <w:t xml:space="preserve"> promote systemic improvements and advance equitable student outcomes and experiences.</w:t>
      </w:r>
      <w:r w:rsidR="007A7AC9" w:rsidRPr="00CD29D0">
        <w:rPr>
          <w:rStyle w:val="FootnoteReference"/>
        </w:rPr>
        <w:footnoteReference w:id="2"/>
      </w:r>
    </w:p>
    <w:p w14:paraId="41D8CE26" w14:textId="5CFF75DC" w:rsidR="000B1DD2" w:rsidRPr="00CD29D0" w:rsidRDefault="18845F70" w:rsidP="008933A3">
      <w:pPr>
        <w:pStyle w:val="BodyText"/>
      </w:pPr>
      <w:r w:rsidRPr="00CD29D0">
        <w:rPr>
          <w:rFonts w:ascii="Franklin Gothic Book" w:eastAsia="Franklin Gothic Book" w:hAnsi="Franklin Gothic Book" w:cs="Franklin Gothic Book"/>
        </w:rPr>
        <w:t xml:space="preserve">In addition, </w:t>
      </w:r>
      <w:r w:rsidR="0004173F">
        <w:rPr>
          <w:rFonts w:ascii="Franklin Gothic Book" w:eastAsia="Franklin Gothic Book" w:hAnsi="Franklin Gothic Book" w:cs="Franklin Gothic Book"/>
        </w:rPr>
        <w:t>four</w:t>
      </w:r>
      <w:r w:rsidR="008672D4" w:rsidRPr="00CD29D0">
        <w:t xml:space="preserve"> observers</w:t>
      </w:r>
      <w:r w:rsidR="007A7AC9" w:rsidRPr="00CD29D0">
        <w:t xml:space="preserve"> visited Norton</w:t>
      </w:r>
      <w:r w:rsidR="007A7AC9" w:rsidRPr="00CD29D0">
        <w:rPr>
          <w:rFonts w:ascii="Franklin Gothic Book" w:eastAsia="Franklin Gothic Book" w:hAnsi="Franklin Gothic Book" w:cs="Franklin Gothic Book"/>
        </w:rPr>
        <w:t xml:space="preserve"> to collect data on instructional practices in the classroom</w:t>
      </w:r>
      <w:r w:rsidR="008672D4" w:rsidRPr="00CD29D0">
        <w:t xml:space="preserve"> during the week of </w:t>
      </w:r>
      <w:r w:rsidR="004A3FF8" w:rsidRPr="00CD29D0">
        <w:t>February 2</w:t>
      </w:r>
      <w:r w:rsidR="007A7AC9" w:rsidRPr="00CD29D0">
        <w:t>, 2026</w:t>
      </w:r>
      <w:r w:rsidR="008672D4" w:rsidRPr="00CD29D0">
        <w:t xml:space="preserve">. </w:t>
      </w:r>
      <w:r w:rsidR="007A7AC9" w:rsidRPr="00CD29D0">
        <w:t>They</w:t>
      </w:r>
      <w:r w:rsidR="008672D4" w:rsidRPr="00CD29D0">
        <w:t xml:space="preserve"> conducted </w:t>
      </w:r>
      <w:r w:rsidR="00490875">
        <w:t>73</w:t>
      </w:r>
      <w:r w:rsidR="008672D4" w:rsidRPr="00CD29D0">
        <w:t xml:space="preserve"> observations in a sample of classrooms across grade levels, focused </w:t>
      </w:r>
      <w:r w:rsidR="007D2F6E" w:rsidRPr="00CD29D0">
        <w:t xml:space="preserve">primarily </w:t>
      </w:r>
      <w:r w:rsidR="008672D4" w:rsidRPr="00CD29D0">
        <w:t xml:space="preserve">on literacy, English language arts (ELA), and mathematics. The </w:t>
      </w:r>
      <w:r w:rsidR="007A7AC9" w:rsidRPr="00CD29D0">
        <w:t xml:space="preserve">observers used the </w:t>
      </w:r>
      <w:r w:rsidR="008672D4" w:rsidRPr="00CD29D0">
        <w:t>Teachstone Classroom Assessment Scoring System (CLASS) protocol, developed by the Center for Advanced Study of Teaching and Learning at the University of Virginia,</w:t>
      </w:r>
      <w:r w:rsidR="008672D4" w:rsidRPr="00CD29D0">
        <w:rPr>
          <w:rStyle w:val="FootnoteReference"/>
        </w:rPr>
        <w:footnoteReference w:id="3"/>
      </w:r>
      <w:r w:rsidR="008672D4" w:rsidRPr="00CD29D0">
        <w:t xml:space="preserve"> </w:t>
      </w:r>
      <w:r w:rsidR="00900DCE" w:rsidRPr="00CD29D0">
        <w:t xml:space="preserve">which </w:t>
      </w:r>
      <w:r w:rsidR="008672D4" w:rsidRPr="00CD29D0">
        <w:t xml:space="preserve">guided all classroom observations in the district. These </w:t>
      </w:r>
      <w:r w:rsidR="00900DCE" w:rsidRPr="00CD29D0">
        <w:t xml:space="preserve">observers followed </w:t>
      </w:r>
      <w:r w:rsidR="008672D4" w:rsidRPr="00CD29D0">
        <w:t xml:space="preserve">the three grade-band levels of the CLASS protocols: </w:t>
      </w:r>
      <w:r w:rsidR="004A1BCF">
        <w:t>Pre-</w:t>
      </w:r>
      <w:r w:rsidR="008672D4" w:rsidRPr="00CD29D0">
        <w:t>K-3, Upper Elementary (4-5), and Secondary (6</w:t>
      </w:r>
      <w:r w:rsidR="008672D4" w:rsidRPr="00CD29D0">
        <w:noBreakHyphen/>
        <w:t>12).</w:t>
      </w:r>
    </w:p>
    <w:p w14:paraId="294F0C09" w14:textId="28C9E3F7" w:rsidR="000B1DD2" w:rsidRPr="00CD29D0" w:rsidRDefault="000B1DD2" w:rsidP="006E032C">
      <w:pPr>
        <w:pStyle w:val="Heading3"/>
        <w:rPr>
          <w:rStyle w:val="Hyperlink"/>
          <w:color w:val="2F5496" w:themeColor="accent5" w:themeShade="BF"/>
          <w:u w:val="none"/>
        </w:rPr>
      </w:pPr>
      <w:hyperlink w:anchor="_Leadership_and_Governance" w:history="1">
        <w:r w:rsidRPr="00CD29D0">
          <w:rPr>
            <w:rStyle w:val="Hyperlink"/>
            <w:color w:val="2F5496" w:themeColor="accent5" w:themeShade="BF"/>
            <w:u w:val="none"/>
          </w:rPr>
          <w:t>Leadership and Governance</w:t>
        </w:r>
      </w:hyperlink>
    </w:p>
    <w:p w14:paraId="2DF7FA9D" w14:textId="77777777" w:rsidR="00D95DE1" w:rsidRDefault="00D95DE1">
      <w:pPr>
        <w:pStyle w:val="BodyTextposthead"/>
        <w:rPr>
          <w:rFonts w:cs="Calibri"/>
          <w:kern w:val="2"/>
          <w14:ligatures w14:val="standardContextual"/>
        </w:rPr>
      </w:pPr>
      <w:r>
        <w:rPr>
          <w:rFonts w:cs="Calibri"/>
        </w:rPr>
        <w:t>Norton has collaborative leadership and governance structures that support strategic planning and stakeholder engagement. Students and families participate in district decision making through the superintendent advisory group, student representation on the school committee, principal hiring committees, strategic planning, and the AI task force. A key strength is the 2025-2029 strategic plan, which clearly defines goals, priorities, and measurable benchmarks and reflects community input. School improvement plans align with the district strategy while preserving school-level autonomy, and district and school leaders use learning walks and related routines to monitor implementation.</w:t>
      </w:r>
    </w:p>
    <w:p w14:paraId="3AA2B7A1" w14:textId="77777777" w:rsidR="00D95DE1" w:rsidRDefault="00D95DE1">
      <w:pPr>
        <w:pStyle w:val="BodyTextposthead"/>
        <w:rPr>
          <w:rFonts w:cs="Calibri"/>
          <w:kern w:val="2"/>
          <w14:ligatures w14:val="standardContextual"/>
        </w:rPr>
      </w:pPr>
      <w:r>
        <w:rPr>
          <w:rFonts w:cs="Calibri"/>
        </w:rPr>
        <w:t>The district’s culture also reflects efforts to strengthen coherence and engagement across schools. For example, combining the elementary parent councils into one broader, more effective council has improved alignment and created more meaningful opportunities for families to engage with school leaders. At the same time, district leaders identified two areas for growth in leadership and governance: increasing participation in the Special Education Parent Advisory Council (SEPAC), where attendance has remained low despite previous outreach efforts, and improving working relationships between the teachers’ association and the school committee following a prolonged and contentious contract negotiation process so collaboration can better support district priorities moving forward.</w:t>
      </w:r>
    </w:p>
    <w:bookmarkEnd w:id="8"/>
    <w:p w14:paraId="770E4914" w14:textId="5450BE1B" w:rsidR="000B1DD2" w:rsidRPr="00CD29D0" w:rsidRDefault="000B1DD2" w:rsidP="006E032C">
      <w:pPr>
        <w:pStyle w:val="Heading3"/>
      </w:pPr>
      <w:r>
        <w:lastRenderedPageBreak/>
        <w:fldChar w:fldCharType="begin"/>
      </w:r>
      <w:r>
        <w:instrText>HYPERLINK \l "_Curriculum_and_Instruction"</w:instrText>
      </w:r>
      <w:r>
        <w:fldChar w:fldCharType="separate"/>
      </w:r>
      <w:r w:rsidRPr="00CD29D0">
        <w:rPr>
          <w:rStyle w:val="Hyperlink"/>
          <w:color w:val="2F5496" w:themeColor="accent5" w:themeShade="BF"/>
          <w:u w:val="none"/>
        </w:rPr>
        <w:t>Curriculum and Instruction</w:t>
      </w:r>
      <w:r>
        <w:fldChar w:fldCharType="end"/>
      </w:r>
    </w:p>
    <w:p w14:paraId="30E99958" w14:textId="3B052882" w:rsidR="00126928" w:rsidRDefault="00126928">
      <w:pPr>
        <w:pStyle w:val="BodyTextposthead"/>
        <w:rPr>
          <w:rFonts w:cs="Calibri"/>
          <w:kern w:val="2"/>
          <w14:ligatures w14:val="standardContextual"/>
        </w:rPr>
      </w:pPr>
      <w:r>
        <w:rPr>
          <w:rFonts w:cs="Calibri"/>
        </w:rPr>
        <w:t xml:space="preserve">Norton has established several conditions that support coherent curriculum and instruction across schools. Instructional leadership teams include teacher representatives from all grade spans, </w:t>
      </w:r>
      <w:r w:rsidR="00D95DE1">
        <w:rPr>
          <w:rFonts w:cs="Calibri"/>
        </w:rPr>
        <w:t>strengthening</w:t>
      </w:r>
      <w:r>
        <w:rPr>
          <w:rFonts w:cs="Calibri"/>
        </w:rPr>
        <w:t xml:space="preserve"> coherence across the district. The district also has a well-defined curriculum review and selection process that guides the evaluation and adoption of instructional materials, and staff are engaged early and consistently in iterative curriculum-mapping cycles that support implementation. In addition, the high school offers a broad range of rigorous coursework across grades, and students have access to many extracurricular opportunities, including inclusive programs such as Best Buddies that promote engagement and belonging.</w:t>
      </w:r>
    </w:p>
    <w:p w14:paraId="2FC2A363" w14:textId="4FEFC444" w:rsidR="00126928" w:rsidRDefault="00126928">
      <w:pPr>
        <w:pStyle w:val="BodyTextposthead"/>
        <w:rPr>
          <w:rFonts w:cs="Calibri"/>
          <w:kern w:val="2"/>
          <w14:ligatures w14:val="standardContextual"/>
        </w:rPr>
      </w:pPr>
      <w:r>
        <w:rPr>
          <w:rFonts w:cs="Calibri"/>
        </w:rPr>
        <w:t xml:space="preserve">At the same time, the section identifies important areas for growth in curriculum and instruction. </w:t>
      </w:r>
      <w:r w:rsidR="00D95DE1">
        <w:rPr>
          <w:rFonts w:cs="Calibri"/>
        </w:rPr>
        <w:t>All</w:t>
      </w:r>
      <w:r>
        <w:rPr>
          <w:rFonts w:cs="Calibri"/>
        </w:rPr>
        <w:t xml:space="preserve"> core subjects, especially science and history, </w:t>
      </w:r>
      <w:r w:rsidR="00D95DE1">
        <w:rPr>
          <w:rFonts w:cs="Calibri"/>
        </w:rPr>
        <w:t>need</w:t>
      </w:r>
      <w:r>
        <w:rPr>
          <w:rFonts w:cs="Calibri"/>
        </w:rPr>
        <w:t xml:space="preserve"> robust curricular materials</w:t>
      </w:r>
      <w:r w:rsidR="00D95DE1">
        <w:rPr>
          <w:rFonts w:cs="Calibri"/>
        </w:rPr>
        <w:t>.</w:t>
      </w:r>
      <w:r>
        <w:rPr>
          <w:rFonts w:cs="Calibri"/>
        </w:rPr>
        <w:t xml:space="preserve"> The district also has an opportunity to increase participation in advanced coursework, particularly among high-needs students and students with disabilities. In addition, high school guidance systems need to provide more timely support for college applications so students receive the information and assistance they need </w:t>
      </w:r>
      <w:r w:rsidR="00D95DE1">
        <w:rPr>
          <w:rFonts w:cs="Calibri"/>
        </w:rPr>
        <w:t>at</w:t>
      </w:r>
      <w:r>
        <w:rPr>
          <w:rFonts w:cs="Calibri"/>
        </w:rPr>
        <w:t xml:space="preserve"> key decision points.</w:t>
      </w:r>
    </w:p>
    <w:p w14:paraId="65498654" w14:textId="3E760A2A" w:rsidR="000B1DD2" w:rsidRPr="00CD29D0" w:rsidRDefault="000B1DD2" w:rsidP="006E032C">
      <w:pPr>
        <w:pStyle w:val="Heading3"/>
      </w:pPr>
      <w:hyperlink w:anchor="_Assessment" w:history="1">
        <w:r w:rsidRPr="00CD29D0">
          <w:rPr>
            <w:rStyle w:val="Hyperlink"/>
            <w:color w:val="2F5496" w:themeColor="accent5" w:themeShade="BF"/>
            <w:u w:val="none"/>
          </w:rPr>
          <w:t>Assessment</w:t>
        </w:r>
      </w:hyperlink>
    </w:p>
    <w:p w14:paraId="77576CA5" w14:textId="77777777" w:rsidR="00D95DE1" w:rsidRDefault="00D95DE1">
      <w:pPr>
        <w:pStyle w:val="BodyTextposthead"/>
        <w:rPr>
          <w:rFonts w:cs="Calibri"/>
          <w:kern w:val="2"/>
          <w14:ligatures w14:val="standardContextual"/>
        </w:rPr>
      </w:pPr>
      <w:r>
        <w:rPr>
          <w:rFonts w:cs="Calibri"/>
        </w:rPr>
        <w:t>Norton has established a structured assessment system that supports a data-centered culture across schools. The district uses multiple academic and nonacademic data sources—including universal screeners, targeted progress monitoring tools, common assessments, attendance, behavior, and integrated student data platforms—to inform instructional and programmatic decisions. Staff also have dedicated time and training to review and apply student data through PLCs, IMTSS and SST structures, and district professional learning, supporting a shared approach to using evidence to identify student needs and adjust instruction.</w:t>
      </w:r>
    </w:p>
    <w:p w14:paraId="242A34D2" w14:textId="77777777" w:rsidR="00D95DE1" w:rsidRDefault="00D95DE1">
      <w:pPr>
        <w:pStyle w:val="BodyTextposthead"/>
        <w:rPr>
          <w:rFonts w:cs="Calibri"/>
        </w:rPr>
      </w:pPr>
      <w:r>
        <w:rPr>
          <w:rFonts w:cs="Calibri"/>
        </w:rPr>
        <w:t>The district also provides families with regular opportunities to receive updates on student progress. Schools use conferences, report cards, family reports, ParentSquare, email, phone calls, and student information systems to share information and respond to concerns. Together, these practices reflect the strengths identified in Table 5: the district’s use of multiple academic and nonacademic data sources to guide decisions, its provision of dedicated time and training for staff to analyze and use student data, and its consistent efforts to keep families informed about student progress.</w:t>
      </w:r>
    </w:p>
    <w:p w14:paraId="48416CFE" w14:textId="35E8047F" w:rsidR="002244D3" w:rsidRDefault="002244D3">
      <w:pPr>
        <w:pStyle w:val="BodyTextposthead"/>
        <w:rPr>
          <w:rFonts w:cs="Calibri"/>
          <w:kern w:val="2"/>
          <w14:ligatures w14:val="standardContextual"/>
        </w:rPr>
      </w:pPr>
      <w:r w:rsidRPr="002244D3">
        <w:rPr>
          <w:rFonts w:cs="Calibri"/>
          <w:kern w:val="2"/>
          <w14:ligatures w14:val="standardContextual"/>
        </w:rPr>
        <w:t>At the same time, the district has identified important areas for growth in its assessment practices. These include establishing clear, districtwide norms for disaggregating data to better monitor the progress of specific student groups, particularly English Learners, and increasing coherence and consistency in grading practices at the middle and high school levels so that student performance is communicated more clearly and aligned with district priorities around equitable and meaningful assessment.</w:t>
      </w:r>
    </w:p>
    <w:p w14:paraId="05B6D72B" w14:textId="149183DD" w:rsidR="000B1DD2" w:rsidRPr="00CD29D0" w:rsidRDefault="000B1DD2" w:rsidP="006E032C">
      <w:pPr>
        <w:pStyle w:val="Heading3"/>
      </w:pPr>
      <w:hyperlink w:anchor="_Human_Resources_and" w:history="1">
        <w:r w:rsidRPr="00CD29D0">
          <w:rPr>
            <w:rStyle w:val="Hyperlink"/>
            <w:color w:val="2F5496" w:themeColor="accent5" w:themeShade="BF"/>
            <w:u w:val="none"/>
          </w:rPr>
          <w:t>Human Resources and Professional Development</w:t>
        </w:r>
      </w:hyperlink>
    </w:p>
    <w:p w14:paraId="585E2749" w14:textId="77777777" w:rsidR="00D95DE1" w:rsidRDefault="00D95DE1">
      <w:pPr>
        <w:pStyle w:val="BodyTextposthead"/>
        <w:rPr>
          <w:rFonts w:cs="Calibri"/>
          <w:kern w:val="2"/>
          <w14:ligatures w14:val="standardContextual"/>
        </w:rPr>
      </w:pPr>
      <w:r>
        <w:rPr>
          <w:rFonts w:cs="Calibri"/>
        </w:rPr>
        <w:t xml:space="preserve">Norton has several structures in place to support educator onboarding, collaboration, and professional learning. The district maintains a structured, multiyear mentoring program for new teachers, with building-based and districtwide supports that help educators navigate their roles and build professional capacity. Teachers also participate in regular collaborative planning time across </w:t>
      </w:r>
      <w:r>
        <w:rPr>
          <w:rFonts w:cs="Calibri"/>
        </w:rPr>
        <w:lastRenderedPageBreak/>
        <w:t>schools, including PLCs, team meetings, and department collaboration, supporting ongoing professional learning and shared problem solving. These practices reflect key strengths identified in Table 7: a multileveled mentoring program that supports new teachers’ onboarding and growth, and regular collaborative planning time that strengthens professional learning and collaboration.</w:t>
      </w:r>
    </w:p>
    <w:p w14:paraId="17DED64B" w14:textId="68A42927" w:rsidR="00D95DE1" w:rsidRDefault="00D95DE1">
      <w:pPr>
        <w:pStyle w:val="BodyTextposthead"/>
        <w:rPr>
          <w:rFonts w:cs="Calibri"/>
          <w:kern w:val="2"/>
          <w14:ligatures w14:val="standardContextual"/>
        </w:rPr>
      </w:pPr>
      <w:r>
        <w:rPr>
          <w:rFonts w:cs="Calibri"/>
        </w:rPr>
        <w:t xml:space="preserve">At the same time, the section identifies two important areas for growth in staffing and evaluation: diversifying the teaching staff so it better reflects the district’s student population and ensuring that teacher evaluations provide constructive, actionable feedback that supports professional growth. </w:t>
      </w:r>
    </w:p>
    <w:p w14:paraId="2D5F1324" w14:textId="3E4B4BAC" w:rsidR="000B1DD2" w:rsidRPr="00CD29D0" w:rsidRDefault="000B1DD2" w:rsidP="006E032C">
      <w:pPr>
        <w:pStyle w:val="Heading3"/>
      </w:pPr>
      <w:hyperlink w:anchor="_Student_Support" w:history="1">
        <w:r w:rsidRPr="00CD29D0">
          <w:rPr>
            <w:rStyle w:val="Hyperlink"/>
            <w:color w:val="2F5496" w:themeColor="accent5" w:themeShade="BF"/>
            <w:u w:val="none"/>
          </w:rPr>
          <w:t>Student Support</w:t>
        </w:r>
      </w:hyperlink>
    </w:p>
    <w:p w14:paraId="3CB484D4" w14:textId="77777777" w:rsidR="00F115B4" w:rsidRDefault="00F115B4">
      <w:pPr>
        <w:pStyle w:val="BodyTextposthead"/>
        <w:rPr>
          <w:rFonts w:cs="Calibri"/>
          <w:kern w:val="2"/>
          <w14:ligatures w14:val="standardContextual"/>
        </w:rPr>
      </w:pPr>
      <w:r>
        <w:rPr>
          <w:rFonts w:cs="Calibri"/>
        </w:rPr>
        <w:t>Norton has several structures in place to support students’ well-being, engagement, and access to interventions across schools. At the elementary level, PBIS is well established and consistently implemented, helping create safe and supportive environments with clear expectations and routines. Secondary students also have many leadership opportunities and activities that promote engagement and voice. In addition, all schools are designated unified schools, which supports inclusive athletics and extracurriculars for students with and without disabilities. The district also has strong community partnerships that support students’ mental health through coordinated referrals and services, and families have access to expanded community-based resources.</w:t>
      </w:r>
    </w:p>
    <w:p w14:paraId="0E5BFEC8" w14:textId="261F11D8" w:rsidR="00F115B4" w:rsidRDefault="00F115B4">
      <w:pPr>
        <w:pStyle w:val="BodyTextposthead"/>
        <w:rPr>
          <w:rFonts w:cs="Calibri"/>
          <w:kern w:val="2"/>
          <w14:ligatures w14:val="standardContextual"/>
        </w:rPr>
      </w:pPr>
      <w:r>
        <w:rPr>
          <w:rFonts w:cs="Calibri"/>
        </w:rPr>
        <w:t>The district’s student support systems also reflect strengths in how services are organized and monitored. Elementary IMTSS processes clearly identify students’ needs and assign academic interventions, and district leaders use learning walks to monitor Tier 1 instruction and interventions across schools. At the same time, the section identifies several areas for growth</w:t>
      </w:r>
      <w:r w:rsidR="00526A25">
        <w:rPr>
          <w:rFonts w:cs="Calibri"/>
        </w:rPr>
        <w:t xml:space="preserve"> including: </w:t>
      </w:r>
      <w:r>
        <w:rPr>
          <w:rFonts w:cs="Calibri"/>
        </w:rPr>
        <w:t xml:space="preserve"> strengthen</w:t>
      </w:r>
      <w:r w:rsidR="00526A25">
        <w:rPr>
          <w:rFonts w:cs="Calibri"/>
        </w:rPr>
        <w:t>ing</w:t>
      </w:r>
      <w:r>
        <w:rPr>
          <w:rFonts w:cs="Calibri"/>
        </w:rPr>
        <w:t xml:space="preserve"> systems and staffing to support students’ social-emotional and behavioral needs at the middle school</w:t>
      </w:r>
      <w:r w:rsidR="00EB3B98">
        <w:rPr>
          <w:rFonts w:cs="Calibri"/>
        </w:rPr>
        <w:t xml:space="preserve">; </w:t>
      </w:r>
      <w:r w:rsidR="00565F52" w:rsidRPr="00565F52">
        <w:rPr>
          <w:rFonts w:cs="Calibri"/>
        </w:rPr>
        <w:t>ensur</w:t>
      </w:r>
      <w:r w:rsidR="00EB3B98">
        <w:rPr>
          <w:rFonts w:cs="Calibri"/>
        </w:rPr>
        <w:t xml:space="preserve">ing </w:t>
      </w:r>
      <w:r w:rsidR="00565F52" w:rsidRPr="00565F52">
        <w:rPr>
          <w:rFonts w:cs="Calibri"/>
        </w:rPr>
        <w:t>adequate staffing and instructional time to support ELs and students with disabilitie</w:t>
      </w:r>
      <w:r w:rsidR="00EB3B98">
        <w:rPr>
          <w:rFonts w:cs="Calibri"/>
        </w:rPr>
        <w:t>s;</w:t>
      </w:r>
      <w:r>
        <w:rPr>
          <w:rFonts w:cs="Calibri"/>
        </w:rPr>
        <w:t xml:space="preserve"> and increas</w:t>
      </w:r>
      <w:r w:rsidR="00EB3B98">
        <w:rPr>
          <w:rFonts w:cs="Calibri"/>
        </w:rPr>
        <w:t>ing</w:t>
      </w:r>
      <w:r>
        <w:rPr>
          <w:rFonts w:cs="Calibri"/>
        </w:rPr>
        <w:t xml:space="preserve"> family engagement in leadership and planning, particularly at the high school.</w:t>
      </w:r>
    </w:p>
    <w:p w14:paraId="202DC286" w14:textId="586E6819" w:rsidR="000B1DD2" w:rsidRPr="00CD29D0" w:rsidRDefault="000B1DD2" w:rsidP="006E032C">
      <w:pPr>
        <w:pStyle w:val="Heading3"/>
      </w:pPr>
      <w:hyperlink w:anchor="_Financial_and_Asset" w:history="1">
        <w:r w:rsidRPr="00CD29D0">
          <w:rPr>
            <w:rStyle w:val="Hyperlink"/>
            <w:color w:val="2F5496" w:themeColor="accent5" w:themeShade="BF"/>
            <w:u w:val="none"/>
          </w:rPr>
          <w:t>Financial and Asset Management</w:t>
        </w:r>
      </w:hyperlink>
    </w:p>
    <w:bookmarkEnd w:id="9"/>
    <w:p w14:paraId="79A05ABF" w14:textId="77777777" w:rsidR="00D95DE1" w:rsidRDefault="00D95DE1">
      <w:pPr>
        <w:pStyle w:val="BodyTextposthead"/>
        <w:rPr>
          <w:rFonts w:cs="Calibri"/>
          <w:kern w:val="2"/>
          <w14:ligatures w14:val="standardContextual"/>
        </w:rPr>
      </w:pPr>
      <w:r>
        <w:rPr>
          <w:rFonts w:cs="Calibri"/>
        </w:rPr>
        <w:t>Norton has several systems in place to support transparent budgeting, operational continuity, and long-term planning. The business office is adequately staffed with qualified personnel, and the district follows a clear budget development process that includes community input and an established schedule. Budget documents are publicly available and provide detailed, accessible information to help stakeholders understand district needs and priorities. The district also maintains a five-year capital improvement plan with an annual request process for immediate and longer-term needs, supporting more strategic planning for facilities and other assets.</w:t>
      </w:r>
    </w:p>
    <w:p w14:paraId="392C3321" w14:textId="39328E23" w:rsidR="00D95DE1" w:rsidRDefault="00D95DE1">
      <w:pPr>
        <w:pStyle w:val="BodyTextposthead"/>
        <w:rPr>
          <w:rFonts w:cs="Calibri"/>
          <w:kern w:val="2"/>
          <w14:ligatures w14:val="standardContextual"/>
        </w:rPr>
      </w:pPr>
      <w:bookmarkStart w:id="10" w:name="_Toc227589891"/>
      <w:r>
        <w:rPr>
          <w:rFonts w:cs="Calibri"/>
        </w:rPr>
        <w:t xml:space="preserve">At the same time, the section identifies several areas for growth in financial and asset management: formalizing the division of responsibilities between the district and the town in a written agreement, addressing ongoing challenges with implementation of the cellphone and bring-your-own-device policies so expectations are applied more consistently and equitably, and developing a more systematic approach to tracking capital assets the district already owns. </w:t>
      </w:r>
    </w:p>
    <w:p w14:paraId="7A47C448" w14:textId="54E29871" w:rsidR="003D6ECF" w:rsidRPr="00CD29D0" w:rsidRDefault="004A3FF8" w:rsidP="006E032C">
      <w:pPr>
        <w:pStyle w:val="Heading2"/>
      </w:pPr>
      <w:r w:rsidRPr="00CD29D0">
        <w:lastRenderedPageBreak/>
        <w:t>Norton</w:t>
      </w:r>
      <w:r w:rsidR="003D6ECF" w:rsidRPr="00CD29D0">
        <w:t xml:space="preserve"> </w:t>
      </w:r>
      <w:r w:rsidR="00D30A74" w:rsidRPr="00CD29D0">
        <w:t xml:space="preserve">Public Schools: </w:t>
      </w:r>
      <w:r w:rsidR="003D6ECF" w:rsidRPr="00CD29D0">
        <w:t>District Review Overview</w:t>
      </w:r>
      <w:bookmarkEnd w:id="10"/>
    </w:p>
    <w:p w14:paraId="2E41F691" w14:textId="77777777" w:rsidR="003D6ECF" w:rsidRPr="00CD29D0" w:rsidRDefault="003D6ECF" w:rsidP="006E032C">
      <w:pPr>
        <w:pStyle w:val="Heading3"/>
      </w:pPr>
      <w:bookmarkStart w:id="11" w:name="_Toc273777149"/>
      <w:bookmarkStart w:id="12" w:name="_Toc277066412"/>
      <w:bookmarkStart w:id="13" w:name="_Toc338665638"/>
      <w:r w:rsidRPr="00CD29D0">
        <w:t>Purpose</w:t>
      </w:r>
      <w:bookmarkEnd w:id="11"/>
      <w:bookmarkEnd w:id="12"/>
      <w:bookmarkEnd w:id="13"/>
    </w:p>
    <w:p w14:paraId="339CEE9F" w14:textId="4F5954EF" w:rsidR="003D6ECF" w:rsidRPr="00CD29D0" w:rsidRDefault="003D6ECF" w:rsidP="003D6ECF">
      <w:pPr>
        <w:pStyle w:val="BodyTextposthead"/>
        <w:rPr>
          <w:rFonts w:cs="Calibri"/>
          <w:bCs/>
        </w:rPr>
      </w:pPr>
      <w:r w:rsidRPr="00CD29D0">
        <w:t xml:space="preserve">Conducted under Chapter 15, Section 55A of the Massachusetts General Laws, </w:t>
      </w:r>
      <w:r w:rsidR="00D30A74" w:rsidRPr="00CD29D0">
        <w:t xml:space="preserve">comprehensive </w:t>
      </w:r>
      <w:r w:rsidRPr="00CD29D0">
        <w:t xml:space="preserve">district reviews support local school districts in establishing or strengthening a cycle of continuous improvement. Reviews </w:t>
      </w:r>
      <w:r w:rsidR="00D30A74" w:rsidRPr="00CD29D0">
        <w:t xml:space="preserve">carefully </w:t>
      </w:r>
      <w:r w:rsidRPr="00CD29D0">
        <w:t xml:space="preserve">consider the effectiveness of systemwide functions, </w:t>
      </w:r>
      <w:r w:rsidR="00D30A74" w:rsidRPr="00CD29D0">
        <w:t>referring</w:t>
      </w:r>
      <w:r w:rsidRPr="00CD29D0">
        <w:t xml:space="preserve"> to the six district standards used by DESE: </w:t>
      </w:r>
      <w:r w:rsidR="00612D54" w:rsidRPr="00CD29D0">
        <w:t xml:space="preserve">(a) </w:t>
      </w:r>
      <w:r w:rsidRPr="00CD29D0">
        <w:t xml:space="preserve">Leadership and Governance, </w:t>
      </w:r>
      <w:r w:rsidR="00612D54" w:rsidRPr="00CD29D0">
        <w:t xml:space="preserve">(b) </w:t>
      </w:r>
      <w:r w:rsidRPr="00CD29D0">
        <w:t xml:space="preserve">Curriculum and Instruction, </w:t>
      </w:r>
      <w:r w:rsidR="00612D54" w:rsidRPr="00CD29D0">
        <w:t xml:space="preserve">(c) </w:t>
      </w:r>
      <w:r w:rsidRPr="00CD29D0">
        <w:t xml:space="preserve">Assessment, </w:t>
      </w:r>
      <w:r w:rsidR="00612D54" w:rsidRPr="00CD29D0">
        <w:t xml:space="preserve">(d) </w:t>
      </w:r>
      <w:r w:rsidRPr="00CD29D0">
        <w:t xml:space="preserve">Human Resources and Professional Development, </w:t>
      </w:r>
      <w:r w:rsidR="00612D54" w:rsidRPr="00CD29D0">
        <w:t>(e)</w:t>
      </w:r>
      <w:r w:rsidR="006E032C" w:rsidRPr="00CD29D0">
        <w:t xml:space="preserve"> </w:t>
      </w:r>
      <w:r w:rsidRPr="00CD29D0">
        <w:t xml:space="preserve">Student Support, and </w:t>
      </w:r>
      <w:r w:rsidR="00612D54" w:rsidRPr="00CD29D0">
        <w:t>(f) </w:t>
      </w:r>
      <w:r w:rsidRPr="00CD29D0">
        <w:t xml:space="preserve">Financial and Asset Management. Reviews </w:t>
      </w:r>
      <w:r w:rsidR="00D740FB" w:rsidRPr="00CD29D0">
        <w:t>provide the state, district leaders, and the public with an in-depth look into the systems, structures, and practices of a district and how they affect student experiences and opportunities.</w:t>
      </w:r>
      <w:r w:rsidR="0079466E" w:rsidRPr="00CD29D0">
        <w:t xml:space="preserve"> Dis</w:t>
      </w:r>
      <w:r w:rsidR="00F01D16" w:rsidRPr="00CD29D0">
        <w:t>trict reviews provide information and recommendations</w:t>
      </w:r>
      <w:r w:rsidR="00793B34" w:rsidRPr="00CD29D0">
        <w:t xml:space="preserve"> to </w:t>
      </w:r>
      <w:r w:rsidR="00B81D99" w:rsidRPr="00CD29D0">
        <w:t>support districts in</w:t>
      </w:r>
      <w:r w:rsidR="00793B34" w:rsidRPr="00CD29D0">
        <w:rPr>
          <w:rFonts w:cs="Calibri"/>
          <w:bCs/>
        </w:rPr>
        <w:t xml:space="preserve"> </w:t>
      </w:r>
      <w:r w:rsidR="00B81D99" w:rsidRPr="00CD29D0">
        <w:rPr>
          <w:rFonts w:cs="Calibri"/>
          <w:bCs/>
        </w:rPr>
        <w:t xml:space="preserve">implementing </w:t>
      </w:r>
      <w:r w:rsidR="007E7A6E" w:rsidRPr="00CD29D0">
        <w:rPr>
          <w:rFonts w:cs="Calibri"/>
          <w:bCs/>
        </w:rPr>
        <w:t>systemic improvements and advanc</w:t>
      </w:r>
      <w:r w:rsidR="00194B54" w:rsidRPr="00CD29D0">
        <w:rPr>
          <w:rFonts w:cs="Calibri"/>
          <w:bCs/>
        </w:rPr>
        <w:t>ing</w:t>
      </w:r>
      <w:r w:rsidR="007E7A6E" w:rsidRPr="00CD29D0">
        <w:rPr>
          <w:rFonts w:cs="Calibri"/>
          <w:bCs/>
        </w:rPr>
        <w:t xml:space="preserve"> equitable student outcomes and experiences.</w:t>
      </w:r>
    </w:p>
    <w:p w14:paraId="267B0A5A" w14:textId="77777777" w:rsidR="003D6ECF" w:rsidRPr="00CD29D0" w:rsidRDefault="003D6ECF" w:rsidP="006E032C">
      <w:pPr>
        <w:pStyle w:val="Heading3"/>
      </w:pPr>
      <w:bookmarkStart w:id="14" w:name="_Toc273777151"/>
      <w:bookmarkStart w:id="15" w:name="_Toc277066413"/>
      <w:bookmarkStart w:id="16" w:name="_Toc338665639"/>
      <w:r w:rsidRPr="00CD29D0">
        <w:t>Methodology</w:t>
      </w:r>
      <w:bookmarkEnd w:id="14"/>
      <w:bookmarkEnd w:id="15"/>
      <w:bookmarkEnd w:id="16"/>
    </w:p>
    <w:p w14:paraId="6A0B0F11" w14:textId="57B5D6F7" w:rsidR="009D0554" w:rsidRPr="00CD29D0" w:rsidRDefault="003D6ECF" w:rsidP="003D6ECF">
      <w:pPr>
        <w:pStyle w:val="BodyTextposthead"/>
      </w:pPr>
      <w:r w:rsidRPr="00CD29D0">
        <w:t xml:space="preserve">A district review team </w:t>
      </w:r>
      <w:r w:rsidR="00B36416" w:rsidRPr="00CD29D0">
        <w:t>comprising</w:t>
      </w:r>
      <w:r w:rsidRPr="00CD29D0">
        <w:t xml:space="preserve"> AIR staff members and subcontractors, with expertise in each district standard, review</w:t>
      </w:r>
      <w:r w:rsidR="00B36416" w:rsidRPr="00CD29D0">
        <w:t>ed</w:t>
      </w:r>
      <w:r w:rsidRPr="00CD29D0">
        <w:t xml:space="preserve"> documentation and extant data prior to conducting an on</w:t>
      </w:r>
      <w:r w:rsidR="00D30A74" w:rsidRPr="00CD29D0">
        <w:t>-</w:t>
      </w:r>
      <w:r w:rsidRPr="00CD29D0">
        <w:t>site visit. On</w:t>
      </w:r>
      <w:r w:rsidR="006E032C" w:rsidRPr="00CD29D0">
        <w:noBreakHyphen/>
      </w:r>
      <w:r w:rsidRPr="00CD29D0">
        <w:t xml:space="preserve">site data collection includes team members conducting interviews and focus group sessions with a wide range of stakeholders, including </w:t>
      </w:r>
      <w:r w:rsidR="009F03CD" w:rsidRPr="00CD29D0">
        <w:t xml:space="preserve">municipal </w:t>
      </w:r>
      <w:r w:rsidR="00132A2B" w:rsidRPr="00CD29D0">
        <w:t>staff</w:t>
      </w:r>
      <w:r w:rsidR="009F03CD" w:rsidRPr="00CD29D0">
        <w:t xml:space="preserve">, </w:t>
      </w:r>
      <w:r w:rsidRPr="00CD29D0">
        <w:t xml:space="preserve">school committee members, teachers’ association representatives, district and school administrators, teachers, students, and students’ families. </w:t>
      </w:r>
      <w:r w:rsidR="00F97066" w:rsidRPr="00CD29D0">
        <w:t>Reviewers also conduct</w:t>
      </w:r>
      <w:r w:rsidR="00B36416" w:rsidRPr="00CD29D0">
        <w:t>ed</w:t>
      </w:r>
      <w:r w:rsidR="00F97066" w:rsidRPr="00CD29D0">
        <w:t xml:space="preserve"> focus groups and v</w:t>
      </w:r>
      <w:r w:rsidR="005803A6" w:rsidRPr="00CD29D0">
        <w:t xml:space="preserve">irtual interviews as needed. </w:t>
      </w:r>
      <w:r w:rsidR="00491ACB" w:rsidRPr="00CD29D0">
        <w:t xml:space="preserve">Information about review activities and the site visit schedule is in Appendix A. </w:t>
      </w:r>
      <w:r w:rsidRPr="00CD29D0">
        <w:t>Team members also observe</w:t>
      </w:r>
      <w:r w:rsidR="00B36416" w:rsidRPr="00CD29D0">
        <w:t>d</w:t>
      </w:r>
      <w:r w:rsidRPr="00CD29D0">
        <w:t xml:space="preserve"> classroom instruction and collect</w:t>
      </w:r>
      <w:r w:rsidR="00B36416" w:rsidRPr="00CD29D0">
        <w:t>ed</w:t>
      </w:r>
      <w:r w:rsidRPr="00CD29D0">
        <w:t xml:space="preserve"> data using the CLASS protocol. </w:t>
      </w:r>
      <w:r w:rsidR="005803A6" w:rsidRPr="00CD29D0">
        <w:t>The Districtwide Instructional Observation Report</w:t>
      </w:r>
      <w:r w:rsidR="00006535" w:rsidRPr="00CD29D0">
        <w:t xml:space="preserve"> resulting from these classroom observations</w:t>
      </w:r>
      <w:r w:rsidR="005803A6" w:rsidRPr="00CD29D0">
        <w:t xml:space="preserve"> is </w:t>
      </w:r>
      <w:r w:rsidR="009D0554" w:rsidRPr="00CD29D0">
        <w:t>i</w:t>
      </w:r>
      <w:r w:rsidR="005803A6" w:rsidRPr="00CD29D0">
        <w:t xml:space="preserve">n Appendix </w:t>
      </w:r>
      <w:r w:rsidR="00006535" w:rsidRPr="00CD29D0">
        <w:t>B</w:t>
      </w:r>
      <w:r w:rsidR="005803A6" w:rsidRPr="00CD29D0">
        <w:t>.</w:t>
      </w:r>
    </w:p>
    <w:p w14:paraId="5948E833" w14:textId="454D2D05" w:rsidR="003D6ECF" w:rsidRPr="00CD29D0" w:rsidRDefault="007A3B7C" w:rsidP="006E032C">
      <w:pPr>
        <w:pStyle w:val="BodyText"/>
      </w:pPr>
      <w:r w:rsidRPr="00CD29D0">
        <w:t xml:space="preserve">Following the site visit, all interview and focus group data </w:t>
      </w:r>
      <w:r w:rsidR="00B36416" w:rsidRPr="00CD29D0">
        <w:t xml:space="preserve">were </w:t>
      </w:r>
      <w:r w:rsidRPr="00CD29D0">
        <w:t xml:space="preserve">transcribed using automated transcription. The transcripts </w:t>
      </w:r>
      <w:r w:rsidR="00B36416" w:rsidRPr="00CD29D0">
        <w:t>were</w:t>
      </w:r>
      <w:r w:rsidRPr="00CD29D0">
        <w:t xml:space="preserve"> then coded using both deterministic coding, based on the protocol questions</w:t>
      </w:r>
      <w:r w:rsidR="00B36416" w:rsidRPr="00CD29D0">
        <w:t xml:space="preserve"> and</w:t>
      </w:r>
      <w:r w:rsidRPr="00CD29D0">
        <w:t xml:space="preserve"> natural language processing models. Team members analyze</w:t>
      </w:r>
      <w:r w:rsidR="00B36416" w:rsidRPr="00CD29D0">
        <w:t>d</w:t>
      </w:r>
      <w:r w:rsidRPr="00CD29D0">
        <w:t xml:space="preserve"> the coded data to develop a set of objective findings. </w:t>
      </w:r>
      <w:r w:rsidR="003D6ECF" w:rsidRPr="00CD29D0">
        <w:t>The team lead and multiple quality assurance reviewers, including DESE staff, then review</w:t>
      </w:r>
      <w:r w:rsidR="00B36416" w:rsidRPr="00CD29D0">
        <w:t>ed</w:t>
      </w:r>
      <w:r w:rsidR="003D6ECF" w:rsidRPr="00CD29D0">
        <w:t xml:space="preserve"> the initial draft of the report. DESE staff </w:t>
      </w:r>
      <w:r w:rsidR="00B36416" w:rsidRPr="00CD29D0">
        <w:t xml:space="preserve">first </w:t>
      </w:r>
      <w:r w:rsidR="003D6ECF" w:rsidRPr="00CD29D0">
        <w:t>provide</w:t>
      </w:r>
      <w:r w:rsidR="00B36416" w:rsidRPr="00CD29D0">
        <w:t>d</w:t>
      </w:r>
      <w:r w:rsidR="003D6ECF" w:rsidRPr="00CD29D0">
        <w:t xml:space="preserve"> recommendations for the district, based on the findings of strengths and areas of growth identified</w:t>
      </w:r>
      <w:r w:rsidR="00D30A74" w:rsidRPr="00CD29D0">
        <w:t>,</w:t>
      </w:r>
      <w:r w:rsidR="003D6ECF" w:rsidRPr="00CD29D0">
        <w:t xml:space="preserve"> </w:t>
      </w:r>
      <w:r w:rsidR="00B36416" w:rsidRPr="00CD29D0">
        <w:t xml:space="preserve">and then </w:t>
      </w:r>
      <w:r w:rsidR="003D6ECF" w:rsidRPr="00CD29D0">
        <w:t>AIR finalize</w:t>
      </w:r>
      <w:r w:rsidR="00B36416" w:rsidRPr="00CD29D0">
        <w:t>d</w:t>
      </w:r>
      <w:r w:rsidR="003D6ECF" w:rsidRPr="00CD29D0">
        <w:t xml:space="preserve"> and submit</w:t>
      </w:r>
      <w:r w:rsidR="00B36416" w:rsidRPr="00CD29D0">
        <w:t>ted</w:t>
      </w:r>
      <w:r w:rsidR="003D6ECF" w:rsidRPr="00CD29D0">
        <w:t xml:space="preserve"> the report to DESE</w:t>
      </w:r>
      <w:r w:rsidR="003D6ECF" w:rsidRPr="00CD29D0">
        <w:rPr>
          <w:color w:val="000080"/>
        </w:rPr>
        <w:t>. D</w:t>
      </w:r>
      <w:r w:rsidR="003D6ECF" w:rsidRPr="00CD29D0">
        <w:t>ESE preview</w:t>
      </w:r>
      <w:r w:rsidR="00B36416" w:rsidRPr="00CD29D0">
        <w:t>ed the report</w:t>
      </w:r>
      <w:r w:rsidR="003D6ECF" w:rsidRPr="00CD29D0">
        <w:t xml:space="preserve"> and then </w:t>
      </w:r>
      <w:r w:rsidR="00B36416" w:rsidRPr="00CD29D0">
        <w:t xml:space="preserve">sent it </w:t>
      </w:r>
      <w:r w:rsidR="003D6ECF" w:rsidRPr="00CD29D0">
        <w:t>to the district for factual review before publishing it on the DESE website.</w:t>
      </w:r>
      <w:r w:rsidR="00C268FD" w:rsidRPr="00CD29D0">
        <w:t xml:space="preserve"> </w:t>
      </w:r>
      <w:r w:rsidR="00D3025F" w:rsidRPr="00CD29D0">
        <w:t>DESE also provide</w:t>
      </w:r>
      <w:r w:rsidR="00B36416" w:rsidRPr="00CD29D0">
        <w:t>d</w:t>
      </w:r>
      <w:r w:rsidR="00D3025F" w:rsidRPr="00CD29D0">
        <w:t xml:space="preserve"> </w:t>
      </w:r>
      <w:r w:rsidR="00C268FD" w:rsidRPr="00CD29D0">
        <w:t>additional resources to support implementation of DESE’s District Standards and Indicators</w:t>
      </w:r>
      <w:r w:rsidR="009D0554" w:rsidRPr="00CD29D0">
        <w:t>, summarized</w:t>
      </w:r>
      <w:r w:rsidR="00D3025F" w:rsidRPr="00CD29D0">
        <w:t xml:space="preserve"> in Appendix </w:t>
      </w:r>
      <w:r w:rsidR="00006535" w:rsidRPr="00CD29D0">
        <w:t>C</w:t>
      </w:r>
      <w:r w:rsidR="00C268FD" w:rsidRPr="00CD29D0">
        <w:t>.</w:t>
      </w:r>
    </w:p>
    <w:p w14:paraId="5D00CDA2" w14:textId="77777777" w:rsidR="003D6ECF" w:rsidRPr="00CD29D0" w:rsidRDefault="003D6ECF" w:rsidP="006E032C">
      <w:pPr>
        <w:pStyle w:val="Heading3"/>
      </w:pPr>
      <w:r w:rsidRPr="00CD29D0">
        <w:t>Site Visit</w:t>
      </w:r>
    </w:p>
    <w:p w14:paraId="02DDA948" w14:textId="61156E2F" w:rsidR="003D6ECF" w:rsidRPr="00CD29D0" w:rsidRDefault="003D6ECF" w:rsidP="002945E5">
      <w:pPr>
        <w:pStyle w:val="BodyTextposthead"/>
      </w:pPr>
      <w:r w:rsidRPr="00CD29D0">
        <w:t xml:space="preserve">The site visit to </w:t>
      </w:r>
      <w:r w:rsidR="004A3FF8" w:rsidRPr="00CD29D0">
        <w:t>Norton</w:t>
      </w:r>
      <w:r w:rsidRPr="00CD29D0">
        <w:t xml:space="preserve"> </w:t>
      </w:r>
      <w:r w:rsidR="00B36416" w:rsidRPr="00CD29D0">
        <w:t>occurred</w:t>
      </w:r>
      <w:r w:rsidRPr="00CD29D0">
        <w:t xml:space="preserve"> during the week of </w:t>
      </w:r>
      <w:r w:rsidR="004A3FF8" w:rsidRPr="00CD29D0">
        <w:t>February 2</w:t>
      </w:r>
      <w:r w:rsidR="00B36416" w:rsidRPr="00CD29D0">
        <w:t>, 2026</w:t>
      </w:r>
      <w:r w:rsidRPr="00CD29D0">
        <w:t xml:space="preserve">. The site visit included </w:t>
      </w:r>
      <w:r w:rsidR="00E20912" w:rsidRPr="00CD29D0">
        <w:t>19</w:t>
      </w:r>
      <w:r w:rsidR="006E032C" w:rsidRPr="00CD29D0">
        <w:t> </w:t>
      </w:r>
      <w:r w:rsidRPr="00CD29D0">
        <w:t xml:space="preserve">hours of interviews and focus groups, including school committee members, district administrators, school staff, students, students’ families, and teachers’ association representatives. The review team conducted </w:t>
      </w:r>
      <w:r w:rsidR="002638BD" w:rsidRPr="00CD29D0">
        <w:t>three</w:t>
      </w:r>
      <w:r w:rsidR="00D30A74" w:rsidRPr="00CD29D0">
        <w:t xml:space="preserve"> </w:t>
      </w:r>
      <w:r w:rsidRPr="00CD29D0">
        <w:t xml:space="preserve">teacher focus groups with </w:t>
      </w:r>
      <w:r w:rsidR="0023650C" w:rsidRPr="00CD29D0">
        <w:t>six</w:t>
      </w:r>
      <w:r w:rsidR="00DC35F4" w:rsidRPr="00CD29D0">
        <w:t xml:space="preserve"> </w:t>
      </w:r>
      <w:r w:rsidRPr="00CD29D0">
        <w:t>elementary</w:t>
      </w:r>
      <w:r w:rsidR="00D02CA3" w:rsidRPr="00CD29D0">
        <w:t xml:space="preserve"> </w:t>
      </w:r>
      <w:r w:rsidRPr="00CD29D0">
        <w:t xml:space="preserve">school teachers, </w:t>
      </w:r>
      <w:r w:rsidR="00873D0D" w:rsidRPr="00CD29D0">
        <w:t>five</w:t>
      </w:r>
      <w:r w:rsidR="00D30A74" w:rsidRPr="00CD29D0">
        <w:t xml:space="preserve"> </w:t>
      </w:r>
      <w:r w:rsidRPr="00CD29D0">
        <w:t>middle</w:t>
      </w:r>
      <w:r w:rsidR="00D02CA3" w:rsidRPr="00CD29D0">
        <w:t xml:space="preserve"> </w:t>
      </w:r>
      <w:r w:rsidRPr="00CD29D0">
        <w:t xml:space="preserve">school teachers, and </w:t>
      </w:r>
      <w:r w:rsidR="00592911" w:rsidRPr="00CD29D0">
        <w:t>seven</w:t>
      </w:r>
      <w:r w:rsidRPr="00CD29D0">
        <w:t xml:space="preserve"> high</w:t>
      </w:r>
      <w:r w:rsidR="00D02CA3" w:rsidRPr="00CD29D0">
        <w:t xml:space="preserve"> </w:t>
      </w:r>
      <w:r w:rsidRPr="00CD29D0">
        <w:t>school teachers</w:t>
      </w:r>
      <w:r w:rsidR="00FC43E8" w:rsidRPr="00CD29D0">
        <w:t xml:space="preserve">; </w:t>
      </w:r>
      <w:r w:rsidR="00E20912" w:rsidRPr="00CD29D0">
        <w:t>two</w:t>
      </w:r>
      <w:r w:rsidR="00DC35F4" w:rsidRPr="00CD29D0">
        <w:t xml:space="preserve"> </w:t>
      </w:r>
      <w:r w:rsidR="00FC43E8" w:rsidRPr="00CD29D0">
        <w:rPr>
          <w:rFonts w:ascii="Franklin Gothic Book" w:hAnsi="Franklin Gothic Book"/>
          <w:color w:val="000000"/>
          <w:shd w:val="clear" w:color="auto" w:fill="FFFFFF"/>
        </w:rPr>
        <w:t xml:space="preserve">focus groups with </w:t>
      </w:r>
      <w:r w:rsidR="00873D0D" w:rsidRPr="00CD29D0">
        <w:t>nine</w:t>
      </w:r>
      <w:r w:rsidR="00DC35F4" w:rsidRPr="00CD29D0">
        <w:t xml:space="preserve"> </w:t>
      </w:r>
      <w:r w:rsidR="00FC43E8" w:rsidRPr="00CD29D0">
        <w:rPr>
          <w:rFonts w:ascii="Franklin Gothic Book" w:hAnsi="Franklin Gothic Book"/>
          <w:color w:val="000000"/>
          <w:shd w:val="clear" w:color="auto" w:fill="FFFFFF"/>
        </w:rPr>
        <w:t xml:space="preserve">middle school and </w:t>
      </w:r>
      <w:r w:rsidR="00050873" w:rsidRPr="00CD29D0">
        <w:t>10</w:t>
      </w:r>
      <w:r w:rsidR="00DC35F4" w:rsidRPr="00CD29D0">
        <w:t xml:space="preserve"> </w:t>
      </w:r>
      <w:r w:rsidR="00FC43E8" w:rsidRPr="00CD29D0">
        <w:rPr>
          <w:rFonts w:ascii="Franklin Gothic Book" w:hAnsi="Franklin Gothic Book"/>
          <w:color w:val="000000"/>
          <w:shd w:val="clear" w:color="auto" w:fill="FFFFFF"/>
        </w:rPr>
        <w:t xml:space="preserve">high school students; and </w:t>
      </w:r>
      <w:r w:rsidR="00E20912" w:rsidRPr="00CD29D0">
        <w:t>one</w:t>
      </w:r>
      <w:r w:rsidR="00DC35F4" w:rsidRPr="00CD29D0">
        <w:t xml:space="preserve"> </w:t>
      </w:r>
      <w:r w:rsidR="00FC43E8" w:rsidRPr="00CD29D0">
        <w:rPr>
          <w:rFonts w:ascii="Franklin Gothic Book" w:hAnsi="Franklin Gothic Book"/>
          <w:color w:val="000000"/>
          <w:shd w:val="clear" w:color="auto" w:fill="FFFFFF"/>
        </w:rPr>
        <w:t xml:space="preserve">family focus groups with </w:t>
      </w:r>
      <w:r w:rsidR="00E20912" w:rsidRPr="00CD29D0">
        <w:t>four</w:t>
      </w:r>
      <w:r w:rsidR="00DC35F4" w:rsidRPr="00CD29D0">
        <w:t xml:space="preserve"> </w:t>
      </w:r>
      <w:r w:rsidR="00FC43E8" w:rsidRPr="00CD29D0">
        <w:rPr>
          <w:rFonts w:ascii="Franklin Gothic Book" w:hAnsi="Franklin Gothic Book"/>
          <w:color w:val="000000"/>
          <w:shd w:val="clear" w:color="auto" w:fill="FFFFFF"/>
        </w:rPr>
        <w:t>parents</w:t>
      </w:r>
      <w:r w:rsidR="00FC43E8" w:rsidRPr="00CD29D0">
        <w:rPr>
          <w:rFonts w:ascii="Franklin Gothic Book" w:hAnsi="Franklin Gothic Book"/>
          <w:shd w:val="clear" w:color="auto" w:fill="FFFFFF"/>
        </w:rPr>
        <w:t>.</w:t>
      </w:r>
      <w:r w:rsidR="2976EE1D" w:rsidRPr="00CD29D0">
        <w:rPr>
          <w:rFonts w:ascii="Franklin Gothic Book" w:hAnsi="Franklin Gothic Book"/>
          <w:shd w:val="clear" w:color="auto" w:fill="FFFFFF"/>
        </w:rPr>
        <w:t xml:space="preserve"> </w:t>
      </w:r>
      <w:r w:rsidR="001E0B31" w:rsidRPr="00CD29D0">
        <w:rPr>
          <w:rFonts w:ascii="Franklin Gothic Book" w:eastAsia="Franklin Gothic Book" w:hAnsi="Franklin Gothic Book" w:cs="Franklin Gothic Book"/>
        </w:rPr>
        <w:t xml:space="preserve">Data collection also </w:t>
      </w:r>
      <w:r w:rsidR="001E0B31" w:rsidRPr="00CD29D0">
        <w:rPr>
          <w:rFonts w:ascii="Franklin Gothic Book" w:eastAsia="Franklin Gothic Book" w:hAnsi="Franklin Gothic Book" w:cs="Franklin Gothic Book"/>
        </w:rPr>
        <w:lastRenderedPageBreak/>
        <w:t>included distributing a questionnaire to district leaders</w:t>
      </w:r>
      <w:r w:rsidR="00EB25BC" w:rsidRPr="00CD29D0">
        <w:rPr>
          <w:rFonts w:ascii="Franklin Gothic Book" w:eastAsia="Franklin Gothic Book" w:hAnsi="Franklin Gothic Book" w:cs="Franklin Gothic Book"/>
        </w:rPr>
        <w:t xml:space="preserve"> and</w:t>
      </w:r>
      <w:r w:rsidR="001E0B31" w:rsidRPr="00CD29D0">
        <w:rPr>
          <w:rFonts w:ascii="Franklin Gothic Book" w:eastAsia="Franklin Gothic Book" w:hAnsi="Franklin Gothic Book" w:cs="Franklin Gothic Book"/>
        </w:rPr>
        <w:t xml:space="preserve"> principal</w:t>
      </w:r>
      <w:r w:rsidR="00EB25BC" w:rsidRPr="00CD29D0">
        <w:rPr>
          <w:rFonts w:ascii="Franklin Gothic Book" w:eastAsia="Franklin Gothic Book" w:hAnsi="Franklin Gothic Book" w:cs="Franklin Gothic Book"/>
        </w:rPr>
        <w:t>s</w:t>
      </w:r>
      <w:r w:rsidR="001E0B31" w:rsidRPr="00CD29D0">
        <w:rPr>
          <w:rFonts w:ascii="Franklin Gothic Book" w:eastAsia="Franklin Gothic Book" w:hAnsi="Franklin Gothic Book" w:cs="Franklin Gothic Book"/>
        </w:rPr>
        <w:t xml:space="preserve"> to gather information about district and school processes and operations</w:t>
      </w:r>
      <w:r w:rsidR="00EB25BC" w:rsidRPr="00CD29D0">
        <w:rPr>
          <w:rFonts w:ascii="Franklin Gothic Book" w:eastAsia="Franklin Gothic Book" w:hAnsi="Franklin Gothic Book" w:cs="Franklin Gothic Book"/>
        </w:rPr>
        <w:t>. R</w:t>
      </w:r>
      <w:r w:rsidR="001E0B31" w:rsidRPr="00CD29D0">
        <w:rPr>
          <w:rFonts w:ascii="Franklin Gothic Book" w:eastAsia="Franklin Gothic Book" w:hAnsi="Franklin Gothic Book" w:cs="Franklin Gothic Book"/>
        </w:rPr>
        <w:t xml:space="preserve">espondents in </w:t>
      </w:r>
      <w:r w:rsidR="00E20912" w:rsidRPr="00CD29D0">
        <w:rPr>
          <w:rFonts w:ascii="Franklin Gothic Book" w:eastAsia="Franklin Gothic Book" w:hAnsi="Franklin Gothic Book" w:cs="Franklin Gothic Book"/>
        </w:rPr>
        <w:t>Norton</w:t>
      </w:r>
      <w:r w:rsidR="001E0B31" w:rsidRPr="00CD29D0">
        <w:rPr>
          <w:rFonts w:ascii="Franklin Gothic Book" w:eastAsia="Franklin Gothic Book" w:hAnsi="Franklin Gothic Book" w:cs="Franklin Gothic Book"/>
        </w:rPr>
        <w:t xml:space="preserve"> completed the district questionnaire and </w:t>
      </w:r>
      <w:r w:rsidR="00E20912" w:rsidRPr="00CD29D0">
        <w:rPr>
          <w:rFonts w:ascii="Franklin Gothic Book" w:eastAsia="Franklin Gothic Book" w:hAnsi="Franklin Gothic Book" w:cs="Franklin Gothic Book"/>
        </w:rPr>
        <w:t>five</w:t>
      </w:r>
      <w:r w:rsidR="001E0B31" w:rsidRPr="00CD29D0">
        <w:rPr>
          <w:rFonts w:ascii="Franklin Gothic Book" w:eastAsia="Franklin Gothic Book" w:hAnsi="Franklin Gothic Book" w:cs="Franklin Gothic Book"/>
        </w:rPr>
        <w:t xml:space="preserve"> of </w:t>
      </w:r>
      <w:r w:rsidR="00E20912" w:rsidRPr="00CD29D0">
        <w:rPr>
          <w:rFonts w:ascii="Franklin Gothic Book" w:eastAsia="Franklin Gothic Book" w:hAnsi="Franklin Gothic Book" w:cs="Franklin Gothic Book"/>
        </w:rPr>
        <w:t>five</w:t>
      </w:r>
      <w:r w:rsidR="001E0B31" w:rsidRPr="00CD29D0">
        <w:rPr>
          <w:rFonts w:ascii="Franklin Gothic Book" w:eastAsia="Franklin Gothic Book" w:hAnsi="Franklin Gothic Book" w:cs="Franklin Gothic Book"/>
        </w:rPr>
        <w:t xml:space="preserve"> principal questionnaires.</w:t>
      </w:r>
    </w:p>
    <w:p w14:paraId="7ADDBDCD" w14:textId="77777777" w:rsidR="00A45A08" w:rsidRPr="00CD29D0" w:rsidRDefault="003D6ECF" w:rsidP="006E032C">
      <w:pPr>
        <w:pStyle w:val="BodyText"/>
      </w:pPr>
      <w:r w:rsidRPr="00CD29D0">
        <w:t xml:space="preserve">The site team also conducted </w:t>
      </w:r>
      <w:r w:rsidR="00692BE1" w:rsidRPr="00CD29D0">
        <w:t>73</w:t>
      </w:r>
      <w:r w:rsidRPr="00CD29D0">
        <w:t xml:space="preserve"> observations of classroom instruction in </w:t>
      </w:r>
      <w:r w:rsidR="00E20912" w:rsidRPr="00CD29D0">
        <w:t>five</w:t>
      </w:r>
      <w:r w:rsidR="006D04CC" w:rsidRPr="00CD29D0">
        <w:t xml:space="preserve"> </w:t>
      </w:r>
      <w:r w:rsidRPr="00CD29D0">
        <w:t>schools.</w:t>
      </w:r>
      <w:r w:rsidR="00B72349" w:rsidRPr="00CD29D0">
        <w:rPr>
          <w:rStyle w:val="CommentReference"/>
        </w:rPr>
        <w:t xml:space="preserve"> </w:t>
      </w:r>
      <w:r w:rsidR="00D30A74" w:rsidRPr="00CD29D0">
        <w:t>C</w:t>
      </w:r>
      <w:r w:rsidRPr="00CD29D0">
        <w:t>ertified team members conducted instructional observations using the Teachstone CLASS protocol</w:t>
      </w:r>
      <w:r w:rsidR="00A45A08" w:rsidRPr="00CD29D0">
        <w:t>.</w:t>
      </w:r>
    </w:p>
    <w:p w14:paraId="2B77C53A" w14:textId="245F6621" w:rsidR="003D6ECF" w:rsidRPr="00CD29D0" w:rsidRDefault="003D6ECF" w:rsidP="006E032C">
      <w:pPr>
        <w:pStyle w:val="Heading3"/>
      </w:pPr>
      <w:r w:rsidRPr="00CD29D0">
        <w:t>District Profile</w:t>
      </w:r>
    </w:p>
    <w:p w14:paraId="597D448F" w14:textId="0392F173" w:rsidR="00F42F05" w:rsidRPr="00CD29D0" w:rsidRDefault="00F42F05" w:rsidP="002945E5">
      <w:pPr>
        <w:pStyle w:val="BodyTextposthead"/>
      </w:pPr>
      <w:r w:rsidRPr="00CD29D0">
        <w:t xml:space="preserve">The Town of Norton is located in southeast Massachusetts and borders the towns of Mansfield and Rehoboth. According to </w:t>
      </w:r>
      <w:hyperlink r:id="rId21">
        <w:r w:rsidRPr="00CD29D0">
          <w:rPr>
            <w:color w:val="0563C1"/>
            <w:u w:val="single"/>
          </w:rPr>
          <w:t>census data</w:t>
        </w:r>
      </w:hyperlink>
      <w:r w:rsidRPr="00CD29D0">
        <w:t>, Norton’s median income from 2020</w:t>
      </w:r>
      <w:r w:rsidR="00042DD9" w:rsidRPr="00CD29D0">
        <w:t xml:space="preserve"> to </w:t>
      </w:r>
      <w:r w:rsidRPr="00CD29D0">
        <w:t xml:space="preserve">2024 was $124,535, which is </w:t>
      </w:r>
      <w:r w:rsidR="00386776" w:rsidRPr="00CD29D0">
        <w:t>above</w:t>
      </w:r>
      <w:r w:rsidRPr="00CD29D0">
        <w:t xml:space="preserve"> the state median income of $101,341. In 2024, Norton had an estimated 19,392</w:t>
      </w:r>
      <w:r w:rsidR="006E032C" w:rsidRPr="00CD29D0">
        <w:t> </w:t>
      </w:r>
      <w:r w:rsidRPr="00CD29D0">
        <w:t>residents.</w:t>
      </w:r>
    </w:p>
    <w:p w14:paraId="047DAD22" w14:textId="7A825E24" w:rsidR="00A942D3" w:rsidRPr="00CD29D0" w:rsidRDefault="30193FFC" w:rsidP="006E032C">
      <w:pPr>
        <w:pStyle w:val="BodyText"/>
      </w:pPr>
      <w:r w:rsidRPr="00CD29D0">
        <w:t xml:space="preserve">The superintendent of </w:t>
      </w:r>
      <w:r w:rsidR="007A0EAB" w:rsidRPr="00CD29D0">
        <w:t>Norton</w:t>
      </w:r>
      <w:r w:rsidRPr="00CD29D0">
        <w:t xml:space="preserve"> is </w:t>
      </w:r>
      <w:r w:rsidR="0020371F" w:rsidRPr="00CD29D0">
        <w:t>Dr. Jennifer O’Neil</w:t>
      </w:r>
      <w:r w:rsidR="007A0EAB" w:rsidRPr="00CD29D0">
        <w:t>l</w:t>
      </w:r>
      <w:r w:rsidRPr="00CD29D0">
        <w:t xml:space="preserve">, who was appointed in </w:t>
      </w:r>
      <w:r w:rsidR="00263AC2" w:rsidRPr="00CD29D0">
        <w:t>2023</w:t>
      </w:r>
      <w:r w:rsidRPr="00CD29D0">
        <w:t xml:space="preserve">. </w:t>
      </w:r>
      <w:r w:rsidR="00042DD9" w:rsidRPr="00CD29D0">
        <w:t>A</w:t>
      </w:r>
      <w:r w:rsidRPr="00CD29D0">
        <w:t xml:space="preserve"> school committee of </w:t>
      </w:r>
      <w:r w:rsidR="007A0EAB" w:rsidRPr="00CD29D0">
        <w:t>five</w:t>
      </w:r>
      <w:r w:rsidR="008A695B" w:rsidRPr="00CD29D0">
        <w:t xml:space="preserve"> </w:t>
      </w:r>
      <w:r w:rsidRPr="00CD29D0">
        <w:t>members</w:t>
      </w:r>
      <w:r w:rsidR="00042DD9" w:rsidRPr="00CD29D0">
        <w:t>,</w:t>
      </w:r>
      <w:r w:rsidRPr="00CD29D0">
        <w:t xml:space="preserve"> elected for </w:t>
      </w:r>
      <w:r w:rsidR="007A0EAB" w:rsidRPr="00CD29D0">
        <w:t>three</w:t>
      </w:r>
      <w:r w:rsidRPr="00CD29D0">
        <w:t>-year terms</w:t>
      </w:r>
      <w:r w:rsidR="00042DD9" w:rsidRPr="00CD29D0">
        <w:t>, also governs the district</w:t>
      </w:r>
      <w:r w:rsidRPr="00CD29D0">
        <w:t>.</w:t>
      </w:r>
    </w:p>
    <w:p w14:paraId="5C72CAA4" w14:textId="2339C4DB" w:rsidR="00A942D3" w:rsidRPr="00CD29D0" w:rsidRDefault="006376FC" w:rsidP="006E032C">
      <w:pPr>
        <w:pStyle w:val="BodyText"/>
      </w:pPr>
      <w:r w:rsidRPr="00CD29D0">
        <w:t>T</w:t>
      </w:r>
      <w:r w:rsidR="30193FFC" w:rsidRPr="00CD29D0">
        <w:t xml:space="preserve">he district served </w:t>
      </w:r>
      <w:r w:rsidR="00957592" w:rsidRPr="00CD29D0">
        <w:t>2,277</w:t>
      </w:r>
      <w:r w:rsidR="30193FFC" w:rsidRPr="00CD29D0">
        <w:t xml:space="preserve"> students across its </w:t>
      </w:r>
      <w:r w:rsidR="00957592" w:rsidRPr="00CD29D0">
        <w:t>five</w:t>
      </w:r>
      <w:r w:rsidR="008A695B" w:rsidRPr="00CD29D0">
        <w:t xml:space="preserve"> </w:t>
      </w:r>
      <w:r w:rsidR="30193FFC" w:rsidRPr="00CD29D0">
        <w:t>schools</w:t>
      </w:r>
      <w:r w:rsidRPr="00CD29D0">
        <w:t xml:space="preserve"> in the 2025-2026 school year</w:t>
      </w:r>
      <w:r w:rsidR="30193FFC" w:rsidRPr="00CD29D0">
        <w:t xml:space="preserve">. </w:t>
      </w:r>
      <w:r w:rsidRPr="00CD29D0">
        <w:t>T</w:t>
      </w:r>
      <w:r w:rsidR="30193FFC" w:rsidRPr="00CD29D0">
        <w:t xml:space="preserve">otal enrollment has </w:t>
      </w:r>
      <w:r w:rsidR="00FD413F" w:rsidRPr="00CD29D0">
        <w:t>decreased</w:t>
      </w:r>
      <w:r w:rsidR="30193FFC" w:rsidRPr="00CD29D0">
        <w:t xml:space="preserve"> by </w:t>
      </w:r>
      <w:r w:rsidR="00040BBA" w:rsidRPr="00CD29D0">
        <w:t>99</w:t>
      </w:r>
      <w:r w:rsidR="008A695B" w:rsidRPr="00CD29D0">
        <w:t xml:space="preserve"> </w:t>
      </w:r>
      <w:r w:rsidR="30193FFC" w:rsidRPr="00CD29D0">
        <w:t>students</w:t>
      </w:r>
      <w:r w:rsidRPr="00CD29D0">
        <w:t xml:space="preserve"> since the 2021-2022 school year</w:t>
      </w:r>
      <w:r w:rsidR="30193FFC" w:rsidRPr="00CD29D0">
        <w:t>. Table 1 provides an overview of student enrollment by school for the 202</w:t>
      </w:r>
      <w:r w:rsidR="008A695B" w:rsidRPr="00CD29D0">
        <w:t>5</w:t>
      </w:r>
      <w:r w:rsidR="008024CA" w:rsidRPr="00CD29D0">
        <w:t>-</w:t>
      </w:r>
      <w:r w:rsidR="30193FFC" w:rsidRPr="00CD29D0">
        <w:t>202</w:t>
      </w:r>
      <w:r w:rsidR="008A695B" w:rsidRPr="00CD29D0">
        <w:t>6</w:t>
      </w:r>
      <w:r w:rsidR="30193FFC" w:rsidRPr="00CD29D0">
        <w:t xml:space="preserve"> school year.</w:t>
      </w:r>
    </w:p>
    <w:p w14:paraId="1525FC54" w14:textId="4BF5DBF5" w:rsidR="00A942D3" w:rsidRPr="00CD29D0" w:rsidRDefault="30193FFC" w:rsidP="006E032C">
      <w:pPr>
        <w:pStyle w:val="TableTitle0"/>
      </w:pPr>
      <w:r w:rsidRPr="00CD29D0">
        <w:t>Table 1. Schools, Type, Grades Served, and Enrollment, 202</w:t>
      </w:r>
      <w:r w:rsidR="008A695B" w:rsidRPr="00CD29D0">
        <w:t>5</w:t>
      </w:r>
      <w:r w:rsidRPr="00CD29D0">
        <w:t>-202</w:t>
      </w:r>
      <w:r w:rsidR="008A695B" w:rsidRPr="00CD29D0">
        <w:t>6</w:t>
      </w:r>
    </w:p>
    <w:tbl>
      <w:tblPr>
        <w:tblStyle w:val="MSVTable1"/>
        <w:tblW w:w="5000" w:type="pct"/>
        <w:tblLayout w:type="fixed"/>
        <w:tblLook w:val="0020" w:firstRow="1" w:lastRow="0" w:firstColumn="0" w:lastColumn="0" w:noHBand="0" w:noVBand="0"/>
        <w:tblCaption w:val="Table 1. Schools, Type, Grades Served, and Enrollment, 2025-2026"/>
        <w:tblDescription w:val="Schools, Type, Grades Served, and Enrollment, 2025-2026"/>
      </w:tblPr>
      <w:tblGrid>
        <w:gridCol w:w="3828"/>
        <w:gridCol w:w="1989"/>
        <w:gridCol w:w="1613"/>
        <w:gridCol w:w="1914"/>
      </w:tblGrid>
      <w:tr w:rsidR="37EFC250" w:rsidRPr="00CD29D0" w14:paraId="1BBB85AD" w14:textId="77777777" w:rsidTr="000C09FA">
        <w:trPr>
          <w:cnfStyle w:val="100000000000" w:firstRow="1" w:lastRow="0" w:firstColumn="0" w:lastColumn="0" w:oddVBand="0" w:evenVBand="0" w:oddHBand="0" w:evenHBand="0" w:firstRowFirstColumn="0" w:firstRowLastColumn="0" w:lastRowFirstColumn="0" w:lastRowLastColumn="0"/>
          <w:tblHeader/>
        </w:trPr>
        <w:tc>
          <w:tcPr>
            <w:tcW w:w="3810" w:type="dxa"/>
            <w:shd w:val="clear" w:color="auto" w:fill="2F5496"/>
          </w:tcPr>
          <w:p w14:paraId="39770C1E" w14:textId="7F18F268" w:rsidR="37EFC250" w:rsidRPr="00CD29D0" w:rsidRDefault="37EFC250" w:rsidP="00831A02">
            <w:pPr>
              <w:pStyle w:val="TableColHeadingCenter"/>
              <w:rPr>
                <w:bCs/>
              </w:rPr>
            </w:pPr>
            <w:r w:rsidRPr="00CD29D0">
              <w:t>School</w:t>
            </w:r>
          </w:p>
        </w:tc>
        <w:tc>
          <w:tcPr>
            <w:tcW w:w="1980" w:type="dxa"/>
            <w:shd w:val="clear" w:color="auto" w:fill="2F5496"/>
          </w:tcPr>
          <w:p w14:paraId="26EE3300" w14:textId="6FB02BBF" w:rsidR="37EFC250" w:rsidRPr="00CD29D0" w:rsidRDefault="37EFC250" w:rsidP="00831A02">
            <w:pPr>
              <w:pStyle w:val="TableColHeadingCenter"/>
            </w:pPr>
            <w:r w:rsidRPr="00CD29D0">
              <w:t>Type</w:t>
            </w:r>
          </w:p>
        </w:tc>
        <w:tc>
          <w:tcPr>
            <w:tcW w:w="1605" w:type="dxa"/>
            <w:shd w:val="clear" w:color="auto" w:fill="2F5496"/>
          </w:tcPr>
          <w:p w14:paraId="42EB77C4" w14:textId="0462FD0C" w:rsidR="37EFC250" w:rsidRPr="00CD29D0" w:rsidRDefault="37EFC250" w:rsidP="00831A02">
            <w:pPr>
              <w:pStyle w:val="TableColHeadingCenter"/>
            </w:pPr>
            <w:r w:rsidRPr="00CD29D0">
              <w:t>Grades served</w:t>
            </w:r>
          </w:p>
        </w:tc>
        <w:tc>
          <w:tcPr>
            <w:tcW w:w="1905" w:type="dxa"/>
            <w:shd w:val="clear" w:color="auto" w:fill="2F5496"/>
          </w:tcPr>
          <w:p w14:paraId="1551B54C" w14:textId="7791E953" w:rsidR="37EFC250" w:rsidRPr="00CD29D0" w:rsidRDefault="37EFC250" w:rsidP="00831A02">
            <w:pPr>
              <w:pStyle w:val="TableColHeadingCenter"/>
            </w:pPr>
            <w:r w:rsidRPr="00CD29D0">
              <w:t>Enrollment</w:t>
            </w:r>
          </w:p>
        </w:tc>
      </w:tr>
      <w:tr w:rsidR="0020371F" w:rsidRPr="00CD29D0" w14:paraId="4E7533F8" w14:textId="77777777" w:rsidTr="000C09FA">
        <w:trPr>
          <w:cnfStyle w:val="000000100000" w:firstRow="0" w:lastRow="0" w:firstColumn="0" w:lastColumn="0" w:oddVBand="0" w:evenVBand="0" w:oddHBand="1" w:evenHBand="0" w:firstRowFirstColumn="0" w:firstRowLastColumn="0" w:lastRowFirstColumn="0" w:lastRowLastColumn="0"/>
        </w:trPr>
        <w:tc>
          <w:tcPr>
            <w:tcW w:w="3810" w:type="dxa"/>
          </w:tcPr>
          <w:p w14:paraId="71971FD5" w14:textId="34A7A861" w:rsidR="0020371F" w:rsidRPr="00CD29D0" w:rsidRDefault="0020371F" w:rsidP="00831A02">
            <w:pPr>
              <w:pStyle w:val="TableText"/>
            </w:pPr>
            <w:r w:rsidRPr="00CD29D0">
              <w:t>J.C. Solmonese</w:t>
            </w:r>
          </w:p>
        </w:tc>
        <w:tc>
          <w:tcPr>
            <w:tcW w:w="1980" w:type="dxa"/>
          </w:tcPr>
          <w:p w14:paraId="4DAD2DAE" w14:textId="19210354" w:rsidR="0020371F" w:rsidRPr="00CD29D0" w:rsidRDefault="0020371F" w:rsidP="00831A02">
            <w:pPr>
              <w:pStyle w:val="TableTextCentered"/>
            </w:pPr>
            <w:r w:rsidRPr="00CD29D0">
              <w:t>Elementary</w:t>
            </w:r>
          </w:p>
        </w:tc>
        <w:tc>
          <w:tcPr>
            <w:tcW w:w="1605" w:type="dxa"/>
          </w:tcPr>
          <w:p w14:paraId="07BE5D6E" w14:textId="297115DF" w:rsidR="0020371F" w:rsidRPr="00CD29D0" w:rsidRDefault="0020371F" w:rsidP="00831A02">
            <w:pPr>
              <w:pStyle w:val="TableTextCentered"/>
            </w:pPr>
            <w:r w:rsidRPr="00CD29D0">
              <w:t>PK-3</w:t>
            </w:r>
          </w:p>
        </w:tc>
        <w:tc>
          <w:tcPr>
            <w:tcW w:w="1905" w:type="dxa"/>
          </w:tcPr>
          <w:p w14:paraId="2D130A0C" w14:textId="542A0AF6" w:rsidR="0020371F" w:rsidRPr="00CD29D0" w:rsidRDefault="0020371F" w:rsidP="00831A02">
            <w:pPr>
              <w:pStyle w:val="TableTextCentered"/>
            </w:pPr>
            <w:r w:rsidRPr="00CD29D0">
              <w:t>476</w:t>
            </w:r>
          </w:p>
        </w:tc>
      </w:tr>
      <w:tr w:rsidR="0020371F" w:rsidRPr="00CD29D0" w14:paraId="1B5C6259" w14:textId="77777777" w:rsidTr="000C09FA">
        <w:tc>
          <w:tcPr>
            <w:tcW w:w="3810" w:type="dxa"/>
          </w:tcPr>
          <w:p w14:paraId="7062D326" w14:textId="29D36C4C" w:rsidR="0020371F" w:rsidRPr="00CD29D0" w:rsidRDefault="0020371F" w:rsidP="00831A02">
            <w:pPr>
              <w:pStyle w:val="TableText"/>
            </w:pPr>
            <w:r w:rsidRPr="00CD29D0">
              <w:t>L.G. Nourse Elementary</w:t>
            </w:r>
          </w:p>
        </w:tc>
        <w:tc>
          <w:tcPr>
            <w:tcW w:w="1980" w:type="dxa"/>
          </w:tcPr>
          <w:p w14:paraId="1A4B5EDB" w14:textId="4B2FAA78" w:rsidR="0020371F" w:rsidRPr="00CD29D0" w:rsidRDefault="0020371F" w:rsidP="00831A02">
            <w:pPr>
              <w:pStyle w:val="TableTextCentered"/>
            </w:pPr>
            <w:r w:rsidRPr="00CD29D0">
              <w:t>Elementary</w:t>
            </w:r>
          </w:p>
        </w:tc>
        <w:tc>
          <w:tcPr>
            <w:tcW w:w="1605" w:type="dxa"/>
          </w:tcPr>
          <w:p w14:paraId="5882A962" w14:textId="1446995E" w:rsidR="0020371F" w:rsidRPr="00CD29D0" w:rsidRDefault="0020371F" w:rsidP="00831A02">
            <w:pPr>
              <w:pStyle w:val="TableTextCentered"/>
            </w:pPr>
            <w:r w:rsidRPr="00CD29D0">
              <w:t>K-3</w:t>
            </w:r>
          </w:p>
        </w:tc>
        <w:tc>
          <w:tcPr>
            <w:tcW w:w="1905" w:type="dxa"/>
          </w:tcPr>
          <w:p w14:paraId="27A90CCA" w14:textId="3A0ACB22" w:rsidR="0020371F" w:rsidRPr="00CD29D0" w:rsidRDefault="0020371F" w:rsidP="00831A02">
            <w:pPr>
              <w:pStyle w:val="TableTextCentered"/>
            </w:pPr>
            <w:r w:rsidRPr="00CD29D0">
              <w:t>239</w:t>
            </w:r>
          </w:p>
        </w:tc>
      </w:tr>
      <w:tr w:rsidR="37EFC250" w:rsidRPr="00CD29D0" w14:paraId="25CD4070" w14:textId="77777777" w:rsidTr="000C09FA">
        <w:trPr>
          <w:cnfStyle w:val="000000100000" w:firstRow="0" w:lastRow="0" w:firstColumn="0" w:lastColumn="0" w:oddVBand="0" w:evenVBand="0" w:oddHBand="1" w:evenHBand="0" w:firstRowFirstColumn="0" w:firstRowLastColumn="0" w:lastRowFirstColumn="0" w:lastRowLastColumn="0"/>
        </w:trPr>
        <w:tc>
          <w:tcPr>
            <w:tcW w:w="3810" w:type="dxa"/>
          </w:tcPr>
          <w:p w14:paraId="0F0C4CB2" w14:textId="57E1C615" w:rsidR="37EFC250" w:rsidRPr="00CD29D0" w:rsidRDefault="00694EED" w:rsidP="00831A02">
            <w:pPr>
              <w:pStyle w:val="TableText"/>
            </w:pPr>
            <w:r w:rsidRPr="00CD29D0">
              <w:t xml:space="preserve">Henri A. Yelle </w:t>
            </w:r>
          </w:p>
        </w:tc>
        <w:tc>
          <w:tcPr>
            <w:tcW w:w="1980" w:type="dxa"/>
          </w:tcPr>
          <w:p w14:paraId="7084ECF0" w14:textId="0D2BDA69" w:rsidR="37EFC250" w:rsidRPr="00CD29D0" w:rsidRDefault="0020371F" w:rsidP="00831A02">
            <w:pPr>
              <w:pStyle w:val="TableTextCentered"/>
            </w:pPr>
            <w:r w:rsidRPr="00CD29D0">
              <w:t>Elementary</w:t>
            </w:r>
          </w:p>
        </w:tc>
        <w:tc>
          <w:tcPr>
            <w:tcW w:w="1605" w:type="dxa"/>
          </w:tcPr>
          <w:p w14:paraId="734BC1B6" w14:textId="0864B3C3" w:rsidR="37EFC250" w:rsidRPr="00CD29D0" w:rsidRDefault="0020371F" w:rsidP="00831A02">
            <w:pPr>
              <w:pStyle w:val="TableTextCentered"/>
            </w:pPr>
            <w:r w:rsidRPr="00CD29D0">
              <w:t>4-5</w:t>
            </w:r>
          </w:p>
        </w:tc>
        <w:tc>
          <w:tcPr>
            <w:tcW w:w="1905" w:type="dxa"/>
          </w:tcPr>
          <w:p w14:paraId="21536A39" w14:textId="62FEF136" w:rsidR="37EFC250" w:rsidRPr="00CD29D0" w:rsidRDefault="0020371F" w:rsidP="00831A02">
            <w:pPr>
              <w:pStyle w:val="TableTextCentered"/>
            </w:pPr>
            <w:r w:rsidRPr="00CD29D0">
              <w:t>367</w:t>
            </w:r>
          </w:p>
        </w:tc>
      </w:tr>
      <w:tr w:rsidR="0020371F" w:rsidRPr="00CD29D0" w14:paraId="0048115A" w14:textId="77777777" w:rsidTr="000C09FA">
        <w:tc>
          <w:tcPr>
            <w:tcW w:w="3810" w:type="dxa"/>
          </w:tcPr>
          <w:p w14:paraId="5A4F2B49" w14:textId="3B7D47DE" w:rsidR="0020371F" w:rsidRPr="00CD29D0" w:rsidRDefault="0020371F" w:rsidP="00831A02">
            <w:pPr>
              <w:pStyle w:val="TableText"/>
            </w:pPr>
            <w:r w:rsidRPr="00CD29D0">
              <w:t>Norton Middle</w:t>
            </w:r>
          </w:p>
        </w:tc>
        <w:tc>
          <w:tcPr>
            <w:tcW w:w="1980" w:type="dxa"/>
          </w:tcPr>
          <w:p w14:paraId="2A3C7DAA" w14:textId="6E7FCE6B" w:rsidR="0020371F" w:rsidRPr="00CD29D0" w:rsidRDefault="0020371F" w:rsidP="00831A02">
            <w:pPr>
              <w:pStyle w:val="TableTextCentered"/>
            </w:pPr>
            <w:r w:rsidRPr="00CD29D0">
              <w:t>Middle</w:t>
            </w:r>
          </w:p>
        </w:tc>
        <w:tc>
          <w:tcPr>
            <w:tcW w:w="1605" w:type="dxa"/>
          </w:tcPr>
          <w:p w14:paraId="6DADBD0B" w14:textId="45FAEF14" w:rsidR="0020371F" w:rsidRPr="00CD29D0" w:rsidRDefault="0020371F" w:rsidP="00831A02">
            <w:pPr>
              <w:pStyle w:val="TableTextCentered"/>
            </w:pPr>
            <w:r w:rsidRPr="00CD29D0">
              <w:t>6-8</w:t>
            </w:r>
          </w:p>
        </w:tc>
        <w:tc>
          <w:tcPr>
            <w:tcW w:w="1905" w:type="dxa"/>
          </w:tcPr>
          <w:p w14:paraId="3D3A4A7A" w14:textId="795E13C9" w:rsidR="0020371F" w:rsidRPr="00CD29D0" w:rsidRDefault="0020371F" w:rsidP="00831A02">
            <w:pPr>
              <w:pStyle w:val="TableTextCentered"/>
            </w:pPr>
            <w:r w:rsidRPr="00CD29D0">
              <w:t>534</w:t>
            </w:r>
          </w:p>
        </w:tc>
      </w:tr>
      <w:tr w:rsidR="0020371F" w:rsidRPr="00CD29D0" w14:paraId="77F06605" w14:textId="77777777" w:rsidTr="000C09FA">
        <w:trPr>
          <w:cnfStyle w:val="000000100000" w:firstRow="0" w:lastRow="0" w:firstColumn="0" w:lastColumn="0" w:oddVBand="0" w:evenVBand="0" w:oddHBand="1" w:evenHBand="0" w:firstRowFirstColumn="0" w:firstRowLastColumn="0" w:lastRowFirstColumn="0" w:lastRowLastColumn="0"/>
        </w:trPr>
        <w:tc>
          <w:tcPr>
            <w:tcW w:w="3810" w:type="dxa"/>
          </w:tcPr>
          <w:p w14:paraId="3B115581" w14:textId="079775ED" w:rsidR="0020371F" w:rsidRPr="00CD29D0" w:rsidRDefault="0020371F" w:rsidP="00831A02">
            <w:pPr>
              <w:pStyle w:val="TableText"/>
            </w:pPr>
            <w:r w:rsidRPr="00CD29D0">
              <w:t>Norton High</w:t>
            </w:r>
          </w:p>
        </w:tc>
        <w:tc>
          <w:tcPr>
            <w:tcW w:w="1980" w:type="dxa"/>
          </w:tcPr>
          <w:p w14:paraId="230A025E" w14:textId="4EFEDBD1" w:rsidR="0020371F" w:rsidRPr="00CD29D0" w:rsidRDefault="0020371F" w:rsidP="00831A02">
            <w:pPr>
              <w:pStyle w:val="TableTextCentered"/>
            </w:pPr>
            <w:r w:rsidRPr="00CD29D0">
              <w:t>High</w:t>
            </w:r>
          </w:p>
        </w:tc>
        <w:tc>
          <w:tcPr>
            <w:tcW w:w="1605" w:type="dxa"/>
          </w:tcPr>
          <w:p w14:paraId="52099515" w14:textId="0EE1898B" w:rsidR="0020371F" w:rsidRPr="00CD29D0" w:rsidRDefault="0020371F" w:rsidP="00831A02">
            <w:pPr>
              <w:pStyle w:val="TableTextCentered"/>
            </w:pPr>
            <w:r w:rsidRPr="00CD29D0">
              <w:t>9-12</w:t>
            </w:r>
          </w:p>
        </w:tc>
        <w:tc>
          <w:tcPr>
            <w:tcW w:w="1905" w:type="dxa"/>
          </w:tcPr>
          <w:p w14:paraId="54A924AA" w14:textId="7F418BB6" w:rsidR="0020371F" w:rsidRPr="00CD29D0" w:rsidRDefault="0020371F" w:rsidP="00831A02">
            <w:pPr>
              <w:pStyle w:val="TableTextCentered"/>
            </w:pPr>
            <w:r w:rsidRPr="00CD29D0">
              <w:t>661</w:t>
            </w:r>
          </w:p>
        </w:tc>
      </w:tr>
      <w:tr w:rsidR="37EFC250" w:rsidRPr="00CD29D0" w14:paraId="2A319174" w14:textId="77777777" w:rsidTr="000C09FA">
        <w:tc>
          <w:tcPr>
            <w:tcW w:w="3810" w:type="dxa"/>
          </w:tcPr>
          <w:p w14:paraId="0A48E6C6" w14:textId="26093413" w:rsidR="37EFC250" w:rsidRPr="00CD29D0" w:rsidRDefault="00386776" w:rsidP="00831A02">
            <w:pPr>
              <w:pStyle w:val="TableText"/>
              <w:rPr>
                <w:rFonts w:eastAsia="Franklin Gothic Book" w:cs="Franklin Gothic Book"/>
                <w:b/>
                <w:bCs/>
              </w:rPr>
            </w:pPr>
            <w:r w:rsidRPr="00CD29D0">
              <w:rPr>
                <w:b/>
                <w:bCs/>
              </w:rPr>
              <w:t>Total</w:t>
            </w:r>
          </w:p>
        </w:tc>
        <w:tc>
          <w:tcPr>
            <w:tcW w:w="1980" w:type="dxa"/>
          </w:tcPr>
          <w:p w14:paraId="1F1768BB" w14:textId="662019F1" w:rsidR="37EFC250" w:rsidRPr="00CD29D0" w:rsidRDefault="00EB0D37" w:rsidP="00831A02">
            <w:pPr>
              <w:pStyle w:val="TableTextCentered"/>
              <w:rPr>
                <w:b/>
                <w:bCs/>
                <w:color w:val="000000" w:themeColor="text1"/>
                <w:szCs w:val="20"/>
              </w:rPr>
            </w:pPr>
            <w:r w:rsidRPr="00CD29D0">
              <w:rPr>
                <w:b/>
                <w:bCs/>
                <w:color w:val="000000" w:themeColor="text1"/>
                <w:szCs w:val="20"/>
              </w:rPr>
              <w:t>All</w:t>
            </w:r>
          </w:p>
        </w:tc>
        <w:tc>
          <w:tcPr>
            <w:tcW w:w="1605" w:type="dxa"/>
          </w:tcPr>
          <w:p w14:paraId="7DD51D36" w14:textId="78902FD4" w:rsidR="37EFC250" w:rsidRPr="00CD29D0" w:rsidRDefault="00EB0D37" w:rsidP="00831A02">
            <w:pPr>
              <w:pStyle w:val="TableTextCentered"/>
              <w:rPr>
                <w:rFonts w:eastAsia="Franklin Gothic Demi" w:cs="Franklin Gothic Demi"/>
                <w:b/>
                <w:bCs/>
                <w:szCs w:val="20"/>
              </w:rPr>
            </w:pPr>
            <w:r w:rsidRPr="00CD29D0">
              <w:rPr>
                <w:rFonts w:eastAsia="Franklin Gothic Demi" w:cs="Franklin Gothic Demi"/>
                <w:b/>
                <w:bCs/>
                <w:szCs w:val="20"/>
              </w:rPr>
              <w:t>All</w:t>
            </w:r>
          </w:p>
        </w:tc>
        <w:tc>
          <w:tcPr>
            <w:tcW w:w="1905" w:type="dxa"/>
          </w:tcPr>
          <w:p w14:paraId="5EEE3711" w14:textId="7E9D33C3" w:rsidR="37EFC250" w:rsidRPr="00CD29D0" w:rsidRDefault="0020371F" w:rsidP="00831A02">
            <w:pPr>
              <w:pStyle w:val="TableTextCentered"/>
              <w:rPr>
                <w:rFonts w:eastAsia="Franklin Gothic Demi" w:cs="Franklin Gothic Demi"/>
                <w:b/>
                <w:bCs/>
                <w:szCs w:val="20"/>
              </w:rPr>
            </w:pPr>
            <w:r w:rsidRPr="00CD29D0">
              <w:rPr>
                <w:rFonts w:eastAsia="Franklin Gothic Demi" w:cs="Franklin Gothic Demi"/>
                <w:b/>
                <w:bCs/>
                <w:szCs w:val="20"/>
              </w:rPr>
              <w:t>2,277</w:t>
            </w:r>
          </w:p>
        </w:tc>
      </w:tr>
    </w:tbl>
    <w:p w14:paraId="4A8DEE06" w14:textId="391AA955" w:rsidR="002F48E4" w:rsidRPr="00CD29D0" w:rsidRDefault="30193FFC" w:rsidP="006E032C">
      <w:pPr>
        <w:pStyle w:val="BodyText"/>
      </w:pPr>
      <w:r w:rsidRPr="00CD29D0">
        <w:rPr>
          <w:color w:val="000000" w:themeColor="text1"/>
        </w:rPr>
        <w:t xml:space="preserve">Figure 1 </w:t>
      </w:r>
      <w:r w:rsidR="002F48E4" w:rsidRPr="00CD29D0">
        <w:t>shows the distribution of Norton’s students</w:t>
      </w:r>
      <w:r w:rsidR="00EB0D37" w:rsidRPr="00CD29D0">
        <w:t xml:space="preserve"> by </w:t>
      </w:r>
      <w:r w:rsidR="002F48E4" w:rsidRPr="00CD29D0">
        <w:t xml:space="preserve">race/ethnicity. Figure 2 shows student makeup for selected populations as compared </w:t>
      </w:r>
      <w:r w:rsidR="00EB0D37" w:rsidRPr="00CD29D0">
        <w:t>with</w:t>
      </w:r>
      <w:r w:rsidR="002F48E4" w:rsidRPr="00CD29D0">
        <w:t xml:space="preserve"> state averages. In the 2025-2026 school year, 3.1 percent </w:t>
      </w:r>
      <w:r w:rsidR="00EB0D37" w:rsidRPr="00CD29D0">
        <w:t xml:space="preserve">of students </w:t>
      </w:r>
      <w:r w:rsidR="002F48E4" w:rsidRPr="00CD29D0">
        <w:t xml:space="preserve">spoke a first language other than English, and 2.4 percent were English </w:t>
      </w:r>
      <w:r w:rsidR="00291FC3" w:rsidRPr="00CD29D0">
        <w:t>L</w:t>
      </w:r>
      <w:r w:rsidR="002F48E4" w:rsidRPr="00CD29D0">
        <w:t>earners. Full enrollment figures compared with the state are in Tables D1 and D2 in Appendix D. Appendix D also provides additional information about district enrollment, student attendance, and expenditures.</w:t>
      </w:r>
    </w:p>
    <w:p w14:paraId="41F13EA3" w14:textId="77777777" w:rsidR="002F48E4" w:rsidRPr="00CD29D0" w:rsidRDefault="002F48E4" w:rsidP="00364786">
      <w:pPr>
        <w:pStyle w:val="TableTitle0"/>
      </w:pPr>
      <w:r w:rsidRPr="00CD29D0">
        <w:lastRenderedPageBreak/>
        <w:t>Figure 1. Distribution of Students, by Race/Ethnicity (2025-2026)</w:t>
      </w:r>
    </w:p>
    <w:p w14:paraId="5EFCC09D" w14:textId="77777777" w:rsidR="002F48E4" w:rsidRPr="00CD29D0" w:rsidRDefault="002F48E4" w:rsidP="002945E5">
      <w:pPr>
        <w:pStyle w:val="BodyTextposthead"/>
      </w:pPr>
      <w:r w:rsidRPr="00CD29D0">
        <w:rPr>
          <w:noProof/>
        </w:rPr>
        <w:drawing>
          <wp:inline distT="0" distB="0" distL="0" distR="0" wp14:anchorId="2CC6A43F" wp14:editId="2B4EEC74">
            <wp:extent cx="5899150" cy="2038350"/>
            <wp:effectExtent l="0" t="0" r="6350" b="0"/>
            <wp:docPr id="1771877738" name="Chart 1" descr="This is a pie chart showing the distribution of students by race/ethnicity in Norton. Most students (82%) are White.">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176393A" w14:textId="77777777" w:rsidR="002F48E4" w:rsidRPr="00CD29D0" w:rsidRDefault="002F48E4" w:rsidP="002945E5">
      <w:pPr>
        <w:pStyle w:val="TableTitle0"/>
      </w:pPr>
      <w:r w:rsidRPr="00CD29D0">
        <w:t>Figure 2. Distribution of Students, by Selected Populations (2025-2026)</w:t>
      </w:r>
    </w:p>
    <w:p w14:paraId="4F7E3904" w14:textId="77777777" w:rsidR="002F48E4" w:rsidRPr="00CD29D0" w:rsidRDefault="002F48E4" w:rsidP="002945E5">
      <w:pPr>
        <w:pStyle w:val="BodyTextposthead"/>
        <w:rPr>
          <w:rFonts w:ascii="Franklin Gothic Book" w:eastAsia="Franklin Gothic Book" w:hAnsi="Franklin Gothic Book" w:cs="Franklin Gothic Book"/>
          <w:color w:val="000000"/>
        </w:rPr>
      </w:pPr>
      <w:r w:rsidRPr="00CD29D0">
        <w:rPr>
          <w:noProof/>
        </w:rPr>
        <w:drawing>
          <wp:inline distT="0" distB="0" distL="0" distR="0" wp14:anchorId="69FB11C0" wp14:editId="78281A87">
            <wp:extent cx="5289550" cy="2647950"/>
            <wp:effectExtent l="0" t="0" r="6350" b="0"/>
            <wp:docPr id="67982460" name="Chart 1" descr="This is a clustered column chart showing the distribution of students by selected populations (High Needs, English Learners, First Language Not English, Low Income, and Students With Disabilities) for Norton and the state. In all instances, Norton has a smaller portion of selected populations than the state average.">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4CD42F" w14:textId="37483B4C" w:rsidR="00A45A08" w:rsidRPr="00CD29D0" w:rsidRDefault="002F48E4" w:rsidP="002945E5">
      <w:pPr>
        <w:pStyle w:val="BodyText"/>
      </w:pPr>
      <w:r w:rsidRPr="00CD29D0">
        <w:t xml:space="preserve">Figure 3 shows the percentage of Norton’s students meeting or exceeding expectations on the Massachusetts Comprehensive Assessment System (MCAS) as compared </w:t>
      </w:r>
      <w:r w:rsidR="00EB0D37" w:rsidRPr="00CD29D0">
        <w:t xml:space="preserve">with </w:t>
      </w:r>
      <w:r w:rsidRPr="00CD29D0">
        <w:t xml:space="preserve">the statewide percentage of students meeting or exceeding expectations on MCAS. In 2025, the percentage of students meeting or exceeding expectations was lower for Norton in </w:t>
      </w:r>
      <w:r w:rsidR="006C1841" w:rsidRPr="00CD29D0">
        <w:t>g</w:t>
      </w:r>
      <w:r w:rsidRPr="00CD29D0">
        <w:t>rades 3-8 (ELA</w:t>
      </w:r>
      <w:r w:rsidR="00B37EFC" w:rsidRPr="00CD29D0">
        <w:t xml:space="preserve"> </w:t>
      </w:r>
      <w:r w:rsidRPr="00CD29D0">
        <w:t xml:space="preserve">and mathematics), </w:t>
      </w:r>
      <w:r w:rsidR="00EB0D37" w:rsidRPr="00CD29D0">
        <w:t xml:space="preserve">grades </w:t>
      </w:r>
      <w:r w:rsidRPr="00CD29D0">
        <w:t xml:space="preserve">5 and 8 (science), and </w:t>
      </w:r>
      <w:r w:rsidR="00EB0D37" w:rsidRPr="00CD29D0">
        <w:t xml:space="preserve">grade </w:t>
      </w:r>
      <w:r w:rsidRPr="00CD29D0">
        <w:t>10 (mathematics and science)</w:t>
      </w:r>
      <w:r w:rsidR="00EB0D37" w:rsidRPr="00CD29D0">
        <w:t xml:space="preserve"> than for the state</w:t>
      </w:r>
      <w:r w:rsidR="00A45A08" w:rsidRPr="00CD29D0">
        <w:t>.</w:t>
      </w:r>
    </w:p>
    <w:p w14:paraId="0FACB1E1" w14:textId="25688F43" w:rsidR="002F48E4" w:rsidRPr="00CD29D0" w:rsidRDefault="002F48E4" w:rsidP="002945E5">
      <w:pPr>
        <w:pStyle w:val="TableTitle0"/>
      </w:pPr>
      <w:r w:rsidRPr="00CD29D0">
        <w:lastRenderedPageBreak/>
        <w:t>Figure 3. Percentage of Students Meeting or Exceeding Expectations, MCAS, 2025</w:t>
      </w:r>
    </w:p>
    <w:p w14:paraId="6F30B07E" w14:textId="77777777" w:rsidR="002F48E4" w:rsidRPr="00CD29D0" w:rsidRDefault="002F48E4" w:rsidP="002945E5">
      <w:pPr>
        <w:pStyle w:val="BodyTextposthead"/>
        <w:rPr>
          <w:rFonts w:ascii="Franklin Gothic Book" w:eastAsia="Franklin Gothic Book" w:hAnsi="Franklin Gothic Book" w:cs="Franklin Gothic Book"/>
          <w:color w:val="000000"/>
        </w:rPr>
      </w:pPr>
      <w:r w:rsidRPr="00CD29D0">
        <w:rPr>
          <w:noProof/>
        </w:rPr>
        <w:drawing>
          <wp:inline distT="0" distB="0" distL="0" distR="0" wp14:anchorId="6D57ABAA" wp14:editId="1B218814">
            <wp:extent cx="5430129" cy="2654300"/>
            <wp:effectExtent l="0" t="0" r="18415" b="12700"/>
            <wp:docPr id="2033331714" name="Chart 1" descr="This is a clustered column chart showing the percentage of students meeting or exceeding expectations for MCAS in ELA, Math, and Science for Norton and the state. In nearly all instances, Norton has a smaller percentage of students meeting or exceeding expectations than the state average.">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41D67D" w14:textId="1A5B8A7F" w:rsidR="00A45A08" w:rsidRPr="00CD29D0" w:rsidRDefault="002F48E4" w:rsidP="002945E5">
      <w:pPr>
        <w:pStyle w:val="BodyText"/>
      </w:pPr>
      <w:r w:rsidRPr="00CD29D0">
        <w:t>Norton’s high needs students, who comprise 41.9 percent of the district</w:t>
      </w:r>
      <w:r w:rsidR="00BE53B1" w:rsidRPr="00CD29D0">
        <w:rPr>
          <w:color w:val="0078D4"/>
        </w:rPr>
        <w:t xml:space="preserve"> </w:t>
      </w:r>
      <w:r w:rsidRPr="00CD29D0">
        <w:t>in 2025-</w:t>
      </w:r>
      <w:r w:rsidR="00D15A37" w:rsidRPr="00CD29D0">
        <w:t>20</w:t>
      </w:r>
      <w:r w:rsidRPr="00CD29D0">
        <w:t>26, met or exceeded expectations on the 2025 MCAS assessments at rates 1 to 1</w:t>
      </w:r>
      <w:r w:rsidR="00984208">
        <w:t>5</w:t>
      </w:r>
      <w:r w:rsidRPr="00CD29D0">
        <w:t xml:space="preserve"> percentage points below high needs students across the state (Figure 4)</w:t>
      </w:r>
      <w:r w:rsidR="00A45A08" w:rsidRPr="00CD29D0">
        <w:t>.</w:t>
      </w:r>
    </w:p>
    <w:p w14:paraId="40CA3065" w14:textId="71C6D763" w:rsidR="002F48E4" w:rsidRPr="00CD29D0" w:rsidRDefault="002F48E4" w:rsidP="002945E5">
      <w:pPr>
        <w:pStyle w:val="TableTitle0"/>
      </w:pPr>
      <w:r w:rsidRPr="00CD29D0">
        <w:t>Figure 4. Percentage of High Needs Students Meeting or Exceeding Expectations, MCAS, 2025</w:t>
      </w:r>
    </w:p>
    <w:p w14:paraId="27AF67A9" w14:textId="77777777" w:rsidR="002F48E4" w:rsidRPr="00CD29D0" w:rsidRDefault="002F48E4" w:rsidP="002945E5">
      <w:pPr>
        <w:pStyle w:val="BodyTextposthead"/>
        <w:rPr>
          <w:rFonts w:ascii="Franklin Gothic Book" w:eastAsia="Franklin Gothic Book" w:hAnsi="Franklin Gothic Book" w:cs="Franklin Gothic Book"/>
          <w:color w:val="000000"/>
        </w:rPr>
      </w:pPr>
      <w:r w:rsidRPr="00CD29D0">
        <w:rPr>
          <w:noProof/>
        </w:rPr>
        <w:drawing>
          <wp:inline distT="0" distB="0" distL="0" distR="0" wp14:anchorId="530E2B87" wp14:editId="61D6C2DF">
            <wp:extent cx="5340350" cy="2654300"/>
            <wp:effectExtent l="0" t="0" r="12700" b="12700"/>
            <wp:docPr id="324602805" name="Chart 1" descr="This is a clustered column chart showing the percentage of High Needs students meeting or exceeding expectations for MCAS in ELA, Math, and Science for Norton and the state. In all instances, Norton has a smaller percentage of High Needs students meeting or exceeding expectations than the state average.">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F9BA8A" w14:textId="6C35B982" w:rsidR="00A45A08" w:rsidRPr="00CD29D0" w:rsidRDefault="002F48E4" w:rsidP="00352F4B">
      <w:pPr>
        <w:pStyle w:val="BodyText"/>
      </w:pPr>
      <w:r w:rsidRPr="00CD29D0">
        <w:rPr>
          <w:color w:val="000000" w:themeColor="text1"/>
        </w:rPr>
        <w:t xml:space="preserve">Norton’s 2024 four-year cohort graduation rate (92.6 percent) </w:t>
      </w:r>
      <w:r w:rsidRPr="00CD29D0">
        <w:t xml:space="preserve">was 4.2 percentage points higher than the state rate (88.4 percent). </w:t>
      </w:r>
      <w:r w:rsidR="008C55F3" w:rsidRPr="00CD29D0">
        <w:t>T</w:t>
      </w:r>
      <w:r w:rsidRPr="00CD29D0">
        <w:t xml:space="preserve">he district’s dropout rate </w:t>
      </w:r>
      <w:r w:rsidR="00B342F6">
        <w:t>wa</w:t>
      </w:r>
      <w:r w:rsidRPr="00CD29D0">
        <w:t xml:space="preserve">s </w:t>
      </w:r>
      <w:r w:rsidR="008C55F3" w:rsidRPr="00CD29D0">
        <w:t xml:space="preserve">lower </w:t>
      </w:r>
      <w:r w:rsidRPr="00CD29D0">
        <w:t>than the state rate</w:t>
      </w:r>
      <w:r w:rsidR="00B342F6">
        <w:t>, though it was</w:t>
      </w:r>
      <w:r w:rsidR="00D02D7E" w:rsidRPr="00CD29D0">
        <w:t xml:space="preserve"> </w:t>
      </w:r>
      <w:r w:rsidRPr="00CD29D0">
        <w:t>2</w:t>
      </w:r>
      <w:r w:rsidR="002945E5" w:rsidRPr="00CD29D0">
        <w:t> </w:t>
      </w:r>
      <w:r w:rsidRPr="00CD29D0">
        <w:t>percentage points higher than the state rate for students with disabilities.</w:t>
      </w:r>
    </w:p>
    <w:p w14:paraId="20E79585" w14:textId="7EDEC063" w:rsidR="00A45A08" w:rsidRPr="00CD29D0" w:rsidRDefault="002F48E4" w:rsidP="002945E5">
      <w:pPr>
        <w:pStyle w:val="BodyText"/>
      </w:pPr>
      <w:r w:rsidRPr="00CD29D0">
        <w:t>In 2025</w:t>
      </w:r>
      <w:r w:rsidR="002946A2" w:rsidRPr="00CD29D0">
        <w:t>, in</w:t>
      </w:r>
      <w:r w:rsidRPr="00CD29D0">
        <w:t xml:space="preserve"> statewide accountability results, one school (Norton Middle School) was identified as requiring assistance or intervention due to low participation rate of several student groups (</w:t>
      </w:r>
      <w:r w:rsidR="002946A2" w:rsidRPr="00CD29D0">
        <w:t xml:space="preserve">i.e., </w:t>
      </w:r>
      <w:r w:rsidRPr="00CD29D0">
        <w:t>All Students, Low Income</w:t>
      </w:r>
      <w:r w:rsidR="002946A2" w:rsidRPr="00CD29D0">
        <w:t xml:space="preserve"> Students</w:t>
      </w:r>
      <w:r w:rsidRPr="00CD29D0">
        <w:t>, High Needs</w:t>
      </w:r>
      <w:r w:rsidR="002946A2" w:rsidRPr="00CD29D0">
        <w:t xml:space="preserve"> Students</w:t>
      </w:r>
      <w:r w:rsidRPr="00CD29D0">
        <w:t xml:space="preserve">, and Students with Disabilities). </w:t>
      </w:r>
      <w:r w:rsidR="00B80365">
        <w:t>T</w:t>
      </w:r>
      <w:r w:rsidRPr="00CD29D0">
        <w:t>he district made moderate progress toward achieving its accountability targets as set by DESE</w:t>
      </w:r>
      <w:r w:rsidR="00A45A08" w:rsidRPr="00CD29D0">
        <w:t>.</w:t>
      </w:r>
    </w:p>
    <w:p w14:paraId="015FF2C0" w14:textId="762A82A4" w:rsidR="002F48E4" w:rsidRPr="00CD29D0" w:rsidRDefault="002F48E4" w:rsidP="002945E5">
      <w:pPr>
        <w:pStyle w:val="BodyText"/>
      </w:pPr>
      <w:r w:rsidRPr="00CD29D0">
        <w:lastRenderedPageBreak/>
        <w:t>In fiscal year 2024, the total in-district per-pupil expenditure for Norton was $19,457, which is $668 less than the average in-district per-pupil expenditure in districts with similar demographics ($20,125), and $905 more than the average in-district per-pupil expenditures in districts of similar wealth ($18,552).</w:t>
      </w:r>
      <w:r w:rsidRPr="00CD29D0">
        <w:rPr>
          <w:rStyle w:val="FootnoteReference"/>
          <w:rFonts w:eastAsia="Franklin Gothic Book"/>
        </w:rPr>
        <w:footnoteReference w:id="4"/>
      </w:r>
      <w:r w:rsidRPr="00CD29D0">
        <w:t xml:space="preserve"> In-district per</w:t>
      </w:r>
      <w:r w:rsidR="00841605" w:rsidRPr="00CD29D0">
        <w:t>-</w:t>
      </w:r>
      <w:r w:rsidRPr="00CD29D0">
        <w:t>pupil expenditures for Norton were $2,951 less than the average state in-district spending per</w:t>
      </w:r>
      <w:r w:rsidR="00383364" w:rsidRPr="00CD29D0">
        <w:t>-</w:t>
      </w:r>
      <w:r w:rsidRPr="00CD29D0">
        <w:t>pupil ($22,408). Actual net school spending was greater than what is required by the Chapter 70 state education aid program, as shown in Table D5 in Appendix D.</w:t>
      </w:r>
    </w:p>
    <w:p w14:paraId="58F051FE" w14:textId="0B2C7F1C" w:rsidR="002F48E4" w:rsidRPr="00CD29D0" w:rsidRDefault="002F48E4" w:rsidP="002945E5">
      <w:pPr>
        <w:pStyle w:val="Heading3"/>
      </w:pPr>
      <w:r w:rsidRPr="00CD29D0">
        <w:t>Classroom Observations</w:t>
      </w:r>
    </w:p>
    <w:p w14:paraId="1686577E" w14:textId="7E8B8F93" w:rsidR="002F48E4" w:rsidRPr="00CD29D0" w:rsidRDefault="00C93FEA" w:rsidP="002945E5">
      <w:pPr>
        <w:pStyle w:val="BodyTextposthead"/>
      </w:pPr>
      <w:r w:rsidRPr="00CD29D0">
        <w:t>Four</w:t>
      </w:r>
      <w:r w:rsidR="002F48E4" w:rsidRPr="00CD29D0">
        <w:t xml:space="preserve"> observers, who focused primarily on instruction in the classroom, visited </w:t>
      </w:r>
      <w:r w:rsidR="00CD1C70" w:rsidRPr="00CD29D0">
        <w:t xml:space="preserve">Norton </w:t>
      </w:r>
      <w:r w:rsidR="002F48E4" w:rsidRPr="00CD29D0">
        <w:t xml:space="preserve">during the week of </w:t>
      </w:r>
      <w:r w:rsidR="00880D85" w:rsidRPr="00CD29D0">
        <w:t>February 2, 2026</w:t>
      </w:r>
      <w:r w:rsidR="002F48E4" w:rsidRPr="00CD29D0">
        <w:t xml:space="preserve">. The observers conducted </w:t>
      </w:r>
      <w:r w:rsidRPr="00CD29D0">
        <w:t>73</w:t>
      </w:r>
      <w:r w:rsidR="002F48E4" w:rsidRPr="00CD29D0">
        <w:t xml:space="preserve"> observations in a sample of classrooms across grade levels, focused on literacy, ELA, and mathematics. </w:t>
      </w:r>
      <w:r w:rsidR="00F453B4" w:rsidRPr="00CD29D0">
        <w:t>The observers used t</w:t>
      </w:r>
      <w:r w:rsidR="002F48E4" w:rsidRPr="00CD29D0">
        <w:t xml:space="preserve">he CLASS protocol </w:t>
      </w:r>
      <w:r w:rsidR="00F453B4" w:rsidRPr="00CD29D0">
        <w:t xml:space="preserve">to </w:t>
      </w:r>
      <w:r w:rsidR="002F48E4" w:rsidRPr="00CD29D0">
        <w:t>guid</w:t>
      </w:r>
      <w:r w:rsidR="00F453B4" w:rsidRPr="00CD29D0">
        <w:t>e</w:t>
      </w:r>
      <w:r w:rsidR="002F48E4" w:rsidRPr="00CD29D0">
        <w:t xml:space="preserve"> all classroom observations in the district</w:t>
      </w:r>
      <w:r w:rsidR="00234997" w:rsidRPr="00CD29D0">
        <w:t xml:space="preserve"> and</w:t>
      </w:r>
      <w:r w:rsidR="002F48E4" w:rsidRPr="00CD29D0">
        <w:t xml:space="preserve"> used the three grade-band levels of CLASS protocols: P</w:t>
      </w:r>
      <w:r w:rsidR="00C87852">
        <w:t>re</w:t>
      </w:r>
      <w:r w:rsidR="002F48E4" w:rsidRPr="00CD29D0">
        <w:t>K-3, Upper Elementary (4-5), and Secondary (6-12).</w:t>
      </w:r>
      <w:r w:rsidR="00D31796">
        <w:t xml:space="preserve"> </w:t>
      </w:r>
      <w:r w:rsidR="00D31796" w:rsidRPr="00D31796">
        <w:t>During these observations, they also monitored classrooms for the use of high-quality instructional materials (HQIM), as rated on CUrriculum RAtings by TEachers (CURATE)</w:t>
      </w:r>
      <w:r w:rsidR="00D31796">
        <w:rPr>
          <w:rStyle w:val="FootnoteReference"/>
        </w:rPr>
        <w:footnoteReference w:id="5"/>
      </w:r>
      <w:r w:rsidR="00D31796" w:rsidRPr="00D31796">
        <w:t xml:space="preserve"> or EdReports.</w:t>
      </w:r>
    </w:p>
    <w:p w14:paraId="3AD73006" w14:textId="1E30A679" w:rsidR="002F48E4" w:rsidRPr="00CD29D0" w:rsidRDefault="002F48E4" w:rsidP="002945E5">
      <w:pPr>
        <w:pStyle w:val="BodyText"/>
      </w:pPr>
      <w:r w:rsidRPr="00CD29D0">
        <w:t xml:space="preserve">The PK-3 protocol includes 10 classroom dimensions related to </w:t>
      </w:r>
      <w:r w:rsidR="00F453B4" w:rsidRPr="00CD29D0">
        <w:t xml:space="preserve">3 </w:t>
      </w:r>
      <w:r w:rsidRPr="00CD29D0">
        <w:t xml:space="preserve">domains: Emotional Support, Classroom Organization, and Instructional Support. The Upper Elementary and Secondary protocols include 11 classroom dimensions related to </w:t>
      </w:r>
      <w:r w:rsidR="00F453B4" w:rsidRPr="00CD29D0">
        <w:t xml:space="preserve">3 </w:t>
      </w:r>
      <w:r w:rsidRPr="00CD29D0">
        <w:t xml:space="preserve">domains: Emotional Support, Classroom Organization, and Instructional Support, in addition to Student Engagement. The </w:t>
      </w:r>
      <w:r w:rsidR="00F453B4" w:rsidRPr="00CD29D0">
        <w:t xml:space="preserve">3 </w:t>
      </w:r>
      <w:r w:rsidRPr="00CD29D0">
        <w:t>domains observed at all levels broadly are defined as follows:</w:t>
      </w:r>
    </w:p>
    <w:p w14:paraId="6C5A394F" w14:textId="77777777" w:rsidR="002F48E4" w:rsidRPr="00CD29D0" w:rsidRDefault="002F48E4" w:rsidP="002945E5">
      <w:pPr>
        <w:pStyle w:val="Bullet1"/>
      </w:pPr>
      <w:r w:rsidRPr="00CD29D0">
        <w:rPr>
          <w:rFonts w:ascii="Franklin Gothic Demi" w:eastAsia="Franklin Gothic Demi" w:hAnsi="Franklin Gothic Demi" w:cs="Franklin Gothic Demi"/>
          <w:bCs/>
        </w:rPr>
        <w:t>Emotional Support.</w:t>
      </w:r>
      <w:r w:rsidRPr="00CD29D0">
        <w:t xml:space="preserve"> Describes the social-emotional functioning of the classroom, including teacher-student relationships and responsiveness to social-emotional needs.</w:t>
      </w:r>
    </w:p>
    <w:p w14:paraId="5C557173" w14:textId="0833633C" w:rsidR="002F48E4" w:rsidRPr="00CD29D0" w:rsidRDefault="002F48E4" w:rsidP="002945E5">
      <w:pPr>
        <w:pStyle w:val="Bullet1"/>
      </w:pPr>
      <w:r w:rsidRPr="00CD29D0">
        <w:rPr>
          <w:rFonts w:ascii="Franklin Gothic Demi" w:eastAsia="Franklin Gothic Demi" w:hAnsi="Franklin Gothic Demi" w:cs="Franklin Gothic Demi"/>
          <w:bCs/>
        </w:rPr>
        <w:t>Classroom Organization.</w:t>
      </w:r>
      <w:r w:rsidRPr="00CD29D0">
        <w:t xml:space="preserve"> Describes the management of students</w:t>
      </w:r>
      <w:r w:rsidR="00924217" w:rsidRPr="00CD29D0">
        <w:t>’</w:t>
      </w:r>
      <w:r w:rsidRPr="00CD29D0">
        <w:t xml:space="preserve"> behavior, time, and attention in the classroom.</w:t>
      </w:r>
    </w:p>
    <w:p w14:paraId="54EE3C64" w14:textId="57DD0632" w:rsidR="002F48E4" w:rsidRPr="00CD29D0" w:rsidRDefault="002F48E4" w:rsidP="002945E5">
      <w:pPr>
        <w:pStyle w:val="Bullet1"/>
      </w:pPr>
      <w:r w:rsidRPr="00CD29D0">
        <w:rPr>
          <w:rFonts w:ascii="Franklin Gothic Demi" w:eastAsia="Franklin Gothic Demi" w:hAnsi="Franklin Gothic Demi" w:cs="Franklin Gothic Demi"/>
          <w:bCs/>
        </w:rPr>
        <w:t>Instructional Support.</w:t>
      </w:r>
      <w:r w:rsidRPr="00CD29D0">
        <w:t xml:space="preserve"> Describes the efforts to support cognitive and language development, including cognitive demand of the assigned tasks, the focus on higher</w:t>
      </w:r>
      <w:r w:rsidR="00310588" w:rsidRPr="00CD29D0">
        <w:t xml:space="preserve"> </w:t>
      </w:r>
      <w:r w:rsidRPr="00CD29D0">
        <w:t>order thinking skills, and the use of process-oriented feedback.</w:t>
      </w:r>
    </w:p>
    <w:p w14:paraId="528FAC95" w14:textId="0782D429" w:rsidR="002F48E4" w:rsidRPr="00CD29D0" w:rsidRDefault="00310588" w:rsidP="002945E5">
      <w:pPr>
        <w:pStyle w:val="BodyText"/>
      </w:pPr>
      <w:r w:rsidRPr="00CD29D0">
        <w:t xml:space="preserve">The observers conducted </w:t>
      </w:r>
      <w:r w:rsidR="002F48E4" w:rsidRPr="00CD29D0">
        <w:t>classroom visit</w:t>
      </w:r>
      <w:r w:rsidRPr="00CD29D0">
        <w:t>s and</w:t>
      </w:r>
      <w:r w:rsidR="002F48E4" w:rsidRPr="00CD29D0">
        <w:t xml:space="preserve"> rate</w:t>
      </w:r>
      <w:r w:rsidRPr="00CD29D0">
        <w:t>d</w:t>
      </w:r>
      <w:r w:rsidR="002F48E4" w:rsidRPr="00CD29D0">
        <w:t xml:space="preserve"> each dimension (including Student Engagement) on a scale </w:t>
      </w:r>
      <w:r w:rsidRPr="00CD29D0">
        <w:t xml:space="preserve">from </w:t>
      </w:r>
      <w:r w:rsidR="002F48E4" w:rsidRPr="00CD29D0">
        <w:t>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5BBE8CCD" w14:textId="65D29396" w:rsidR="00A45A08" w:rsidRPr="00CD29D0" w:rsidRDefault="002F48E4" w:rsidP="002945E5">
      <w:pPr>
        <w:pStyle w:val="BodyText"/>
        <w:keepNext/>
        <w:keepLines/>
      </w:pPr>
      <w:r w:rsidRPr="00CD29D0">
        <w:lastRenderedPageBreak/>
        <w:t xml:space="preserve">In </w:t>
      </w:r>
      <w:r w:rsidR="00CD1C70" w:rsidRPr="00CD29D0">
        <w:t>Norton</w:t>
      </w:r>
      <w:r w:rsidRPr="00CD29D0">
        <w:t>, ratings are provided across three grade bands: P</w:t>
      </w:r>
      <w:r w:rsidR="00C87852">
        <w:t>re</w:t>
      </w:r>
      <w:r w:rsidRPr="00CD29D0">
        <w:t xml:space="preserve">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CD1C70" w:rsidRPr="00CD29D0">
        <w:t>Norton</w:t>
      </w:r>
      <w:r w:rsidR="00E41467" w:rsidRPr="00CD29D0">
        <w:t xml:space="preserve"> </w:t>
      </w:r>
      <w:r w:rsidRPr="00CD29D0">
        <w:t>is in Appendix</w:t>
      </w:r>
      <w:r w:rsidRPr="00CD29D0">
        <w:rPr>
          <w:rFonts w:ascii="Arial" w:eastAsia="Arial" w:hAnsi="Arial" w:cs="Arial"/>
        </w:rPr>
        <w:t> </w:t>
      </w:r>
      <w:r w:rsidRPr="00CD29D0">
        <w:t xml:space="preserve">B, and summary results are in Tables 17, 18, and 19 in </w:t>
      </w:r>
      <w:r w:rsidR="001478A5" w:rsidRPr="00CD29D0">
        <w:t>A</w:t>
      </w:r>
      <w:r w:rsidRPr="00CD29D0">
        <w:t>ppendix</w:t>
      </w:r>
      <w:r w:rsidR="001478A5" w:rsidRPr="00CD29D0">
        <w:t xml:space="preserve"> B</w:t>
      </w:r>
      <w:r w:rsidR="00A45A08" w:rsidRPr="00CD29D0">
        <w:t>.</w:t>
      </w:r>
    </w:p>
    <w:p w14:paraId="68A51E70" w14:textId="1445FB18" w:rsidR="002F48E4" w:rsidRPr="00CD29D0" w:rsidRDefault="002F48E4" w:rsidP="002945E5">
      <w:pPr>
        <w:pStyle w:val="TableTitle0"/>
      </w:pPr>
      <w:r w:rsidRPr="00CD29D0">
        <w:t>Figure 5. Norton CLASS Domain Averages by Grade Band</w:t>
      </w:r>
    </w:p>
    <w:p w14:paraId="218D8AA0" w14:textId="77777777" w:rsidR="002F48E4" w:rsidRPr="00CD29D0" w:rsidRDefault="002F48E4" w:rsidP="002945E5">
      <w:pPr>
        <w:pStyle w:val="BodyTextposthead"/>
        <w:rPr>
          <w:rFonts w:ascii="Franklin Gothic Book" w:eastAsia="Franklin Gothic Book" w:hAnsi="Franklin Gothic Book" w:cs="Franklin Gothic Book"/>
          <w:color w:val="000000"/>
        </w:rPr>
      </w:pPr>
      <w:r w:rsidRPr="00CD29D0">
        <w:rPr>
          <w:noProof/>
        </w:rPr>
        <w:drawing>
          <wp:inline distT="0" distB="0" distL="0" distR="0" wp14:anchorId="23203336" wp14:editId="1C77EA03">
            <wp:extent cx="5289550" cy="2654300"/>
            <wp:effectExtent l="0" t="0" r="6350" b="12700"/>
            <wp:docPr id="113304626" name="Chart 1" descr="This is a clustered column chart showing CLASS domain averages by grade band. Grades PK-5 scored higher than other grade bands for Emotional Support, Instructional Support, and Student Engagement; Grades 4-5 scored higher than others for Classroom Organization. Instructional Support received the lowest scores in all three grade bands.">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892B1" w14:textId="1ECD1300" w:rsidR="00A942D3" w:rsidRPr="00CD29D0" w:rsidRDefault="00F37760" w:rsidP="00656C1D">
      <w:pPr>
        <w:pStyle w:val="BodyText"/>
      </w:pPr>
      <w:r w:rsidRPr="00CD29D0">
        <w:t>I</w:t>
      </w:r>
      <w:r w:rsidR="002F48E4" w:rsidRPr="00CD29D0">
        <w:t xml:space="preserve">n the PK-5 grade band, instructional observations suggest generally strong evidence of </w:t>
      </w:r>
      <w:r w:rsidRPr="00CD29D0">
        <w:t>C</w:t>
      </w:r>
      <w:r w:rsidR="002F48E4" w:rsidRPr="00CD29D0">
        <w:t xml:space="preserve">lassroom </w:t>
      </w:r>
      <w:r w:rsidRPr="00CD29D0">
        <w:t>O</w:t>
      </w:r>
      <w:r w:rsidR="002F48E4" w:rsidRPr="00CD29D0">
        <w:t xml:space="preserve">rganization, moderately strong evidence of </w:t>
      </w:r>
      <w:r w:rsidRPr="00CD29D0">
        <w:t>E</w:t>
      </w:r>
      <w:r w:rsidR="002F48E4" w:rsidRPr="00CD29D0">
        <w:t xml:space="preserve">motional </w:t>
      </w:r>
      <w:r w:rsidRPr="00CD29D0">
        <w:t>S</w:t>
      </w:r>
      <w:r w:rsidR="002F48E4" w:rsidRPr="00CD29D0">
        <w:t xml:space="preserve">upport and </w:t>
      </w:r>
      <w:r w:rsidRPr="00CD29D0">
        <w:t>S</w:t>
      </w:r>
      <w:r w:rsidR="002F48E4" w:rsidRPr="00CD29D0">
        <w:t xml:space="preserve">tudent </w:t>
      </w:r>
      <w:r w:rsidRPr="00CD29D0">
        <w:t>E</w:t>
      </w:r>
      <w:r w:rsidR="002F48E4" w:rsidRPr="00CD29D0">
        <w:t>ngagement (</w:t>
      </w:r>
      <w:r w:rsidR="00E41467" w:rsidRPr="00CD29D0">
        <w:t>g</w:t>
      </w:r>
      <w:r w:rsidR="002F48E4" w:rsidRPr="00CD29D0">
        <w:t>rades</w:t>
      </w:r>
      <w:r w:rsidR="002945E5" w:rsidRPr="00CD29D0">
        <w:t> </w:t>
      </w:r>
      <w:r w:rsidR="002F48E4" w:rsidRPr="00CD29D0">
        <w:t>4</w:t>
      </w:r>
      <w:r w:rsidR="002945E5" w:rsidRPr="00CD29D0">
        <w:noBreakHyphen/>
      </w:r>
      <w:r w:rsidR="002F48E4" w:rsidRPr="00CD29D0">
        <w:t>5)</w:t>
      </w:r>
      <w:r w:rsidRPr="00CD29D0">
        <w:t>,</w:t>
      </w:r>
      <w:r w:rsidR="002F48E4" w:rsidRPr="00CD29D0">
        <w:t xml:space="preserve"> and mixed evidence of consistently rigorous </w:t>
      </w:r>
      <w:r w:rsidRPr="00CD29D0">
        <w:t>I</w:t>
      </w:r>
      <w:r w:rsidR="002F48E4" w:rsidRPr="00CD29D0">
        <w:t xml:space="preserve">nstructional </w:t>
      </w:r>
      <w:r w:rsidRPr="00CD29D0">
        <w:t>S</w:t>
      </w:r>
      <w:r w:rsidR="002F48E4" w:rsidRPr="00CD29D0">
        <w:t xml:space="preserve">upport. In </w:t>
      </w:r>
      <w:r w:rsidR="00DA353C" w:rsidRPr="00CD29D0">
        <w:t xml:space="preserve">both </w:t>
      </w:r>
      <w:r w:rsidR="002F48E4" w:rsidRPr="00CD29D0">
        <w:t xml:space="preserve">the 6-8 and 9-12 grade bands, instructional observations provide evidence of consistently strong </w:t>
      </w:r>
      <w:r w:rsidR="00DA353C" w:rsidRPr="00CD29D0">
        <w:t>C</w:t>
      </w:r>
      <w:r w:rsidR="002F48E4" w:rsidRPr="00CD29D0">
        <w:t xml:space="preserve">lassroom </w:t>
      </w:r>
      <w:r w:rsidR="00DA353C" w:rsidRPr="00CD29D0">
        <w:t>O</w:t>
      </w:r>
      <w:r w:rsidR="002F48E4" w:rsidRPr="00CD29D0">
        <w:t xml:space="preserve">rganization and mixed evidence of consistently strong </w:t>
      </w:r>
      <w:r w:rsidR="00DA353C" w:rsidRPr="00CD29D0">
        <w:t>E</w:t>
      </w:r>
      <w:r w:rsidR="002F48E4" w:rsidRPr="00CD29D0">
        <w:t xml:space="preserve">motional </w:t>
      </w:r>
      <w:r w:rsidR="00DA353C" w:rsidRPr="00CD29D0">
        <w:t>S</w:t>
      </w:r>
      <w:r w:rsidR="002F48E4" w:rsidRPr="00CD29D0">
        <w:t xml:space="preserve">upport, </w:t>
      </w:r>
      <w:r w:rsidR="00DA353C" w:rsidRPr="00CD29D0">
        <w:t>S</w:t>
      </w:r>
      <w:r w:rsidR="002F48E4" w:rsidRPr="00CD29D0">
        <w:t xml:space="preserve">tudent </w:t>
      </w:r>
      <w:r w:rsidR="00DA353C" w:rsidRPr="00CD29D0">
        <w:t>E</w:t>
      </w:r>
      <w:r w:rsidR="002F48E4" w:rsidRPr="00CD29D0">
        <w:t xml:space="preserve">ngagement, and rigorous </w:t>
      </w:r>
      <w:r w:rsidR="00DA353C" w:rsidRPr="00CD29D0">
        <w:t>I</w:t>
      </w:r>
      <w:r w:rsidR="002F48E4" w:rsidRPr="00CD29D0">
        <w:t xml:space="preserve">nstructional </w:t>
      </w:r>
      <w:r w:rsidR="00DA353C" w:rsidRPr="00CD29D0">
        <w:t>S</w:t>
      </w:r>
      <w:r w:rsidR="002F48E4" w:rsidRPr="00CD29D0">
        <w:t>upport.</w:t>
      </w:r>
    </w:p>
    <w:p w14:paraId="5A4DB43F" w14:textId="77777777" w:rsidR="008D6102" w:rsidRPr="00CD29D0" w:rsidRDefault="008D6102" w:rsidP="002945E5">
      <w:pPr>
        <w:pStyle w:val="Heading2"/>
      </w:pPr>
      <w:bookmarkStart w:id="17" w:name="_Leadership_and_Governance"/>
      <w:bookmarkStart w:id="18" w:name="_Toc101446227"/>
      <w:bookmarkStart w:id="19" w:name="_Toc227589892"/>
      <w:bookmarkStart w:id="20" w:name="_Toc350870261"/>
      <w:bookmarkEnd w:id="17"/>
      <w:r w:rsidRPr="00CD29D0">
        <w:lastRenderedPageBreak/>
        <w:t>Leadership and Governance</w:t>
      </w:r>
      <w:bookmarkEnd w:id="18"/>
      <w:bookmarkEnd w:id="19"/>
    </w:p>
    <w:p w14:paraId="63244A6E" w14:textId="5C911C93" w:rsidR="00A7777E" w:rsidRPr="00CD29D0" w:rsidRDefault="00A7777E" w:rsidP="002945E5">
      <w:pPr>
        <w:pStyle w:val="BodyTextposthead"/>
      </w:pPr>
      <w:r w:rsidRPr="00CD29D0">
        <w:t xml:space="preserve">This section examines the extent to which school committees, district leaders, school leaders, and advisory council members work collaboratively and strategically to promote high-quality teaching and learning that is </w:t>
      </w:r>
      <w:r w:rsidR="00AA2B37" w:rsidRPr="00CD29D0">
        <w:t xml:space="preserve">(a) </w:t>
      </w:r>
      <w:r w:rsidRPr="00CD29D0">
        <w:t xml:space="preserve">antiracist, inclusive, multilingual, and multicultural; </w:t>
      </w:r>
      <w:r w:rsidR="00AA2B37" w:rsidRPr="00CD29D0">
        <w:t xml:space="preserve">(b) </w:t>
      </w:r>
      <w:r w:rsidRPr="00CD29D0">
        <w:t xml:space="preserve">values and affirms each student and their families; and </w:t>
      </w:r>
      <w:r w:rsidR="00AA2B37" w:rsidRPr="00CD29D0">
        <w:t>(c)</w:t>
      </w:r>
      <w:r w:rsidRPr="00CD29D0">
        <w:t xml:space="preserve"> creates equitable opportunities and experiences for all students, particularly those who have been historically underserved. It also </w:t>
      </w:r>
      <w:r w:rsidR="00AA2B37" w:rsidRPr="00CD29D0">
        <w:t xml:space="preserve">looks at </w:t>
      </w:r>
      <w:r w:rsidRPr="00CD29D0">
        <w:t xml:space="preserve">on the extent to which districts establish, implement, and evaluate policies, plans, procedures, systems, and budgets </w:t>
      </w:r>
      <w:r w:rsidR="00AA2B37" w:rsidRPr="00CD29D0">
        <w:t>by</w:t>
      </w:r>
      <w:r w:rsidRPr="00CD29D0">
        <w:t xml:space="preserve"> focus</w:t>
      </w:r>
      <w:r w:rsidR="00AA2B37" w:rsidRPr="00CD29D0">
        <w:t>ing</w:t>
      </w:r>
      <w:r w:rsidRPr="00CD29D0">
        <w:t xml:space="preserve"> on achieving districtwide strategic objectives</w:t>
      </w:r>
      <w:r w:rsidR="00AA2B37" w:rsidRPr="00CD29D0">
        <w:t>. This occurs</w:t>
      </w:r>
      <w:r w:rsidRPr="00CD29D0">
        <w:t xml:space="preserve"> in part through equitable and effective use of resources, </w:t>
      </w:r>
      <w:r w:rsidR="00AA2B37" w:rsidRPr="00CD29D0">
        <w:t xml:space="preserve">which </w:t>
      </w:r>
      <w:r w:rsidRPr="00CD29D0">
        <w:t>ultimately lead to high-quality teaching and learning for all students.</w:t>
      </w:r>
    </w:p>
    <w:p w14:paraId="6CCEFE2D" w14:textId="52E8E867" w:rsidR="00B72349" w:rsidRPr="00CD29D0" w:rsidRDefault="00944D9E" w:rsidP="002945E5">
      <w:pPr>
        <w:pStyle w:val="BodyText"/>
        <w:rPr>
          <w:rFonts w:ascii="Franklin Gothic Demi" w:hAnsi="Franklin Gothic Demi"/>
        </w:rPr>
      </w:pPr>
      <w:r w:rsidRPr="00CD29D0">
        <w:t xml:space="preserve">Table </w:t>
      </w:r>
      <w:r w:rsidR="000F34B4" w:rsidRPr="00CD29D0">
        <w:t xml:space="preserve">2 </w:t>
      </w:r>
      <w:r w:rsidRPr="00CD29D0">
        <w:t>summarizes key strengths and areas for growth in leadership and governance</w:t>
      </w:r>
      <w:r w:rsidR="00672224" w:rsidRPr="00CD29D0">
        <w:t xml:space="preserve"> in </w:t>
      </w:r>
      <w:r w:rsidR="00040BBA" w:rsidRPr="00CD29D0">
        <w:t>Norton</w:t>
      </w:r>
      <w:r w:rsidRPr="00CD29D0">
        <w:t>.</w:t>
      </w:r>
    </w:p>
    <w:p w14:paraId="5317D7CB" w14:textId="084955CD" w:rsidR="003D6ECF" w:rsidRPr="00CD29D0" w:rsidRDefault="003D6ECF" w:rsidP="002945E5">
      <w:pPr>
        <w:pStyle w:val="TableTitle0"/>
      </w:pPr>
      <w:r w:rsidRPr="00CD29D0">
        <w:t xml:space="preserve">Table </w:t>
      </w:r>
      <w:r w:rsidR="00BD049B" w:rsidRPr="00CD29D0">
        <w:t>2</w:t>
      </w:r>
      <w:r w:rsidRPr="00CD29D0">
        <w:t xml:space="preserve">. Summary of </w:t>
      </w:r>
      <w:r w:rsidR="00944D9E" w:rsidRPr="00CD29D0">
        <w:t xml:space="preserve">Key Strengths </w:t>
      </w:r>
      <w:r w:rsidRPr="00CD29D0">
        <w:t xml:space="preserve">and </w:t>
      </w:r>
      <w:r w:rsidR="00944D9E" w:rsidRPr="00CD29D0">
        <w:t xml:space="preserve">Areas </w:t>
      </w:r>
      <w:r w:rsidRPr="00CD29D0">
        <w:t xml:space="preserve">for </w:t>
      </w:r>
      <w:r w:rsidR="00944D9E" w:rsidRPr="00CD29D0">
        <w:t>Growth:</w:t>
      </w:r>
      <w:r w:rsidRPr="00CD29D0">
        <w:t xml:space="preserve"> Leadership and Governance</w:t>
      </w:r>
      <w:r w:rsidR="00C0766E" w:rsidRPr="00CD29D0">
        <w:t xml:space="preserve"> Standard</w:t>
      </w:r>
    </w:p>
    <w:tbl>
      <w:tblPr>
        <w:tblStyle w:val="MSVTable1"/>
        <w:tblW w:w="5000" w:type="pct"/>
        <w:tblLayout w:type="fixed"/>
        <w:tblLook w:val="04A0" w:firstRow="1" w:lastRow="0" w:firstColumn="1" w:lastColumn="0" w:noHBand="0" w:noVBand="1"/>
        <w:tblCaption w:val="Table 2. Summary of Key Strengths and Areas for Growth: Leadership and Governance Standard"/>
        <w:tblDescription w:val="Summary of Key Strengths and Areas for Growth: Leadership and Governance Standard"/>
      </w:tblPr>
      <w:tblGrid>
        <w:gridCol w:w="1972"/>
        <w:gridCol w:w="3686"/>
        <w:gridCol w:w="3686"/>
      </w:tblGrid>
      <w:tr w:rsidR="003D6ECF" w:rsidRPr="00CD29D0" w14:paraId="1BA64263" w14:textId="77777777" w:rsidTr="00996A44">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D732FB" w:rsidRDefault="003D6ECF" w:rsidP="00996A44">
            <w:pPr>
              <w:pStyle w:val="TableColHeadingCenter"/>
            </w:pPr>
            <w:r w:rsidRPr="00D732FB">
              <w:t>Indicator</w:t>
            </w:r>
          </w:p>
        </w:tc>
        <w:tc>
          <w:tcPr>
            <w:tcW w:w="3686" w:type="dxa"/>
          </w:tcPr>
          <w:p w14:paraId="26C2C9B5" w14:textId="77777777" w:rsidR="003D6ECF" w:rsidRPr="00CD29D0" w:rsidRDefault="003D6ECF" w:rsidP="00996A44">
            <w:pPr>
              <w:pStyle w:val="TableColHeadingCenter"/>
            </w:pPr>
            <w:r w:rsidRPr="00CD29D0">
              <w:t>Strengths</w:t>
            </w:r>
          </w:p>
        </w:tc>
        <w:tc>
          <w:tcPr>
            <w:tcW w:w="3686" w:type="dxa"/>
          </w:tcPr>
          <w:p w14:paraId="19C0FC93" w14:textId="398D47A8" w:rsidR="003D6ECF" w:rsidRPr="00CD29D0" w:rsidRDefault="003D6ECF" w:rsidP="00996A44">
            <w:pPr>
              <w:pStyle w:val="TableColHeadingCenter"/>
            </w:pPr>
            <w:r w:rsidRPr="00CD29D0">
              <w:t xml:space="preserve">Areas for </w:t>
            </w:r>
            <w:r w:rsidR="00944D9E" w:rsidRPr="00CD29D0">
              <w:t>growth</w:t>
            </w:r>
          </w:p>
        </w:tc>
      </w:tr>
      <w:tr w:rsidR="003D6ECF" w:rsidRPr="00CD29D0" w14:paraId="684F20FE" w14:textId="77777777" w:rsidTr="00996A44">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CD29D0" w:rsidRDefault="00895032" w:rsidP="002945E5">
            <w:pPr>
              <w:pStyle w:val="TableSubheading"/>
            </w:pPr>
            <w:hyperlink w:anchor="_Leadership_and_Governing" w:history="1">
              <w:r w:rsidRPr="00CD29D0">
                <w:rPr>
                  <w:rStyle w:val="Hyperlink"/>
                  <w:color w:val="auto"/>
                  <w:u w:val="none"/>
                </w:rPr>
                <w:t>Leadership and Governing Structures</w:t>
              </w:r>
            </w:hyperlink>
          </w:p>
        </w:tc>
        <w:tc>
          <w:tcPr>
            <w:tcW w:w="3686" w:type="dxa"/>
          </w:tcPr>
          <w:p w14:paraId="795C99D3" w14:textId="16E1F97D" w:rsidR="003D6ECF" w:rsidRPr="00CD29D0" w:rsidRDefault="006223E6" w:rsidP="002945E5">
            <w:pPr>
              <w:pStyle w:val="TableBullet1"/>
            </w:pPr>
            <w:r w:rsidRPr="006223E6">
              <w:t>Students and families actively participate in district decision making.</w:t>
            </w:r>
          </w:p>
        </w:tc>
        <w:tc>
          <w:tcPr>
            <w:tcW w:w="3686" w:type="dxa"/>
          </w:tcPr>
          <w:p w14:paraId="7086393F" w14:textId="71D49996" w:rsidR="003D6ECF" w:rsidRPr="00CD29D0" w:rsidRDefault="00EC09F7" w:rsidP="002945E5">
            <w:pPr>
              <w:pStyle w:val="TableBullet1"/>
            </w:pPr>
            <w:r>
              <w:t xml:space="preserve">Increasing </w:t>
            </w:r>
            <w:r w:rsidRPr="00EC09F7">
              <w:t>participation in the Special Education Parent Advisory Council (SEPAC)</w:t>
            </w:r>
          </w:p>
        </w:tc>
      </w:tr>
      <w:tr w:rsidR="003D6ECF" w:rsidRPr="00CD29D0" w14:paraId="14B42E08" w14:textId="77777777" w:rsidTr="00996A44">
        <w:tc>
          <w:tcPr>
            <w:tcW w:w="1972" w:type="dxa"/>
          </w:tcPr>
          <w:p w14:paraId="3EB19AE6" w14:textId="593DF9C6" w:rsidR="003D6ECF" w:rsidRPr="00CD29D0" w:rsidRDefault="00F95311" w:rsidP="002945E5">
            <w:pPr>
              <w:pStyle w:val="TableSubheading"/>
            </w:pPr>
            <w:hyperlink w:anchor="_Strategic_Planning,_Implementation," w:history="1">
              <w:r w:rsidRPr="00CD29D0">
                <w:rPr>
                  <w:rStyle w:val="Hyperlink"/>
                  <w:color w:val="auto"/>
                  <w:u w:val="none"/>
                </w:rPr>
                <w:t>Strategic Planning, Implementation, and Monitoring</w:t>
              </w:r>
            </w:hyperlink>
          </w:p>
        </w:tc>
        <w:tc>
          <w:tcPr>
            <w:tcW w:w="3686" w:type="dxa"/>
          </w:tcPr>
          <w:p w14:paraId="79931D11" w14:textId="77777777" w:rsidR="003D6ECF" w:rsidRDefault="00260FF8" w:rsidP="002945E5">
            <w:pPr>
              <w:pStyle w:val="TableBullet1"/>
            </w:pPr>
            <w:r w:rsidRPr="00260FF8">
              <w:t>The 2025–2029 strategic plan clearly defines goals, priorities, and measurable benchmarks and reflects community input.</w:t>
            </w:r>
          </w:p>
          <w:p w14:paraId="4343D8EB" w14:textId="77777777" w:rsidR="00260FF8" w:rsidRPr="00260FF8" w:rsidRDefault="00260FF8" w:rsidP="00260FF8">
            <w:pPr>
              <w:pStyle w:val="TableBullet1"/>
            </w:pPr>
            <w:r w:rsidRPr="00260FF8">
              <w:t>School Improvement Plans (SIPs) align with the district strategy while allowing school-level autonomy.</w:t>
            </w:r>
          </w:p>
          <w:p w14:paraId="3C710E27" w14:textId="1B6120EC" w:rsidR="003D6ECF" w:rsidRPr="00CD29D0" w:rsidRDefault="00260FF8" w:rsidP="002945E5">
            <w:pPr>
              <w:pStyle w:val="TableBullet1"/>
            </w:pPr>
            <w:r w:rsidRPr="00260FF8">
              <w:t xml:space="preserve">District and school leaders have established a plan to actively monitor SIP implementation (e.g., learning walks). </w:t>
            </w:r>
          </w:p>
        </w:tc>
        <w:tc>
          <w:tcPr>
            <w:tcW w:w="3686" w:type="dxa"/>
          </w:tcPr>
          <w:p w14:paraId="5838C396" w14:textId="233DFB18" w:rsidR="003D6ECF" w:rsidRPr="00CD29D0" w:rsidRDefault="00C67C68" w:rsidP="002945E5">
            <w:pPr>
              <w:pStyle w:val="TableBullet1"/>
            </w:pPr>
            <w:r>
              <w:t>N/A</w:t>
            </w:r>
          </w:p>
        </w:tc>
      </w:tr>
      <w:tr w:rsidR="003D6ECF" w:rsidRPr="00CD29D0" w14:paraId="22B4591C" w14:textId="77777777" w:rsidTr="00996A44">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CD29D0" w:rsidRDefault="003D6ECF" w:rsidP="002945E5">
            <w:pPr>
              <w:pStyle w:val="TableSubheading"/>
            </w:pPr>
            <w:hyperlink w:anchor="_District_Culture" w:history="1">
              <w:r w:rsidRPr="00CD29D0">
                <w:rPr>
                  <w:rStyle w:val="Hyperlink"/>
                  <w:color w:val="auto"/>
                  <w:u w:val="none"/>
                </w:rPr>
                <w:t xml:space="preserve">District </w:t>
              </w:r>
              <w:r w:rsidR="00F95311" w:rsidRPr="00CD29D0">
                <w:rPr>
                  <w:rStyle w:val="Hyperlink"/>
                  <w:color w:val="auto"/>
                  <w:u w:val="none"/>
                </w:rPr>
                <w:t>Culture</w:t>
              </w:r>
            </w:hyperlink>
          </w:p>
        </w:tc>
        <w:tc>
          <w:tcPr>
            <w:tcW w:w="3686" w:type="dxa"/>
          </w:tcPr>
          <w:p w14:paraId="2956C390" w14:textId="678A5D06" w:rsidR="003D6ECF" w:rsidRPr="00CD29D0" w:rsidRDefault="00765AB2" w:rsidP="002945E5">
            <w:pPr>
              <w:pStyle w:val="TableBullet1"/>
            </w:pPr>
            <w:r w:rsidRPr="00765AB2">
              <w:t>Combining elementary parent councils into one broader, more effective council.</w:t>
            </w:r>
          </w:p>
        </w:tc>
        <w:tc>
          <w:tcPr>
            <w:tcW w:w="3686" w:type="dxa"/>
          </w:tcPr>
          <w:p w14:paraId="0F21E755" w14:textId="6383A782" w:rsidR="003D6ECF" w:rsidRPr="00CD29D0" w:rsidRDefault="00642BE7" w:rsidP="002945E5">
            <w:pPr>
              <w:pStyle w:val="TableBullet1"/>
            </w:pPr>
            <w:r>
              <w:rPr>
                <w:lang w:eastAsia="ja-JP"/>
              </w:rPr>
              <w:t>I</w:t>
            </w:r>
            <w:r w:rsidRPr="00C67C68">
              <w:rPr>
                <w:lang w:eastAsia="ja-JP"/>
              </w:rPr>
              <w:t>mproving working relationships between the teachers’ association and school committee</w:t>
            </w:r>
          </w:p>
        </w:tc>
      </w:tr>
    </w:tbl>
    <w:p w14:paraId="47244709" w14:textId="2F8C3EBE" w:rsidR="003D6ECF" w:rsidRPr="00CD29D0" w:rsidRDefault="00895032" w:rsidP="002945E5">
      <w:pPr>
        <w:pStyle w:val="Heading3"/>
      </w:pPr>
      <w:bookmarkStart w:id="21" w:name="_School_Committee_Governance"/>
      <w:bookmarkStart w:id="22" w:name="_Leadership_and_Governing"/>
      <w:bookmarkEnd w:id="21"/>
      <w:bookmarkEnd w:id="22"/>
      <w:r w:rsidRPr="00CD29D0">
        <w:t>Leadership and Gov</w:t>
      </w:r>
      <w:r w:rsidR="003D6ECF" w:rsidRPr="00CD29D0">
        <w:t>e</w:t>
      </w:r>
      <w:r w:rsidRPr="00CD29D0">
        <w:t>rning Structures</w:t>
      </w:r>
    </w:p>
    <w:p w14:paraId="566612A0" w14:textId="2EE83843" w:rsidR="008F6BFD" w:rsidRPr="00CD29D0" w:rsidRDefault="000F59A4" w:rsidP="002945E5">
      <w:pPr>
        <w:pStyle w:val="BodyTextposthead"/>
        <w:rPr>
          <w:lang w:eastAsia="ja-JP"/>
        </w:rPr>
      </w:pPr>
      <w:r w:rsidRPr="00CD29D0">
        <w:rPr>
          <w:lang w:eastAsia="ja-JP"/>
        </w:rPr>
        <w:t xml:space="preserve">Norton’s </w:t>
      </w:r>
      <w:r w:rsidR="00A36994" w:rsidRPr="00CD29D0">
        <w:rPr>
          <w:lang w:eastAsia="ja-JP"/>
        </w:rPr>
        <w:t>district leadership team</w:t>
      </w:r>
      <w:r w:rsidR="00A36994" w:rsidRPr="00CD29D0" w:rsidDel="000F59A4">
        <w:rPr>
          <w:lang w:eastAsia="ja-JP"/>
        </w:rPr>
        <w:t xml:space="preserve"> </w:t>
      </w:r>
      <w:r w:rsidRPr="00CD29D0">
        <w:rPr>
          <w:lang w:eastAsia="ja-JP"/>
        </w:rPr>
        <w:t>includes</w:t>
      </w:r>
      <w:r w:rsidR="00725E11" w:rsidRPr="00CD29D0">
        <w:rPr>
          <w:lang w:eastAsia="ja-JP"/>
        </w:rPr>
        <w:t xml:space="preserve"> the superintendent, assistant superintendent for teaching and learning, </w:t>
      </w:r>
      <w:r w:rsidR="00537EB8" w:rsidRPr="00CD29D0">
        <w:rPr>
          <w:lang w:eastAsia="ja-JP"/>
        </w:rPr>
        <w:t xml:space="preserve">director of finance and operations, </w:t>
      </w:r>
      <w:r w:rsidR="00751D91" w:rsidRPr="00CD29D0">
        <w:rPr>
          <w:lang w:eastAsia="ja-JP"/>
        </w:rPr>
        <w:t xml:space="preserve">coordinator of special education, </w:t>
      </w:r>
      <w:r w:rsidR="00537EB8" w:rsidRPr="00CD29D0">
        <w:rPr>
          <w:lang w:eastAsia="ja-JP"/>
        </w:rPr>
        <w:t>directo</w:t>
      </w:r>
      <w:r w:rsidR="00CB269E" w:rsidRPr="00CD29D0">
        <w:rPr>
          <w:lang w:eastAsia="ja-JP"/>
        </w:rPr>
        <w:t xml:space="preserve">r of counseling and therapeutic services, </w:t>
      </w:r>
      <w:r w:rsidR="00670151" w:rsidRPr="00CD29D0">
        <w:rPr>
          <w:lang w:eastAsia="ja-JP"/>
        </w:rPr>
        <w:t xml:space="preserve">director of facilities, and director of instructional technology. </w:t>
      </w:r>
      <w:r w:rsidRPr="00CD29D0">
        <w:rPr>
          <w:lang w:eastAsia="ja-JP"/>
        </w:rPr>
        <w:t>S</w:t>
      </w:r>
      <w:r w:rsidR="00CE4F12" w:rsidRPr="00CD29D0">
        <w:rPr>
          <w:lang w:eastAsia="ja-JP"/>
        </w:rPr>
        <w:t xml:space="preserve">uperintendent </w:t>
      </w:r>
      <w:r w:rsidRPr="00CD29D0">
        <w:rPr>
          <w:lang w:eastAsia="ja-JP"/>
        </w:rPr>
        <w:t xml:space="preserve">O’Neill </w:t>
      </w:r>
      <w:r w:rsidR="00A75247" w:rsidRPr="00CD29D0">
        <w:rPr>
          <w:lang w:eastAsia="ja-JP"/>
        </w:rPr>
        <w:t xml:space="preserve">has </w:t>
      </w:r>
      <w:r w:rsidR="00CE4F12" w:rsidRPr="00CD29D0">
        <w:rPr>
          <w:lang w:eastAsia="ja-JP"/>
        </w:rPr>
        <w:t xml:space="preserve">spent her </w:t>
      </w:r>
      <w:r w:rsidR="00EF1E59" w:rsidRPr="00CD29D0">
        <w:rPr>
          <w:lang w:eastAsia="ja-JP"/>
        </w:rPr>
        <w:t xml:space="preserve">entire </w:t>
      </w:r>
      <w:r w:rsidR="00CE4F12" w:rsidRPr="00CD29D0">
        <w:rPr>
          <w:lang w:eastAsia="ja-JP"/>
        </w:rPr>
        <w:t>career in Norton</w:t>
      </w:r>
      <w:r w:rsidRPr="00CD29D0">
        <w:rPr>
          <w:lang w:eastAsia="ja-JP"/>
        </w:rPr>
        <w:t>,</w:t>
      </w:r>
      <w:r w:rsidR="00A75247" w:rsidRPr="00CD29D0">
        <w:rPr>
          <w:lang w:eastAsia="ja-JP"/>
        </w:rPr>
        <w:t xml:space="preserve"> so </w:t>
      </w:r>
      <w:r w:rsidR="00371E3F" w:rsidRPr="00CD29D0">
        <w:rPr>
          <w:lang w:eastAsia="ja-JP"/>
        </w:rPr>
        <w:t xml:space="preserve">she was </w:t>
      </w:r>
      <w:r w:rsidR="00EF1E59" w:rsidRPr="00CD29D0">
        <w:rPr>
          <w:lang w:eastAsia="ja-JP"/>
        </w:rPr>
        <w:t>intentional about</w:t>
      </w:r>
      <w:r w:rsidR="00371E3F" w:rsidRPr="00CD29D0">
        <w:rPr>
          <w:lang w:eastAsia="ja-JP"/>
        </w:rPr>
        <w:t xml:space="preserve"> selecting </w:t>
      </w:r>
      <w:r w:rsidR="00EF1E59" w:rsidRPr="00CD29D0">
        <w:rPr>
          <w:lang w:eastAsia="ja-JP"/>
        </w:rPr>
        <w:t>a</w:t>
      </w:r>
      <w:r w:rsidR="00371E3F" w:rsidRPr="00CD29D0">
        <w:rPr>
          <w:lang w:eastAsia="ja-JP"/>
        </w:rPr>
        <w:t xml:space="preserve"> leadership team </w:t>
      </w:r>
      <w:r w:rsidR="00EF1E59" w:rsidRPr="00CD29D0">
        <w:rPr>
          <w:lang w:eastAsia="ja-JP"/>
        </w:rPr>
        <w:t>that included individuals</w:t>
      </w:r>
      <w:r w:rsidR="00371E3F" w:rsidRPr="00CD29D0">
        <w:rPr>
          <w:lang w:eastAsia="ja-JP"/>
        </w:rPr>
        <w:t xml:space="preserve"> from outside the district to </w:t>
      </w:r>
      <w:r w:rsidR="00EF1E59" w:rsidRPr="00CD29D0">
        <w:rPr>
          <w:lang w:eastAsia="ja-JP"/>
        </w:rPr>
        <w:t>bring broader experience</w:t>
      </w:r>
      <w:r w:rsidR="00CE0798" w:rsidRPr="00CD29D0">
        <w:rPr>
          <w:lang w:eastAsia="ja-JP"/>
        </w:rPr>
        <w:t xml:space="preserve"> and perspectives. </w:t>
      </w:r>
      <w:r w:rsidR="00915067" w:rsidRPr="00CD29D0">
        <w:rPr>
          <w:lang w:eastAsia="ja-JP"/>
        </w:rPr>
        <w:t>Currently, s</w:t>
      </w:r>
      <w:r w:rsidR="00C2031D" w:rsidRPr="00CD29D0">
        <w:rPr>
          <w:lang w:eastAsia="ja-JP"/>
        </w:rPr>
        <w:t xml:space="preserve">ome leaders have been in the district for over 20 years whereas others </w:t>
      </w:r>
      <w:r w:rsidR="00DC3BB0" w:rsidRPr="00CD29D0">
        <w:rPr>
          <w:lang w:eastAsia="ja-JP"/>
        </w:rPr>
        <w:t xml:space="preserve">were brought in </w:t>
      </w:r>
      <w:r w:rsidR="00DC3BB0" w:rsidRPr="00CD29D0" w:rsidDel="008F6BFD">
        <w:rPr>
          <w:lang w:eastAsia="ja-JP"/>
        </w:rPr>
        <w:t xml:space="preserve">when </w:t>
      </w:r>
      <w:r w:rsidR="00DC3BB0" w:rsidRPr="00CD29D0">
        <w:rPr>
          <w:lang w:eastAsia="ja-JP"/>
        </w:rPr>
        <w:t xml:space="preserve">the superintendent </w:t>
      </w:r>
      <w:r w:rsidR="00DC3BB0" w:rsidRPr="00CD29D0" w:rsidDel="008F6BFD">
        <w:rPr>
          <w:lang w:eastAsia="ja-JP"/>
        </w:rPr>
        <w:t>began in this role</w:t>
      </w:r>
      <w:r w:rsidR="00DC3BB0" w:rsidRPr="00CD29D0">
        <w:rPr>
          <w:lang w:eastAsia="ja-JP"/>
        </w:rPr>
        <w:t xml:space="preserve">. </w:t>
      </w:r>
      <w:r w:rsidR="008F6BFD" w:rsidRPr="00CD29D0">
        <w:rPr>
          <w:lang w:eastAsia="ja-JP"/>
        </w:rPr>
        <w:t>She</w:t>
      </w:r>
      <w:r w:rsidR="00515F4C" w:rsidRPr="00CD29D0">
        <w:rPr>
          <w:lang w:eastAsia="ja-JP"/>
        </w:rPr>
        <w:t xml:space="preserve"> summarized</w:t>
      </w:r>
      <w:r w:rsidR="008F6BFD" w:rsidRPr="00CD29D0">
        <w:rPr>
          <w:lang w:eastAsia="ja-JP"/>
        </w:rPr>
        <w:t>:</w:t>
      </w:r>
    </w:p>
    <w:p w14:paraId="751DDFDC" w14:textId="1BF55C72" w:rsidR="008F6BFD" w:rsidRPr="00CD29D0" w:rsidRDefault="00515F4C" w:rsidP="00996A44">
      <w:pPr>
        <w:pStyle w:val="BodyTextIndent"/>
      </w:pPr>
      <w:r w:rsidRPr="00CD29D0">
        <w:lastRenderedPageBreak/>
        <w:t>It's a good mix of people who have been here for a while and newer people. I think when you</w:t>
      </w:r>
      <w:r w:rsidR="004A6559" w:rsidRPr="00CD29D0">
        <w:t>’</w:t>
      </w:r>
      <w:r w:rsidRPr="00CD29D0">
        <w:t xml:space="preserve">re building a team, we’re always looking for that person to </w:t>
      </w:r>
      <w:r w:rsidR="004A6559" w:rsidRPr="00CD29D0">
        <w:t xml:space="preserve">complement </w:t>
      </w:r>
      <w:r w:rsidRPr="00CD29D0">
        <w:t xml:space="preserve">the skills that other people have and to fill those holes where </w:t>
      </w:r>
      <w:r w:rsidR="00027AF8" w:rsidRPr="00CD29D0">
        <w:t>we</w:t>
      </w:r>
      <w:r w:rsidRPr="00CD29D0">
        <w:t xml:space="preserve"> don</w:t>
      </w:r>
      <w:r w:rsidR="004A6559" w:rsidRPr="00CD29D0">
        <w:t>’</w:t>
      </w:r>
      <w:r w:rsidRPr="00CD29D0">
        <w:t>t have them.</w:t>
      </w:r>
    </w:p>
    <w:p w14:paraId="228149E7" w14:textId="06B224D8" w:rsidR="00515F4C" w:rsidRPr="00CD29D0" w:rsidRDefault="0042357D" w:rsidP="00996A44">
      <w:pPr>
        <w:pStyle w:val="BodyText"/>
        <w:rPr>
          <w:rFonts w:eastAsiaTheme="minorEastAsia"/>
          <w:lang w:eastAsia="ja-JP"/>
        </w:rPr>
      </w:pPr>
      <w:r w:rsidRPr="00CD29D0" w:rsidDel="009A3ECA">
        <w:rPr>
          <w:rFonts w:eastAsiaTheme="minorEastAsia"/>
          <w:lang w:eastAsia="ja-JP"/>
        </w:rPr>
        <w:t xml:space="preserve">In addition to the district leadership team, </w:t>
      </w:r>
      <w:r w:rsidRPr="00CD29D0" w:rsidDel="009A3ECA">
        <w:t>d</w:t>
      </w:r>
      <w:r w:rsidRPr="00CD29D0">
        <w:t>istrict leaders meet with principals approximately twice per month</w:t>
      </w:r>
      <w:r w:rsidR="009A3ECA" w:rsidRPr="00CD29D0">
        <w:t xml:space="preserve">, </w:t>
      </w:r>
      <w:r w:rsidRPr="00CD29D0">
        <w:t xml:space="preserve">once as a full </w:t>
      </w:r>
      <w:r w:rsidR="00A95C71">
        <w:t>principal</w:t>
      </w:r>
      <w:r w:rsidR="009A3ECA" w:rsidRPr="00CD29D0">
        <w:t xml:space="preserve"> </w:t>
      </w:r>
      <w:r w:rsidRPr="00CD29D0">
        <w:t>leadership team and once as either an elementary or secondary team (see District Culture for more information).</w:t>
      </w:r>
    </w:p>
    <w:p w14:paraId="1BDACBF9" w14:textId="6E7043F2" w:rsidR="000231AE" w:rsidRPr="00CD29D0" w:rsidRDefault="001528E7" w:rsidP="00996A44">
      <w:pPr>
        <w:pStyle w:val="BodyText"/>
        <w:rPr>
          <w:rFonts w:eastAsiaTheme="minorEastAsia"/>
          <w:lang w:eastAsia="ja-JP"/>
        </w:rPr>
      </w:pPr>
      <w:r w:rsidRPr="00CD29D0">
        <w:rPr>
          <w:lang w:eastAsia="ja-JP"/>
        </w:rPr>
        <w:t xml:space="preserve">The district’s school committee </w:t>
      </w:r>
      <w:r w:rsidR="00C636DA" w:rsidRPr="00CD29D0">
        <w:rPr>
          <w:lang w:eastAsia="ja-JP"/>
        </w:rPr>
        <w:t>comprises</w:t>
      </w:r>
      <w:r w:rsidRPr="00CD29D0">
        <w:rPr>
          <w:lang w:eastAsia="ja-JP"/>
        </w:rPr>
        <w:t xml:space="preserve"> five members,</w:t>
      </w:r>
      <w:r w:rsidR="00F249CB" w:rsidRPr="00CD29D0">
        <w:rPr>
          <w:lang w:eastAsia="ja-JP"/>
        </w:rPr>
        <w:t xml:space="preserve"> each elected to three-year terms. </w:t>
      </w:r>
      <w:r w:rsidR="00D15934" w:rsidRPr="00CD29D0">
        <w:rPr>
          <w:lang w:eastAsia="ja-JP"/>
        </w:rPr>
        <w:t xml:space="preserve">There are also two nonvoting student members. </w:t>
      </w:r>
      <w:r w:rsidR="00981E25" w:rsidRPr="00CD29D0">
        <w:rPr>
          <w:lang w:eastAsia="ja-JP"/>
        </w:rPr>
        <w:t xml:space="preserve">The </w:t>
      </w:r>
      <w:r w:rsidR="00C636DA" w:rsidRPr="00CD29D0">
        <w:rPr>
          <w:lang w:eastAsia="ja-JP"/>
        </w:rPr>
        <w:t xml:space="preserve">composition of the </w:t>
      </w:r>
      <w:r w:rsidR="00981E25" w:rsidRPr="00CD29D0">
        <w:rPr>
          <w:lang w:eastAsia="ja-JP"/>
        </w:rPr>
        <w:t>school committee</w:t>
      </w:r>
      <w:r w:rsidR="00EE7F64" w:rsidRPr="00CD29D0" w:rsidDel="00C636DA">
        <w:rPr>
          <w:lang w:eastAsia="ja-JP"/>
        </w:rPr>
        <w:t xml:space="preserve"> </w:t>
      </w:r>
      <w:r w:rsidR="00EE7F64" w:rsidRPr="00CD29D0">
        <w:rPr>
          <w:lang w:eastAsia="ja-JP"/>
        </w:rPr>
        <w:t>transition</w:t>
      </w:r>
      <w:r w:rsidR="00C636DA" w:rsidRPr="00CD29D0">
        <w:rPr>
          <w:lang w:eastAsia="ja-JP"/>
        </w:rPr>
        <w:t>ed</w:t>
      </w:r>
      <w:r w:rsidR="00EE7F64" w:rsidRPr="00CD29D0">
        <w:rPr>
          <w:lang w:eastAsia="ja-JP"/>
        </w:rPr>
        <w:t xml:space="preserve"> in recent years, with </w:t>
      </w:r>
      <w:r w:rsidR="00B07577" w:rsidRPr="00CD29D0">
        <w:rPr>
          <w:lang w:eastAsia="ja-JP"/>
        </w:rPr>
        <w:t>three of the five</w:t>
      </w:r>
      <w:r w:rsidR="00EE7F64" w:rsidRPr="00CD29D0">
        <w:rPr>
          <w:lang w:eastAsia="ja-JP"/>
        </w:rPr>
        <w:t xml:space="preserve"> members </w:t>
      </w:r>
      <w:r w:rsidR="00B07577" w:rsidRPr="00CD29D0">
        <w:rPr>
          <w:lang w:eastAsia="ja-JP"/>
        </w:rPr>
        <w:t xml:space="preserve">elected </w:t>
      </w:r>
      <w:r w:rsidR="00C636DA" w:rsidRPr="00CD29D0">
        <w:rPr>
          <w:lang w:eastAsia="ja-JP"/>
        </w:rPr>
        <w:t>in 2023, the same year as S</w:t>
      </w:r>
      <w:r w:rsidR="00B07577" w:rsidRPr="00CD29D0">
        <w:rPr>
          <w:lang w:eastAsia="ja-JP"/>
        </w:rPr>
        <w:t xml:space="preserve">uperintendent </w:t>
      </w:r>
      <w:r w:rsidR="00C636DA" w:rsidRPr="00CD29D0">
        <w:rPr>
          <w:lang w:eastAsia="ja-JP"/>
        </w:rPr>
        <w:t xml:space="preserve">O’Neill </w:t>
      </w:r>
      <w:r w:rsidR="00B07577" w:rsidRPr="00CD29D0">
        <w:rPr>
          <w:lang w:eastAsia="ja-JP"/>
        </w:rPr>
        <w:t xml:space="preserve">began in </w:t>
      </w:r>
      <w:r w:rsidR="00C636DA" w:rsidRPr="00CD29D0">
        <w:rPr>
          <w:lang w:eastAsia="ja-JP"/>
        </w:rPr>
        <w:t>her</w:t>
      </w:r>
      <w:r w:rsidR="00B07577" w:rsidRPr="00CD29D0">
        <w:rPr>
          <w:lang w:eastAsia="ja-JP"/>
        </w:rPr>
        <w:t xml:space="preserve"> role. </w:t>
      </w:r>
      <w:r w:rsidR="00535AEA" w:rsidRPr="00CD29D0">
        <w:rPr>
          <w:lang w:eastAsia="ja-JP"/>
        </w:rPr>
        <w:t>To support this newer school committee, the M</w:t>
      </w:r>
      <w:r w:rsidR="00AE6F23" w:rsidRPr="00CD29D0">
        <w:rPr>
          <w:lang w:eastAsia="ja-JP"/>
        </w:rPr>
        <w:t xml:space="preserve">assachusetts </w:t>
      </w:r>
      <w:r w:rsidR="00535AEA" w:rsidRPr="00CD29D0">
        <w:rPr>
          <w:lang w:eastAsia="ja-JP"/>
        </w:rPr>
        <w:t>A</w:t>
      </w:r>
      <w:r w:rsidR="00AE6F23" w:rsidRPr="00CD29D0">
        <w:rPr>
          <w:lang w:eastAsia="ja-JP"/>
        </w:rPr>
        <w:t xml:space="preserve">ssociation of </w:t>
      </w:r>
      <w:r w:rsidR="00535AEA" w:rsidRPr="00CD29D0">
        <w:rPr>
          <w:lang w:eastAsia="ja-JP"/>
        </w:rPr>
        <w:t>S</w:t>
      </w:r>
      <w:r w:rsidR="00AE6F23" w:rsidRPr="00CD29D0">
        <w:rPr>
          <w:lang w:eastAsia="ja-JP"/>
        </w:rPr>
        <w:t xml:space="preserve">chool </w:t>
      </w:r>
      <w:r w:rsidR="00535AEA" w:rsidRPr="00CD29D0">
        <w:rPr>
          <w:lang w:eastAsia="ja-JP"/>
        </w:rPr>
        <w:t>C</w:t>
      </w:r>
      <w:r w:rsidR="00AE6F23" w:rsidRPr="00CD29D0">
        <w:rPr>
          <w:lang w:eastAsia="ja-JP"/>
        </w:rPr>
        <w:t>ommittees (MASC)</w:t>
      </w:r>
      <w:r w:rsidR="008A5669" w:rsidRPr="00CD29D0">
        <w:rPr>
          <w:lang w:eastAsia="ja-JP"/>
        </w:rPr>
        <w:t xml:space="preserve"> conducted a training in </w:t>
      </w:r>
      <w:r w:rsidR="003C6436" w:rsidRPr="00CD29D0">
        <w:rPr>
          <w:lang w:eastAsia="ja-JP"/>
        </w:rPr>
        <w:t>s</w:t>
      </w:r>
      <w:r w:rsidR="008A5669" w:rsidRPr="00CD29D0">
        <w:rPr>
          <w:lang w:eastAsia="ja-JP"/>
        </w:rPr>
        <w:t>ummer 2025 on roles, responsibilities, and open</w:t>
      </w:r>
      <w:r w:rsidR="00DC7B94" w:rsidRPr="00CD29D0">
        <w:rPr>
          <w:lang w:eastAsia="ja-JP"/>
        </w:rPr>
        <w:t>-</w:t>
      </w:r>
      <w:r w:rsidR="008A5669" w:rsidRPr="00CD29D0">
        <w:rPr>
          <w:lang w:eastAsia="ja-JP"/>
        </w:rPr>
        <w:t>meeting law</w:t>
      </w:r>
      <w:r w:rsidR="001A78AC" w:rsidRPr="00CD29D0">
        <w:rPr>
          <w:lang w:eastAsia="ja-JP"/>
        </w:rPr>
        <w:t>s. Additionally,</w:t>
      </w:r>
      <w:r w:rsidR="001A78AC" w:rsidRPr="00CD29D0" w:rsidDel="00DC7B94">
        <w:rPr>
          <w:lang w:eastAsia="ja-JP"/>
        </w:rPr>
        <w:t xml:space="preserve"> </w:t>
      </w:r>
      <w:r w:rsidR="00DC7B94" w:rsidRPr="00CD29D0">
        <w:rPr>
          <w:lang w:eastAsia="ja-JP"/>
        </w:rPr>
        <w:t xml:space="preserve">all five </w:t>
      </w:r>
      <w:r w:rsidR="001A78AC" w:rsidRPr="00CD29D0">
        <w:rPr>
          <w:lang w:eastAsia="ja-JP"/>
        </w:rPr>
        <w:t xml:space="preserve">members </w:t>
      </w:r>
      <w:r w:rsidR="00895B42" w:rsidRPr="00CD29D0">
        <w:rPr>
          <w:lang w:eastAsia="ja-JP"/>
        </w:rPr>
        <w:t>participate in MASC’s</w:t>
      </w:r>
      <w:r w:rsidR="00785CA3" w:rsidRPr="00CD29D0">
        <w:rPr>
          <w:lang w:eastAsia="ja-JP"/>
        </w:rPr>
        <w:t xml:space="preserve"> Charting the Course </w:t>
      </w:r>
      <w:r w:rsidR="00895B42" w:rsidRPr="00CD29D0">
        <w:rPr>
          <w:lang w:eastAsia="ja-JP"/>
        </w:rPr>
        <w:t>training program</w:t>
      </w:r>
      <w:r w:rsidR="00DC7B94" w:rsidRPr="00CD29D0">
        <w:rPr>
          <w:lang w:eastAsia="ja-JP"/>
        </w:rPr>
        <w:t>,</w:t>
      </w:r>
      <w:r w:rsidR="00895B42" w:rsidRPr="00CD29D0">
        <w:rPr>
          <w:lang w:eastAsia="ja-JP"/>
        </w:rPr>
        <w:t xml:space="preserve"> which teaches about school finance, laws, </w:t>
      </w:r>
      <w:r w:rsidR="003A74D3" w:rsidRPr="00CD29D0">
        <w:rPr>
          <w:lang w:eastAsia="ja-JP"/>
        </w:rPr>
        <w:t>negotiation</w:t>
      </w:r>
      <w:r w:rsidR="00895B42" w:rsidRPr="00CD29D0">
        <w:rPr>
          <w:lang w:eastAsia="ja-JP"/>
        </w:rPr>
        <w:t xml:space="preserve">, </w:t>
      </w:r>
      <w:r w:rsidR="003A74D3" w:rsidRPr="00CD29D0">
        <w:rPr>
          <w:lang w:eastAsia="ja-JP"/>
        </w:rPr>
        <w:t xml:space="preserve">standards, and responsibilities. </w:t>
      </w:r>
      <w:r w:rsidR="00083305" w:rsidRPr="00CD29D0">
        <w:rPr>
          <w:lang w:eastAsia="ja-JP"/>
        </w:rPr>
        <w:t>Given the size of the school committee and district, the school committee does not have subcommittees, but each member serves as a representative for other district committees</w:t>
      </w:r>
      <w:r w:rsidR="00DC7B94" w:rsidRPr="00CD29D0">
        <w:rPr>
          <w:lang w:eastAsia="ja-JP"/>
        </w:rPr>
        <w:t>,</w:t>
      </w:r>
      <w:r w:rsidR="00083305" w:rsidRPr="00CD29D0">
        <w:rPr>
          <w:lang w:eastAsia="ja-JP"/>
        </w:rPr>
        <w:t xml:space="preserve"> including the employee negotiations committee, capital committee, permanent building committee,</w:t>
      </w:r>
      <w:r w:rsidR="00A52A53" w:rsidRPr="00CD29D0">
        <w:rPr>
          <w:lang w:eastAsia="ja-JP"/>
        </w:rPr>
        <w:t xml:space="preserve"> and</w:t>
      </w:r>
      <w:r w:rsidR="00083305" w:rsidRPr="00CD29D0">
        <w:rPr>
          <w:lang w:eastAsia="ja-JP"/>
        </w:rPr>
        <w:t xml:space="preserve"> </w:t>
      </w:r>
      <w:r w:rsidR="00F17733" w:rsidRPr="00C67C68">
        <w:rPr>
          <w:lang w:eastAsia="ja-JP"/>
        </w:rPr>
        <w:t>Special Education Parental Advisory Council (</w:t>
      </w:r>
      <w:r w:rsidR="00083305" w:rsidRPr="00CD29D0">
        <w:rPr>
          <w:lang w:eastAsia="ja-JP"/>
        </w:rPr>
        <w:t>SEPAC</w:t>
      </w:r>
      <w:r w:rsidR="00F17733">
        <w:rPr>
          <w:lang w:eastAsia="ja-JP"/>
        </w:rPr>
        <w:t>)</w:t>
      </w:r>
      <w:r w:rsidR="00083305" w:rsidRPr="00CD29D0">
        <w:rPr>
          <w:lang w:eastAsia="ja-JP"/>
        </w:rPr>
        <w:t xml:space="preserve">, </w:t>
      </w:r>
      <w:r w:rsidR="00A52A53" w:rsidRPr="00CD29D0">
        <w:rPr>
          <w:lang w:eastAsia="ja-JP"/>
        </w:rPr>
        <w:t xml:space="preserve">and as a </w:t>
      </w:r>
      <w:r w:rsidR="00083305" w:rsidRPr="00CD29D0">
        <w:rPr>
          <w:lang w:eastAsia="ja-JP"/>
        </w:rPr>
        <w:t xml:space="preserve">legislative representative. </w:t>
      </w:r>
      <w:r w:rsidR="00356D1B" w:rsidRPr="00CD29D0">
        <w:rPr>
          <w:lang w:eastAsia="ja-JP"/>
        </w:rPr>
        <w:t>T</w:t>
      </w:r>
      <w:r w:rsidR="004240E6" w:rsidRPr="00CD29D0">
        <w:rPr>
          <w:lang w:eastAsia="ja-JP"/>
        </w:rPr>
        <w:t xml:space="preserve">he school committee cycles through the </w:t>
      </w:r>
      <w:r w:rsidR="007E6857" w:rsidRPr="00CD29D0">
        <w:rPr>
          <w:lang w:eastAsia="ja-JP"/>
        </w:rPr>
        <w:t>chairperson position</w:t>
      </w:r>
      <w:r w:rsidR="00083305" w:rsidRPr="00CD29D0">
        <w:rPr>
          <w:lang w:eastAsia="ja-JP"/>
        </w:rPr>
        <w:t xml:space="preserve"> annually</w:t>
      </w:r>
      <w:r w:rsidR="00356D1B" w:rsidRPr="00CD29D0">
        <w:rPr>
          <w:lang w:eastAsia="ja-JP"/>
        </w:rPr>
        <w:t>,</w:t>
      </w:r>
      <w:r w:rsidR="007E6857" w:rsidRPr="00CD29D0">
        <w:rPr>
          <w:lang w:eastAsia="ja-JP"/>
        </w:rPr>
        <w:t xml:space="preserve"> so </w:t>
      </w:r>
      <w:r w:rsidR="009E56C2" w:rsidRPr="00CD29D0">
        <w:rPr>
          <w:lang w:eastAsia="ja-JP"/>
        </w:rPr>
        <w:t>all members have the opportunity</w:t>
      </w:r>
      <w:r w:rsidR="00356D1B" w:rsidRPr="00CD29D0">
        <w:rPr>
          <w:lang w:eastAsia="ja-JP"/>
        </w:rPr>
        <w:t xml:space="preserve"> to be the chair</w:t>
      </w:r>
      <w:r w:rsidR="00921843" w:rsidRPr="00CD29D0">
        <w:rPr>
          <w:lang w:eastAsia="ja-JP"/>
        </w:rPr>
        <w:t>, and district leaders</w:t>
      </w:r>
      <w:r w:rsidR="00EA1670">
        <w:rPr>
          <w:lang w:eastAsia="ja-JP"/>
        </w:rPr>
        <w:t xml:space="preserve"> stated that they</w:t>
      </w:r>
      <w:r w:rsidR="00921843" w:rsidRPr="00CD29D0">
        <w:rPr>
          <w:lang w:eastAsia="ja-JP"/>
        </w:rPr>
        <w:t xml:space="preserve"> like this approach</w:t>
      </w:r>
      <w:r w:rsidR="009E56C2" w:rsidRPr="00CD29D0">
        <w:rPr>
          <w:lang w:eastAsia="ja-JP"/>
        </w:rPr>
        <w:t>.</w:t>
      </w:r>
      <w:r w:rsidR="00921843" w:rsidRPr="00CD29D0">
        <w:rPr>
          <w:lang w:eastAsia="ja-JP"/>
        </w:rPr>
        <w:t xml:space="preserve"> As one </w:t>
      </w:r>
      <w:r w:rsidR="00356D1B" w:rsidRPr="00CD29D0">
        <w:rPr>
          <w:lang w:eastAsia="ja-JP"/>
        </w:rPr>
        <w:t xml:space="preserve">district leader </w:t>
      </w:r>
      <w:r w:rsidR="00921843" w:rsidRPr="00CD29D0">
        <w:rPr>
          <w:lang w:eastAsia="ja-JP"/>
        </w:rPr>
        <w:t>commented, “</w:t>
      </w:r>
      <w:r w:rsidR="00356D1B" w:rsidRPr="00CD29D0">
        <w:rPr>
          <w:lang w:eastAsia="ja-JP"/>
        </w:rPr>
        <w:t>I</w:t>
      </w:r>
      <w:r w:rsidR="00921843" w:rsidRPr="00CD29D0">
        <w:rPr>
          <w:lang w:eastAsia="ja-JP"/>
        </w:rPr>
        <w:t>t</w:t>
      </w:r>
      <w:r w:rsidR="003D301C" w:rsidRPr="00CD29D0">
        <w:rPr>
          <w:lang w:eastAsia="ja-JP"/>
        </w:rPr>
        <w:t>’</w:t>
      </w:r>
      <w:r w:rsidR="00921843" w:rsidRPr="00CD29D0">
        <w:rPr>
          <w:lang w:eastAsia="ja-JP"/>
        </w:rPr>
        <w:t>s a good opportunity for [the superintendent] to work with different people each year because somebody else comes up and takes that seat.”</w:t>
      </w:r>
    </w:p>
    <w:p w14:paraId="06B7CB41" w14:textId="4287A18E" w:rsidR="00A45A08" w:rsidRPr="00CD29D0" w:rsidRDefault="008C2218" w:rsidP="00996A44">
      <w:pPr>
        <w:pStyle w:val="BodyText"/>
        <w:rPr>
          <w:lang w:eastAsia="ja-JP"/>
        </w:rPr>
      </w:pPr>
      <w:r w:rsidRPr="00CD29D0">
        <w:rPr>
          <w:lang w:eastAsia="ja-JP"/>
        </w:rPr>
        <w:t>In a focus group,</w:t>
      </w:r>
      <w:r w:rsidR="00D27319" w:rsidRPr="00CD29D0">
        <w:rPr>
          <w:lang w:eastAsia="ja-JP"/>
        </w:rPr>
        <w:t xml:space="preserve"> committee </w:t>
      </w:r>
      <w:r w:rsidRPr="00CD29D0">
        <w:rPr>
          <w:lang w:eastAsia="ja-JP"/>
        </w:rPr>
        <w:t xml:space="preserve">members highlighted </w:t>
      </w:r>
      <w:r w:rsidR="009D7F8A">
        <w:rPr>
          <w:lang w:eastAsia="ja-JP"/>
        </w:rPr>
        <w:t xml:space="preserve">that </w:t>
      </w:r>
      <w:r w:rsidRPr="00CD29D0">
        <w:rPr>
          <w:lang w:eastAsia="ja-JP"/>
        </w:rPr>
        <w:t>their</w:t>
      </w:r>
      <w:r w:rsidR="00D27319" w:rsidRPr="00CD29D0">
        <w:rPr>
          <w:lang w:eastAsia="ja-JP"/>
        </w:rPr>
        <w:t xml:space="preserve"> responsibilities </w:t>
      </w:r>
      <w:r w:rsidR="00FA7DC0" w:rsidRPr="00CD29D0">
        <w:rPr>
          <w:lang w:eastAsia="ja-JP"/>
        </w:rPr>
        <w:t>include</w:t>
      </w:r>
      <w:r w:rsidR="00D27319" w:rsidRPr="00CD29D0">
        <w:rPr>
          <w:lang w:eastAsia="ja-JP"/>
        </w:rPr>
        <w:t xml:space="preserve"> evaluat</w:t>
      </w:r>
      <w:r w:rsidR="00FA7DC0" w:rsidRPr="00CD29D0">
        <w:rPr>
          <w:lang w:eastAsia="ja-JP"/>
        </w:rPr>
        <w:t>ing</w:t>
      </w:r>
      <w:r w:rsidR="00D27319" w:rsidRPr="00CD29D0">
        <w:rPr>
          <w:lang w:eastAsia="ja-JP"/>
        </w:rPr>
        <w:t xml:space="preserve"> the superintendent, creat</w:t>
      </w:r>
      <w:r w:rsidR="00FA7DC0" w:rsidRPr="00CD29D0">
        <w:rPr>
          <w:lang w:eastAsia="ja-JP"/>
        </w:rPr>
        <w:t>ing</w:t>
      </w:r>
      <w:r w:rsidR="00D27319" w:rsidRPr="00CD29D0">
        <w:rPr>
          <w:lang w:eastAsia="ja-JP"/>
        </w:rPr>
        <w:t xml:space="preserve"> district policy, and review</w:t>
      </w:r>
      <w:r w:rsidR="00FA7DC0" w:rsidRPr="00CD29D0">
        <w:rPr>
          <w:lang w:eastAsia="ja-JP"/>
        </w:rPr>
        <w:t>ing</w:t>
      </w:r>
      <w:r w:rsidR="00D27319" w:rsidRPr="00CD29D0">
        <w:rPr>
          <w:lang w:eastAsia="ja-JP"/>
        </w:rPr>
        <w:t xml:space="preserve"> and approv</w:t>
      </w:r>
      <w:r w:rsidR="00FA7DC0" w:rsidRPr="00CD29D0">
        <w:rPr>
          <w:lang w:eastAsia="ja-JP"/>
        </w:rPr>
        <w:t>ing</w:t>
      </w:r>
      <w:r w:rsidR="00D27319" w:rsidRPr="00CD29D0">
        <w:rPr>
          <w:lang w:eastAsia="ja-JP"/>
        </w:rPr>
        <w:t xml:space="preserve"> the district’s budget.</w:t>
      </w:r>
      <w:r w:rsidR="00334D40" w:rsidRPr="00CD29D0">
        <w:rPr>
          <w:lang w:eastAsia="ja-JP"/>
        </w:rPr>
        <w:t xml:space="preserve"> </w:t>
      </w:r>
      <w:r w:rsidR="00855C2A" w:rsidRPr="00CD29D0">
        <w:rPr>
          <w:lang w:eastAsia="ja-JP"/>
        </w:rPr>
        <w:t xml:space="preserve">Each year, the school committee </w:t>
      </w:r>
      <w:r w:rsidR="00891A15" w:rsidRPr="00CD29D0">
        <w:rPr>
          <w:lang w:eastAsia="ja-JP"/>
        </w:rPr>
        <w:t xml:space="preserve">evaluates the superintendent using </w:t>
      </w:r>
      <w:r w:rsidR="00B61CEA" w:rsidRPr="00CD29D0">
        <w:rPr>
          <w:lang w:eastAsia="ja-JP"/>
        </w:rPr>
        <w:t>DESE’s process</w:t>
      </w:r>
      <w:r w:rsidR="00511982" w:rsidRPr="00CD29D0">
        <w:rPr>
          <w:lang w:eastAsia="ja-JP"/>
        </w:rPr>
        <w:t>. T</w:t>
      </w:r>
      <w:r w:rsidR="00B61CEA" w:rsidRPr="00CD29D0">
        <w:rPr>
          <w:lang w:eastAsia="ja-JP"/>
        </w:rPr>
        <w:t>he superintendent develop</w:t>
      </w:r>
      <w:r w:rsidR="00511982" w:rsidRPr="00CD29D0">
        <w:rPr>
          <w:lang w:eastAsia="ja-JP"/>
        </w:rPr>
        <w:t>s</w:t>
      </w:r>
      <w:r w:rsidR="00B61CEA" w:rsidRPr="00CD29D0">
        <w:rPr>
          <w:lang w:eastAsia="ja-JP"/>
        </w:rPr>
        <w:t xml:space="preserve"> goals in the fall</w:t>
      </w:r>
      <w:r w:rsidR="00367FFE">
        <w:rPr>
          <w:lang w:eastAsia="ja-JP"/>
        </w:rPr>
        <w:t xml:space="preserve"> and has a mid-year check-in on these goals </w:t>
      </w:r>
      <w:r w:rsidR="007A399E">
        <w:rPr>
          <w:lang w:eastAsia="ja-JP"/>
        </w:rPr>
        <w:t>in the winter.</w:t>
      </w:r>
      <w:r w:rsidR="00B876FB" w:rsidRPr="00CD29D0">
        <w:rPr>
          <w:lang w:eastAsia="ja-JP"/>
        </w:rPr>
        <w:t xml:space="preserve"> </w:t>
      </w:r>
      <w:r w:rsidR="007A399E">
        <w:rPr>
          <w:lang w:eastAsia="ja-JP"/>
        </w:rPr>
        <w:t>Annually,</w:t>
      </w:r>
      <w:r w:rsidR="00B876FB" w:rsidRPr="00CD29D0">
        <w:rPr>
          <w:lang w:eastAsia="ja-JP"/>
        </w:rPr>
        <w:t xml:space="preserve"> each school committee </w:t>
      </w:r>
      <w:r w:rsidR="00715340" w:rsidRPr="00CD29D0">
        <w:rPr>
          <w:lang w:eastAsia="ja-JP"/>
        </w:rPr>
        <w:t xml:space="preserve">member individually </w:t>
      </w:r>
      <w:r w:rsidR="00B876FB" w:rsidRPr="00CD29D0">
        <w:rPr>
          <w:lang w:eastAsia="ja-JP"/>
        </w:rPr>
        <w:t>fill</w:t>
      </w:r>
      <w:r w:rsidR="00511982" w:rsidRPr="00CD29D0">
        <w:rPr>
          <w:lang w:eastAsia="ja-JP"/>
        </w:rPr>
        <w:t>s</w:t>
      </w:r>
      <w:r w:rsidR="00B876FB" w:rsidRPr="00CD29D0">
        <w:rPr>
          <w:lang w:eastAsia="ja-JP"/>
        </w:rPr>
        <w:t xml:space="preserve"> out </w:t>
      </w:r>
      <w:r w:rsidR="00766D93">
        <w:rPr>
          <w:lang w:eastAsia="ja-JP"/>
        </w:rPr>
        <w:t xml:space="preserve">the End-of-Cycle Evaluation Report </w:t>
      </w:r>
      <w:r w:rsidR="00095C34">
        <w:rPr>
          <w:lang w:eastAsia="ja-JP"/>
        </w:rPr>
        <w:t xml:space="preserve">for the </w:t>
      </w:r>
      <w:r w:rsidR="002A744F">
        <w:rPr>
          <w:lang w:eastAsia="ja-JP"/>
        </w:rPr>
        <w:t>superintendent,</w:t>
      </w:r>
      <w:r w:rsidR="00095C34">
        <w:rPr>
          <w:lang w:eastAsia="ja-JP"/>
        </w:rPr>
        <w:t xml:space="preserve"> and t</w:t>
      </w:r>
      <w:r w:rsidR="00CA67C0" w:rsidRPr="00CD29D0">
        <w:rPr>
          <w:lang w:eastAsia="ja-JP"/>
        </w:rPr>
        <w:t xml:space="preserve">he </w:t>
      </w:r>
      <w:r w:rsidR="00511982" w:rsidRPr="00CD29D0">
        <w:rPr>
          <w:lang w:eastAsia="ja-JP"/>
        </w:rPr>
        <w:t xml:space="preserve">school committee </w:t>
      </w:r>
      <w:r w:rsidR="00CA67C0" w:rsidRPr="00CD29D0">
        <w:rPr>
          <w:lang w:eastAsia="ja-JP"/>
        </w:rPr>
        <w:t xml:space="preserve">chair </w:t>
      </w:r>
      <w:r w:rsidR="00796DFB" w:rsidRPr="00CD29D0">
        <w:rPr>
          <w:lang w:eastAsia="ja-JP"/>
        </w:rPr>
        <w:t>compiles</w:t>
      </w:r>
      <w:r w:rsidR="00CA67C0" w:rsidRPr="00CD29D0">
        <w:rPr>
          <w:lang w:eastAsia="ja-JP"/>
        </w:rPr>
        <w:t xml:space="preserve"> </w:t>
      </w:r>
      <w:r w:rsidR="00511982" w:rsidRPr="00CD29D0">
        <w:rPr>
          <w:lang w:eastAsia="ja-JP"/>
        </w:rPr>
        <w:t xml:space="preserve">all evaluations </w:t>
      </w:r>
      <w:r w:rsidR="00CA67C0" w:rsidRPr="00CD29D0">
        <w:rPr>
          <w:lang w:eastAsia="ja-JP"/>
        </w:rPr>
        <w:t xml:space="preserve">into one </w:t>
      </w:r>
      <w:r w:rsidR="00511982" w:rsidRPr="00CD29D0">
        <w:rPr>
          <w:lang w:eastAsia="ja-JP"/>
        </w:rPr>
        <w:t xml:space="preserve">single </w:t>
      </w:r>
      <w:r w:rsidR="00095C34">
        <w:rPr>
          <w:lang w:eastAsia="ja-JP"/>
        </w:rPr>
        <w:t>document</w:t>
      </w:r>
      <w:r w:rsidR="00E3175A">
        <w:rPr>
          <w:lang w:eastAsia="ja-JP"/>
        </w:rPr>
        <w:t xml:space="preserve"> and presents the results during a school committee meeting. At the time of the district review, the </w:t>
      </w:r>
      <w:r w:rsidR="00783194">
        <w:rPr>
          <w:lang w:eastAsia="ja-JP"/>
        </w:rPr>
        <w:t xml:space="preserve">most recent evaluation </w:t>
      </w:r>
      <w:r w:rsidR="00E3175A">
        <w:rPr>
          <w:lang w:eastAsia="ja-JP"/>
        </w:rPr>
        <w:t xml:space="preserve">was </w:t>
      </w:r>
      <w:r w:rsidR="00783194">
        <w:rPr>
          <w:lang w:eastAsia="ja-JP"/>
        </w:rPr>
        <w:t>completed in April 2025</w:t>
      </w:r>
      <w:r w:rsidR="00CA67C0" w:rsidRPr="00CD29D0">
        <w:rPr>
          <w:lang w:eastAsia="ja-JP"/>
        </w:rPr>
        <w:t>.</w:t>
      </w:r>
      <w:r w:rsidR="0055568B" w:rsidRPr="00CD29D0">
        <w:rPr>
          <w:lang w:eastAsia="ja-JP"/>
        </w:rPr>
        <w:t xml:space="preserve"> </w:t>
      </w:r>
      <w:r w:rsidR="002A744F">
        <w:rPr>
          <w:lang w:eastAsia="ja-JP"/>
        </w:rPr>
        <w:t>A</w:t>
      </w:r>
      <w:r w:rsidR="00947341" w:rsidRPr="00CD29D0">
        <w:rPr>
          <w:lang w:eastAsia="ja-JP"/>
        </w:rPr>
        <w:t xml:space="preserve">dditionally, the school committee has been </w:t>
      </w:r>
      <w:r w:rsidR="005547D8" w:rsidRPr="00CD29D0">
        <w:rPr>
          <w:lang w:eastAsia="ja-JP"/>
        </w:rPr>
        <w:t>developing district polic</w:t>
      </w:r>
      <w:r w:rsidR="00766D16" w:rsidRPr="00CD29D0">
        <w:rPr>
          <w:lang w:eastAsia="ja-JP"/>
        </w:rPr>
        <w:t>ies</w:t>
      </w:r>
      <w:r w:rsidR="005547D8" w:rsidRPr="00CD29D0">
        <w:rPr>
          <w:lang w:eastAsia="ja-JP"/>
        </w:rPr>
        <w:t>, such as a recent cellphone policy that was formalized for the 2025-</w:t>
      </w:r>
      <w:r w:rsidR="00766D16" w:rsidRPr="00CD29D0">
        <w:rPr>
          <w:lang w:eastAsia="ja-JP"/>
        </w:rPr>
        <w:t>20</w:t>
      </w:r>
      <w:r w:rsidR="005547D8" w:rsidRPr="00CD29D0">
        <w:rPr>
          <w:lang w:eastAsia="ja-JP"/>
        </w:rPr>
        <w:t>26 school year (see Operations for more information)</w:t>
      </w:r>
      <w:r w:rsidR="000A24E4" w:rsidRPr="00CD29D0">
        <w:rPr>
          <w:lang w:eastAsia="ja-JP"/>
        </w:rPr>
        <w:t>. It is also</w:t>
      </w:r>
      <w:r w:rsidR="001B4BB2" w:rsidRPr="00CD29D0" w:rsidDel="000A24E4">
        <w:rPr>
          <w:lang w:eastAsia="ja-JP"/>
        </w:rPr>
        <w:t xml:space="preserve"> </w:t>
      </w:r>
      <w:r w:rsidR="001B4BB2" w:rsidRPr="00CD29D0">
        <w:rPr>
          <w:lang w:eastAsia="ja-JP"/>
        </w:rPr>
        <w:t xml:space="preserve">considering a new </w:t>
      </w:r>
      <w:r w:rsidR="000A24E4" w:rsidRPr="00CD29D0">
        <w:rPr>
          <w:lang w:eastAsia="ja-JP"/>
        </w:rPr>
        <w:t>artificial intelligence (</w:t>
      </w:r>
      <w:r w:rsidR="001B4BB2" w:rsidRPr="00CD29D0">
        <w:rPr>
          <w:lang w:eastAsia="ja-JP"/>
        </w:rPr>
        <w:t>AI</w:t>
      </w:r>
      <w:r w:rsidR="000A24E4" w:rsidRPr="00CD29D0">
        <w:rPr>
          <w:lang w:eastAsia="ja-JP"/>
        </w:rPr>
        <w:t>)</w:t>
      </w:r>
      <w:r w:rsidR="001B4BB2" w:rsidRPr="00CD29D0">
        <w:rPr>
          <w:lang w:eastAsia="ja-JP"/>
        </w:rPr>
        <w:t xml:space="preserve"> policy based on feedback from the newly formed AI taskforce</w:t>
      </w:r>
      <w:r w:rsidR="000A24E4" w:rsidRPr="00CD29D0">
        <w:rPr>
          <w:lang w:eastAsia="ja-JP"/>
        </w:rPr>
        <w:t xml:space="preserve"> (</w:t>
      </w:r>
      <w:r w:rsidR="001B4BB2" w:rsidRPr="00CD29D0">
        <w:rPr>
          <w:lang w:eastAsia="ja-JP"/>
        </w:rPr>
        <w:t xml:space="preserve">described </w:t>
      </w:r>
      <w:r w:rsidR="00292B74">
        <w:rPr>
          <w:lang w:eastAsia="ja-JP"/>
        </w:rPr>
        <w:t>below</w:t>
      </w:r>
      <w:r w:rsidR="000A24E4" w:rsidRPr="00CD29D0">
        <w:rPr>
          <w:lang w:eastAsia="ja-JP"/>
        </w:rPr>
        <w:t>)</w:t>
      </w:r>
      <w:r w:rsidR="001B4BB2" w:rsidRPr="00CD29D0">
        <w:rPr>
          <w:lang w:eastAsia="ja-JP"/>
        </w:rPr>
        <w:t xml:space="preserve">. </w:t>
      </w:r>
      <w:r w:rsidR="00334D40" w:rsidRPr="00CD29D0">
        <w:rPr>
          <w:lang w:eastAsia="ja-JP"/>
        </w:rPr>
        <w:t xml:space="preserve">At the time of the district review, the school committee was </w:t>
      </w:r>
      <w:r w:rsidR="00B02639" w:rsidRPr="00CD29D0">
        <w:rPr>
          <w:lang w:eastAsia="ja-JP"/>
        </w:rPr>
        <w:t xml:space="preserve">also in the process of </w:t>
      </w:r>
      <w:r w:rsidR="00227063" w:rsidRPr="00CD29D0">
        <w:rPr>
          <w:lang w:eastAsia="ja-JP"/>
        </w:rPr>
        <w:t>contract negotiations with the teacher association</w:t>
      </w:r>
      <w:r w:rsidR="00BE5101" w:rsidRPr="00CD29D0">
        <w:rPr>
          <w:lang w:eastAsia="ja-JP"/>
        </w:rPr>
        <w:t xml:space="preserve"> (see District Culture for more information)</w:t>
      </w:r>
      <w:r w:rsidR="00A45A08" w:rsidRPr="00CD29D0">
        <w:rPr>
          <w:lang w:eastAsia="ja-JP"/>
        </w:rPr>
        <w:t>.</w:t>
      </w:r>
    </w:p>
    <w:p w14:paraId="6254C6AA" w14:textId="519FA80D" w:rsidR="00702E91" w:rsidRPr="00C67C68" w:rsidRDefault="00BE5101" w:rsidP="00996A44">
      <w:pPr>
        <w:pStyle w:val="BodyText"/>
        <w:rPr>
          <w:lang w:eastAsia="ja-JP"/>
        </w:rPr>
      </w:pPr>
      <w:r w:rsidRPr="00C67C68">
        <w:rPr>
          <w:lang w:eastAsia="ja-JP"/>
        </w:rPr>
        <w:t xml:space="preserve">Across the district, students and families actively </w:t>
      </w:r>
      <w:r w:rsidR="00520705" w:rsidRPr="00C67C68">
        <w:rPr>
          <w:lang w:eastAsia="ja-JP"/>
        </w:rPr>
        <w:t xml:space="preserve">participate </w:t>
      </w:r>
      <w:r w:rsidRPr="00C67C68">
        <w:rPr>
          <w:lang w:eastAsia="ja-JP"/>
        </w:rPr>
        <w:t>in district decision</w:t>
      </w:r>
      <w:r w:rsidR="00AE1C59" w:rsidRPr="00C67C68">
        <w:rPr>
          <w:lang w:eastAsia="ja-JP"/>
        </w:rPr>
        <w:t xml:space="preserve"> </w:t>
      </w:r>
      <w:r w:rsidRPr="00C67C68">
        <w:rPr>
          <w:lang w:eastAsia="ja-JP"/>
        </w:rPr>
        <w:t>making</w:t>
      </w:r>
      <w:r w:rsidR="00702E91" w:rsidRPr="00C67C68">
        <w:rPr>
          <w:lang w:eastAsia="ja-JP"/>
        </w:rPr>
        <w:t>,</w:t>
      </w:r>
      <w:r w:rsidRPr="00C67C68">
        <w:rPr>
          <w:lang w:eastAsia="ja-JP"/>
        </w:rPr>
        <w:t xml:space="preserve"> a strength of the district. These opportunities include</w:t>
      </w:r>
      <w:r w:rsidR="00FF14AB" w:rsidRPr="00C67C68">
        <w:rPr>
          <w:lang w:eastAsia="ja-JP"/>
        </w:rPr>
        <w:t xml:space="preserve"> (or have recently included)</w:t>
      </w:r>
      <w:r w:rsidRPr="00C67C68">
        <w:rPr>
          <w:lang w:eastAsia="ja-JP"/>
        </w:rPr>
        <w:t>:</w:t>
      </w:r>
    </w:p>
    <w:p w14:paraId="4AAF0009" w14:textId="77261A4A" w:rsidR="00177877" w:rsidRPr="00CD29D0" w:rsidRDefault="00BA1933" w:rsidP="00996A44">
      <w:pPr>
        <w:pStyle w:val="Bullet1"/>
        <w:rPr>
          <w:lang w:eastAsia="ja-JP"/>
        </w:rPr>
      </w:pPr>
      <w:r w:rsidRPr="00CD29D0">
        <w:rPr>
          <w:lang w:eastAsia="ja-JP"/>
        </w:rPr>
        <w:t xml:space="preserve">Superintendent </w:t>
      </w:r>
      <w:r w:rsidR="00C84B7F" w:rsidRPr="00CD29D0">
        <w:rPr>
          <w:lang w:eastAsia="ja-JP"/>
        </w:rPr>
        <w:t>A</w:t>
      </w:r>
      <w:r w:rsidRPr="00CD29D0">
        <w:rPr>
          <w:lang w:eastAsia="ja-JP"/>
        </w:rPr>
        <w:t xml:space="preserve">dvisory </w:t>
      </w:r>
      <w:r w:rsidR="00C84B7F" w:rsidRPr="00CD29D0">
        <w:rPr>
          <w:lang w:eastAsia="ja-JP"/>
        </w:rPr>
        <w:t>G</w:t>
      </w:r>
      <w:r w:rsidRPr="00CD29D0">
        <w:rPr>
          <w:lang w:eastAsia="ja-JP"/>
        </w:rPr>
        <w:t xml:space="preserve">roup: </w:t>
      </w:r>
      <w:r w:rsidR="005859D3" w:rsidRPr="00CD29D0">
        <w:rPr>
          <w:lang w:eastAsia="ja-JP"/>
        </w:rPr>
        <w:t xml:space="preserve">This committee </w:t>
      </w:r>
      <w:r w:rsidR="00AE1C59" w:rsidRPr="00CD29D0">
        <w:rPr>
          <w:lang w:eastAsia="ja-JP"/>
        </w:rPr>
        <w:t>comprises</w:t>
      </w:r>
      <w:r w:rsidR="005859D3" w:rsidRPr="00CD29D0">
        <w:rPr>
          <w:lang w:eastAsia="ja-JP"/>
        </w:rPr>
        <w:t xml:space="preserve"> two students per grade</w:t>
      </w:r>
      <w:r w:rsidR="00AE1C59" w:rsidRPr="00CD29D0">
        <w:rPr>
          <w:lang w:eastAsia="ja-JP"/>
        </w:rPr>
        <w:t>,</w:t>
      </w:r>
      <w:r w:rsidR="005859D3" w:rsidRPr="00CD29D0">
        <w:rPr>
          <w:lang w:eastAsia="ja-JP"/>
        </w:rPr>
        <w:t xml:space="preserve"> from grades 6</w:t>
      </w:r>
      <w:r w:rsidR="00AE1C59" w:rsidRPr="00CD29D0">
        <w:rPr>
          <w:lang w:eastAsia="ja-JP"/>
        </w:rPr>
        <w:t xml:space="preserve"> to </w:t>
      </w:r>
      <w:r w:rsidR="005859D3" w:rsidRPr="00CD29D0">
        <w:rPr>
          <w:lang w:eastAsia="ja-JP"/>
        </w:rPr>
        <w:t>12</w:t>
      </w:r>
      <w:r w:rsidR="00AE1C59" w:rsidRPr="00CD29D0">
        <w:rPr>
          <w:lang w:eastAsia="ja-JP"/>
        </w:rPr>
        <w:t>,</w:t>
      </w:r>
      <w:r w:rsidR="005859D3" w:rsidRPr="00CD29D0">
        <w:rPr>
          <w:lang w:eastAsia="ja-JP"/>
        </w:rPr>
        <w:t xml:space="preserve"> and </w:t>
      </w:r>
      <w:r w:rsidR="00AE1C59" w:rsidRPr="00CD29D0">
        <w:rPr>
          <w:lang w:eastAsia="ja-JP"/>
        </w:rPr>
        <w:t xml:space="preserve">it </w:t>
      </w:r>
      <w:r w:rsidR="005859D3" w:rsidRPr="00CD29D0">
        <w:rPr>
          <w:lang w:eastAsia="ja-JP"/>
        </w:rPr>
        <w:t xml:space="preserve">meets quarterly with </w:t>
      </w:r>
      <w:r w:rsidR="005859D3" w:rsidRPr="00CD29D0" w:rsidDel="00AE1C59">
        <w:rPr>
          <w:lang w:eastAsia="ja-JP"/>
        </w:rPr>
        <w:t xml:space="preserve">the </w:t>
      </w:r>
      <w:r w:rsidR="005859D3" w:rsidRPr="00CD29D0">
        <w:rPr>
          <w:lang w:eastAsia="ja-JP"/>
        </w:rPr>
        <w:t xml:space="preserve">superintendent. At the time of the district review, this committee was providing feedback on the </w:t>
      </w:r>
      <w:r w:rsidR="00AE1C59" w:rsidRPr="00CD29D0">
        <w:rPr>
          <w:lang w:eastAsia="ja-JP"/>
        </w:rPr>
        <w:t>P</w:t>
      </w:r>
      <w:r w:rsidR="005859D3" w:rsidRPr="00CD29D0">
        <w:rPr>
          <w:lang w:eastAsia="ja-JP"/>
        </w:rPr>
        <w:t xml:space="preserve">ortrait of a </w:t>
      </w:r>
      <w:r w:rsidR="00AE1C59" w:rsidRPr="00CD29D0">
        <w:rPr>
          <w:lang w:eastAsia="ja-JP"/>
        </w:rPr>
        <w:t>L</w:t>
      </w:r>
      <w:r w:rsidR="005859D3" w:rsidRPr="00CD29D0">
        <w:rPr>
          <w:lang w:eastAsia="ja-JP"/>
        </w:rPr>
        <w:t>earner and core values.</w:t>
      </w:r>
      <w:r w:rsidR="006A0EE4" w:rsidRPr="00CD29D0">
        <w:rPr>
          <w:lang w:eastAsia="ja-JP"/>
        </w:rPr>
        <w:t xml:space="preserve"> </w:t>
      </w:r>
      <w:r w:rsidR="006A0EE4" w:rsidRPr="00CD29D0" w:rsidDel="00AE1C59">
        <w:rPr>
          <w:lang w:eastAsia="ja-JP"/>
        </w:rPr>
        <w:t xml:space="preserve">The </w:t>
      </w:r>
      <w:r w:rsidR="006A0EE4" w:rsidRPr="00CD29D0">
        <w:rPr>
          <w:lang w:eastAsia="ja-JP"/>
        </w:rPr>
        <w:t xml:space="preserve">superintendent </w:t>
      </w:r>
      <w:r w:rsidR="00AE1C59" w:rsidRPr="00CD29D0">
        <w:rPr>
          <w:lang w:eastAsia="ja-JP"/>
        </w:rPr>
        <w:t>noted</w:t>
      </w:r>
      <w:r w:rsidR="006A0EE4" w:rsidRPr="00CD29D0" w:rsidDel="00AE1C59">
        <w:rPr>
          <w:lang w:eastAsia="ja-JP"/>
        </w:rPr>
        <w:t xml:space="preserve">, </w:t>
      </w:r>
      <w:r w:rsidR="006A0EE4" w:rsidRPr="00CD29D0">
        <w:rPr>
          <w:lang w:eastAsia="ja-JP"/>
        </w:rPr>
        <w:t>“</w:t>
      </w:r>
      <w:r w:rsidR="00177877" w:rsidRPr="00CD29D0">
        <w:rPr>
          <w:lang w:eastAsia="ja-JP"/>
        </w:rPr>
        <w:t xml:space="preserve">I always like to go to them first because they have a lot of really </w:t>
      </w:r>
      <w:r w:rsidR="00177877" w:rsidRPr="00CD29D0">
        <w:rPr>
          <w:lang w:eastAsia="ja-JP"/>
        </w:rPr>
        <w:lastRenderedPageBreak/>
        <w:t xml:space="preserve">great ideas and </w:t>
      </w:r>
      <w:r w:rsidR="00177877" w:rsidRPr="00CD29D0" w:rsidDel="009A3252">
        <w:rPr>
          <w:lang w:eastAsia="ja-JP"/>
        </w:rPr>
        <w:t>they</w:t>
      </w:r>
      <w:r w:rsidR="00D37AD4" w:rsidRPr="00CD29D0" w:rsidDel="009A3252">
        <w:rPr>
          <w:lang w:eastAsia="ja-JP"/>
        </w:rPr>
        <w:t>’</w:t>
      </w:r>
      <w:r w:rsidR="00177877" w:rsidRPr="00CD29D0" w:rsidDel="009A3252">
        <w:rPr>
          <w:lang w:eastAsia="ja-JP"/>
        </w:rPr>
        <w:t xml:space="preserve">ll </w:t>
      </w:r>
      <w:r w:rsidR="00177877" w:rsidRPr="00CD29D0">
        <w:rPr>
          <w:lang w:eastAsia="ja-JP"/>
        </w:rPr>
        <w:t>say</w:t>
      </w:r>
      <w:r w:rsidR="00F16833" w:rsidRPr="00CD29D0">
        <w:rPr>
          <w:lang w:eastAsia="ja-JP"/>
        </w:rPr>
        <w:t xml:space="preserve">, </w:t>
      </w:r>
      <w:r w:rsidR="00D37AD4" w:rsidRPr="00CD29D0">
        <w:rPr>
          <w:lang w:eastAsia="ja-JP"/>
        </w:rPr>
        <w:t>‘</w:t>
      </w:r>
      <w:r w:rsidR="00177877" w:rsidRPr="00CD29D0">
        <w:rPr>
          <w:lang w:eastAsia="ja-JP"/>
        </w:rPr>
        <w:t>this is really important to me and these are the reasons why</w:t>
      </w:r>
      <w:r w:rsidR="00D37AD4" w:rsidRPr="00CD29D0">
        <w:rPr>
          <w:lang w:eastAsia="ja-JP"/>
        </w:rPr>
        <w:t xml:space="preserve">’ </w:t>
      </w:r>
      <w:r w:rsidR="00F16833" w:rsidRPr="00CD29D0">
        <w:rPr>
          <w:lang w:eastAsia="ja-JP"/>
        </w:rPr>
        <w:t>o</w:t>
      </w:r>
      <w:r w:rsidR="00177877" w:rsidRPr="00CD29D0">
        <w:rPr>
          <w:lang w:eastAsia="ja-JP"/>
        </w:rPr>
        <w:t xml:space="preserve">r </w:t>
      </w:r>
      <w:r w:rsidR="00D37AD4" w:rsidRPr="00CD29D0">
        <w:rPr>
          <w:lang w:eastAsia="ja-JP"/>
        </w:rPr>
        <w:t>‘</w:t>
      </w:r>
      <w:r w:rsidR="00177877" w:rsidRPr="00CD29D0">
        <w:rPr>
          <w:lang w:eastAsia="ja-JP"/>
        </w:rPr>
        <w:t>I don't think this makes sense</w:t>
      </w:r>
      <w:r w:rsidR="009A3252" w:rsidRPr="00CD29D0">
        <w:rPr>
          <w:lang w:eastAsia="ja-JP"/>
        </w:rPr>
        <w:t>’</w:t>
      </w:r>
      <w:r w:rsidR="00031699" w:rsidRPr="00CD29D0">
        <w:t> </w:t>
      </w:r>
      <w:r w:rsidR="00031699" w:rsidRPr="00CD29D0">
        <w:rPr>
          <w:lang w:eastAsia="ja-JP"/>
        </w:rPr>
        <w:t>.</w:t>
      </w:r>
      <w:r w:rsidR="00D37AD4" w:rsidRPr="00CD29D0">
        <w:t> . .</w:t>
      </w:r>
      <w:r w:rsidR="003D59A5" w:rsidRPr="00CD29D0">
        <w:t xml:space="preserve"> </w:t>
      </w:r>
      <w:r w:rsidR="00177877" w:rsidRPr="00CD29D0">
        <w:rPr>
          <w:lang w:eastAsia="ja-JP"/>
        </w:rPr>
        <w:t>they</w:t>
      </w:r>
      <w:r w:rsidR="00D37AD4" w:rsidRPr="00CD29D0">
        <w:rPr>
          <w:lang w:eastAsia="ja-JP"/>
        </w:rPr>
        <w:t>’</w:t>
      </w:r>
      <w:r w:rsidR="00177877" w:rsidRPr="00CD29D0">
        <w:rPr>
          <w:lang w:eastAsia="ja-JP"/>
        </w:rPr>
        <w:t>re honest, which is nice.</w:t>
      </w:r>
      <w:r w:rsidR="00EB49AF" w:rsidRPr="00CD29D0">
        <w:rPr>
          <w:lang w:eastAsia="ja-JP"/>
        </w:rPr>
        <w:t>”</w:t>
      </w:r>
    </w:p>
    <w:p w14:paraId="7B59D3D8" w14:textId="43A16759" w:rsidR="00A45A08" w:rsidRPr="00CD29D0" w:rsidRDefault="00EB49AF" w:rsidP="00996A44">
      <w:pPr>
        <w:pStyle w:val="Bullet1"/>
        <w:rPr>
          <w:lang w:eastAsia="ja-JP"/>
        </w:rPr>
      </w:pPr>
      <w:r w:rsidRPr="00CD29D0">
        <w:rPr>
          <w:lang w:eastAsia="ja-JP"/>
        </w:rPr>
        <w:t xml:space="preserve">Principal </w:t>
      </w:r>
      <w:r w:rsidR="00C84B7F" w:rsidRPr="00CD29D0">
        <w:rPr>
          <w:lang w:eastAsia="ja-JP"/>
        </w:rPr>
        <w:t>H</w:t>
      </w:r>
      <w:r w:rsidRPr="00CD29D0">
        <w:rPr>
          <w:lang w:eastAsia="ja-JP"/>
        </w:rPr>
        <w:t xml:space="preserve">iring </w:t>
      </w:r>
      <w:r w:rsidR="00C84B7F" w:rsidRPr="00CD29D0">
        <w:rPr>
          <w:lang w:eastAsia="ja-JP"/>
        </w:rPr>
        <w:t>C</w:t>
      </w:r>
      <w:r w:rsidRPr="00CD29D0">
        <w:rPr>
          <w:lang w:eastAsia="ja-JP"/>
        </w:rPr>
        <w:t xml:space="preserve">ommittee: </w:t>
      </w:r>
      <w:r w:rsidR="0005674C" w:rsidRPr="00CD29D0">
        <w:rPr>
          <w:lang w:eastAsia="ja-JP"/>
        </w:rPr>
        <w:t>Norton High School has a new principal</w:t>
      </w:r>
      <w:r w:rsidR="00D37AD4" w:rsidRPr="00CD29D0">
        <w:rPr>
          <w:lang w:eastAsia="ja-JP"/>
        </w:rPr>
        <w:t>,</w:t>
      </w:r>
      <w:r w:rsidR="0005674C" w:rsidRPr="00CD29D0">
        <w:rPr>
          <w:lang w:eastAsia="ja-JP"/>
        </w:rPr>
        <w:t xml:space="preserve"> who began at the start of the 2025-</w:t>
      </w:r>
      <w:r w:rsidR="00D37AD4" w:rsidRPr="00CD29D0">
        <w:rPr>
          <w:lang w:eastAsia="ja-JP"/>
        </w:rPr>
        <w:t>20</w:t>
      </w:r>
      <w:r w:rsidR="0005674C" w:rsidRPr="00CD29D0">
        <w:rPr>
          <w:lang w:eastAsia="ja-JP"/>
        </w:rPr>
        <w:t xml:space="preserve">26 school year. </w:t>
      </w:r>
      <w:r w:rsidR="008E57DD" w:rsidRPr="00CD29D0">
        <w:rPr>
          <w:lang w:eastAsia="ja-JP"/>
        </w:rPr>
        <w:t>Parents and</w:t>
      </w:r>
      <w:r w:rsidR="0005674C" w:rsidRPr="00CD29D0">
        <w:rPr>
          <w:lang w:eastAsia="ja-JP"/>
        </w:rPr>
        <w:t xml:space="preserve"> students actively participated on the hiring committee, which included reviewing applications, participating in initial interviews with six candidates, and then participating in final interviews and activities with the final three candidates before making a recommendation to </w:t>
      </w:r>
      <w:r w:rsidR="00B432D9" w:rsidRPr="00CD29D0">
        <w:rPr>
          <w:lang w:eastAsia="ja-JP"/>
        </w:rPr>
        <w:t>S</w:t>
      </w:r>
      <w:r w:rsidR="0005674C" w:rsidRPr="00CD29D0">
        <w:rPr>
          <w:lang w:eastAsia="ja-JP"/>
        </w:rPr>
        <w:t>uperintendent</w:t>
      </w:r>
      <w:r w:rsidR="00B432D9" w:rsidRPr="00CD29D0">
        <w:rPr>
          <w:lang w:eastAsia="ja-JP"/>
        </w:rPr>
        <w:t xml:space="preserve"> O’Neill</w:t>
      </w:r>
      <w:r w:rsidR="0005674C" w:rsidRPr="00CD29D0">
        <w:rPr>
          <w:lang w:eastAsia="ja-JP"/>
        </w:rPr>
        <w:t>.</w:t>
      </w:r>
      <w:r w:rsidR="00AE6C02" w:rsidRPr="00CD29D0">
        <w:rPr>
          <w:lang w:eastAsia="ja-JP"/>
        </w:rPr>
        <w:t xml:space="preserve"> </w:t>
      </w:r>
      <w:r w:rsidR="002E14AE">
        <w:rPr>
          <w:lang w:eastAsia="ja-JP"/>
        </w:rPr>
        <w:t xml:space="preserve">Parents and </w:t>
      </w:r>
      <w:r w:rsidR="00AE6C02" w:rsidRPr="00CD29D0" w:rsidDel="00B432D9">
        <w:rPr>
          <w:lang w:eastAsia="ja-JP"/>
        </w:rPr>
        <w:t>s</w:t>
      </w:r>
      <w:r w:rsidR="00AE6C02" w:rsidRPr="00CD29D0">
        <w:rPr>
          <w:lang w:eastAsia="ja-JP"/>
        </w:rPr>
        <w:t>tudents have been invited to participate on principal hiring committees</w:t>
      </w:r>
      <w:r w:rsidR="00B432D9" w:rsidRPr="00CD29D0">
        <w:rPr>
          <w:lang w:eastAsia="ja-JP"/>
        </w:rPr>
        <w:t xml:space="preserve"> in past years</w:t>
      </w:r>
      <w:r w:rsidR="00A45A08" w:rsidRPr="00CD29D0">
        <w:rPr>
          <w:lang w:eastAsia="ja-JP"/>
        </w:rPr>
        <w:t>.</w:t>
      </w:r>
    </w:p>
    <w:p w14:paraId="3BB36DFE" w14:textId="44D936B4" w:rsidR="00AE6C02" w:rsidRPr="00CD29D0" w:rsidRDefault="00C84B7F" w:rsidP="00996A44">
      <w:pPr>
        <w:pStyle w:val="Bullet1"/>
        <w:rPr>
          <w:lang w:eastAsia="ja-JP"/>
        </w:rPr>
      </w:pPr>
      <w:r w:rsidRPr="00CD29D0">
        <w:rPr>
          <w:lang w:eastAsia="ja-JP"/>
        </w:rPr>
        <w:t xml:space="preserve">School Committee Student Representative: </w:t>
      </w:r>
      <w:r w:rsidR="001B6344" w:rsidRPr="00CD29D0">
        <w:rPr>
          <w:lang w:eastAsia="ja-JP"/>
        </w:rPr>
        <w:t xml:space="preserve">Two </w:t>
      </w:r>
      <w:r w:rsidR="006256CC" w:rsidRPr="00CD29D0">
        <w:rPr>
          <w:lang w:eastAsia="ja-JP"/>
        </w:rPr>
        <w:t xml:space="preserve">nonvoting </w:t>
      </w:r>
      <w:r w:rsidR="001B6344" w:rsidRPr="00CD29D0">
        <w:rPr>
          <w:lang w:eastAsia="ja-JP"/>
        </w:rPr>
        <w:t>student representatives, a</w:t>
      </w:r>
      <w:r w:rsidRPr="00CD29D0">
        <w:rPr>
          <w:lang w:eastAsia="ja-JP"/>
        </w:rPr>
        <w:t xml:space="preserve"> senior and junior </w:t>
      </w:r>
      <w:r w:rsidR="007925D6" w:rsidRPr="00CD29D0">
        <w:rPr>
          <w:lang w:eastAsia="ja-JP"/>
        </w:rPr>
        <w:t xml:space="preserve">in </w:t>
      </w:r>
      <w:r w:rsidRPr="00CD29D0">
        <w:rPr>
          <w:lang w:eastAsia="ja-JP"/>
        </w:rPr>
        <w:t>high school</w:t>
      </w:r>
      <w:r w:rsidR="001B6344" w:rsidRPr="00CD29D0">
        <w:rPr>
          <w:lang w:eastAsia="ja-JP"/>
        </w:rPr>
        <w:t>,</w:t>
      </w:r>
      <w:r w:rsidRPr="00CD29D0">
        <w:rPr>
          <w:lang w:eastAsia="ja-JP"/>
        </w:rPr>
        <w:t xml:space="preserve"> participate actively on the school committee by attending all meetings and providing student input on what is being discussed. A student described, “Dr. O</w:t>
      </w:r>
      <w:r w:rsidR="00297769" w:rsidRPr="00CD29D0">
        <w:rPr>
          <w:lang w:eastAsia="ja-JP"/>
        </w:rPr>
        <w:t>’</w:t>
      </w:r>
      <w:r w:rsidRPr="00CD29D0">
        <w:rPr>
          <w:lang w:eastAsia="ja-JP"/>
        </w:rPr>
        <w:t>Neill makes it very clear to her [student] reps that they</w:t>
      </w:r>
      <w:r w:rsidR="00297769" w:rsidRPr="00CD29D0">
        <w:rPr>
          <w:lang w:eastAsia="ja-JP"/>
        </w:rPr>
        <w:t>’</w:t>
      </w:r>
      <w:r w:rsidRPr="00CD29D0">
        <w:rPr>
          <w:lang w:eastAsia="ja-JP"/>
        </w:rPr>
        <w:t>re allowed to speak whenever and that they</w:t>
      </w:r>
      <w:r w:rsidR="00297769" w:rsidRPr="00CD29D0">
        <w:rPr>
          <w:lang w:eastAsia="ja-JP"/>
        </w:rPr>
        <w:t>’</w:t>
      </w:r>
      <w:r w:rsidRPr="00CD29D0">
        <w:rPr>
          <w:lang w:eastAsia="ja-JP"/>
        </w:rPr>
        <w:t>re able to interrupt to just input student feedback. That</w:t>
      </w:r>
      <w:r w:rsidR="00297769" w:rsidRPr="00CD29D0">
        <w:rPr>
          <w:lang w:eastAsia="ja-JP"/>
        </w:rPr>
        <w:t>’</w:t>
      </w:r>
      <w:r w:rsidRPr="00CD29D0">
        <w:rPr>
          <w:lang w:eastAsia="ja-JP"/>
        </w:rPr>
        <w:t>s something that [we] do every meeting, so we</w:t>
      </w:r>
      <w:r w:rsidR="00297769" w:rsidRPr="00CD29D0">
        <w:rPr>
          <w:lang w:eastAsia="ja-JP"/>
        </w:rPr>
        <w:t>’</w:t>
      </w:r>
      <w:r w:rsidRPr="00CD29D0">
        <w:rPr>
          <w:lang w:eastAsia="ja-JP"/>
        </w:rPr>
        <w:t>re pretty comfortable with that.”</w:t>
      </w:r>
    </w:p>
    <w:p w14:paraId="14489E60" w14:textId="04FB8699" w:rsidR="00812CCB" w:rsidRPr="00CD29D0" w:rsidRDefault="00892823" w:rsidP="00996A44">
      <w:pPr>
        <w:pStyle w:val="Bullet1"/>
        <w:rPr>
          <w:lang w:eastAsia="ja-JP"/>
        </w:rPr>
      </w:pPr>
      <w:r w:rsidRPr="00CD29D0">
        <w:rPr>
          <w:lang w:eastAsia="ja-JP"/>
        </w:rPr>
        <w:t xml:space="preserve">Strategic Planning Committee: </w:t>
      </w:r>
      <w:r w:rsidR="003A2226" w:rsidRPr="00CD29D0">
        <w:rPr>
          <w:lang w:eastAsia="ja-JP"/>
        </w:rPr>
        <w:t xml:space="preserve">This committee </w:t>
      </w:r>
      <w:r w:rsidR="00870FE5" w:rsidRPr="00CD29D0">
        <w:rPr>
          <w:lang w:eastAsia="ja-JP"/>
        </w:rPr>
        <w:t>included</w:t>
      </w:r>
      <w:r w:rsidR="003A2226" w:rsidRPr="00CD29D0">
        <w:rPr>
          <w:lang w:eastAsia="ja-JP"/>
        </w:rPr>
        <w:t xml:space="preserve"> district leaders, school leaders, staff, and families</w:t>
      </w:r>
      <w:r w:rsidR="00CA6291" w:rsidRPr="00CD29D0">
        <w:rPr>
          <w:lang w:eastAsia="ja-JP"/>
        </w:rPr>
        <w:t>; it</w:t>
      </w:r>
      <w:r w:rsidR="003A2226" w:rsidRPr="00CD29D0" w:rsidDel="00CA6291">
        <w:rPr>
          <w:lang w:eastAsia="ja-JP"/>
        </w:rPr>
        <w:t xml:space="preserve"> </w:t>
      </w:r>
      <w:r w:rsidR="00870FE5" w:rsidRPr="00CD29D0">
        <w:rPr>
          <w:lang w:eastAsia="ja-JP"/>
        </w:rPr>
        <w:t xml:space="preserve">met for over a year to </w:t>
      </w:r>
      <w:r w:rsidR="003A2226" w:rsidRPr="00CD29D0">
        <w:rPr>
          <w:lang w:eastAsia="ja-JP"/>
        </w:rPr>
        <w:t>develop the district</w:t>
      </w:r>
      <w:r w:rsidR="00870FE5" w:rsidRPr="00CD29D0">
        <w:rPr>
          <w:lang w:eastAsia="ja-JP"/>
        </w:rPr>
        <w:t>’</w:t>
      </w:r>
      <w:r w:rsidR="003A2226" w:rsidRPr="00CD29D0">
        <w:rPr>
          <w:lang w:eastAsia="ja-JP"/>
        </w:rPr>
        <w:t xml:space="preserve">s new strategic plan (see Strategic Planning, Implementation, and Monitoring). </w:t>
      </w:r>
      <w:r w:rsidR="00250042" w:rsidRPr="00CD29D0">
        <w:rPr>
          <w:lang w:eastAsia="ja-JP"/>
        </w:rPr>
        <w:t>Participants</w:t>
      </w:r>
      <w:r w:rsidR="003A2226" w:rsidRPr="00CD29D0">
        <w:rPr>
          <w:lang w:eastAsia="ja-JP"/>
        </w:rPr>
        <w:t xml:space="preserve"> had very positive perceptions of this process</w:t>
      </w:r>
      <w:r w:rsidR="00870FE5" w:rsidRPr="00CD29D0">
        <w:rPr>
          <w:lang w:eastAsia="ja-JP"/>
        </w:rPr>
        <w:t>. One</w:t>
      </w:r>
      <w:r w:rsidR="003A2226" w:rsidRPr="00CD29D0">
        <w:rPr>
          <w:lang w:eastAsia="ja-JP"/>
        </w:rPr>
        <w:t xml:space="preserve"> parent representative commented, “It was just a really rewarding experience and something I was excited to be part of.”</w:t>
      </w:r>
    </w:p>
    <w:p w14:paraId="2B895F27" w14:textId="4B108782" w:rsidR="00A45A08" w:rsidRPr="00CD29D0" w:rsidRDefault="00812CCB" w:rsidP="00996A44">
      <w:pPr>
        <w:pStyle w:val="Bullet1"/>
        <w:rPr>
          <w:lang w:eastAsia="ja-JP"/>
        </w:rPr>
      </w:pPr>
      <w:r w:rsidRPr="00CD29D0">
        <w:rPr>
          <w:lang w:eastAsia="ja-JP"/>
        </w:rPr>
        <w:t xml:space="preserve">AI Task Force: New this year, Norton has assembled an AI taskforce to provide guidance to both staff and students on acceptable AI use. This taskforce includes </w:t>
      </w:r>
      <w:r w:rsidR="00CA6291" w:rsidRPr="00CD29D0">
        <w:rPr>
          <w:lang w:eastAsia="ja-JP"/>
        </w:rPr>
        <w:t xml:space="preserve">approximately </w:t>
      </w:r>
      <w:r w:rsidR="003A218E" w:rsidRPr="00CD29D0">
        <w:rPr>
          <w:lang w:eastAsia="ja-JP"/>
        </w:rPr>
        <w:t>25</w:t>
      </w:r>
      <w:r w:rsidR="00996A44" w:rsidRPr="00CD29D0">
        <w:rPr>
          <w:lang w:eastAsia="ja-JP"/>
        </w:rPr>
        <w:t> </w:t>
      </w:r>
      <w:r w:rsidR="00745511" w:rsidRPr="00CD29D0">
        <w:rPr>
          <w:lang w:eastAsia="ja-JP"/>
        </w:rPr>
        <w:t xml:space="preserve">representatives </w:t>
      </w:r>
      <w:r w:rsidR="00745511" w:rsidRPr="00CD29D0" w:rsidDel="00CA6291">
        <w:rPr>
          <w:lang w:eastAsia="ja-JP"/>
        </w:rPr>
        <w:t xml:space="preserve">from </w:t>
      </w:r>
      <w:r w:rsidR="00745511" w:rsidRPr="00CD29D0">
        <w:rPr>
          <w:lang w:eastAsia="ja-JP"/>
        </w:rPr>
        <w:t>pre</w:t>
      </w:r>
      <w:r w:rsidR="00745511" w:rsidRPr="00CD29D0" w:rsidDel="00CA6291">
        <w:rPr>
          <w:lang w:eastAsia="ja-JP"/>
        </w:rPr>
        <w:t>-</w:t>
      </w:r>
      <w:r w:rsidR="00745511" w:rsidRPr="00CD29D0">
        <w:rPr>
          <w:lang w:eastAsia="ja-JP"/>
        </w:rPr>
        <w:t>kindergarten to grade 12</w:t>
      </w:r>
      <w:r w:rsidR="00CA6291" w:rsidRPr="00CD29D0">
        <w:rPr>
          <w:lang w:eastAsia="ja-JP"/>
        </w:rPr>
        <w:t xml:space="preserve"> </w:t>
      </w:r>
      <w:r w:rsidR="00745511" w:rsidRPr="00CD29D0" w:rsidDel="00CA6291">
        <w:rPr>
          <w:lang w:eastAsia="ja-JP"/>
        </w:rPr>
        <w:t xml:space="preserve">and includes </w:t>
      </w:r>
      <w:r w:rsidRPr="00CD29D0">
        <w:rPr>
          <w:lang w:eastAsia="ja-JP"/>
        </w:rPr>
        <w:t xml:space="preserve">district and school leaders, </w:t>
      </w:r>
      <w:r w:rsidR="00745511" w:rsidRPr="00CD29D0">
        <w:rPr>
          <w:lang w:eastAsia="ja-JP"/>
        </w:rPr>
        <w:t xml:space="preserve">teachers, </w:t>
      </w:r>
      <w:r w:rsidRPr="00CD29D0">
        <w:rPr>
          <w:lang w:eastAsia="ja-JP"/>
        </w:rPr>
        <w:t>families</w:t>
      </w:r>
      <w:r w:rsidRPr="00CD29D0" w:rsidDel="00CA6291">
        <w:rPr>
          <w:lang w:eastAsia="ja-JP"/>
        </w:rPr>
        <w:t xml:space="preserve">, and </w:t>
      </w:r>
      <w:r w:rsidR="0035301E" w:rsidRPr="00CD29D0" w:rsidDel="00CA6291">
        <w:rPr>
          <w:lang w:eastAsia="ja-JP"/>
        </w:rPr>
        <w:t xml:space="preserve">middle and high school </w:t>
      </w:r>
      <w:r w:rsidRPr="00CD29D0" w:rsidDel="00CA6291">
        <w:rPr>
          <w:lang w:eastAsia="ja-JP"/>
        </w:rPr>
        <w:t>students</w:t>
      </w:r>
      <w:r w:rsidR="0078621C" w:rsidRPr="00CD29D0">
        <w:rPr>
          <w:lang w:eastAsia="ja-JP"/>
        </w:rPr>
        <w:t xml:space="preserve">. The task force is </w:t>
      </w:r>
      <w:r w:rsidRPr="00CD29D0">
        <w:rPr>
          <w:lang w:eastAsia="ja-JP"/>
        </w:rPr>
        <w:t xml:space="preserve">charged with </w:t>
      </w:r>
      <w:r w:rsidR="00A765BA" w:rsidRPr="00CD29D0">
        <w:rPr>
          <w:lang w:eastAsia="ja-JP"/>
        </w:rPr>
        <w:t xml:space="preserve">determining the district’s stance on AI use </w:t>
      </w:r>
      <w:r w:rsidR="00F0354D" w:rsidRPr="00CD29D0">
        <w:rPr>
          <w:lang w:eastAsia="ja-JP"/>
        </w:rPr>
        <w:t xml:space="preserve">which will eventually </w:t>
      </w:r>
      <w:r w:rsidR="0078621C" w:rsidRPr="00CD29D0" w:rsidDel="00CA6291">
        <w:rPr>
          <w:lang w:eastAsia="ja-JP"/>
        </w:rPr>
        <w:t xml:space="preserve">inform district policy and </w:t>
      </w:r>
      <w:r w:rsidR="00F0354D" w:rsidRPr="00CD29D0">
        <w:rPr>
          <w:lang w:eastAsia="ja-JP"/>
        </w:rPr>
        <w:t>be voted on by the school committee to become formal</w:t>
      </w:r>
      <w:r w:rsidR="0078621C" w:rsidRPr="00CD29D0" w:rsidDel="008167D0">
        <w:rPr>
          <w:lang w:eastAsia="ja-JP"/>
        </w:rPr>
        <w:t>ized</w:t>
      </w:r>
      <w:r w:rsidR="00A45A08" w:rsidRPr="00CD29D0">
        <w:rPr>
          <w:lang w:eastAsia="ja-JP"/>
        </w:rPr>
        <w:t>.</w:t>
      </w:r>
    </w:p>
    <w:p w14:paraId="39DC826D" w14:textId="16AC3EA0" w:rsidR="00A45A08" w:rsidRPr="00C67C68" w:rsidRDefault="00E21E99" w:rsidP="00996A44">
      <w:pPr>
        <w:pStyle w:val="BodyText"/>
        <w:rPr>
          <w:lang w:eastAsia="ja-JP"/>
        </w:rPr>
      </w:pPr>
      <w:r w:rsidRPr="00C67C68">
        <w:rPr>
          <w:lang w:eastAsia="ja-JP"/>
        </w:rPr>
        <w:t xml:space="preserve">One </w:t>
      </w:r>
      <w:r w:rsidR="00AD607A" w:rsidRPr="00C67C68">
        <w:rPr>
          <w:lang w:eastAsia="ja-JP"/>
        </w:rPr>
        <w:t>self-identified area for growth is low participation in</w:t>
      </w:r>
      <w:r w:rsidRPr="00C67C68">
        <w:rPr>
          <w:lang w:eastAsia="ja-JP"/>
        </w:rPr>
        <w:t xml:space="preserve"> the district’s SEPAC</w:t>
      </w:r>
      <w:r w:rsidR="00F14D67" w:rsidRPr="00C67C68">
        <w:rPr>
          <w:lang w:eastAsia="ja-JP"/>
        </w:rPr>
        <w:t xml:space="preserve">. </w:t>
      </w:r>
      <w:r w:rsidR="00DE11C3" w:rsidRPr="00C67C68">
        <w:rPr>
          <w:lang w:eastAsia="ja-JP"/>
        </w:rPr>
        <w:t xml:space="preserve">The SEPAC meets </w:t>
      </w:r>
      <w:r w:rsidR="008660B5" w:rsidRPr="00C67C68">
        <w:rPr>
          <w:lang w:eastAsia="ja-JP"/>
        </w:rPr>
        <w:t xml:space="preserve">monthly, </w:t>
      </w:r>
      <w:r w:rsidR="0070006F" w:rsidRPr="00C67C68">
        <w:rPr>
          <w:lang w:eastAsia="ja-JP"/>
        </w:rPr>
        <w:t xml:space="preserve">although </w:t>
      </w:r>
      <w:r w:rsidR="001243B4" w:rsidRPr="00C67C68">
        <w:rPr>
          <w:lang w:eastAsia="ja-JP"/>
        </w:rPr>
        <w:t>attendance is currently low. A district leader describe</w:t>
      </w:r>
      <w:r w:rsidR="006C7D90" w:rsidRPr="00C67C68">
        <w:rPr>
          <w:lang w:eastAsia="ja-JP"/>
        </w:rPr>
        <w:t>d</w:t>
      </w:r>
      <w:r w:rsidR="00A45A08" w:rsidRPr="00C67C68">
        <w:rPr>
          <w:lang w:eastAsia="ja-JP"/>
        </w:rPr>
        <w:t>:</w:t>
      </w:r>
    </w:p>
    <w:p w14:paraId="20C81A0B" w14:textId="3C470380" w:rsidR="006C7D90" w:rsidRPr="00C67C68" w:rsidRDefault="006C7D90" w:rsidP="00996A44">
      <w:pPr>
        <w:pStyle w:val="BodyTextIndent"/>
      </w:pPr>
      <w:r w:rsidRPr="00C67C68">
        <w:t>[The SEPAC is] trying to rebuild again. There</w:t>
      </w:r>
      <w:r w:rsidR="00417D6E" w:rsidRPr="00C67C68">
        <w:t>’</w:t>
      </w:r>
      <w:r w:rsidRPr="00C67C68">
        <w:t>s probably five or six parents that are very involved. They do a lot of fundraising. They work with us a lot for our unified sports and Special Olympics and things along those lines. They do a surfing camp for kids every summer and they do some really cool things. It</w:t>
      </w:r>
      <w:r w:rsidR="00417D6E" w:rsidRPr="00C67C68">
        <w:t>’</w:t>
      </w:r>
      <w:r w:rsidRPr="00C67C68">
        <w:t xml:space="preserve">s definitely not as big as it is in some other towns. We really struggle to get </w:t>
      </w:r>
      <w:r w:rsidR="009D1DBB" w:rsidRPr="00C67C68">
        <w:t>[participation]</w:t>
      </w:r>
      <w:r w:rsidRPr="00C67C68">
        <w:t>.</w:t>
      </w:r>
    </w:p>
    <w:p w14:paraId="51394ADE" w14:textId="77777777" w:rsidR="00A45A08" w:rsidRPr="00CD29D0" w:rsidRDefault="009D1DBB" w:rsidP="009C2835">
      <w:pPr>
        <w:pStyle w:val="BodyText"/>
        <w:rPr>
          <w:lang w:eastAsia="ja-JP"/>
        </w:rPr>
      </w:pPr>
      <w:r w:rsidRPr="00C67C68">
        <w:rPr>
          <w:lang w:eastAsia="ja-JP"/>
        </w:rPr>
        <w:t xml:space="preserve">District leaders described previous attempts to build </w:t>
      </w:r>
      <w:r w:rsidR="00246B09" w:rsidRPr="00C67C68">
        <w:rPr>
          <w:lang w:eastAsia="ja-JP"/>
        </w:rPr>
        <w:t xml:space="preserve">support for the SEPAC by hosting different educational series for parents, but participation has remained low for some time. </w:t>
      </w:r>
      <w:r w:rsidR="00D46733" w:rsidRPr="00C67C68">
        <w:rPr>
          <w:lang w:eastAsia="ja-JP"/>
        </w:rPr>
        <w:t>At the time of the</w:t>
      </w:r>
      <w:r w:rsidR="00D46733" w:rsidRPr="00CD29D0">
        <w:rPr>
          <w:lang w:eastAsia="ja-JP"/>
        </w:rPr>
        <w:t xml:space="preserve"> district review, the SEPAC’s web</w:t>
      </w:r>
      <w:r w:rsidR="000E2AF4" w:rsidRPr="00CD29D0">
        <w:rPr>
          <w:lang w:eastAsia="ja-JP"/>
        </w:rPr>
        <w:t>page</w:t>
      </w:r>
      <w:r w:rsidR="00D46733" w:rsidRPr="00CD29D0">
        <w:rPr>
          <w:lang w:eastAsia="ja-JP"/>
        </w:rPr>
        <w:t xml:space="preserve"> on the Norton district </w:t>
      </w:r>
      <w:r w:rsidR="000E2AF4" w:rsidRPr="00CD29D0">
        <w:rPr>
          <w:lang w:eastAsia="ja-JP"/>
        </w:rPr>
        <w:t>website was not active</w:t>
      </w:r>
      <w:r w:rsidR="00A45A08" w:rsidRPr="00CD29D0">
        <w:rPr>
          <w:lang w:eastAsia="ja-JP"/>
        </w:rPr>
        <w:t>.</w:t>
      </w:r>
    </w:p>
    <w:p w14:paraId="5755C838" w14:textId="7AA96FF7" w:rsidR="003D6ECF" w:rsidRPr="00CD29D0" w:rsidRDefault="00F95311" w:rsidP="009C2835">
      <w:pPr>
        <w:pStyle w:val="Heading3"/>
      </w:pPr>
      <w:r w:rsidRPr="00CD29D0">
        <w:t>Strategic Planning, Implementation, and Monitoring</w:t>
      </w:r>
    </w:p>
    <w:p w14:paraId="7F0EBF70" w14:textId="54697459" w:rsidR="009A0610" w:rsidRPr="00CD29D0" w:rsidRDefault="00BF517A" w:rsidP="009C2835">
      <w:pPr>
        <w:pStyle w:val="BodyTextposthead"/>
        <w:rPr>
          <w:lang w:eastAsia="ja-JP"/>
        </w:rPr>
      </w:pPr>
      <w:r w:rsidRPr="00C67C68">
        <w:rPr>
          <w:lang w:eastAsia="ja-JP"/>
        </w:rPr>
        <w:t>T</w:t>
      </w:r>
      <w:r w:rsidR="0053292F" w:rsidRPr="00C67C68">
        <w:rPr>
          <w:lang w:eastAsia="ja-JP"/>
        </w:rPr>
        <w:t>he district is in its first year of implementing the 2025-</w:t>
      </w:r>
      <w:r w:rsidR="00C54548" w:rsidRPr="00C67C68">
        <w:rPr>
          <w:lang w:eastAsia="ja-JP"/>
        </w:rPr>
        <w:t>2029 strategic plan</w:t>
      </w:r>
      <w:r w:rsidR="001265B7" w:rsidRPr="00C67C68">
        <w:rPr>
          <w:lang w:eastAsia="ja-JP"/>
        </w:rPr>
        <w:t>. The plan,</w:t>
      </w:r>
      <w:r w:rsidR="00C54548" w:rsidRPr="00C67C68">
        <w:rPr>
          <w:lang w:eastAsia="ja-JP"/>
        </w:rPr>
        <w:t xml:space="preserve"> which clearly defines the district’s goals and priorities moving forward</w:t>
      </w:r>
      <w:r w:rsidR="00234876" w:rsidRPr="00C67C68" w:rsidDel="00BB19FC">
        <w:rPr>
          <w:lang w:eastAsia="ja-JP"/>
        </w:rPr>
        <w:t xml:space="preserve">, </w:t>
      </w:r>
      <w:r w:rsidR="00820F84" w:rsidRPr="00C67C68">
        <w:rPr>
          <w:lang w:eastAsia="ja-JP"/>
        </w:rPr>
        <w:t xml:space="preserve">along with measurable benchmarks, </w:t>
      </w:r>
      <w:r w:rsidR="00DB6CE1" w:rsidRPr="00C67C68">
        <w:rPr>
          <w:lang w:eastAsia="ja-JP"/>
        </w:rPr>
        <w:t xml:space="preserve">and reflects input from the broader school community, </w:t>
      </w:r>
      <w:r w:rsidR="001265B7" w:rsidRPr="00C67C68">
        <w:rPr>
          <w:lang w:eastAsia="ja-JP"/>
        </w:rPr>
        <w:t xml:space="preserve">is </w:t>
      </w:r>
      <w:r w:rsidR="00234876" w:rsidRPr="00C67C68">
        <w:rPr>
          <w:lang w:eastAsia="ja-JP"/>
        </w:rPr>
        <w:t>a strength of the district</w:t>
      </w:r>
      <w:r w:rsidR="00C54548" w:rsidRPr="00C67C68">
        <w:rPr>
          <w:lang w:eastAsia="ja-JP"/>
        </w:rPr>
        <w:t xml:space="preserve">. </w:t>
      </w:r>
      <w:r w:rsidR="00CF2DE1" w:rsidRPr="00CD29D0">
        <w:rPr>
          <w:lang w:eastAsia="ja-JP"/>
        </w:rPr>
        <w:t xml:space="preserve">The development of the plan began in </w:t>
      </w:r>
      <w:r w:rsidR="00DC29C1" w:rsidRPr="00CD29D0">
        <w:rPr>
          <w:lang w:eastAsia="ja-JP"/>
        </w:rPr>
        <w:t>winter 2025</w:t>
      </w:r>
      <w:r w:rsidR="00B42D14" w:rsidRPr="00CD29D0">
        <w:rPr>
          <w:lang w:eastAsia="ja-JP"/>
        </w:rPr>
        <w:t xml:space="preserve">, when district leaders invited the broader </w:t>
      </w:r>
      <w:r w:rsidR="00131EE8" w:rsidRPr="00CD29D0">
        <w:rPr>
          <w:lang w:eastAsia="ja-JP"/>
        </w:rPr>
        <w:t xml:space="preserve">school community to </w:t>
      </w:r>
      <w:r w:rsidR="00131EE8" w:rsidRPr="00CD29D0">
        <w:rPr>
          <w:lang w:eastAsia="ja-JP"/>
        </w:rPr>
        <w:lastRenderedPageBreak/>
        <w:t xml:space="preserve">engage in the planning process by participating </w:t>
      </w:r>
      <w:r w:rsidR="00F00212" w:rsidRPr="00CD29D0">
        <w:rPr>
          <w:lang w:eastAsia="ja-JP"/>
        </w:rPr>
        <w:t>in</w:t>
      </w:r>
      <w:r w:rsidR="00131EE8" w:rsidRPr="00CD29D0">
        <w:rPr>
          <w:lang w:eastAsia="ja-JP"/>
        </w:rPr>
        <w:t xml:space="preserve"> the </w:t>
      </w:r>
      <w:r w:rsidR="00291FC3" w:rsidRPr="00CD29D0">
        <w:rPr>
          <w:lang w:eastAsia="ja-JP"/>
        </w:rPr>
        <w:t>s</w:t>
      </w:r>
      <w:r w:rsidR="00131EE8" w:rsidRPr="00CD29D0">
        <w:rPr>
          <w:lang w:eastAsia="ja-JP"/>
        </w:rPr>
        <w:t xml:space="preserve">trategic </w:t>
      </w:r>
      <w:r w:rsidR="00291FC3" w:rsidRPr="00CD29D0">
        <w:rPr>
          <w:lang w:eastAsia="ja-JP"/>
        </w:rPr>
        <w:t>p</w:t>
      </w:r>
      <w:r w:rsidR="00131EE8" w:rsidRPr="00CD29D0">
        <w:rPr>
          <w:lang w:eastAsia="ja-JP"/>
        </w:rPr>
        <w:t xml:space="preserve">lanning </w:t>
      </w:r>
      <w:r w:rsidR="00291FC3" w:rsidRPr="00CD29D0">
        <w:rPr>
          <w:lang w:eastAsia="ja-JP"/>
        </w:rPr>
        <w:t>c</w:t>
      </w:r>
      <w:r w:rsidR="00131EE8" w:rsidRPr="00CD29D0">
        <w:rPr>
          <w:lang w:eastAsia="ja-JP"/>
        </w:rPr>
        <w:t xml:space="preserve">ommittee. The committee </w:t>
      </w:r>
      <w:r w:rsidR="0006109F" w:rsidRPr="00CD29D0">
        <w:rPr>
          <w:lang w:eastAsia="ja-JP"/>
        </w:rPr>
        <w:t>comprised</w:t>
      </w:r>
      <w:r w:rsidR="00131EE8" w:rsidRPr="00CD29D0">
        <w:rPr>
          <w:lang w:eastAsia="ja-JP"/>
        </w:rPr>
        <w:t xml:space="preserve"> </w:t>
      </w:r>
      <w:r w:rsidR="00973A4E" w:rsidRPr="00CD29D0">
        <w:rPr>
          <w:lang w:eastAsia="ja-JP"/>
        </w:rPr>
        <w:t xml:space="preserve">district leaders, staff, administrators, </w:t>
      </w:r>
      <w:r w:rsidR="00A86943" w:rsidRPr="00CD29D0">
        <w:rPr>
          <w:lang w:eastAsia="ja-JP"/>
        </w:rPr>
        <w:t xml:space="preserve">and parents. </w:t>
      </w:r>
      <w:r w:rsidR="0067405E" w:rsidRPr="00CD29D0">
        <w:rPr>
          <w:lang w:eastAsia="ja-JP"/>
        </w:rPr>
        <w:t xml:space="preserve">The committee used the Planning for Success model from DESE to guide their efforts, </w:t>
      </w:r>
      <w:r w:rsidR="000436A6" w:rsidRPr="00CD29D0">
        <w:rPr>
          <w:lang w:eastAsia="ja-JP"/>
        </w:rPr>
        <w:t>which included</w:t>
      </w:r>
      <w:r w:rsidR="0067405E" w:rsidRPr="00CD29D0">
        <w:rPr>
          <w:lang w:eastAsia="ja-JP"/>
        </w:rPr>
        <w:t xml:space="preserve"> </w:t>
      </w:r>
      <w:r w:rsidR="00EA5F5A" w:rsidRPr="00CD29D0">
        <w:rPr>
          <w:lang w:eastAsia="ja-JP"/>
        </w:rPr>
        <w:t xml:space="preserve">(a) </w:t>
      </w:r>
      <w:r w:rsidR="00310937" w:rsidRPr="00CD29D0">
        <w:rPr>
          <w:lang w:eastAsia="ja-JP"/>
        </w:rPr>
        <w:t xml:space="preserve">analyzing </w:t>
      </w:r>
      <w:r w:rsidR="003907F3" w:rsidRPr="00CD29D0">
        <w:rPr>
          <w:lang w:eastAsia="ja-JP"/>
        </w:rPr>
        <w:t xml:space="preserve">multiple </w:t>
      </w:r>
      <w:r w:rsidR="00527B98" w:rsidRPr="00CD29D0">
        <w:rPr>
          <w:lang w:eastAsia="ja-JP"/>
        </w:rPr>
        <w:t>data</w:t>
      </w:r>
      <w:r w:rsidR="0006109F" w:rsidRPr="00CD29D0">
        <w:rPr>
          <w:lang w:eastAsia="ja-JP"/>
        </w:rPr>
        <w:t xml:space="preserve"> sources</w:t>
      </w:r>
      <w:r w:rsidR="00527B98" w:rsidRPr="00CD29D0">
        <w:rPr>
          <w:lang w:eastAsia="ja-JP"/>
        </w:rPr>
        <w:t xml:space="preserve"> (e.g., </w:t>
      </w:r>
      <w:r w:rsidR="00A10A21" w:rsidRPr="00CD29D0">
        <w:rPr>
          <w:lang w:eastAsia="ja-JP"/>
        </w:rPr>
        <w:t>student performance, educator evaluations, community feedback)</w:t>
      </w:r>
      <w:r w:rsidR="00B86BA4" w:rsidRPr="00CD29D0">
        <w:rPr>
          <w:lang w:eastAsia="ja-JP"/>
        </w:rPr>
        <w:t xml:space="preserve"> for </w:t>
      </w:r>
      <w:r w:rsidR="00F6632D" w:rsidRPr="00CD29D0">
        <w:rPr>
          <w:lang w:eastAsia="ja-JP"/>
        </w:rPr>
        <w:t>trends and patterns to identify root causes</w:t>
      </w:r>
      <w:r w:rsidR="0006109F" w:rsidRPr="00CD29D0">
        <w:rPr>
          <w:lang w:eastAsia="ja-JP"/>
        </w:rPr>
        <w:t xml:space="preserve">; </w:t>
      </w:r>
      <w:r w:rsidR="00EA5F5A" w:rsidRPr="00CD29D0">
        <w:rPr>
          <w:lang w:eastAsia="ja-JP"/>
        </w:rPr>
        <w:t xml:space="preserve">(b) </w:t>
      </w:r>
      <w:r w:rsidR="00F6632D" w:rsidRPr="00CD29D0">
        <w:rPr>
          <w:lang w:eastAsia="ja-JP"/>
        </w:rPr>
        <w:t>engag</w:t>
      </w:r>
      <w:r w:rsidR="00687F94" w:rsidRPr="00CD29D0">
        <w:rPr>
          <w:lang w:eastAsia="ja-JP"/>
        </w:rPr>
        <w:t>ing</w:t>
      </w:r>
      <w:r w:rsidR="00F6632D" w:rsidRPr="00CD29D0">
        <w:rPr>
          <w:lang w:eastAsia="ja-JP"/>
        </w:rPr>
        <w:t xml:space="preserve"> in a vision planning </w:t>
      </w:r>
      <w:r w:rsidR="00687F94" w:rsidRPr="00CD29D0">
        <w:rPr>
          <w:lang w:eastAsia="ja-JP"/>
        </w:rPr>
        <w:t>process</w:t>
      </w:r>
      <w:r w:rsidR="0006109F" w:rsidRPr="00CD29D0">
        <w:rPr>
          <w:lang w:eastAsia="ja-JP"/>
        </w:rPr>
        <w:t xml:space="preserve">; </w:t>
      </w:r>
      <w:r w:rsidR="003D2F61" w:rsidRPr="00CD29D0">
        <w:rPr>
          <w:lang w:eastAsia="ja-JP"/>
        </w:rPr>
        <w:t xml:space="preserve">and </w:t>
      </w:r>
      <w:r w:rsidR="00EA5F5A" w:rsidRPr="00CD29D0">
        <w:rPr>
          <w:lang w:eastAsia="ja-JP"/>
        </w:rPr>
        <w:t xml:space="preserve">(c) </w:t>
      </w:r>
      <w:r w:rsidR="003D2F61" w:rsidRPr="00CD29D0">
        <w:rPr>
          <w:lang w:eastAsia="ja-JP"/>
        </w:rPr>
        <w:t xml:space="preserve">working to backward design </w:t>
      </w:r>
      <w:r w:rsidR="002B545D" w:rsidRPr="00CD29D0">
        <w:rPr>
          <w:lang w:eastAsia="ja-JP"/>
        </w:rPr>
        <w:t>an improvement strategy</w:t>
      </w:r>
      <w:r w:rsidR="008C730F" w:rsidRPr="00CD29D0">
        <w:rPr>
          <w:lang w:eastAsia="ja-JP"/>
        </w:rPr>
        <w:t>. Committee members had very positive impressions of their participation on this committee</w:t>
      </w:r>
      <w:r w:rsidR="003907F3" w:rsidRPr="00CD29D0">
        <w:rPr>
          <w:lang w:eastAsia="ja-JP"/>
        </w:rPr>
        <w:t>. One</w:t>
      </w:r>
      <w:r w:rsidR="008A663B" w:rsidRPr="00CD29D0">
        <w:rPr>
          <w:lang w:eastAsia="ja-JP"/>
        </w:rPr>
        <w:t xml:space="preserve"> district leader </w:t>
      </w:r>
      <w:r w:rsidR="003907F3" w:rsidRPr="00CD29D0">
        <w:rPr>
          <w:lang w:eastAsia="ja-JP"/>
        </w:rPr>
        <w:t>noted</w:t>
      </w:r>
      <w:r w:rsidR="009A0610" w:rsidRPr="00CD29D0">
        <w:rPr>
          <w:lang w:eastAsia="ja-JP"/>
        </w:rPr>
        <w:t>:</w:t>
      </w:r>
    </w:p>
    <w:p w14:paraId="3F8088B2" w14:textId="23027182" w:rsidR="0053292F" w:rsidRPr="00CD29D0" w:rsidRDefault="008A663B" w:rsidP="009C2835">
      <w:pPr>
        <w:pStyle w:val="BodyTextIndent"/>
      </w:pPr>
      <w:r w:rsidRPr="00CD29D0">
        <w:t>I</w:t>
      </w:r>
      <w:r w:rsidR="003907F3" w:rsidRPr="00CD29D0">
        <w:t>’</w:t>
      </w:r>
      <w:r w:rsidRPr="00CD29D0">
        <w:t>ve done a lot of work with a lot of different committees, and this is probably my favorite working group I</w:t>
      </w:r>
      <w:r w:rsidR="003907F3" w:rsidRPr="00CD29D0">
        <w:t>’</w:t>
      </w:r>
      <w:r w:rsidRPr="00CD29D0">
        <w:t>ve ever worked with, just because the people that were on the committee itself were very engaged, really passionate about the work that we did.</w:t>
      </w:r>
    </w:p>
    <w:p w14:paraId="0553C067" w14:textId="0313753C" w:rsidR="00C54548" w:rsidRPr="00CD29D0" w:rsidRDefault="003875FC" w:rsidP="009C2835">
      <w:pPr>
        <w:pStyle w:val="BodyText"/>
      </w:pPr>
      <w:r w:rsidRPr="00CD29D0">
        <w:t>The strategic plan describes a four</w:t>
      </w:r>
      <w:r w:rsidR="00EA360A" w:rsidRPr="00CD29D0">
        <w:t>-</w:t>
      </w:r>
      <w:r w:rsidRPr="00CD29D0">
        <w:t>year plan to address four key focus areas, including</w:t>
      </w:r>
      <w:r w:rsidR="00180C03" w:rsidRPr="00CD29D0">
        <w:t>:</w:t>
      </w:r>
    </w:p>
    <w:p w14:paraId="06FEC5EA" w14:textId="04E028E3" w:rsidR="00180C03" w:rsidRPr="00CD29D0" w:rsidRDefault="00180C03" w:rsidP="009C2835">
      <w:pPr>
        <w:pStyle w:val="Bullet1"/>
      </w:pPr>
      <w:r w:rsidRPr="00CD29D0">
        <w:t>Connected and Relevant Learning Experiences:</w:t>
      </w:r>
      <w:r w:rsidR="003D59A5" w:rsidRPr="00CD29D0">
        <w:t xml:space="preserve"> </w:t>
      </w:r>
      <w:r w:rsidRPr="00CD29D0">
        <w:t>Ensuring every student engages in learning opportunities that are meaningful, challenging, and connected to the world beyond the classroom. This includes expanding career-based experiences, project-based learning, and opportunities that spark curiosity and personal growth.</w:t>
      </w:r>
    </w:p>
    <w:p w14:paraId="76FB4D2A" w14:textId="1C853D24" w:rsidR="00180C03" w:rsidRPr="00CD29D0" w:rsidRDefault="00180C03" w:rsidP="009C2835">
      <w:pPr>
        <w:pStyle w:val="Bullet1"/>
      </w:pPr>
      <w:r w:rsidRPr="00CD29D0">
        <w:t>Enhancing Student Outcomes:</w:t>
      </w:r>
      <w:r w:rsidR="00EA360A" w:rsidRPr="00CD29D0">
        <w:t xml:space="preserve"> </w:t>
      </w:r>
      <w:r w:rsidRPr="00CD29D0">
        <w:t xml:space="preserve">Through intentional support, data-informed practices, and a focus on the whole child, </w:t>
      </w:r>
      <w:r w:rsidR="00F62C92" w:rsidRPr="00CD29D0">
        <w:t>the district</w:t>
      </w:r>
      <w:r w:rsidRPr="00CD29D0">
        <w:t xml:space="preserve"> aim</w:t>
      </w:r>
      <w:r w:rsidR="00F62C92" w:rsidRPr="00CD29D0">
        <w:t>s</w:t>
      </w:r>
      <w:r w:rsidRPr="00CD29D0">
        <w:t xml:space="preserve"> to improve academic achievement, student wellness, and postgraduation readiness.</w:t>
      </w:r>
    </w:p>
    <w:p w14:paraId="21CC3613" w14:textId="66A2C4FB" w:rsidR="00180C03" w:rsidRPr="00CD29D0" w:rsidRDefault="00180C03" w:rsidP="009C2835">
      <w:pPr>
        <w:pStyle w:val="Bullet1"/>
      </w:pPr>
      <w:r w:rsidRPr="00CD29D0">
        <w:t>High</w:t>
      </w:r>
      <w:r w:rsidR="004B6037" w:rsidRPr="00CD29D0">
        <w:t>-</w:t>
      </w:r>
      <w:r w:rsidRPr="00CD29D0">
        <w:t>Quality Instructional Materials</w:t>
      </w:r>
      <w:r w:rsidR="004B6037" w:rsidRPr="00CD29D0">
        <w:t xml:space="preserve"> (HQIM)</w:t>
      </w:r>
      <w:r w:rsidRPr="00CD29D0">
        <w:rPr>
          <w:b/>
        </w:rPr>
        <w:t>:</w:t>
      </w:r>
      <w:r w:rsidR="004B6037" w:rsidRPr="00CD29D0">
        <w:rPr>
          <w:b/>
        </w:rPr>
        <w:t xml:space="preserve"> </w:t>
      </w:r>
      <w:r w:rsidRPr="00CD29D0">
        <w:t>Access to consistent</w:t>
      </w:r>
      <w:r w:rsidR="004340B0" w:rsidRPr="00CD29D0">
        <w:t xml:space="preserve"> HQIM </w:t>
      </w:r>
      <w:r w:rsidRPr="00CD29D0">
        <w:t xml:space="preserve">is essential for student success. </w:t>
      </w:r>
      <w:r w:rsidR="00F62C92" w:rsidRPr="00CD29D0">
        <w:t>The district</w:t>
      </w:r>
      <w:r w:rsidRPr="00CD29D0">
        <w:t xml:space="preserve"> will continue to invest in and implement evidence-based materials that meet the diverse needs of students and empower educators.</w:t>
      </w:r>
    </w:p>
    <w:p w14:paraId="32434D72" w14:textId="7AE9D517" w:rsidR="00180C03" w:rsidRPr="00CD29D0" w:rsidRDefault="00180C03" w:rsidP="009C2835">
      <w:pPr>
        <w:pStyle w:val="Bullet1"/>
      </w:pPr>
      <w:r w:rsidRPr="00CD29D0">
        <w:t xml:space="preserve">Interactive School </w:t>
      </w:r>
      <w:r w:rsidR="004340B0" w:rsidRPr="00CD29D0">
        <w:t>and</w:t>
      </w:r>
      <w:r w:rsidRPr="00CD29D0">
        <w:t xml:space="preserve"> Community Partnership</w:t>
      </w:r>
      <w:r w:rsidR="004340B0" w:rsidRPr="00CD29D0">
        <w:t xml:space="preserve"> Plan</w:t>
      </w:r>
      <w:r w:rsidRPr="00CD29D0">
        <w:t>:</w:t>
      </w:r>
      <w:r w:rsidR="004340B0" w:rsidRPr="00CD29D0">
        <w:t xml:space="preserve"> </w:t>
      </w:r>
      <w:r w:rsidR="00F62C92" w:rsidRPr="00CD29D0">
        <w:t>This</w:t>
      </w:r>
      <w:r w:rsidRPr="00CD29D0">
        <w:t xml:space="preserve"> plan commits to deepening partnerships with families, local businesses, and community organizations</w:t>
      </w:r>
      <w:r w:rsidR="004340B0" w:rsidRPr="00CD29D0">
        <w:t xml:space="preserve"> to </w:t>
      </w:r>
      <w:r w:rsidRPr="00CD29D0">
        <w:t>ensur</w:t>
      </w:r>
      <w:r w:rsidR="004340B0" w:rsidRPr="00CD29D0">
        <w:t>e</w:t>
      </w:r>
      <w:r w:rsidRPr="00CD29D0">
        <w:t xml:space="preserve"> that </w:t>
      </w:r>
      <w:r w:rsidR="000B1654" w:rsidRPr="00CD29D0">
        <w:t>the</w:t>
      </w:r>
      <w:r w:rsidRPr="00CD29D0">
        <w:t xml:space="preserve"> schools remain welcoming, inclusive, and reflective of the communit</w:t>
      </w:r>
      <w:r w:rsidR="004340B0" w:rsidRPr="00CD29D0">
        <w:t>ies</w:t>
      </w:r>
      <w:r w:rsidRPr="00CD29D0">
        <w:t xml:space="preserve"> they serve.</w:t>
      </w:r>
    </w:p>
    <w:p w14:paraId="1AEF9ED2" w14:textId="34BF81DC" w:rsidR="00A45A08" w:rsidRPr="00CD29D0" w:rsidRDefault="00747114" w:rsidP="009C2835">
      <w:pPr>
        <w:pStyle w:val="BodyText"/>
      </w:pPr>
      <w:r w:rsidRPr="00CD29D0">
        <w:t xml:space="preserve">Each focus area </w:t>
      </w:r>
      <w:r w:rsidR="008D2393" w:rsidRPr="00CD29D0">
        <w:t>has</w:t>
      </w:r>
      <w:r w:rsidRPr="00CD29D0">
        <w:t xml:space="preserve"> </w:t>
      </w:r>
      <w:r w:rsidR="00312525" w:rsidRPr="00CD29D0">
        <w:t>sub</w:t>
      </w:r>
      <w:r w:rsidR="00D81194" w:rsidRPr="00CD29D0">
        <w:t>goals</w:t>
      </w:r>
      <w:r w:rsidR="005E44BB" w:rsidRPr="00CD29D0">
        <w:t xml:space="preserve"> to further operationalize </w:t>
      </w:r>
      <w:r w:rsidR="00583C9E" w:rsidRPr="00CD29D0">
        <w:t xml:space="preserve">and define </w:t>
      </w:r>
      <w:r w:rsidR="008A2498" w:rsidRPr="00CD29D0">
        <w:t xml:space="preserve">specific district </w:t>
      </w:r>
      <w:r w:rsidR="00583C9E" w:rsidRPr="00CD29D0">
        <w:t>actions</w:t>
      </w:r>
      <w:r w:rsidR="00AD10D9" w:rsidRPr="00CD29D0">
        <w:t xml:space="preserve">. For example, </w:t>
      </w:r>
      <w:r w:rsidR="001A3E61" w:rsidRPr="00CD29D0">
        <w:t xml:space="preserve">Connected and Relevant Learning Experiences </w:t>
      </w:r>
      <w:r w:rsidR="00A10790" w:rsidRPr="00CD29D0">
        <w:t>i</w:t>
      </w:r>
      <w:r w:rsidR="00A27D6F" w:rsidRPr="00CD29D0">
        <w:t xml:space="preserve">ncludes several </w:t>
      </w:r>
      <w:r w:rsidR="008E19A7" w:rsidRPr="00CD29D0">
        <w:t>subgoals</w:t>
      </w:r>
      <w:r w:rsidR="008D2393" w:rsidRPr="00CD29D0">
        <w:t xml:space="preserve"> for </w:t>
      </w:r>
      <w:r w:rsidR="008E19A7" w:rsidRPr="00CD29D0">
        <w:t>enhancing opportunities for skill-based learning experiences and career preparation</w:t>
      </w:r>
      <w:r w:rsidR="008D2393" w:rsidRPr="00CD29D0">
        <w:t xml:space="preserve">; </w:t>
      </w:r>
      <w:r w:rsidR="008E19A7" w:rsidRPr="00CD29D0">
        <w:t xml:space="preserve">developing a continuum of </w:t>
      </w:r>
      <w:r w:rsidR="007B0D6A" w:rsidRPr="00CD29D0">
        <w:t>future-ready learning experiences across all grade levels</w:t>
      </w:r>
      <w:r w:rsidR="008D2393" w:rsidRPr="00CD29D0">
        <w:t xml:space="preserve">; </w:t>
      </w:r>
      <w:r w:rsidR="007B0D6A" w:rsidRPr="00CD29D0">
        <w:t xml:space="preserve">rewriting Portrait of a </w:t>
      </w:r>
      <w:r w:rsidR="00C86F47">
        <w:t>Learner</w:t>
      </w:r>
      <w:r w:rsidR="008D2393" w:rsidRPr="00CD29D0">
        <w:t>,</w:t>
      </w:r>
      <w:r w:rsidR="007F01A1" w:rsidRPr="00CD29D0">
        <w:t xml:space="preserve"> so everyone understands what the</w:t>
      </w:r>
      <w:r w:rsidR="007B0D6A" w:rsidRPr="00CD29D0">
        <w:t xml:space="preserve"> </w:t>
      </w:r>
      <w:r w:rsidR="001419D8" w:rsidRPr="00CD29D0">
        <w:t>core competencies</w:t>
      </w:r>
      <w:r w:rsidR="007F01A1" w:rsidRPr="00CD29D0">
        <w:t xml:space="preserve"> are and look like at all levels</w:t>
      </w:r>
      <w:r w:rsidR="008D2393" w:rsidRPr="00CD29D0">
        <w:t xml:space="preserve">; </w:t>
      </w:r>
      <w:r w:rsidR="001419D8" w:rsidRPr="00CD29D0">
        <w:t>expand</w:t>
      </w:r>
      <w:r w:rsidR="008D2393" w:rsidRPr="00CD29D0">
        <w:t>ing</w:t>
      </w:r>
      <w:r w:rsidR="001419D8" w:rsidRPr="00CD29D0">
        <w:t xml:space="preserve"> project-based learning and inquiry-oriented learning across the district</w:t>
      </w:r>
      <w:r w:rsidR="008D2393" w:rsidRPr="00CD29D0">
        <w:t xml:space="preserve">; </w:t>
      </w:r>
      <w:r w:rsidR="001419D8" w:rsidRPr="00CD29D0">
        <w:t>and evaluat</w:t>
      </w:r>
      <w:r w:rsidR="008D2393" w:rsidRPr="00CD29D0">
        <w:t>ing</w:t>
      </w:r>
      <w:r w:rsidR="001419D8" w:rsidRPr="00CD29D0">
        <w:t xml:space="preserve"> alternative measures for students to </w:t>
      </w:r>
      <w:r w:rsidR="00C906B3" w:rsidRPr="00CD29D0">
        <w:t>demonstrate learning mastery</w:t>
      </w:r>
      <w:r w:rsidR="001419D8" w:rsidRPr="00CD29D0">
        <w:t xml:space="preserve">. </w:t>
      </w:r>
      <w:r w:rsidR="000F5B41" w:rsidRPr="00CD29D0">
        <w:t>Each subgoal</w:t>
      </w:r>
      <w:r w:rsidR="00C01EEA" w:rsidRPr="00CD29D0">
        <w:t xml:space="preserve"> includes </w:t>
      </w:r>
      <w:r w:rsidR="006D45AC" w:rsidRPr="00CD29D0">
        <w:t>benchmark activities with</w:t>
      </w:r>
      <w:r w:rsidR="00BF517A" w:rsidRPr="00CD29D0">
        <w:t xml:space="preserve"> associated</w:t>
      </w:r>
      <w:r w:rsidR="006D45AC" w:rsidRPr="00CD29D0">
        <w:t xml:space="preserve"> </w:t>
      </w:r>
      <w:r w:rsidR="00D8150B" w:rsidRPr="00CD29D0">
        <w:t xml:space="preserve">timeframes </w:t>
      </w:r>
      <w:r w:rsidR="00BF517A" w:rsidRPr="00CD29D0">
        <w:t>for</w:t>
      </w:r>
      <w:r w:rsidR="00D8150B" w:rsidRPr="00CD29D0">
        <w:t xml:space="preserve"> completion</w:t>
      </w:r>
      <w:r w:rsidR="00A45A08" w:rsidRPr="00CD29D0">
        <w:t>.</w:t>
      </w:r>
    </w:p>
    <w:p w14:paraId="4CCC0C01" w14:textId="39DF4C18" w:rsidR="00234876" w:rsidRPr="00CD29D0" w:rsidRDefault="00234876" w:rsidP="009C2835">
      <w:pPr>
        <w:pStyle w:val="BodyText"/>
      </w:pPr>
      <w:r w:rsidRPr="002C6D7C">
        <w:t xml:space="preserve">At the time of the district review, </w:t>
      </w:r>
      <w:r w:rsidR="00957386" w:rsidRPr="002C6D7C">
        <w:t>S</w:t>
      </w:r>
      <w:r w:rsidRPr="002C6D7C">
        <w:t xml:space="preserve">uperintendent </w:t>
      </w:r>
      <w:r w:rsidR="00957386" w:rsidRPr="002C6D7C">
        <w:t xml:space="preserve">O’Neill </w:t>
      </w:r>
      <w:r w:rsidRPr="002C6D7C">
        <w:t xml:space="preserve">was reconvening the </w:t>
      </w:r>
      <w:r w:rsidR="00291FC3" w:rsidRPr="002C6D7C">
        <w:t>s</w:t>
      </w:r>
      <w:r w:rsidR="002525AC" w:rsidRPr="002C6D7C">
        <w:t xml:space="preserve">trategic </w:t>
      </w:r>
      <w:r w:rsidR="00291FC3" w:rsidRPr="002C6D7C">
        <w:t>p</w:t>
      </w:r>
      <w:r w:rsidR="002525AC" w:rsidRPr="002C6D7C">
        <w:t xml:space="preserve">lanning </w:t>
      </w:r>
      <w:r w:rsidR="00291FC3" w:rsidRPr="002C6D7C">
        <w:t>c</w:t>
      </w:r>
      <w:r w:rsidR="002525AC" w:rsidRPr="002C6D7C">
        <w:t xml:space="preserve">ommittee to </w:t>
      </w:r>
      <w:r w:rsidR="00932284" w:rsidRPr="002C6D7C">
        <w:t>further refine</w:t>
      </w:r>
      <w:r w:rsidR="00200DBB" w:rsidRPr="002C6D7C">
        <w:t xml:space="preserve"> the district’s mission, vision, and </w:t>
      </w:r>
      <w:r w:rsidR="00291FC3" w:rsidRPr="002C6D7C">
        <w:t>P</w:t>
      </w:r>
      <w:r w:rsidR="00200DBB" w:rsidRPr="002C6D7C">
        <w:t xml:space="preserve">ortrait of a </w:t>
      </w:r>
      <w:r w:rsidR="002A21DF" w:rsidRPr="002C6D7C">
        <w:t>Learner</w:t>
      </w:r>
      <w:r w:rsidR="007A7D6D" w:rsidRPr="002C6D7C">
        <w:t>.</w:t>
      </w:r>
      <w:r w:rsidR="00291FC3" w:rsidRPr="002C6D7C">
        <w:t xml:space="preserve"> </w:t>
      </w:r>
      <w:r w:rsidR="00D101F8" w:rsidRPr="00CD29D0">
        <w:t xml:space="preserve">Although a mission and vision </w:t>
      </w:r>
      <w:r w:rsidR="009036AF" w:rsidRPr="00CD29D0">
        <w:t xml:space="preserve">were </w:t>
      </w:r>
      <w:r w:rsidR="00D101F8" w:rsidRPr="00CD29D0">
        <w:t xml:space="preserve">created during the original strategic planning process </w:t>
      </w:r>
      <w:r w:rsidR="009036AF" w:rsidRPr="00CD29D0">
        <w:t xml:space="preserve">during the prior </w:t>
      </w:r>
      <w:r w:rsidR="00D101F8" w:rsidRPr="00CD29D0">
        <w:t xml:space="preserve">school year, </w:t>
      </w:r>
      <w:r w:rsidR="00831C51" w:rsidRPr="00CD29D0">
        <w:t>district leaders determined that it needed to be updated</w:t>
      </w:r>
      <w:r w:rsidR="009036AF" w:rsidRPr="00CD29D0">
        <w:t xml:space="preserve">. One district leader noted that </w:t>
      </w:r>
      <w:r w:rsidR="00831C51" w:rsidRPr="00CD29D0">
        <w:t xml:space="preserve">“no one knew what our mission, our vision was. No one could reference it.” Additionally, </w:t>
      </w:r>
      <w:r w:rsidR="007C1760" w:rsidRPr="00CD29D0">
        <w:t xml:space="preserve">the original version was </w:t>
      </w:r>
      <w:r w:rsidR="002F51B2" w:rsidRPr="00CD29D0">
        <w:t xml:space="preserve">not as actionable as </w:t>
      </w:r>
      <w:r w:rsidR="00A7540C" w:rsidRPr="00CD29D0">
        <w:t>possible</w:t>
      </w:r>
      <w:r w:rsidR="002F51B2" w:rsidRPr="00CD29D0">
        <w:t xml:space="preserve">. </w:t>
      </w:r>
      <w:r w:rsidR="00A7540C" w:rsidRPr="00CD29D0">
        <w:t>S</w:t>
      </w:r>
      <w:r w:rsidR="002F51B2" w:rsidRPr="00CD29D0">
        <w:t xml:space="preserve">uperintendent </w:t>
      </w:r>
      <w:r w:rsidR="00A7540C" w:rsidRPr="00CD29D0">
        <w:t xml:space="preserve">O’Neill </w:t>
      </w:r>
      <w:r w:rsidR="002F51B2" w:rsidRPr="00CD29D0">
        <w:t xml:space="preserve">reconvened the </w:t>
      </w:r>
      <w:r w:rsidR="00291FC3" w:rsidRPr="00CD29D0">
        <w:t>s</w:t>
      </w:r>
      <w:r w:rsidR="002F51B2" w:rsidRPr="00CD29D0">
        <w:t xml:space="preserve">trategic </w:t>
      </w:r>
      <w:r w:rsidR="00291FC3" w:rsidRPr="00CD29D0">
        <w:t>p</w:t>
      </w:r>
      <w:r w:rsidR="002F51B2" w:rsidRPr="00CD29D0">
        <w:t xml:space="preserve">lanning </w:t>
      </w:r>
      <w:r w:rsidR="00291FC3" w:rsidRPr="00CD29D0">
        <w:t>c</w:t>
      </w:r>
      <w:r w:rsidR="002F51B2" w:rsidRPr="00CD29D0">
        <w:t xml:space="preserve">ommittee </w:t>
      </w:r>
      <w:r w:rsidR="00AF4244" w:rsidRPr="00CD29D0">
        <w:t xml:space="preserve">to develop </w:t>
      </w:r>
      <w:r w:rsidR="00A7540C" w:rsidRPr="00CD29D0">
        <w:t xml:space="preserve">new </w:t>
      </w:r>
      <w:r w:rsidR="00AF4244" w:rsidRPr="00CD29D0">
        <w:t>drafts of these documents</w:t>
      </w:r>
      <w:r w:rsidR="00A7540C" w:rsidRPr="00CD29D0">
        <w:t>;</w:t>
      </w:r>
      <w:r w:rsidR="00AF4244" w:rsidRPr="00CD29D0">
        <w:t xml:space="preserve"> at the time of the review, broader stakeholders</w:t>
      </w:r>
      <w:r w:rsidR="00A7540C" w:rsidRPr="00CD29D0">
        <w:t xml:space="preserve"> were reviewing these documents</w:t>
      </w:r>
      <w:r w:rsidR="00AF4244" w:rsidRPr="00CD29D0">
        <w:t xml:space="preserve"> for feedback. </w:t>
      </w:r>
      <w:r w:rsidR="00FD4D23" w:rsidRPr="00CD29D0">
        <w:t xml:space="preserve">For example, </w:t>
      </w:r>
      <w:r w:rsidR="00084065" w:rsidRPr="00CD29D0">
        <w:t>S</w:t>
      </w:r>
      <w:r w:rsidR="00FD4D23" w:rsidRPr="00CD29D0">
        <w:t xml:space="preserve">uperintendent </w:t>
      </w:r>
      <w:r w:rsidR="00084065" w:rsidRPr="00CD29D0">
        <w:t xml:space="preserve">O’Neill </w:t>
      </w:r>
      <w:r w:rsidR="00FD4D23" w:rsidRPr="00CD29D0">
        <w:lastRenderedPageBreak/>
        <w:t>conducted a community forum for feedback</w:t>
      </w:r>
      <w:r w:rsidR="00084065" w:rsidRPr="00CD29D0">
        <w:t>, which was</w:t>
      </w:r>
      <w:r w:rsidR="00FD4D23" w:rsidRPr="00CD29D0">
        <w:t xml:space="preserve"> </w:t>
      </w:r>
      <w:r w:rsidR="00F461F6" w:rsidRPr="00CD29D0">
        <w:t>attended by six</w:t>
      </w:r>
      <w:r w:rsidR="00FD4D23" w:rsidRPr="00CD29D0">
        <w:t xml:space="preserve"> community members. </w:t>
      </w:r>
      <w:r w:rsidR="00084065" w:rsidRPr="00CD29D0">
        <w:t>S</w:t>
      </w:r>
      <w:r w:rsidR="00FD4D23" w:rsidRPr="00CD29D0">
        <w:t xml:space="preserve">uperintendent </w:t>
      </w:r>
      <w:r w:rsidR="00084065" w:rsidRPr="00CD29D0">
        <w:t xml:space="preserve">O’Neill also </w:t>
      </w:r>
      <w:r w:rsidR="00FD4D23" w:rsidRPr="00CD29D0">
        <w:t xml:space="preserve">discussed these with the superintendent advisory group to get student feedback. </w:t>
      </w:r>
      <w:r w:rsidR="002D677E" w:rsidRPr="00950DAC">
        <w:t xml:space="preserve">District leaders </w:t>
      </w:r>
      <w:r w:rsidR="00386583" w:rsidRPr="00950DAC">
        <w:t>plan</w:t>
      </w:r>
      <w:r w:rsidR="002D677E" w:rsidRPr="00950DAC">
        <w:t xml:space="preserve"> to finalize these documents this school year.</w:t>
      </w:r>
    </w:p>
    <w:p w14:paraId="4E6B65F7" w14:textId="26A14A1A" w:rsidR="00A45A08" w:rsidRPr="00CD29D0" w:rsidRDefault="00B347B9" w:rsidP="009C2835">
      <w:pPr>
        <w:pStyle w:val="BodyText"/>
      </w:pPr>
      <w:r w:rsidRPr="00CD29D0">
        <w:t>S</w:t>
      </w:r>
      <w:r w:rsidR="007351BE" w:rsidRPr="00CD29D0">
        <w:t xml:space="preserve">chools have </w:t>
      </w:r>
      <w:r w:rsidR="001D5AA4" w:rsidRPr="00CD29D0">
        <w:t xml:space="preserve">three-year </w:t>
      </w:r>
      <w:r w:rsidR="007351BE" w:rsidRPr="00CD29D0">
        <w:t>school improvement plan</w:t>
      </w:r>
      <w:r w:rsidRPr="00CD29D0">
        <w:t>s</w:t>
      </w:r>
      <w:r w:rsidR="001D5AA4" w:rsidRPr="00CD29D0">
        <w:t xml:space="preserve"> </w:t>
      </w:r>
      <w:r w:rsidR="0098189B" w:rsidRPr="00CD29D0">
        <w:t>(SIP</w:t>
      </w:r>
      <w:r w:rsidRPr="00CD29D0">
        <w:t>s</w:t>
      </w:r>
      <w:r w:rsidR="0098189B" w:rsidRPr="00CD29D0">
        <w:t xml:space="preserve">), </w:t>
      </w:r>
      <w:r w:rsidR="001D5AA4" w:rsidRPr="00CD29D0">
        <w:t xml:space="preserve">which </w:t>
      </w:r>
      <w:r w:rsidR="0098189B" w:rsidRPr="00CD29D0">
        <w:t>they</w:t>
      </w:r>
      <w:r w:rsidR="001D5AA4" w:rsidRPr="00CD29D0">
        <w:t xml:space="preserve"> update annually.</w:t>
      </w:r>
      <w:r w:rsidR="001D5AA4" w:rsidRPr="00CD29D0">
        <w:rPr>
          <w:color w:val="70AD47" w:themeColor="accent6"/>
        </w:rPr>
        <w:t xml:space="preserve"> </w:t>
      </w:r>
      <w:r w:rsidR="00840CA0" w:rsidRPr="00C67C68">
        <w:t>While t</w:t>
      </w:r>
      <w:r w:rsidR="007351BE" w:rsidRPr="00C67C68">
        <w:t>hese plans are expected to align with the district’s new strategic plan</w:t>
      </w:r>
      <w:r w:rsidR="001D5AA4" w:rsidRPr="00C67C68" w:rsidDel="0098189B">
        <w:t xml:space="preserve">, </w:t>
      </w:r>
      <w:r w:rsidR="00840CA0" w:rsidRPr="00C67C68">
        <w:t>the</w:t>
      </w:r>
      <w:r w:rsidR="001D5AA4" w:rsidRPr="00C67C68" w:rsidDel="0098189B">
        <w:t xml:space="preserve"> s</w:t>
      </w:r>
      <w:r w:rsidR="001D5AA4" w:rsidRPr="00C67C68">
        <w:t xml:space="preserve">chools still have some autonomy and flexibility to </w:t>
      </w:r>
      <w:r w:rsidR="007E0453" w:rsidRPr="00C67C68">
        <w:t>address the</w:t>
      </w:r>
      <w:r w:rsidR="0098189B" w:rsidRPr="00C67C68">
        <w:t>ir</w:t>
      </w:r>
      <w:r w:rsidR="007E0453" w:rsidRPr="00C67C68">
        <w:t xml:space="preserve"> specific context</w:t>
      </w:r>
      <w:r w:rsidR="0098189B" w:rsidRPr="00C67C68">
        <w:t>s</w:t>
      </w:r>
      <w:r w:rsidR="007E0453" w:rsidRPr="00C67C68">
        <w:t xml:space="preserve"> and needs</w:t>
      </w:r>
      <w:r w:rsidR="00BC0BA9" w:rsidRPr="00C67C68">
        <w:t>,</w:t>
      </w:r>
      <w:r w:rsidR="0098189B" w:rsidRPr="00C67C68">
        <w:t xml:space="preserve"> making</w:t>
      </w:r>
      <w:r w:rsidR="00BC0BA9" w:rsidRPr="00C67C68">
        <w:t xml:space="preserve"> </w:t>
      </w:r>
      <w:r w:rsidR="00A223CE" w:rsidRPr="00C67C68">
        <w:t xml:space="preserve">the </w:t>
      </w:r>
      <w:r w:rsidR="0098189B" w:rsidRPr="00C67C68">
        <w:t>SIPs</w:t>
      </w:r>
      <w:r w:rsidR="00B752A9" w:rsidRPr="00C67C68" w:rsidDel="0098189B">
        <w:t xml:space="preserve"> </w:t>
      </w:r>
      <w:r w:rsidR="00BC0BA9" w:rsidRPr="00C67C68">
        <w:t>a strength of the district</w:t>
      </w:r>
      <w:r w:rsidR="007E0453" w:rsidRPr="00C67C68">
        <w:t>.</w:t>
      </w:r>
      <w:r w:rsidR="007E0453" w:rsidRPr="00CD29D0">
        <w:t xml:space="preserve"> </w:t>
      </w:r>
      <w:r w:rsidR="00C429E3" w:rsidRPr="00CD29D0">
        <w:t xml:space="preserve">The three elementary schools created a combined </w:t>
      </w:r>
      <w:r w:rsidR="0098189B" w:rsidRPr="00CD29D0">
        <w:t>SIP</w:t>
      </w:r>
      <w:r w:rsidR="00C429E3" w:rsidRPr="00CD29D0">
        <w:t xml:space="preserve"> to ensure horizontal and vertical alignment of goals, </w:t>
      </w:r>
      <w:r w:rsidRPr="00CD29D0">
        <w:t>and</w:t>
      </w:r>
      <w:r w:rsidR="00C429E3" w:rsidRPr="00CD29D0">
        <w:t xml:space="preserve"> the middle and high schools creat</w:t>
      </w:r>
      <w:r w:rsidRPr="00CD29D0">
        <w:t>ed</w:t>
      </w:r>
      <w:r w:rsidR="00C429E3" w:rsidRPr="00CD29D0" w:rsidDel="00B347B9">
        <w:t xml:space="preserve"> </w:t>
      </w:r>
      <w:r w:rsidRPr="00CD29D0">
        <w:t xml:space="preserve">their own </w:t>
      </w:r>
      <w:r w:rsidR="00C429E3" w:rsidRPr="00CD29D0">
        <w:t xml:space="preserve">plans. </w:t>
      </w:r>
      <w:r w:rsidR="00384D26" w:rsidRPr="00CD29D0">
        <w:t>A summary of school priorities include</w:t>
      </w:r>
      <w:r w:rsidR="00A45A08" w:rsidRPr="00CD29D0">
        <w:t>:</w:t>
      </w:r>
    </w:p>
    <w:p w14:paraId="5243ACF2" w14:textId="731C58C7" w:rsidR="00A45A08" w:rsidRPr="00CD29D0" w:rsidRDefault="00384D26" w:rsidP="009C2835">
      <w:pPr>
        <w:pStyle w:val="Bullet1"/>
      </w:pPr>
      <w:r w:rsidRPr="00CD29D0">
        <w:t xml:space="preserve">Joint Elementary School Improvement Plan: </w:t>
      </w:r>
      <w:r w:rsidR="001455AF" w:rsidRPr="00CD29D0">
        <w:t>D</w:t>
      </w:r>
      <w:r w:rsidR="009B61F8" w:rsidRPr="00CD29D0">
        <w:t xml:space="preserve">evelop the whole child </w:t>
      </w:r>
      <w:r w:rsidR="00C15939" w:rsidRPr="00CD29D0">
        <w:t xml:space="preserve">through a focus on </w:t>
      </w:r>
      <w:r w:rsidR="001455AF" w:rsidRPr="00CD29D0">
        <w:t>I</w:t>
      </w:r>
      <w:r w:rsidR="009C5275" w:rsidRPr="00CD29D0">
        <w:t xml:space="preserve">ntegrated </w:t>
      </w:r>
      <w:r w:rsidR="001455AF" w:rsidRPr="00CD29D0">
        <w:t>M</w:t>
      </w:r>
      <w:r w:rsidR="00133949" w:rsidRPr="00CD29D0">
        <w:t>ulti-</w:t>
      </w:r>
      <w:r w:rsidR="001455AF" w:rsidRPr="00CD29D0">
        <w:t>T</w:t>
      </w:r>
      <w:r w:rsidR="00133949" w:rsidRPr="00CD29D0">
        <w:t xml:space="preserve">iered </w:t>
      </w:r>
      <w:r w:rsidR="001455AF" w:rsidRPr="00CD29D0">
        <w:t>S</w:t>
      </w:r>
      <w:r w:rsidR="00133949" w:rsidRPr="00CD29D0">
        <w:t xml:space="preserve">ystems of </w:t>
      </w:r>
      <w:r w:rsidR="001455AF" w:rsidRPr="00CD29D0">
        <w:t>S</w:t>
      </w:r>
      <w:r w:rsidR="00133949" w:rsidRPr="00CD29D0">
        <w:t>upport (IMTSS)</w:t>
      </w:r>
      <w:r w:rsidR="00DD593E" w:rsidRPr="00CD29D0">
        <w:t>;</w:t>
      </w:r>
      <w:r w:rsidR="00133949" w:rsidRPr="00CD29D0">
        <w:t xml:space="preserve"> enhance instructional practices </w:t>
      </w:r>
      <w:r w:rsidR="00DD593E" w:rsidRPr="00CD29D0">
        <w:t xml:space="preserve">by implementing HQIM and meaningful </w:t>
      </w:r>
      <w:r w:rsidR="001455AF" w:rsidRPr="00CD29D0">
        <w:t xml:space="preserve">social-emotional </w:t>
      </w:r>
      <w:r w:rsidR="00DD593E" w:rsidRPr="00CD29D0">
        <w:t>lessons; increas</w:t>
      </w:r>
      <w:r w:rsidR="00090C19" w:rsidRPr="00CD29D0">
        <w:t>e</w:t>
      </w:r>
      <w:r w:rsidR="00DD593E" w:rsidRPr="00CD29D0">
        <w:t xml:space="preserve"> parent</w:t>
      </w:r>
      <w:r w:rsidR="001455AF" w:rsidRPr="00CD29D0">
        <w:t xml:space="preserve"> and </w:t>
      </w:r>
      <w:r w:rsidR="00DD593E" w:rsidRPr="00CD29D0">
        <w:t>community engagement</w:t>
      </w:r>
      <w:r w:rsidR="00090C19" w:rsidRPr="00CD29D0">
        <w:t>;</w:t>
      </w:r>
      <w:r w:rsidR="00DD593E" w:rsidRPr="00CD29D0">
        <w:t xml:space="preserve"> and cultivat</w:t>
      </w:r>
      <w:r w:rsidR="001455AF" w:rsidRPr="00CD29D0">
        <w:t>e</w:t>
      </w:r>
      <w:r w:rsidR="00DD593E" w:rsidRPr="00CD29D0">
        <w:t xml:space="preserve"> robust community partnerships</w:t>
      </w:r>
      <w:r w:rsidR="00A45A08" w:rsidRPr="00CD29D0">
        <w:t>.</w:t>
      </w:r>
    </w:p>
    <w:p w14:paraId="114CAA70" w14:textId="46A81EBC" w:rsidR="00A45A08" w:rsidRPr="00CD29D0" w:rsidRDefault="00A33340" w:rsidP="009C2835">
      <w:pPr>
        <w:pStyle w:val="Bullet1"/>
      </w:pPr>
      <w:r w:rsidRPr="00CD29D0">
        <w:t xml:space="preserve">Norton Middle School Improvement Plan: </w:t>
      </w:r>
      <w:r w:rsidR="00090C19" w:rsidRPr="00CD29D0">
        <w:t>D</w:t>
      </w:r>
      <w:r w:rsidR="00F346D4" w:rsidRPr="00CD29D0">
        <w:t>evelop the whole child</w:t>
      </w:r>
      <w:r w:rsidR="00547E02" w:rsidRPr="00CD29D0">
        <w:t xml:space="preserve">; </w:t>
      </w:r>
      <w:r w:rsidR="00153A65" w:rsidRPr="00CD29D0">
        <w:t xml:space="preserve">improve student achievement by creating and supporting a collaborative learning climate and culture; </w:t>
      </w:r>
      <w:r w:rsidR="007D6726" w:rsidRPr="00CD29D0">
        <w:t>and improve communication with parents</w:t>
      </w:r>
      <w:r w:rsidR="00A45A08" w:rsidRPr="00CD29D0">
        <w:t>.</w:t>
      </w:r>
    </w:p>
    <w:p w14:paraId="4A554001" w14:textId="1284955F" w:rsidR="00A45A08" w:rsidRDefault="007D6726" w:rsidP="009C2835">
      <w:pPr>
        <w:pStyle w:val="Bullet1"/>
      </w:pPr>
      <w:r w:rsidRPr="00CD29D0">
        <w:t xml:space="preserve">Norton High School Improvement Plan: </w:t>
      </w:r>
      <w:r w:rsidR="00090C19" w:rsidRPr="00CD29D0">
        <w:t>C</w:t>
      </w:r>
      <w:r w:rsidR="00B56231" w:rsidRPr="00CD29D0">
        <w:t>ontinue implementation of IMTSS; implement curriculum, assessment,</w:t>
      </w:r>
      <w:r w:rsidR="00473F4D" w:rsidRPr="00CD29D0">
        <w:t xml:space="preserve"> and an adapted school mission that supports NPS</w:t>
      </w:r>
      <w:r w:rsidR="00090C19" w:rsidRPr="00CD29D0">
        <w:t>’s</w:t>
      </w:r>
      <w:r w:rsidR="00473F4D" w:rsidRPr="00CD29D0">
        <w:t xml:space="preserve"> Portrait of a </w:t>
      </w:r>
      <w:r w:rsidR="00C86F47">
        <w:t>Learner</w:t>
      </w:r>
      <w:r w:rsidR="00473F4D" w:rsidRPr="00CD29D0">
        <w:t>; develop pathways that allow students to choose an individualized plan for college, career, and life readiness; and promote student voice and inclusion as drivers of the school climate</w:t>
      </w:r>
      <w:r w:rsidR="00A45A08" w:rsidRPr="00CD29D0">
        <w:t>.</w:t>
      </w:r>
    </w:p>
    <w:p w14:paraId="3DF69DD8" w14:textId="281FB9E5" w:rsidR="00E613CF" w:rsidRPr="00CD29D0" w:rsidRDefault="00E613CF" w:rsidP="00E613CF">
      <w:pPr>
        <w:pStyle w:val="Bullet1"/>
        <w:numPr>
          <w:ilvl w:val="0"/>
          <w:numId w:val="0"/>
        </w:numPr>
      </w:pPr>
      <w:r>
        <w:t xml:space="preserve">Of note, </w:t>
      </w:r>
      <w:r w:rsidR="000B0351">
        <w:t>each school is required to develop</w:t>
      </w:r>
      <w:r w:rsidR="0098485A">
        <w:t xml:space="preserve"> its own School Improvement Plan annually under </w:t>
      </w:r>
      <w:r w:rsidR="00AF0377" w:rsidRPr="00AF0377">
        <w:t>M.G.L. c. 69, § 1I</w:t>
      </w:r>
      <w:r w:rsidR="005C5BCC">
        <w:t>.</w:t>
      </w:r>
    </w:p>
    <w:p w14:paraId="5D582FFD" w14:textId="0A10372C" w:rsidR="00A45A08" w:rsidRPr="00CD29D0" w:rsidRDefault="00182A13" w:rsidP="009C2835">
      <w:pPr>
        <w:pStyle w:val="BodyText"/>
      </w:pPr>
      <w:r w:rsidRPr="00C67C68">
        <w:t>New this year, d</w:t>
      </w:r>
      <w:r w:rsidR="006666EF" w:rsidRPr="00C67C68">
        <w:t>istrict and school leaders</w:t>
      </w:r>
      <w:r w:rsidRPr="00C67C68">
        <w:t xml:space="preserve"> have established a plan for </w:t>
      </w:r>
      <w:r w:rsidR="006666EF" w:rsidRPr="00C67C68">
        <w:t xml:space="preserve">actively monitoring </w:t>
      </w:r>
      <w:r w:rsidR="0031089B" w:rsidRPr="00C67C68">
        <w:t xml:space="preserve">the implementation of their </w:t>
      </w:r>
      <w:r w:rsidR="00437568" w:rsidRPr="00C67C68">
        <w:t>SIPs</w:t>
      </w:r>
      <w:r w:rsidR="008B5E8A" w:rsidRPr="00C67C68">
        <w:t>, a strength of the district</w:t>
      </w:r>
      <w:r w:rsidR="005905AD" w:rsidRPr="00C67C68">
        <w:t>.</w:t>
      </w:r>
      <w:r w:rsidR="008B5E8A" w:rsidRPr="00C67C68">
        <w:t xml:space="preserve"> </w:t>
      </w:r>
      <w:r w:rsidR="008B5E8A" w:rsidRPr="00CD29D0" w:rsidDel="002E485D">
        <w:t xml:space="preserve">At minimum, </w:t>
      </w:r>
      <w:r w:rsidR="008B5E8A" w:rsidRPr="00CD29D0">
        <w:t>the</w:t>
      </w:r>
      <w:r w:rsidR="008B5E8A" w:rsidRPr="00CD29D0" w:rsidDel="002E485D">
        <w:t xml:space="preserve"> s</w:t>
      </w:r>
      <w:r w:rsidR="008B5E8A" w:rsidRPr="00CD29D0">
        <w:t>uperintendent conducts learning walks with each principal every other month</w:t>
      </w:r>
      <w:r w:rsidR="008B5E8A" w:rsidRPr="00CD29D0" w:rsidDel="002E485D">
        <w:t>. More frequently,</w:t>
      </w:r>
      <w:r w:rsidR="008B5E8A" w:rsidRPr="00CD29D0">
        <w:t xml:space="preserve"> </w:t>
      </w:r>
      <w:r w:rsidR="00E6221F" w:rsidRPr="00CD29D0">
        <w:t>the</w:t>
      </w:r>
      <w:r w:rsidR="008B5E8A" w:rsidRPr="00CD29D0">
        <w:t xml:space="preserve"> full</w:t>
      </w:r>
      <w:r w:rsidR="00E6221F" w:rsidRPr="00CD29D0">
        <w:t xml:space="preserve"> district leadership team and principals conduct learning walks</w:t>
      </w:r>
      <w:r w:rsidR="008B5E8A" w:rsidRPr="00CD29D0">
        <w:t xml:space="preserve"> monthly</w:t>
      </w:r>
      <w:r w:rsidR="00E6221F" w:rsidRPr="00CD29D0">
        <w:t xml:space="preserve"> at one of the five schools</w:t>
      </w:r>
      <w:r w:rsidR="00CC0315" w:rsidRPr="00CD29D0">
        <w:t xml:space="preserve">. </w:t>
      </w:r>
      <w:r w:rsidR="00CC0315" w:rsidRPr="00CD29D0" w:rsidDel="002E485D">
        <w:t xml:space="preserve">During this time, </w:t>
      </w:r>
      <w:r w:rsidR="00CC0315" w:rsidRPr="00CD29D0">
        <w:t>the school leader of that school identifies the focus of the learning walk</w:t>
      </w:r>
      <w:r w:rsidR="002E485D" w:rsidRPr="00CD29D0">
        <w:t>,</w:t>
      </w:r>
      <w:r w:rsidR="00CC0315" w:rsidRPr="00CD29D0">
        <w:t xml:space="preserve"> which aligns with one of their priorities</w:t>
      </w:r>
      <w:r w:rsidR="002E485D" w:rsidRPr="00CD29D0">
        <w:t xml:space="preserve">; </w:t>
      </w:r>
      <w:r w:rsidR="00227653" w:rsidRPr="00CD29D0">
        <w:t>creat</w:t>
      </w:r>
      <w:r w:rsidR="002E485D" w:rsidRPr="00CD29D0">
        <w:t>es</w:t>
      </w:r>
      <w:r w:rsidR="00227653" w:rsidRPr="00CD29D0">
        <w:t xml:space="preserve"> the observation schedule</w:t>
      </w:r>
      <w:r w:rsidR="002E485D" w:rsidRPr="00CD29D0">
        <w:t xml:space="preserve">; </w:t>
      </w:r>
      <w:r w:rsidR="00BC384E" w:rsidRPr="00CD29D0">
        <w:t>and develop</w:t>
      </w:r>
      <w:r w:rsidR="002E485D" w:rsidRPr="00CD29D0">
        <w:t>s</w:t>
      </w:r>
      <w:r w:rsidR="00BC384E" w:rsidRPr="00CD29D0">
        <w:t xml:space="preserve"> the “look-fors”</w:t>
      </w:r>
      <w:r w:rsidR="002E485D" w:rsidRPr="00CD29D0">
        <w:t xml:space="preserve"> (e.g., </w:t>
      </w:r>
      <w:r w:rsidR="00CC0315" w:rsidRPr="00CD29D0">
        <w:t>Yelle</w:t>
      </w:r>
      <w:r w:rsidR="00D457CC" w:rsidRPr="00CD29D0">
        <w:t xml:space="preserve">’s learning walk focused on implementation of the </w:t>
      </w:r>
      <w:r w:rsidR="002E485D" w:rsidRPr="00CD29D0">
        <w:t xml:space="preserve">social-emotional learning </w:t>
      </w:r>
      <w:r w:rsidR="00D457CC" w:rsidRPr="00CD29D0">
        <w:t>curriculum</w:t>
      </w:r>
      <w:r w:rsidR="002E485D" w:rsidRPr="00CD29D0">
        <w:t>)</w:t>
      </w:r>
      <w:r w:rsidR="00D457CC" w:rsidRPr="00CD29D0">
        <w:t xml:space="preserve">. </w:t>
      </w:r>
      <w:r w:rsidR="000B41F7" w:rsidRPr="00CD29D0">
        <w:t>A district leader described this process</w:t>
      </w:r>
      <w:r w:rsidR="00A45A08" w:rsidRPr="00CD29D0">
        <w:t>:</w:t>
      </w:r>
    </w:p>
    <w:p w14:paraId="4B6D7EB3" w14:textId="5E722DE9" w:rsidR="00A45A08" w:rsidRPr="00CD29D0" w:rsidRDefault="000B41F7" w:rsidP="009C2835">
      <w:pPr>
        <w:pStyle w:val="BodyTextIndent"/>
      </w:pPr>
      <w:r w:rsidRPr="00CD29D0">
        <w:t>It</w:t>
      </w:r>
      <w:r w:rsidR="002E485D" w:rsidRPr="00CD29D0">
        <w:t>’</w:t>
      </w:r>
      <w:r w:rsidRPr="00CD29D0">
        <w:t>s something new that we</w:t>
      </w:r>
      <w:r w:rsidR="002E485D" w:rsidRPr="00CD29D0">
        <w:t>’</w:t>
      </w:r>
      <w:r w:rsidRPr="00CD29D0">
        <w:t>re doing this year. And so therefore we</w:t>
      </w:r>
      <w:r w:rsidR="002E485D" w:rsidRPr="00CD29D0">
        <w:t>’</w:t>
      </w:r>
      <w:r w:rsidRPr="00CD29D0">
        <w:t xml:space="preserve">re not all quite </w:t>
      </w:r>
      <w:r w:rsidR="00FD0CCE" w:rsidRPr="00CD29D0">
        <w:t xml:space="preserve">consistently </w:t>
      </w:r>
      <w:r w:rsidRPr="00CD29D0">
        <w:t>up to practice yet, but it</w:t>
      </w:r>
      <w:r w:rsidR="002E485D" w:rsidRPr="00CD29D0">
        <w:t>’</w:t>
      </w:r>
      <w:r w:rsidRPr="00CD29D0">
        <w:t>s something that I think is really beneficial.</w:t>
      </w:r>
      <w:r w:rsidR="00FD0CCE" w:rsidRPr="00CD29D0">
        <w:t xml:space="preserve"> </w:t>
      </w:r>
      <w:r w:rsidRPr="00CD29D0">
        <w:t>We</w:t>
      </w:r>
      <w:r w:rsidR="002E485D" w:rsidRPr="00CD29D0">
        <w:t>’</w:t>
      </w:r>
      <w:r w:rsidRPr="00CD29D0">
        <w:t>re all having shared conversations about the things that we know are important, that we</w:t>
      </w:r>
      <w:r w:rsidR="002E485D" w:rsidRPr="00CD29D0">
        <w:t>’</w:t>
      </w:r>
      <w:r w:rsidRPr="00CD29D0">
        <w:t>ve learned together and what that looks like in different places</w:t>
      </w:r>
      <w:r w:rsidR="00A45A08" w:rsidRPr="00CD29D0">
        <w:t>.</w:t>
      </w:r>
    </w:p>
    <w:p w14:paraId="5CCE55AD" w14:textId="35218847" w:rsidR="00A45A08" w:rsidRPr="00CD29D0" w:rsidRDefault="00383E98" w:rsidP="009C2835">
      <w:pPr>
        <w:pStyle w:val="BodyText"/>
      </w:pPr>
      <w:bookmarkStart w:id="23" w:name="_District_and_School_1"/>
      <w:bookmarkStart w:id="24" w:name="_District_Culture"/>
      <w:bookmarkEnd w:id="23"/>
      <w:bookmarkEnd w:id="24"/>
      <w:r w:rsidRPr="00CD29D0">
        <w:t xml:space="preserve">Examples of </w:t>
      </w:r>
      <w:r w:rsidR="00BB2E3A" w:rsidRPr="00CD29D0">
        <w:t xml:space="preserve">learning walks conducted this year include </w:t>
      </w:r>
      <w:r w:rsidR="00D17435" w:rsidRPr="00CD29D0">
        <w:t>a focus on clear and actionable learning objectives, the use of formative assessments in the classroom,</w:t>
      </w:r>
      <w:r w:rsidR="003E584F" w:rsidRPr="00CD29D0">
        <w:t xml:space="preserve"> students demonstrating their understanding,</w:t>
      </w:r>
      <w:r w:rsidR="00D17435" w:rsidRPr="00CD29D0">
        <w:t xml:space="preserve"> </w:t>
      </w:r>
      <w:r w:rsidR="0077235A">
        <w:t xml:space="preserve">and </w:t>
      </w:r>
      <w:r w:rsidR="00D17435" w:rsidRPr="00CD29D0">
        <w:t xml:space="preserve">student engagement versus compliance. </w:t>
      </w:r>
      <w:r w:rsidR="003920BE" w:rsidRPr="00CD29D0">
        <w:t xml:space="preserve">This </w:t>
      </w:r>
      <w:r w:rsidR="003603C7" w:rsidRPr="00CD29D0">
        <w:t xml:space="preserve">approach for learning walks allows </w:t>
      </w:r>
      <w:r w:rsidR="00D716FE" w:rsidRPr="00CD29D0">
        <w:t>each school to focus on their specific priorities and needs</w:t>
      </w:r>
      <w:r w:rsidR="00A45A08" w:rsidRPr="00CD29D0">
        <w:t>.</w:t>
      </w:r>
    </w:p>
    <w:p w14:paraId="4C9A44B9" w14:textId="1409F37A" w:rsidR="003D6ECF" w:rsidRPr="00CD29D0" w:rsidRDefault="003D6ECF" w:rsidP="009C2835">
      <w:pPr>
        <w:pStyle w:val="Heading3"/>
      </w:pPr>
      <w:r w:rsidRPr="00CD29D0">
        <w:lastRenderedPageBreak/>
        <w:t xml:space="preserve">District </w:t>
      </w:r>
      <w:r w:rsidR="00F95311" w:rsidRPr="00CD29D0">
        <w:t>Culture</w:t>
      </w:r>
    </w:p>
    <w:p w14:paraId="28881F3A" w14:textId="5246E6C5" w:rsidR="00EC2F58" w:rsidRPr="00CD29D0" w:rsidRDefault="00B0391E" w:rsidP="009C2835">
      <w:pPr>
        <w:pStyle w:val="BodyTextposthead"/>
        <w:rPr>
          <w:lang w:eastAsia="ja-JP"/>
        </w:rPr>
      </w:pPr>
      <w:r w:rsidRPr="00CD29D0">
        <w:rPr>
          <w:lang w:eastAsia="ja-JP"/>
        </w:rPr>
        <w:t>T</w:t>
      </w:r>
      <w:r w:rsidR="00EC2F58" w:rsidRPr="00CD29D0">
        <w:rPr>
          <w:lang w:eastAsia="ja-JP"/>
        </w:rPr>
        <w:t>own, district, and school leaders described having clearly defined roles and strong, productive working relationships with one another.</w:t>
      </w:r>
    </w:p>
    <w:p w14:paraId="7C78B267" w14:textId="099E319E" w:rsidR="00E35483" w:rsidRPr="00CD29D0" w:rsidRDefault="000600E4" w:rsidP="009C2835">
      <w:pPr>
        <w:pStyle w:val="BodyText"/>
        <w:rPr>
          <w:lang w:eastAsia="ja-JP"/>
        </w:rPr>
      </w:pPr>
      <w:r w:rsidRPr="00CD29D0">
        <w:rPr>
          <w:lang w:eastAsia="ja-JP"/>
        </w:rPr>
        <w:t xml:space="preserve">The full district leadership team (see Leadership and Governing Structures) meets </w:t>
      </w:r>
      <w:r w:rsidR="00526E77" w:rsidRPr="00CD29D0">
        <w:rPr>
          <w:lang w:eastAsia="ja-JP"/>
        </w:rPr>
        <w:t xml:space="preserve">weekly. During this time, district </w:t>
      </w:r>
      <w:r w:rsidR="009253DA" w:rsidRPr="00CD29D0">
        <w:rPr>
          <w:lang w:eastAsia="ja-JP"/>
        </w:rPr>
        <w:t xml:space="preserve">leaders </w:t>
      </w:r>
      <w:r w:rsidR="0062423E" w:rsidRPr="00CD29D0">
        <w:rPr>
          <w:lang w:eastAsia="ja-JP"/>
        </w:rPr>
        <w:t xml:space="preserve">consistently </w:t>
      </w:r>
      <w:r w:rsidR="009253DA" w:rsidRPr="00CD29D0">
        <w:rPr>
          <w:lang w:eastAsia="ja-JP"/>
        </w:rPr>
        <w:t xml:space="preserve">check-in on </w:t>
      </w:r>
      <w:r w:rsidR="00137075" w:rsidRPr="00CD29D0">
        <w:rPr>
          <w:lang w:eastAsia="ja-JP"/>
        </w:rPr>
        <w:t xml:space="preserve">the status of the strategic plan, </w:t>
      </w:r>
      <w:r w:rsidR="00AC7652" w:rsidRPr="00CD29D0">
        <w:rPr>
          <w:lang w:eastAsia="ja-JP"/>
        </w:rPr>
        <w:t xml:space="preserve">resource allocation, </w:t>
      </w:r>
      <w:r w:rsidR="0062423E" w:rsidRPr="00CD29D0">
        <w:rPr>
          <w:lang w:eastAsia="ja-JP"/>
        </w:rPr>
        <w:t>and operations</w:t>
      </w:r>
      <w:r w:rsidR="004F4D2C" w:rsidRPr="00CD29D0">
        <w:rPr>
          <w:lang w:eastAsia="ja-JP"/>
        </w:rPr>
        <w:t>; they also</w:t>
      </w:r>
      <w:r w:rsidR="0062423E" w:rsidRPr="00CD29D0">
        <w:rPr>
          <w:lang w:eastAsia="ja-JP"/>
        </w:rPr>
        <w:t xml:space="preserve"> occasionally discuss professional development, staffing, and other needs as appropriate. </w:t>
      </w:r>
      <w:r w:rsidR="00E35483" w:rsidRPr="00CD29D0">
        <w:rPr>
          <w:lang w:eastAsia="ja-JP"/>
        </w:rPr>
        <w:t>District leaders meet with principals approximately twice per month</w:t>
      </w:r>
      <w:r w:rsidR="004F4D2C" w:rsidRPr="00CD29D0">
        <w:rPr>
          <w:lang w:eastAsia="ja-JP"/>
        </w:rPr>
        <w:t xml:space="preserve"> (as previously noted, </w:t>
      </w:r>
      <w:r w:rsidR="00E35483" w:rsidRPr="00CD29D0">
        <w:rPr>
          <w:lang w:eastAsia="ja-JP"/>
        </w:rPr>
        <w:t xml:space="preserve">once as a full leadership team </w:t>
      </w:r>
      <w:r w:rsidR="003F658F" w:rsidRPr="00CD29D0">
        <w:rPr>
          <w:lang w:eastAsia="ja-JP"/>
        </w:rPr>
        <w:t>and once as</w:t>
      </w:r>
      <w:r w:rsidR="006A376C" w:rsidRPr="00CD29D0">
        <w:rPr>
          <w:lang w:eastAsia="ja-JP"/>
        </w:rPr>
        <w:t xml:space="preserve"> either an elementary or secondary team</w:t>
      </w:r>
      <w:r w:rsidR="004F4D2C" w:rsidRPr="00CD29D0">
        <w:rPr>
          <w:lang w:eastAsia="ja-JP"/>
        </w:rPr>
        <w:t>)</w:t>
      </w:r>
      <w:r w:rsidR="006A376C" w:rsidRPr="00CD29D0">
        <w:rPr>
          <w:lang w:eastAsia="ja-JP"/>
        </w:rPr>
        <w:t xml:space="preserve">. </w:t>
      </w:r>
      <w:r w:rsidR="00297C5E" w:rsidRPr="00CD29D0">
        <w:rPr>
          <w:lang w:eastAsia="ja-JP"/>
        </w:rPr>
        <w:t xml:space="preserve">During this time, leaders discuss strategic planning, district initiatives, status of </w:t>
      </w:r>
      <w:r w:rsidR="00AA6CF7" w:rsidRPr="00CD29D0">
        <w:rPr>
          <w:lang w:eastAsia="ja-JP"/>
        </w:rPr>
        <w:t>SIPs</w:t>
      </w:r>
      <w:r w:rsidR="00297C5E" w:rsidRPr="00CD29D0">
        <w:rPr>
          <w:lang w:eastAsia="ja-JP"/>
        </w:rPr>
        <w:t>, and other initiatives as needed</w:t>
      </w:r>
      <w:r w:rsidR="002133F3" w:rsidRPr="00CD29D0">
        <w:rPr>
          <w:lang w:eastAsia="ja-JP"/>
        </w:rPr>
        <w:t xml:space="preserve">. </w:t>
      </w:r>
      <w:r w:rsidR="00AA6CF7" w:rsidRPr="00CD29D0">
        <w:rPr>
          <w:lang w:eastAsia="ja-JP"/>
        </w:rPr>
        <w:t>L</w:t>
      </w:r>
      <w:r w:rsidR="00557C8B" w:rsidRPr="00CD29D0">
        <w:rPr>
          <w:lang w:eastAsia="ja-JP"/>
        </w:rPr>
        <w:t xml:space="preserve">earning walks as a leadership team occur monthly. </w:t>
      </w:r>
      <w:r w:rsidR="007E0523" w:rsidRPr="00CD29D0">
        <w:rPr>
          <w:lang w:eastAsia="ja-JP"/>
        </w:rPr>
        <w:t>In interviews, school leaders specifically noted a positive relationship with district leaders</w:t>
      </w:r>
      <w:r w:rsidR="00A276E3" w:rsidRPr="00CD29D0">
        <w:rPr>
          <w:lang w:eastAsia="ja-JP"/>
        </w:rPr>
        <w:t xml:space="preserve"> and </w:t>
      </w:r>
      <w:r w:rsidR="007E0523" w:rsidRPr="00CD29D0">
        <w:rPr>
          <w:lang w:eastAsia="ja-JP"/>
        </w:rPr>
        <w:t xml:space="preserve">appreciated the </w:t>
      </w:r>
      <w:r w:rsidR="00A276E3" w:rsidRPr="00CD29D0">
        <w:rPr>
          <w:lang w:eastAsia="ja-JP"/>
        </w:rPr>
        <w:t>level</w:t>
      </w:r>
      <w:r w:rsidR="007E0523" w:rsidRPr="00CD29D0">
        <w:rPr>
          <w:lang w:eastAsia="ja-JP"/>
        </w:rPr>
        <w:t xml:space="preserve"> of autonomy they have in overseeing their schools.</w:t>
      </w:r>
    </w:p>
    <w:p w14:paraId="7EF64FAC" w14:textId="26CB814B" w:rsidR="00F444D1" w:rsidRPr="00CD29D0" w:rsidRDefault="00822F58" w:rsidP="009C2835">
      <w:pPr>
        <w:pStyle w:val="BodyText"/>
        <w:rPr>
          <w:lang w:eastAsia="ja-JP"/>
        </w:rPr>
      </w:pPr>
      <w:r w:rsidRPr="00CD29D0">
        <w:rPr>
          <w:lang w:eastAsia="ja-JP"/>
        </w:rPr>
        <w:t>D</w:t>
      </w:r>
      <w:r w:rsidR="00091BB6" w:rsidRPr="00CD29D0">
        <w:rPr>
          <w:lang w:eastAsia="ja-JP"/>
        </w:rPr>
        <w:t xml:space="preserve">istrict leaders and school committee members </w:t>
      </w:r>
      <w:r w:rsidRPr="00CD29D0">
        <w:rPr>
          <w:lang w:eastAsia="ja-JP"/>
        </w:rPr>
        <w:t xml:space="preserve">also </w:t>
      </w:r>
      <w:r w:rsidR="00091BB6" w:rsidRPr="00CD29D0">
        <w:rPr>
          <w:lang w:eastAsia="ja-JP"/>
        </w:rPr>
        <w:t xml:space="preserve">described their working relationships </w:t>
      </w:r>
      <w:r w:rsidRPr="00CD29D0">
        <w:rPr>
          <w:lang w:eastAsia="ja-JP"/>
        </w:rPr>
        <w:t xml:space="preserve">as </w:t>
      </w:r>
      <w:r w:rsidR="00091BB6" w:rsidRPr="00CD29D0">
        <w:rPr>
          <w:lang w:eastAsia="ja-JP"/>
        </w:rPr>
        <w:t>positive</w:t>
      </w:r>
      <w:r w:rsidR="004E7D4F" w:rsidRPr="00CD29D0">
        <w:rPr>
          <w:lang w:eastAsia="ja-JP"/>
        </w:rPr>
        <w:t xml:space="preserve">. </w:t>
      </w:r>
      <w:r w:rsidR="00CB1092" w:rsidRPr="00CD29D0">
        <w:rPr>
          <w:lang w:eastAsia="ja-JP"/>
        </w:rPr>
        <w:t>S</w:t>
      </w:r>
      <w:r w:rsidR="004E7D4F" w:rsidRPr="00CD29D0">
        <w:rPr>
          <w:lang w:eastAsia="ja-JP"/>
        </w:rPr>
        <w:t xml:space="preserve">uperintendent </w:t>
      </w:r>
      <w:r w:rsidR="00CB1092" w:rsidRPr="00CD29D0">
        <w:rPr>
          <w:lang w:eastAsia="ja-JP"/>
        </w:rPr>
        <w:t xml:space="preserve">O’Neill </w:t>
      </w:r>
      <w:r w:rsidR="004E7D4F" w:rsidRPr="00CD29D0">
        <w:rPr>
          <w:lang w:eastAsia="ja-JP"/>
        </w:rPr>
        <w:t xml:space="preserve">sends all school committee members a weekly </w:t>
      </w:r>
      <w:r w:rsidR="00E402DD" w:rsidRPr="00CD29D0">
        <w:rPr>
          <w:lang w:eastAsia="ja-JP"/>
        </w:rPr>
        <w:t xml:space="preserve">district </w:t>
      </w:r>
      <w:r w:rsidR="004E7D4F" w:rsidRPr="00CD29D0">
        <w:rPr>
          <w:lang w:eastAsia="ja-JP"/>
        </w:rPr>
        <w:t>update on Fridays</w:t>
      </w:r>
      <w:r w:rsidR="00CB1092" w:rsidRPr="00CD29D0">
        <w:rPr>
          <w:lang w:eastAsia="ja-JP"/>
        </w:rPr>
        <w:t xml:space="preserve">, </w:t>
      </w:r>
      <w:r w:rsidR="00646319" w:rsidRPr="00CD29D0">
        <w:rPr>
          <w:lang w:eastAsia="ja-JP"/>
        </w:rPr>
        <w:t>which includes</w:t>
      </w:r>
      <w:r w:rsidR="00BE20DA" w:rsidRPr="00CD29D0">
        <w:rPr>
          <w:lang w:eastAsia="ja-JP"/>
        </w:rPr>
        <w:t xml:space="preserve"> any items for the following week. </w:t>
      </w:r>
      <w:r w:rsidR="00CB1092" w:rsidRPr="00CD29D0">
        <w:rPr>
          <w:lang w:eastAsia="ja-JP"/>
        </w:rPr>
        <w:t>She also</w:t>
      </w:r>
      <w:r w:rsidR="002F22C9" w:rsidRPr="00CD29D0">
        <w:rPr>
          <w:lang w:eastAsia="ja-JP"/>
        </w:rPr>
        <w:t xml:space="preserve"> sends all materials to school committee members in advance of their monthly meetings. </w:t>
      </w:r>
      <w:r w:rsidR="00CB1092" w:rsidRPr="00CD29D0">
        <w:rPr>
          <w:lang w:eastAsia="ja-JP"/>
        </w:rPr>
        <w:t>S</w:t>
      </w:r>
      <w:r w:rsidR="00C953E5" w:rsidRPr="00CD29D0">
        <w:rPr>
          <w:lang w:eastAsia="ja-JP"/>
        </w:rPr>
        <w:t xml:space="preserve">uperintendent </w:t>
      </w:r>
      <w:r w:rsidR="00CB1092" w:rsidRPr="00CD29D0">
        <w:rPr>
          <w:lang w:eastAsia="ja-JP"/>
        </w:rPr>
        <w:t xml:space="preserve">O’Neill </w:t>
      </w:r>
      <w:r w:rsidR="00C953E5" w:rsidRPr="00CD29D0">
        <w:rPr>
          <w:lang w:eastAsia="ja-JP"/>
        </w:rPr>
        <w:t xml:space="preserve">described </w:t>
      </w:r>
      <w:r w:rsidR="00A3622D" w:rsidRPr="00CD29D0">
        <w:rPr>
          <w:lang w:eastAsia="ja-JP"/>
        </w:rPr>
        <w:t xml:space="preserve">this relationship as “a </w:t>
      </w:r>
      <w:r w:rsidR="00F444D1" w:rsidRPr="00CD29D0">
        <w:rPr>
          <w:lang w:eastAsia="ja-JP"/>
        </w:rPr>
        <w:t xml:space="preserve">good working relationship and </w:t>
      </w:r>
      <w:r w:rsidR="00A3622D" w:rsidRPr="00CD29D0">
        <w:rPr>
          <w:lang w:eastAsia="ja-JP"/>
        </w:rPr>
        <w:t>[the school committee] has</w:t>
      </w:r>
      <w:r w:rsidR="00F444D1" w:rsidRPr="00CD29D0">
        <w:rPr>
          <w:lang w:eastAsia="ja-JP"/>
        </w:rPr>
        <w:t xml:space="preserve"> been very supportive of me</w:t>
      </w:r>
      <w:r w:rsidR="00A3622D" w:rsidRPr="00CD29D0">
        <w:rPr>
          <w:lang w:eastAsia="ja-JP"/>
        </w:rPr>
        <w:t>.”</w:t>
      </w:r>
    </w:p>
    <w:p w14:paraId="3BD11126" w14:textId="6284E848" w:rsidR="00A45A08" w:rsidRPr="00CD29D0" w:rsidRDefault="004B6158" w:rsidP="009C2835">
      <w:pPr>
        <w:pStyle w:val="BodyText"/>
        <w:rPr>
          <w:lang w:eastAsia="ja-JP"/>
        </w:rPr>
      </w:pPr>
      <w:r w:rsidRPr="00CD29D0">
        <w:rPr>
          <w:lang w:eastAsia="ja-JP"/>
        </w:rPr>
        <w:t>However, w</w:t>
      </w:r>
      <w:r w:rsidR="00C930A6" w:rsidRPr="00CD29D0">
        <w:rPr>
          <w:lang w:eastAsia="ja-JP"/>
        </w:rPr>
        <w:t xml:space="preserve">hen speaking with </w:t>
      </w:r>
      <w:r w:rsidR="00D369D0" w:rsidRPr="00CD29D0">
        <w:rPr>
          <w:lang w:eastAsia="ja-JP"/>
        </w:rPr>
        <w:t xml:space="preserve">a focus group from </w:t>
      </w:r>
      <w:r w:rsidR="00C930A6" w:rsidRPr="00CD29D0">
        <w:rPr>
          <w:lang w:eastAsia="ja-JP"/>
        </w:rPr>
        <w:t xml:space="preserve">the teachers’ association, </w:t>
      </w:r>
      <w:r w:rsidR="00D369D0" w:rsidRPr="00CD29D0">
        <w:rPr>
          <w:lang w:eastAsia="ja-JP"/>
        </w:rPr>
        <w:t xml:space="preserve">participants </w:t>
      </w:r>
      <w:r w:rsidR="00C930A6" w:rsidRPr="00CD29D0">
        <w:rPr>
          <w:lang w:eastAsia="ja-JP"/>
        </w:rPr>
        <w:t>described their working relationship with the school committee as strained and disconnected</w:t>
      </w:r>
      <w:r w:rsidR="00D369D0" w:rsidRPr="00CD29D0">
        <w:rPr>
          <w:lang w:eastAsia="ja-JP"/>
        </w:rPr>
        <w:t>,</w:t>
      </w:r>
      <w:r w:rsidR="00E817C6" w:rsidRPr="00CD29D0">
        <w:rPr>
          <w:lang w:eastAsia="ja-JP"/>
        </w:rPr>
        <w:t xml:space="preserve"> </w:t>
      </w:r>
      <w:r w:rsidR="00C930A6" w:rsidRPr="00CD29D0">
        <w:rPr>
          <w:lang w:eastAsia="ja-JP"/>
        </w:rPr>
        <w:t xml:space="preserve">primarily </w:t>
      </w:r>
      <w:r w:rsidR="00D369D0" w:rsidRPr="00CD29D0">
        <w:rPr>
          <w:lang w:eastAsia="ja-JP"/>
        </w:rPr>
        <w:t>from</w:t>
      </w:r>
      <w:r w:rsidR="00C930A6" w:rsidRPr="00CD29D0">
        <w:rPr>
          <w:lang w:eastAsia="ja-JP"/>
        </w:rPr>
        <w:t xml:space="preserve"> the ongoing negotiations </w:t>
      </w:r>
      <w:r w:rsidR="00D459F8" w:rsidRPr="00CD29D0">
        <w:rPr>
          <w:lang w:eastAsia="ja-JP"/>
        </w:rPr>
        <w:t>for</w:t>
      </w:r>
      <w:r w:rsidR="00D369D0" w:rsidRPr="00CD29D0">
        <w:rPr>
          <w:lang w:eastAsia="ja-JP"/>
        </w:rPr>
        <w:t xml:space="preserve"> </w:t>
      </w:r>
      <w:r w:rsidR="00C930A6" w:rsidRPr="00CD29D0">
        <w:rPr>
          <w:lang w:eastAsia="ja-JP"/>
        </w:rPr>
        <w:t>a new teacher contract.</w:t>
      </w:r>
      <w:r w:rsidR="00E817C6" w:rsidRPr="00CD29D0">
        <w:rPr>
          <w:lang w:eastAsia="ja-JP"/>
        </w:rPr>
        <w:t xml:space="preserve"> </w:t>
      </w:r>
      <w:r w:rsidR="00C930A6" w:rsidRPr="00CD29D0">
        <w:rPr>
          <w:lang w:eastAsia="ja-JP"/>
        </w:rPr>
        <w:t>At the time of the district review, the teacher</w:t>
      </w:r>
      <w:r w:rsidR="004806D6" w:rsidRPr="00CD29D0">
        <w:rPr>
          <w:lang w:eastAsia="ja-JP"/>
        </w:rPr>
        <w:t>s’</w:t>
      </w:r>
      <w:r w:rsidR="00C930A6" w:rsidRPr="00CD29D0">
        <w:rPr>
          <w:lang w:eastAsia="ja-JP"/>
        </w:rPr>
        <w:t xml:space="preserve"> association had not had a contract since July 1, 2025, although negotiations had begun in November 2024. </w:t>
      </w:r>
      <w:r w:rsidR="004806D6" w:rsidRPr="00CD29D0">
        <w:rPr>
          <w:lang w:eastAsia="ja-JP"/>
        </w:rPr>
        <w:t xml:space="preserve">To increase transparency, </w:t>
      </w:r>
      <w:r w:rsidR="00C930A6" w:rsidRPr="00CD29D0">
        <w:rPr>
          <w:lang w:eastAsia="ja-JP"/>
        </w:rPr>
        <w:t>the teacher</w:t>
      </w:r>
      <w:r w:rsidR="004806D6" w:rsidRPr="00CD29D0">
        <w:rPr>
          <w:lang w:eastAsia="ja-JP"/>
        </w:rPr>
        <w:t>s’</w:t>
      </w:r>
      <w:r w:rsidR="00C930A6" w:rsidRPr="00CD29D0">
        <w:rPr>
          <w:lang w:eastAsia="ja-JP"/>
        </w:rPr>
        <w:t xml:space="preserve"> association</w:t>
      </w:r>
      <w:r w:rsidR="004806D6" w:rsidRPr="00CD29D0">
        <w:rPr>
          <w:lang w:eastAsia="ja-JP"/>
        </w:rPr>
        <w:t xml:space="preserve"> </w:t>
      </w:r>
      <w:r w:rsidR="00863DB4">
        <w:rPr>
          <w:lang w:eastAsia="ja-JP"/>
        </w:rPr>
        <w:t>recently</w:t>
      </w:r>
      <w:r w:rsidR="00C930A6" w:rsidRPr="00CD29D0">
        <w:rPr>
          <w:lang w:eastAsia="ja-JP"/>
        </w:rPr>
        <w:t xml:space="preserve"> changed </w:t>
      </w:r>
      <w:r w:rsidR="00373175">
        <w:rPr>
          <w:lang w:eastAsia="ja-JP"/>
        </w:rPr>
        <w:t>its</w:t>
      </w:r>
      <w:r w:rsidR="00373175" w:rsidRPr="00CD29D0">
        <w:rPr>
          <w:lang w:eastAsia="ja-JP"/>
        </w:rPr>
        <w:t xml:space="preserve"> </w:t>
      </w:r>
      <w:r w:rsidR="00C930A6" w:rsidRPr="00CD29D0">
        <w:rPr>
          <w:lang w:eastAsia="ja-JP"/>
        </w:rPr>
        <w:t xml:space="preserve">approach to negotiations from closed sessions to </w:t>
      </w:r>
      <w:r w:rsidR="004806D6" w:rsidRPr="00CD29D0">
        <w:rPr>
          <w:lang w:eastAsia="ja-JP"/>
        </w:rPr>
        <w:t xml:space="preserve">using </w:t>
      </w:r>
      <w:r w:rsidR="00C930A6" w:rsidRPr="00CD29D0">
        <w:rPr>
          <w:lang w:eastAsia="ja-JP"/>
        </w:rPr>
        <w:t>an open bargaining or democratic bargaining approach. This allowed for members outside of the association’s core negotiations team to serve as silent representatives during meetings</w:t>
      </w:r>
      <w:r w:rsidR="00127BDF" w:rsidRPr="00CD29D0">
        <w:rPr>
          <w:lang w:eastAsia="ja-JP"/>
        </w:rPr>
        <w:t>. A</w:t>
      </w:r>
      <w:r w:rsidR="00C930A6" w:rsidRPr="00CD29D0">
        <w:rPr>
          <w:lang w:eastAsia="ja-JP"/>
        </w:rPr>
        <w:t xml:space="preserve">s a </w:t>
      </w:r>
      <w:r w:rsidR="00127BDF" w:rsidRPr="00CD29D0">
        <w:rPr>
          <w:lang w:eastAsia="ja-JP"/>
        </w:rPr>
        <w:t xml:space="preserve">negotiation team </w:t>
      </w:r>
      <w:r w:rsidR="00C930A6" w:rsidRPr="00CD29D0">
        <w:rPr>
          <w:lang w:eastAsia="ja-JP"/>
        </w:rPr>
        <w:t>member described</w:t>
      </w:r>
      <w:r w:rsidR="00A45A08" w:rsidRPr="00CD29D0">
        <w:rPr>
          <w:lang w:eastAsia="ja-JP"/>
        </w:rPr>
        <w:t>:</w:t>
      </w:r>
    </w:p>
    <w:p w14:paraId="606BE13F" w14:textId="484A8664" w:rsidR="00C930A6" w:rsidRPr="00CD29D0" w:rsidRDefault="00C930A6" w:rsidP="009C2835">
      <w:pPr>
        <w:pStyle w:val="BodyTextIndent"/>
      </w:pPr>
      <w:r w:rsidRPr="00CD29D0">
        <w:t>We would have signups for our members. We have about 300 members</w:t>
      </w:r>
      <w:r w:rsidR="00134CB4" w:rsidRPr="00CD29D0">
        <w:t>,</w:t>
      </w:r>
      <w:r w:rsidRPr="00CD29D0">
        <w:t xml:space="preserve"> and the members could sign up to come and literally sit there, not at the table, but on the side and listen. Then, when we would caucus, we would invite them over and they could share their thoughts, and it was really good to hear from just all different people in our membership.</w:t>
      </w:r>
    </w:p>
    <w:p w14:paraId="476FCC1A" w14:textId="5C13EDA5" w:rsidR="00A45A08" w:rsidRPr="00CD29D0" w:rsidRDefault="00C930A6" w:rsidP="009C2835">
      <w:pPr>
        <w:pStyle w:val="BodyText"/>
        <w:rPr>
          <w:lang w:eastAsia="ja-JP"/>
        </w:rPr>
      </w:pPr>
      <w:r w:rsidRPr="00CD29D0">
        <w:rPr>
          <w:lang w:eastAsia="ja-JP"/>
        </w:rPr>
        <w:t xml:space="preserve">Throughout this process, negotiations have centered </w:t>
      </w:r>
      <w:r w:rsidR="00F8760A" w:rsidRPr="00CD29D0">
        <w:rPr>
          <w:lang w:eastAsia="ja-JP"/>
        </w:rPr>
        <w:t>on several primary issues</w:t>
      </w:r>
      <w:r w:rsidRPr="00CD29D0">
        <w:rPr>
          <w:lang w:eastAsia="ja-JP"/>
        </w:rPr>
        <w:t>: (</w:t>
      </w:r>
      <w:r w:rsidR="00F8760A" w:rsidRPr="00CD29D0">
        <w:rPr>
          <w:lang w:eastAsia="ja-JP"/>
        </w:rPr>
        <w:t>a</w:t>
      </w:r>
      <w:r w:rsidRPr="00CD29D0">
        <w:rPr>
          <w:lang w:eastAsia="ja-JP"/>
        </w:rPr>
        <w:t>) establishing paid parental leave, (</w:t>
      </w:r>
      <w:r w:rsidR="00F8760A" w:rsidRPr="00CD29D0">
        <w:rPr>
          <w:lang w:eastAsia="ja-JP"/>
        </w:rPr>
        <w:t>b</w:t>
      </w:r>
      <w:r w:rsidRPr="00CD29D0">
        <w:rPr>
          <w:lang w:eastAsia="ja-JP"/>
        </w:rPr>
        <w:t>) establishing a new, more consolidated salary grid and salary increases to make teaching in Norton more enticing, (</w:t>
      </w:r>
      <w:r w:rsidR="00F8760A" w:rsidRPr="00CD29D0">
        <w:rPr>
          <w:lang w:eastAsia="ja-JP"/>
        </w:rPr>
        <w:t>c</w:t>
      </w:r>
      <w:r w:rsidRPr="00CD29D0">
        <w:rPr>
          <w:lang w:eastAsia="ja-JP"/>
        </w:rPr>
        <w:t>) modifying instructional time to increase the number of professional days for staff from 182 to 183 days</w:t>
      </w:r>
      <w:r w:rsidR="00F8760A" w:rsidRPr="00CD29D0">
        <w:rPr>
          <w:lang w:eastAsia="ja-JP"/>
        </w:rPr>
        <w:t>,</w:t>
      </w:r>
      <w:r w:rsidRPr="00CD29D0">
        <w:rPr>
          <w:lang w:eastAsia="ja-JP"/>
        </w:rPr>
        <w:t xml:space="preserve"> and reduc</w:t>
      </w:r>
      <w:r w:rsidR="00F8760A" w:rsidRPr="00CD29D0">
        <w:rPr>
          <w:lang w:eastAsia="ja-JP"/>
        </w:rPr>
        <w:t>ing</w:t>
      </w:r>
      <w:r w:rsidRPr="00CD29D0">
        <w:rPr>
          <w:lang w:eastAsia="ja-JP"/>
        </w:rPr>
        <w:t xml:space="preserve"> the number of early release days, and (</w:t>
      </w:r>
      <w:r w:rsidR="00F8760A" w:rsidRPr="00CD29D0">
        <w:rPr>
          <w:lang w:eastAsia="ja-JP"/>
        </w:rPr>
        <w:t>d</w:t>
      </w:r>
      <w:r w:rsidRPr="00CD29D0">
        <w:rPr>
          <w:lang w:eastAsia="ja-JP"/>
        </w:rPr>
        <w:t>) compensat</w:t>
      </w:r>
      <w:r w:rsidR="00F8760A" w:rsidRPr="00CD29D0">
        <w:rPr>
          <w:lang w:eastAsia="ja-JP"/>
        </w:rPr>
        <w:t>ing</w:t>
      </w:r>
      <w:r w:rsidRPr="00CD29D0">
        <w:rPr>
          <w:lang w:eastAsia="ja-JP"/>
        </w:rPr>
        <w:t xml:space="preserve"> paraprofessionals. District leaders developed a series of one-page overviews for each of these challenges to transparently communicate with association members and the broader community</w:t>
      </w:r>
      <w:r w:rsidR="00A86F51">
        <w:rPr>
          <w:lang w:eastAsia="ja-JP"/>
        </w:rPr>
        <w:t>.</w:t>
      </w:r>
      <w:r w:rsidR="00F8760A" w:rsidRPr="00CD29D0">
        <w:rPr>
          <w:lang w:eastAsia="ja-JP"/>
        </w:rPr>
        <w:t xml:space="preserve"> A</w:t>
      </w:r>
      <w:r w:rsidRPr="00CD29D0">
        <w:rPr>
          <w:lang w:eastAsia="ja-JP"/>
        </w:rPr>
        <w:t xml:space="preserve">ll </w:t>
      </w:r>
      <w:r w:rsidR="00F8760A" w:rsidRPr="00CD29D0">
        <w:rPr>
          <w:lang w:eastAsia="ja-JP"/>
        </w:rPr>
        <w:t>overviews were</w:t>
      </w:r>
      <w:r w:rsidRPr="00CD29D0">
        <w:rPr>
          <w:lang w:eastAsia="ja-JP"/>
        </w:rPr>
        <w:t xml:space="preserve"> publicly available on the school committee webpage. These one-pagers include</w:t>
      </w:r>
      <w:r w:rsidR="00F8760A" w:rsidRPr="00CD29D0">
        <w:rPr>
          <w:lang w:eastAsia="ja-JP"/>
        </w:rPr>
        <w:t>d</w:t>
      </w:r>
      <w:r w:rsidRPr="00CD29D0">
        <w:rPr>
          <w:lang w:eastAsia="ja-JP"/>
        </w:rPr>
        <w:t xml:space="preserve"> brief summaries of what is being proposed by the school committee and data comparing Norton to other near</w:t>
      </w:r>
      <w:r w:rsidR="00F8760A" w:rsidRPr="00CD29D0">
        <w:rPr>
          <w:lang w:eastAsia="ja-JP"/>
        </w:rPr>
        <w:t>by</w:t>
      </w:r>
      <w:r w:rsidRPr="00CD29D0">
        <w:rPr>
          <w:lang w:eastAsia="ja-JP"/>
        </w:rPr>
        <w:t xml:space="preserve"> districts. While association leaders found these one-pagers to be </w:t>
      </w:r>
      <w:r w:rsidRPr="00CD29D0">
        <w:rPr>
          <w:lang w:eastAsia="ja-JP"/>
        </w:rPr>
        <w:lastRenderedPageBreak/>
        <w:t>duplicative of the information they already share</w:t>
      </w:r>
      <w:r w:rsidR="00262BCD" w:rsidRPr="00CD29D0">
        <w:rPr>
          <w:lang w:eastAsia="ja-JP"/>
        </w:rPr>
        <w:t>d</w:t>
      </w:r>
      <w:r w:rsidRPr="00CD29D0">
        <w:rPr>
          <w:lang w:eastAsia="ja-JP"/>
        </w:rPr>
        <w:t xml:space="preserve"> with members, district leaders found them helpful for transparently communicating with the broader public</w:t>
      </w:r>
      <w:r w:rsidR="00A45A08" w:rsidRPr="00CD29D0">
        <w:rPr>
          <w:lang w:eastAsia="ja-JP"/>
        </w:rPr>
        <w:t>.</w:t>
      </w:r>
    </w:p>
    <w:p w14:paraId="47B47ED7" w14:textId="3C54FC8B" w:rsidR="00A45A08" w:rsidRPr="00CD29D0" w:rsidRDefault="00C930A6" w:rsidP="009C2835">
      <w:pPr>
        <w:pStyle w:val="BodyText"/>
        <w:rPr>
          <w:lang w:eastAsia="ja-JP"/>
        </w:rPr>
      </w:pPr>
      <w:r w:rsidRPr="00CD29D0">
        <w:rPr>
          <w:lang w:eastAsia="ja-JP"/>
        </w:rPr>
        <w:t xml:space="preserve">At the time of the district review, </w:t>
      </w:r>
      <w:r w:rsidR="00EC6533" w:rsidRPr="00CD29D0">
        <w:rPr>
          <w:lang w:eastAsia="ja-JP"/>
        </w:rPr>
        <w:t xml:space="preserve">negotiations were at </w:t>
      </w:r>
      <w:r w:rsidR="002A74C4">
        <w:rPr>
          <w:lang w:eastAsia="ja-JP"/>
        </w:rPr>
        <w:t xml:space="preserve">an </w:t>
      </w:r>
      <w:r w:rsidR="00EC6533" w:rsidRPr="00CD29D0">
        <w:rPr>
          <w:lang w:eastAsia="ja-JP"/>
        </w:rPr>
        <w:t>impasse</w:t>
      </w:r>
      <w:r w:rsidR="00EC6533">
        <w:rPr>
          <w:lang w:eastAsia="ja-JP"/>
        </w:rPr>
        <w:t xml:space="preserve">: </w:t>
      </w:r>
      <w:r w:rsidRPr="00CD29D0">
        <w:rPr>
          <w:lang w:eastAsia="ja-JP"/>
        </w:rPr>
        <w:t xml:space="preserve">the district had filed for mediation, </w:t>
      </w:r>
      <w:r w:rsidR="00EC6533">
        <w:rPr>
          <w:lang w:eastAsia="ja-JP"/>
        </w:rPr>
        <w:t xml:space="preserve">while </w:t>
      </w:r>
      <w:r w:rsidRPr="00CD29D0">
        <w:rPr>
          <w:lang w:eastAsia="ja-JP"/>
        </w:rPr>
        <w:t>the teacher</w:t>
      </w:r>
      <w:r w:rsidR="00454D36" w:rsidRPr="00CD29D0">
        <w:rPr>
          <w:lang w:eastAsia="ja-JP"/>
        </w:rPr>
        <w:t>s’</w:t>
      </w:r>
      <w:r w:rsidRPr="00CD29D0">
        <w:rPr>
          <w:lang w:eastAsia="ja-JP"/>
        </w:rPr>
        <w:t xml:space="preserve"> association filed opposition to the idea. Negotiations </w:t>
      </w:r>
      <w:r w:rsidR="00BB585B">
        <w:rPr>
          <w:lang w:eastAsia="ja-JP"/>
        </w:rPr>
        <w:t xml:space="preserve">were </w:t>
      </w:r>
      <w:r w:rsidRPr="00CD29D0">
        <w:rPr>
          <w:lang w:eastAsia="ja-JP"/>
        </w:rPr>
        <w:t xml:space="preserve">described as contentious, although district leaders, school committee members, and </w:t>
      </w:r>
      <w:r w:rsidR="00454D36" w:rsidRPr="00CD29D0">
        <w:rPr>
          <w:lang w:eastAsia="ja-JP"/>
        </w:rPr>
        <w:t xml:space="preserve">a teachers’ </w:t>
      </w:r>
      <w:r w:rsidRPr="00CD29D0">
        <w:rPr>
          <w:lang w:eastAsia="ja-JP"/>
        </w:rPr>
        <w:t>association members all agreed that they were close to finding resolution. A school committee member summarized</w:t>
      </w:r>
      <w:r w:rsidR="00A45A08" w:rsidRPr="00CD29D0">
        <w:rPr>
          <w:lang w:eastAsia="ja-JP"/>
        </w:rPr>
        <w:t>:</w:t>
      </w:r>
    </w:p>
    <w:p w14:paraId="58B3A8AA" w14:textId="23692E46" w:rsidR="00C930A6" w:rsidRPr="00CD29D0" w:rsidRDefault="00C930A6" w:rsidP="009C2835">
      <w:pPr>
        <w:pStyle w:val="BodyTextIndent"/>
      </w:pPr>
      <w:r w:rsidRPr="00CD29D0">
        <w:t>Ultimately, I do think this is going to get done. I do think we</w:t>
      </w:r>
      <w:r w:rsidR="00D5392D" w:rsidRPr="00CD29D0">
        <w:t>’</w:t>
      </w:r>
      <w:r w:rsidRPr="00CD29D0">
        <w:t>re close. That</w:t>
      </w:r>
      <w:r w:rsidR="00D5392D" w:rsidRPr="00CD29D0">
        <w:t>’</w:t>
      </w:r>
      <w:r w:rsidRPr="00CD29D0">
        <w:t>s why I think the final call from us for mediation was [about getting] someone in here to turn down the temperature a little bit… and get this thing buttoned up. We</w:t>
      </w:r>
      <w:r w:rsidR="00D5392D" w:rsidRPr="00CD29D0">
        <w:t>’</w:t>
      </w:r>
      <w:r w:rsidRPr="00CD29D0">
        <w:t xml:space="preserve">ve said it all along, our lawyers </w:t>
      </w:r>
      <w:r w:rsidR="00EE1B74">
        <w:t>[</w:t>
      </w:r>
      <w:r w:rsidR="00EE1B74" w:rsidRPr="00CD29D0">
        <w:t>are</w:t>
      </w:r>
      <w:r w:rsidR="00EE1B74">
        <w:t>]</w:t>
      </w:r>
      <w:r w:rsidR="00EE1B74" w:rsidRPr="00CD29D0">
        <w:t xml:space="preserve"> going</w:t>
      </w:r>
      <w:r w:rsidRPr="00CD29D0">
        <w:t xml:space="preserve"> to leave, the MTA [Massachusetts Teachers Association] representatives </w:t>
      </w:r>
      <w:r w:rsidR="00D5392D" w:rsidRPr="00CD29D0">
        <w:t xml:space="preserve">[are] </w:t>
      </w:r>
      <w:r w:rsidRPr="00CD29D0">
        <w:t>going to leave and it</w:t>
      </w:r>
      <w:r w:rsidR="00D5392D" w:rsidRPr="00CD29D0">
        <w:t>’</w:t>
      </w:r>
      <w:r w:rsidRPr="00CD29D0">
        <w:t>s going to be us to pick up the pieces.</w:t>
      </w:r>
    </w:p>
    <w:p w14:paraId="4FEB0FB2" w14:textId="18E46212" w:rsidR="00D63155" w:rsidRPr="00CD29D0" w:rsidRDefault="00355C9B" w:rsidP="009C2835">
      <w:pPr>
        <w:pStyle w:val="BodyText"/>
      </w:pPr>
      <w:bookmarkStart w:id="25" w:name="_District_and_School"/>
      <w:bookmarkStart w:id="26" w:name="_Strategic_Planning,_Implementation,"/>
      <w:bookmarkEnd w:id="25"/>
      <w:bookmarkEnd w:id="26"/>
      <w:r w:rsidRPr="00CD29D0">
        <w:t>Throughout this process, b</w:t>
      </w:r>
      <w:r w:rsidR="00CD7334" w:rsidRPr="00CD29D0">
        <w:t>oth school committee and teacher</w:t>
      </w:r>
      <w:r w:rsidR="00D5751D" w:rsidRPr="00CD29D0">
        <w:t>s’</w:t>
      </w:r>
      <w:r w:rsidR="00CD7334" w:rsidRPr="00CD29D0">
        <w:t xml:space="preserve"> association members</w:t>
      </w:r>
      <w:r w:rsidR="00186362" w:rsidRPr="00CD29D0">
        <w:t xml:space="preserve"> acknowledged </w:t>
      </w:r>
      <w:r w:rsidR="00CD7334" w:rsidRPr="00CD29D0">
        <w:t>this</w:t>
      </w:r>
      <w:r w:rsidR="00186362" w:rsidRPr="00CD29D0">
        <w:t xml:space="preserve"> tension, and how the superintendent </w:t>
      </w:r>
      <w:r w:rsidR="001F0969" w:rsidRPr="00CD29D0">
        <w:t>has been</w:t>
      </w:r>
      <w:r w:rsidR="00186362" w:rsidRPr="00CD29D0">
        <w:t xml:space="preserve"> caught in the middle</w:t>
      </w:r>
      <w:r w:rsidR="00D5751D" w:rsidRPr="00CD29D0">
        <w:t>. A school committee member explained:</w:t>
      </w:r>
    </w:p>
    <w:p w14:paraId="20B9CA2C" w14:textId="0C931838" w:rsidR="001F0969" w:rsidRPr="00CD29D0" w:rsidRDefault="001F0969" w:rsidP="009C2835">
      <w:pPr>
        <w:pStyle w:val="BodyTextIndent"/>
      </w:pPr>
      <w:r w:rsidRPr="00CD29D0">
        <w:t>[The superintendent’s] in that weird spot</w:t>
      </w:r>
      <w:r w:rsidR="00A43FE2" w:rsidRPr="00CD29D0">
        <w:t xml:space="preserve">, </w:t>
      </w:r>
      <w:r w:rsidRPr="00CD29D0">
        <w:t>where we</w:t>
      </w:r>
      <w:r w:rsidR="00A43FE2" w:rsidRPr="00CD29D0">
        <w:t xml:space="preserve"> [as a school committee]</w:t>
      </w:r>
      <w:r w:rsidRPr="00CD29D0">
        <w:t xml:space="preserve"> see a</w:t>
      </w:r>
      <w:r w:rsidR="00A43FE2" w:rsidRPr="00CD29D0">
        <w:t xml:space="preserve"> </w:t>
      </w:r>
      <w:r w:rsidRPr="00CD29D0">
        <w:t>60,000</w:t>
      </w:r>
      <w:r w:rsidR="00A43FE2" w:rsidRPr="00CD29D0">
        <w:t>-</w:t>
      </w:r>
      <w:r w:rsidRPr="00CD29D0">
        <w:t>foot view of the schools</w:t>
      </w:r>
      <w:r w:rsidR="00A43FE2" w:rsidRPr="00CD29D0">
        <w:t>,</w:t>
      </w:r>
      <w:r w:rsidRPr="00CD29D0">
        <w:t xml:space="preserve"> and she</w:t>
      </w:r>
      <w:r w:rsidR="00D5751D" w:rsidRPr="00CD29D0">
        <w:t>’</w:t>
      </w:r>
      <w:r w:rsidRPr="00CD29D0">
        <w:t>s</w:t>
      </w:r>
      <w:r w:rsidR="00A43FE2" w:rsidRPr="00CD29D0">
        <w:t xml:space="preserve"> </w:t>
      </w:r>
      <w:r w:rsidRPr="00CD29D0">
        <w:t>working</w:t>
      </w:r>
      <w:r w:rsidR="00A43FE2" w:rsidRPr="00CD29D0">
        <w:t xml:space="preserve"> with</w:t>
      </w:r>
      <w:r w:rsidRPr="00CD29D0">
        <w:t xml:space="preserve"> </w:t>
      </w:r>
      <w:r w:rsidR="00A43FE2" w:rsidRPr="00CD29D0">
        <w:t>the teachers</w:t>
      </w:r>
      <w:r w:rsidRPr="00CD29D0">
        <w:t xml:space="preserve"> day-to-day. And </w:t>
      </w:r>
      <w:r w:rsidR="00A43FE2" w:rsidRPr="00CD29D0">
        <w:t>while</w:t>
      </w:r>
      <w:r w:rsidRPr="00CD29D0">
        <w:t xml:space="preserve"> she is technically their boss, she</w:t>
      </w:r>
      <w:r w:rsidR="00D5751D" w:rsidRPr="00CD29D0">
        <w:t>’</w:t>
      </w:r>
      <w:r w:rsidRPr="00CD29D0">
        <w:t>s colleagues with them, so we</w:t>
      </w:r>
      <w:r w:rsidR="00D5751D" w:rsidRPr="00CD29D0">
        <w:t>’</w:t>
      </w:r>
      <w:r w:rsidRPr="00CD29D0">
        <w:t xml:space="preserve">re trying to </w:t>
      </w:r>
      <w:r w:rsidR="00A43FE2" w:rsidRPr="00CD29D0">
        <w:t>t</w:t>
      </w:r>
      <w:r w:rsidRPr="00CD29D0">
        <w:t>urn down the temperature, get a mediator in and kind of see what that brings us.</w:t>
      </w:r>
    </w:p>
    <w:p w14:paraId="5E39692F" w14:textId="77777777" w:rsidR="00AE2A69" w:rsidRDefault="00AE2A69" w:rsidP="009C2835">
      <w:pPr>
        <w:pStyle w:val="BodyText"/>
      </w:pPr>
      <w:r w:rsidRPr="00AE2A69">
        <w:t>Despite the current tension, both groups agreed that both a resolution was close and that relations needed to be repaired moving forward. Indeed, after the district review visit was complete but prior to this report's publication, the district did successfully come to an agreement with the teachers' association. Nonetheless, improving working relationships between the teachers’ association and school committee is still an area of growth for the district.</w:t>
      </w:r>
    </w:p>
    <w:p w14:paraId="39E8D652" w14:textId="42C016D9" w:rsidR="00A45A08" w:rsidRPr="00CD29D0" w:rsidRDefault="00E32868" w:rsidP="009C2835">
      <w:pPr>
        <w:pStyle w:val="BodyText"/>
        <w:rPr>
          <w:color w:val="00B050"/>
        </w:rPr>
      </w:pPr>
      <w:r w:rsidRPr="00CD29D0">
        <w:t>Norton prioritizes stakeholder engagement</w:t>
      </w:r>
      <w:r w:rsidR="000B756D" w:rsidRPr="00CD29D0">
        <w:t xml:space="preserve"> with parents having several opportunities for meaningful involvement</w:t>
      </w:r>
      <w:r w:rsidR="00844A69" w:rsidRPr="00CD29D0">
        <w:t xml:space="preserve"> (see Leadership and Governing Structures)</w:t>
      </w:r>
      <w:r w:rsidRPr="00CD29D0">
        <w:t>.</w:t>
      </w:r>
      <w:r w:rsidR="000B756D" w:rsidRPr="00CD29D0">
        <w:t xml:space="preserve"> At the school-level,</w:t>
      </w:r>
      <w:r w:rsidRPr="00CD29D0">
        <w:t xml:space="preserve"> </w:t>
      </w:r>
      <w:r w:rsidR="000B756D" w:rsidRPr="00CD29D0">
        <w:t>e</w:t>
      </w:r>
      <w:r w:rsidRPr="00CD29D0">
        <w:t>ach school has a parent</w:t>
      </w:r>
      <w:r w:rsidR="00383364" w:rsidRPr="00CD29D0">
        <w:t xml:space="preserve"> </w:t>
      </w:r>
      <w:r w:rsidRPr="00CD29D0">
        <w:t xml:space="preserve">teacher group, </w:t>
      </w:r>
      <w:r w:rsidR="00D951A7" w:rsidRPr="00CD29D0">
        <w:t>although the naming of that group varies by school (e.g., parent</w:t>
      </w:r>
      <w:r w:rsidR="00383364" w:rsidRPr="00CD29D0">
        <w:t xml:space="preserve"> </w:t>
      </w:r>
      <w:r w:rsidR="00D951A7" w:rsidRPr="00CD29D0">
        <w:t>teacher connection at L.G. Nourse</w:t>
      </w:r>
      <w:r w:rsidR="007659A6" w:rsidRPr="00CD29D0">
        <w:t>, student-parent organization at J</w:t>
      </w:r>
      <w:r w:rsidR="00D75183">
        <w:t>.</w:t>
      </w:r>
      <w:r w:rsidR="007659A6" w:rsidRPr="00CD29D0">
        <w:t>C</w:t>
      </w:r>
      <w:r w:rsidR="00D75183">
        <w:t xml:space="preserve">. </w:t>
      </w:r>
      <w:r w:rsidR="007659A6" w:rsidRPr="00CD29D0">
        <w:t>S</w:t>
      </w:r>
      <w:r w:rsidR="00D75183">
        <w:t>olmonese</w:t>
      </w:r>
      <w:r w:rsidR="007659A6" w:rsidRPr="00CD29D0">
        <w:t>, parent</w:t>
      </w:r>
      <w:r w:rsidR="00383364" w:rsidRPr="00CD29D0">
        <w:t xml:space="preserve"> </w:t>
      </w:r>
      <w:r w:rsidR="007659A6" w:rsidRPr="00CD29D0">
        <w:t xml:space="preserve">teacher organization at Yelle). </w:t>
      </w:r>
      <w:r w:rsidR="00464942" w:rsidRPr="00CD29D0">
        <w:t xml:space="preserve">At the elementary level, there is a combined </w:t>
      </w:r>
      <w:r w:rsidR="00AB5173" w:rsidRPr="00CD29D0">
        <w:t xml:space="preserve">parent council </w:t>
      </w:r>
      <w:r w:rsidR="000D7233" w:rsidRPr="00CD29D0">
        <w:t xml:space="preserve">that </w:t>
      </w:r>
      <w:r w:rsidR="00AB5173" w:rsidRPr="00CD29D0">
        <w:t>focuses on school performance and getting parent input into priorities and align</w:t>
      </w:r>
      <w:r w:rsidR="0053669C" w:rsidRPr="00CD29D0">
        <w:t>ment</w:t>
      </w:r>
      <w:r w:rsidR="00AB5173" w:rsidRPr="00CD29D0">
        <w:t xml:space="preserve"> with the district’s strategic plan. </w:t>
      </w:r>
      <w:r w:rsidR="0048224F" w:rsidRPr="00CD29D0">
        <w:t xml:space="preserve">This </w:t>
      </w:r>
      <w:r w:rsidR="009E5096" w:rsidRPr="00CD29D0">
        <w:t xml:space="preserve">change </w:t>
      </w:r>
      <w:r w:rsidR="000D7233" w:rsidRPr="00CD29D0">
        <w:t xml:space="preserve">(to a combined council) </w:t>
      </w:r>
      <w:r w:rsidR="009E5096" w:rsidRPr="00CD29D0">
        <w:t xml:space="preserve">was made to </w:t>
      </w:r>
      <w:r w:rsidR="00447217" w:rsidRPr="00CD29D0">
        <w:t xml:space="preserve">boost parent engagement, with the additional benefit of parents getting to know </w:t>
      </w:r>
      <w:r w:rsidR="00CE70FD" w:rsidRPr="00CD29D0">
        <w:t>every</w:t>
      </w:r>
      <w:r w:rsidR="00447217" w:rsidRPr="00CD29D0">
        <w:t xml:space="preserve"> elementary principal.</w:t>
      </w:r>
      <w:r w:rsidR="00490EB3" w:rsidRPr="00CD29D0">
        <w:t xml:space="preserve"> Principals had positive impressions of this change, </w:t>
      </w:r>
      <w:r w:rsidR="00BF3197" w:rsidRPr="00CD29D0">
        <w:t>especially</w:t>
      </w:r>
      <w:r w:rsidR="00782371" w:rsidRPr="00CD29D0">
        <w:t xml:space="preserve"> for Yelle</w:t>
      </w:r>
      <w:r w:rsidR="006F13F8" w:rsidRPr="00CD29D0">
        <w:t>,</w:t>
      </w:r>
      <w:r w:rsidR="00782371" w:rsidRPr="00CD29D0">
        <w:t xml:space="preserve"> </w:t>
      </w:r>
      <w:r w:rsidR="006F13F8" w:rsidRPr="00CD29D0">
        <w:t xml:space="preserve">because </w:t>
      </w:r>
      <w:r w:rsidR="00782371" w:rsidRPr="00CD29D0">
        <w:t xml:space="preserve">it only services </w:t>
      </w:r>
      <w:r w:rsidR="006F13F8" w:rsidRPr="00CD29D0">
        <w:t xml:space="preserve">only </w:t>
      </w:r>
      <w:r w:rsidR="00782371" w:rsidRPr="00CD29D0">
        <w:t>two grade levels</w:t>
      </w:r>
      <w:r w:rsidR="006F13F8" w:rsidRPr="00CD29D0">
        <w:t>,</w:t>
      </w:r>
      <w:r w:rsidR="00782371" w:rsidRPr="00CD29D0">
        <w:t xml:space="preserve"> </w:t>
      </w:r>
      <w:r w:rsidR="006F13F8" w:rsidRPr="00CD29D0">
        <w:t xml:space="preserve">so </w:t>
      </w:r>
      <w:r w:rsidR="00782371" w:rsidRPr="00CD29D0">
        <w:t xml:space="preserve">getting parent involvement for such a short time </w:t>
      </w:r>
      <w:r w:rsidR="00B23DA9" w:rsidRPr="00CD29D0">
        <w:t>has</w:t>
      </w:r>
      <w:r w:rsidR="00782371" w:rsidRPr="00CD29D0">
        <w:t xml:space="preserve"> </w:t>
      </w:r>
      <w:r w:rsidR="006F13F8" w:rsidRPr="00CD29D0">
        <w:t xml:space="preserve">been </w:t>
      </w:r>
      <w:r w:rsidR="00782371" w:rsidRPr="00CD29D0">
        <w:t xml:space="preserve">historically challenging. </w:t>
      </w:r>
      <w:r w:rsidR="001F0859" w:rsidRPr="00CD29D0">
        <w:t>A</w:t>
      </w:r>
      <w:r w:rsidR="00352C9A" w:rsidRPr="00CD29D0">
        <w:t xml:space="preserve">n elementary school </w:t>
      </w:r>
      <w:r w:rsidR="001F0859" w:rsidRPr="00CD29D0">
        <w:t xml:space="preserve">principal </w:t>
      </w:r>
      <w:r w:rsidR="00FE615D" w:rsidRPr="00CD29D0">
        <w:t xml:space="preserve">described this change as a </w:t>
      </w:r>
      <w:r w:rsidR="00490EB3" w:rsidRPr="00CD29D0">
        <w:t>“gamechanger in terms of all rowing in the same direction.”</w:t>
      </w:r>
      <w:r w:rsidR="00BF3197" w:rsidRPr="00C67C68">
        <w:t xml:space="preserve"> Combining the elementary parent council</w:t>
      </w:r>
      <w:r w:rsidR="00FE615D" w:rsidRPr="00C67C68">
        <w:t>s into one broader and more effective council is a strength of the district</w:t>
      </w:r>
      <w:r w:rsidR="00A45A08" w:rsidRPr="00C67C68">
        <w:t>.</w:t>
      </w:r>
    </w:p>
    <w:p w14:paraId="70F79916" w14:textId="642D6978" w:rsidR="00A45A08" w:rsidRPr="00CD29D0" w:rsidRDefault="00237113" w:rsidP="009C2835">
      <w:pPr>
        <w:pStyle w:val="BodyText"/>
      </w:pPr>
      <w:r w:rsidRPr="00CD29D0">
        <w:lastRenderedPageBreak/>
        <w:t xml:space="preserve">At the </w:t>
      </w:r>
      <w:r w:rsidR="00F33038" w:rsidRPr="00CD29D0">
        <w:t xml:space="preserve">middle and </w:t>
      </w:r>
      <w:r w:rsidRPr="00CD29D0">
        <w:t>high school</w:t>
      </w:r>
      <w:r w:rsidR="00352C9A" w:rsidRPr="00CD29D0">
        <w:t>s</w:t>
      </w:r>
      <w:r w:rsidRPr="00CD29D0">
        <w:t>, the site council</w:t>
      </w:r>
      <w:r w:rsidR="007E715C" w:rsidRPr="00CD29D0">
        <w:t xml:space="preserve"> </w:t>
      </w:r>
      <w:r w:rsidRPr="00CD29D0">
        <w:t>reviews new course proposals</w:t>
      </w:r>
      <w:r w:rsidR="00F33038" w:rsidRPr="00CD29D0">
        <w:t xml:space="preserve">, </w:t>
      </w:r>
      <w:r w:rsidR="00352C9A" w:rsidRPr="00CD29D0">
        <w:t xml:space="preserve">in which </w:t>
      </w:r>
      <w:r w:rsidR="00F33038" w:rsidRPr="00CD29D0">
        <w:t xml:space="preserve">the teacher </w:t>
      </w:r>
      <w:r w:rsidR="00237954" w:rsidRPr="00CD29D0">
        <w:t xml:space="preserve">presents an overview of </w:t>
      </w:r>
      <w:r w:rsidR="00352C9A" w:rsidRPr="00CD29D0">
        <w:t>a</w:t>
      </w:r>
      <w:r w:rsidR="00237954" w:rsidRPr="00CD29D0">
        <w:t xml:space="preserve"> new course for parent approval. </w:t>
      </w:r>
      <w:r w:rsidR="00AB5173" w:rsidRPr="00CD29D0">
        <w:t>Other parent groups are focused on fundraising for student enrichment opportunities</w:t>
      </w:r>
      <w:r w:rsidR="00352C9A" w:rsidRPr="00CD29D0">
        <w:t>,</w:t>
      </w:r>
      <w:r w:rsidR="00AB5173" w:rsidRPr="00CD29D0">
        <w:t xml:space="preserve"> </w:t>
      </w:r>
      <w:r w:rsidR="00352C9A" w:rsidRPr="00CD29D0">
        <w:t xml:space="preserve">such as </w:t>
      </w:r>
      <w:r w:rsidR="00AB5173" w:rsidRPr="00CD29D0">
        <w:t>field trips</w:t>
      </w:r>
      <w:r w:rsidR="00A45A08" w:rsidRPr="00CD29D0">
        <w:t>.</w:t>
      </w:r>
    </w:p>
    <w:p w14:paraId="1043824D" w14:textId="2F6C8358" w:rsidR="005D0752" w:rsidRPr="00CD29D0" w:rsidRDefault="005D0752" w:rsidP="009C2835">
      <w:pPr>
        <w:pStyle w:val="Heading3"/>
      </w:pPr>
      <w:r w:rsidRPr="00CD29D0">
        <w:t>Recommendations</w:t>
      </w:r>
    </w:p>
    <w:p w14:paraId="0DF184CE" w14:textId="60C20AAF" w:rsidR="00FA53C9" w:rsidRDefault="001C7C97" w:rsidP="009C2835">
      <w:pPr>
        <w:pStyle w:val="Bullet1"/>
      </w:pPr>
      <w:r w:rsidRPr="00651C25">
        <w:rPr>
          <w:i/>
          <w:iCs/>
        </w:rPr>
        <w:t>The district should further investigate the root causes contributing to the low participation rates in its SEPAC and devise solutions to meaningfully engage families of students with disabilities across the district</w:t>
      </w:r>
      <w:r>
        <w:t xml:space="preserve">. </w:t>
      </w:r>
    </w:p>
    <w:p w14:paraId="13B51F94" w14:textId="069274C6" w:rsidR="004C7EF3" w:rsidRPr="004C7EF3" w:rsidRDefault="004C7EF3" w:rsidP="009C2835">
      <w:pPr>
        <w:pStyle w:val="Bullet1"/>
        <w:rPr>
          <w:i/>
          <w:iCs/>
        </w:rPr>
      </w:pPr>
      <w:r w:rsidRPr="004C7EF3">
        <w:rPr>
          <w:i/>
          <w:iCs/>
        </w:rPr>
        <w:t xml:space="preserve">The district should take deliberate steps to strengthen the working relationship between the school committee and the teachers’ association, </w:t>
      </w:r>
      <w:r w:rsidR="008B4B45">
        <w:rPr>
          <w:i/>
          <w:iCs/>
        </w:rPr>
        <w:t>such as</w:t>
      </w:r>
      <w:r w:rsidRPr="004C7EF3">
        <w:rPr>
          <w:i/>
          <w:iCs/>
        </w:rPr>
        <w:t xml:space="preserve"> identifying shared priorities, increasing transparency and communication, and establishing structures to support</w:t>
      </w:r>
      <w:r w:rsidR="004579FB">
        <w:rPr>
          <w:i/>
          <w:iCs/>
        </w:rPr>
        <w:t xml:space="preserve"> future collaboration</w:t>
      </w:r>
      <w:r w:rsidRPr="004C7EF3">
        <w:rPr>
          <w:i/>
          <w:iCs/>
        </w:rPr>
        <w:t>.</w:t>
      </w:r>
    </w:p>
    <w:p w14:paraId="1DC738E6" w14:textId="5497BE74" w:rsidR="008D6102" w:rsidRPr="00CD29D0" w:rsidRDefault="008D6102" w:rsidP="009C2835">
      <w:pPr>
        <w:pStyle w:val="BodyText"/>
        <w:rPr>
          <w:bCs/>
        </w:rPr>
      </w:pPr>
      <w:r w:rsidRPr="00CD29D0">
        <w:rPr>
          <w:bCs/>
        </w:rPr>
        <w:br w:type="page"/>
      </w:r>
    </w:p>
    <w:p w14:paraId="7EDE9323" w14:textId="77777777" w:rsidR="008D6102" w:rsidRPr="00CD29D0" w:rsidRDefault="008D6102" w:rsidP="009C2835">
      <w:pPr>
        <w:pStyle w:val="Heading2"/>
      </w:pPr>
      <w:bookmarkStart w:id="27" w:name="_Curriculum_and_Instruction"/>
      <w:bookmarkStart w:id="28" w:name="_Toc101446228"/>
      <w:bookmarkStart w:id="29" w:name="_Toc227589893"/>
      <w:bookmarkEnd w:id="27"/>
      <w:r w:rsidRPr="00CD29D0">
        <w:lastRenderedPageBreak/>
        <w:t>Curriculum and Instruction</w:t>
      </w:r>
      <w:bookmarkEnd w:id="28"/>
      <w:bookmarkEnd w:id="29"/>
    </w:p>
    <w:p w14:paraId="7E2DC369" w14:textId="7E13EC27" w:rsidR="00E01775" w:rsidRPr="00CD29D0" w:rsidRDefault="00E01775" w:rsidP="009C2835">
      <w:pPr>
        <w:pStyle w:val="BodyTextposthead"/>
      </w:pPr>
      <w:r w:rsidRPr="00CD29D0">
        <w:t>This section examines the extent to which district leaders have established a shared instructional vision</w:t>
      </w:r>
      <w:r w:rsidR="009B4616" w:rsidRPr="00CD29D0">
        <w:t xml:space="preserve"> that is </w:t>
      </w:r>
      <w:r w:rsidRPr="00CD29D0">
        <w:t>anchored in culturally and linguistically sustaining practices</w:t>
      </w:r>
      <w:r w:rsidR="009B4616" w:rsidRPr="00CD29D0">
        <w:t xml:space="preserve"> and</w:t>
      </w:r>
      <w:r w:rsidRPr="00CD29D0">
        <w:t xml:space="preserve"> guides all curricular and instructional decisions toward equitable outcomes for all students. </w:t>
      </w:r>
      <w:r w:rsidR="009B4616" w:rsidRPr="00CD29D0">
        <w:t>This section</w:t>
      </w:r>
      <w:r w:rsidRPr="00CD29D0">
        <w:t xml:space="preserve"> also focuses on the extent to which the district pairs high</w:t>
      </w:r>
      <w:r w:rsidR="009B4616" w:rsidRPr="00CD29D0">
        <w:t>-</w:t>
      </w:r>
      <w:r w:rsidRPr="00CD29D0">
        <w:t>quality curriculum and instructional materials and high expectations for all students with individualized supports</w:t>
      </w:r>
      <w:r w:rsidR="009B4616" w:rsidRPr="00CD29D0">
        <w:t>,</w:t>
      </w:r>
      <w:r w:rsidRPr="00CD29D0">
        <w:t xml:space="preserve"> so that every student can engage in deeper learning and develop the knowledge and skills that will prepare them to succeed in college and/or the workplace.</w:t>
      </w:r>
    </w:p>
    <w:p w14:paraId="654F2607" w14:textId="4A58B856" w:rsidR="000B66C1" w:rsidRPr="00CD29D0" w:rsidRDefault="000B66C1" w:rsidP="009C2835">
      <w:pPr>
        <w:pStyle w:val="BodyText"/>
      </w:pPr>
      <w:r w:rsidRPr="00CD29D0">
        <w:t xml:space="preserve">Table </w:t>
      </w:r>
      <w:r w:rsidR="00BD049B" w:rsidRPr="00CD29D0">
        <w:t xml:space="preserve">3 </w:t>
      </w:r>
      <w:r w:rsidRPr="00CD29D0">
        <w:t>summarizes key strengths and areas for growth in curriculum and instruction</w:t>
      </w:r>
      <w:r w:rsidR="00814AA6" w:rsidRPr="00CD29D0">
        <w:t xml:space="preserve"> in Norton</w:t>
      </w:r>
      <w:r w:rsidRPr="00CD29D0">
        <w:t>.</w:t>
      </w:r>
    </w:p>
    <w:p w14:paraId="7925A4CF" w14:textId="55FE6BC2" w:rsidR="00473308" w:rsidRPr="00CD29D0" w:rsidRDefault="00473308" w:rsidP="009C2835">
      <w:pPr>
        <w:pStyle w:val="TableTitle0"/>
      </w:pPr>
      <w:r w:rsidRPr="00CD29D0">
        <w:t xml:space="preserve">Table </w:t>
      </w:r>
      <w:r w:rsidR="00163C7A" w:rsidRPr="00CD29D0">
        <w:t>3</w:t>
      </w:r>
      <w:r w:rsidRPr="00CD29D0">
        <w:t xml:space="preserve">. Summary of </w:t>
      </w:r>
      <w:r w:rsidR="000B66C1" w:rsidRPr="00CD29D0">
        <w:t xml:space="preserve">Key Strengths </w:t>
      </w:r>
      <w:r w:rsidRPr="00CD29D0">
        <w:t xml:space="preserve">and </w:t>
      </w:r>
      <w:r w:rsidR="000B66C1" w:rsidRPr="00CD29D0">
        <w:t xml:space="preserve">Areas </w:t>
      </w:r>
      <w:r w:rsidRPr="00CD29D0">
        <w:t xml:space="preserve">for </w:t>
      </w:r>
      <w:r w:rsidR="000B66C1" w:rsidRPr="00CD29D0">
        <w:t>Growth:</w:t>
      </w:r>
      <w:r w:rsidRPr="00CD29D0">
        <w:t xml:space="preserve"> Curriculum and Instruction</w:t>
      </w:r>
      <w:r w:rsidR="00C0766E" w:rsidRPr="00CD29D0">
        <w:t xml:space="preserve"> Standard</w:t>
      </w:r>
    </w:p>
    <w:tbl>
      <w:tblPr>
        <w:tblStyle w:val="MSVTable1"/>
        <w:tblW w:w="5000" w:type="pct"/>
        <w:tblLook w:val="04A0" w:firstRow="1" w:lastRow="0" w:firstColumn="1" w:lastColumn="0" w:noHBand="0" w:noVBand="1"/>
        <w:tblCaption w:val="Table 3. Summary of Key Strengths and Areas for Growth: Curriculum and Instruction Standard"/>
        <w:tblDescription w:val="Summary of Key Strengths and Areas for Growth: Curriculum and Instruction Standard"/>
      </w:tblPr>
      <w:tblGrid>
        <w:gridCol w:w="1973"/>
        <w:gridCol w:w="3686"/>
        <w:gridCol w:w="3685"/>
      </w:tblGrid>
      <w:tr w:rsidR="00A273D2" w:rsidRPr="00CD29D0" w14:paraId="24E33970" w14:textId="77777777" w:rsidTr="009C2835">
        <w:trPr>
          <w:cnfStyle w:val="100000000000" w:firstRow="1" w:lastRow="0" w:firstColumn="0" w:lastColumn="0" w:oddVBand="0" w:evenVBand="0" w:oddHBand="0" w:evenHBand="0" w:firstRowFirstColumn="0" w:firstRowLastColumn="0" w:lastRowFirstColumn="0" w:lastRowLastColumn="0"/>
          <w:tblHeader/>
        </w:trPr>
        <w:tc>
          <w:tcPr>
            <w:tcW w:w="1055" w:type="pct"/>
          </w:tcPr>
          <w:p w14:paraId="34309A87" w14:textId="77777777" w:rsidR="00473308" w:rsidRPr="00D732FB" w:rsidRDefault="00473308" w:rsidP="009C2835">
            <w:pPr>
              <w:pStyle w:val="TableColHeadingCenter"/>
            </w:pPr>
            <w:r w:rsidRPr="00D732FB">
              <w:t>Indicator</w:t>
            </w:r>
          </w:p>
        </w:tc>
        <w:tc>
          <w:tcPr>
            <w:tcW w:w="1972" w:type="pct"/>
          </w:tcPr>
          <w:p w14:paraId="47A4F44D" w14:textId="77777777" w:rsidR="00473308" w:rsidRPr="00CD29D0" w:rsidRDefault="00473308" w:rsidP="009C2835">
            <w:pPr>
              <w:pStyle w:val="TableColHeadingCenter"/>
            </w:pPr>
            <w:r w:rsidRPr="00CD29D0">
              <w:t>Strengths</w:t>
            </w:r>
          </w:p>
        </w:tc>
        <w:tc>
          <w:tcPr>
            <w:tcW w:w="1972" w:type="pct"/>
          </w:tcPr>
          <w:p w14:paraId="1E3CFDD9" w14:textId="5DA986FA" w:rsidR="00473308" w:rsidRPr="00CD29D0" w:rsidRDefault="00473308" w:rsidP="009C2835">
            <w:pPr>
              <w:pStyle w:val="TableColHeadingCenter"/>
            </w:pPr>
            <w:r w:rsidRPr="00CD29D0">
              <w:t xml:space="preserve">Areas for </w:t>
            </w:r>
            <w:r w:rsidR="000B66C1" w:rsidRPr="00CD29D0">
              <w:t>g</w:t>
            </w:r>
            <w:r w:rsidRPr="00CD29D0">
              <w:t>rowth</w:t>
            </w:r>
          </w:p>
        </w:tc>
      </w:tr>
      <w:tr w:rsidR="00A273D2" w:rsidRPr="00CD29D0" w14:paraId="1369F705" w14:textId="77777777" w:rsidTr="009C2835">
        <w:trPr>
          <w:cnfStyle w:val="000000100000" w:firstRow="0" w:lastRow="0" w:firstColumn="0" w:lastColumn="0" w:oddVBand="0" w:evenVBand="0" w:oddHBand="1" w:evenHBand="0" w:firstRowFirstColumn="0" w:firstRowLastColumn="0" w:lastRowFirstColumn="0" w:lastRowLastColumn="0"/>
        </w:trPr>
        <w:tc>
          <w:tcPr>
            <w:tcW w:w="1055" w:type="pct"/>
          </w:tcPr>
          <w:p w14:paraId="3C1F3BBB" w14:textId="06CE8C3D" w:rsidR="00473308" w:rsidRPr="00CD29D0" w:rsidRDefault="0037284E" w:rsidP="009C2835">
            <w:pPr>
              <w:pStyle w:val="TableSubheading"/>
            </w:pPr>
            <w:hyperlink w:anchor="_Instructional_Leadership" w:history="1">
              <w:r w:rsidRPr="00CD29D0">
                <w:rPr>
                  <w:rStyle w:val="Hyperlink"/>
                  <w:color w:val="auto"/>
                  <w:u w:val="none"/>
                </w:rPr>
                <w:t>Instructional Leadership</w:t>
              </w:r>
            </w:hyperlink>
          </w:p>
        </w:tc>
        <w:tc>
          <w:tcPr>
            <w:tcW w:w="1972" w:type="pct"/>
          </w:tcPr>
          <w:p w14:paraId="4EBC7B6F" w14:textId="0DE3B536" w:rsidR="00473308" w:rsidRPr="00CD29D0" w:rsidRDefault="00E15BE4" w:rsidP="009C2835">
            <w:pPr>
              <w:pStyle w:val="TableBullet1"/>
            </w:pPr>
            <w:r>
              <w:t>Instructional leadership teams include teacher representatives from all grade spans, supporting coherence across the district.</w:t>
            </w:r>
          </w:p>
        </w:tc>
        <w:tc>
          <w:tcPr>
            <w:tcW w:w="1972" w:type="pct"/>
          </w:tcPr>
          <w:p w14:paraId="2FD82E03" w14:textId="195FA627" w:rsidR="00473308" w:rsidRPr="00CD29D0" w:rsidRDefault="00C67C68" w:rsidP="009C2835">
            <w:pPr>
              <w:pStyle w:val="TableBullet1"/>
            </w:pPr>
            <w:r>
              <w:t>N/A</w:t>
            </w:r>
          </w:p>
        </w:tc>
      </w:tr>
      <w:tr w:rsidR="00A273D2" w:rsidRPr="00CD29D0" w14:paraId="6F5158ED" w14:textId="77777777" w:rsidTr="009C2835">
        <w:tc>
          <w:tcPr>
            <w:tcW w:w="1055" w:type="pct"/>
          </w:tcPr>
          <w:p w14:paraId="63362AB2" w14:textId="1DEE2BF2" w:rsidR="00473308" w:rsidRPr="00CD29D0" w:rsidRDefault="008722B8" w:rsidP="009C2835">
            <w:pPr>
              <w:pStyle w:val="TableSubheading"/>
            </w:pPr>
            <w:hyperlink w:anchor="_Curriculum_and_Instructional" w:history="1">
              <w:r w:rsidRPr="00CD29D0">
                <w:rPr>
                  <w:rStyle w:val="Hyperlink"/>
                  <w:color w:val="auto"/>
                  <w:u w:val="none"/>
                </w:rPr>
                <w:t>Curriculum and Instructional Materials</w:t>
              </w:r>
            </w:hyperlink>
          </w:p>
        </w:tc>
        <w:tc>
          <w:tcPr>
            <w:tcW w:w="1972" w:type="pct"/>
          </w:tcPr>
          <w:p w14:paraId="1DDA8385" w14:textId="77777777" w:rsidR="00E15BE4" w:rsidRDefault="00E15BE4" w:rsidP="00E15BE4">
            <w:pPr>
              <w:pStyle w:val="TableBullet1"/>
            </w:pPr>
            <w:r>
              <w:t>The district has a well-defined curriculum review and selection process that guides the evaluation and adoption of instructional materials.</w:t>
            </w:r>
          </w:p>
          <w:p w14:paraId="27E8B156" w14:textId="4517C7AE" w:rsidR="009A367B" w:rsidRPr="00CD29D0" w:rsidRDefault="00E15BE4" w:rsidP="009C2835">
            <w:pPr>
              <w:pStyle w:val="TableBullet1"/>
            </w:pPr>
            <w:r>
              <w:t>Staff are engaged early and consistently in iterative curriculum-mapping cycles that support effective implementation of curricular materials.</w:t>
            </w:r>
          </w:p>
        </w:tc>
        <w:tc>
          <w:tcPr>
            <w:tcW w:w="1972" w:type="pct"/>
          </w:tcPr>
          <w:p w14:paraId="4E7DE3CF" w14:textId="04AACCF3" w:rsidR="00BD7563" w:rsidRDefault="00BD7563" w:rsidP="00BD7563">
            <w:pPr>
              <w:pStyle w:val="TableBullet1"/>
            </w:pPr>
            <w:r>
              <w:t>Ensuring all core subjects (especially science and history) have robust curricular materials</w:t>
            </w:r>
          </w:p>
          <w:p w14:paraId="24E7E538" w14:textId="0ECE2795" w:rsidR="00473308" w:rsidRPr="00CD29D0" w:rsidRDefault="00473308" w:rsidP="00C67C68">
            <w:pPr>
              <w:pStyle w:val="TableBullet1"/>
              <w:numPr>
                <w:ilvl w:val="0"/>
                <w:numId w:val="0"/>
              </w:numPr>
              <w:ind w:left="360"/>
            </w:pPr>
          </w:p>
        </w:tc>
      </w:tr>
      <w:tr w:rsidR="00A273D2" w:rsidRPr="00CD29D0" w14:paraId="2815FD55" w14:textId="77777777" w:rsidTr="009C2835">
        <w:trPr>
          <w:cnfStyle w:val="000000100000" w:firstRow="0" w:lastRow="0" w:firstColumn="0" w:lastColumn="0" w:oddVBand="0" w:evenVBand="0" w:oddHBand="1" w:evenHBand="0" w:firstRowFirstColumn="0" w:firstRowLastColumn="0" w:lastRowFirstColumn="0" w:lastRowLastColumn="0"/>
        </w:trPr>
        <w:tc>
          <w:tcPr>
            <w:tcW w:w="1055" w:type="pct"/>
          </w:tcPr>
          <w:p w14:paraId="1ECD7628" w14:textId="19BE3BC3" w:rsidR="00473308" w:rsidRPr="00CD29D0" w:rsidRDefault="00320588" w:rsidP="009C2835">
            <w:pPr>
              <w:pStyle w:val="TableSubheading"/>
            </w:pPr>
            <w:hyperlink w:anchor="_Equitable_Practices_and" w:history="1">
              <w:r w:rsidRPr="00CD29D0">
                <w:rPr>
                  <w:rStyle w:val="Hyperlink"/>
                  <w:color w:val="auto"/>
                  <w:u w:val="none"/>
                </w:rPr>
                <w:t>Equitable Practices and</w:t>
              </w:r>
              <w:r w:rsidR="00473308" w:rsidRPr="00CD29D0">
                <w:rPr>
                  <w:rStyle w:val="Hyperlink"/>
                  <w:color w:val="auto"/>
                  <w:u w:val="none"/>
                </w:rPr>
                <w:t xml:space="preserve"> </w:t>
              </w:r>
              <w:r w:rsidRPr="00CD29D0">
                <w:rPr>
                  <w:rStyle w:val="Hyperlink"/>
                  <w:color w:val="auto"/>
                  <w:u w:val="none"/>
                </w:rPr>
                <w:t>A</w:t>
              </w:r>
              <w:r w:rsidR="00473308" w:rsidRPr="00CD29D0">
                <w:rPr>
                  <w:rStyle w:val="Hyperlink"/>
                  <w:color w:val="auto"/>
                  <w:u w:val="none"/>
                </w:rPr>
                <w:t>ccess</w:t>
              </w:r>
            </w:hyperlink>
          </w:p>
        </w:tc>
        <w:tc>
          <w:tcPr>
            <w:tcW w:w="1972" w:type="pct"/>
          </w:tcPr>
          <w:p w14:paraId="28A959BD" w14:textId="77777777" w:rsidR="00355C2E" w:rsidRDefault="00E15BE4" w:rsidP="00E15BE4">
            <w:pPr>
              <w:pStyle w:val="TableBullet1"/>
            </w:pPr>
            <w:r>
              <w:t>The high school offers a broad range of rigorous coursework across grades, supporting students’ preparation for postsecondary opportunities.</w:t>
            </w:r>
            <w:r w:rsidR="00355C2E">
              <w:t xml:space="preserve"> </w:t>
            </w:r>
          </w:p>
          <w:p w14:paraId="25D7F32B" w14:textId="4D82A965" w:rsidR="001B629B" w:rsidRPr="00CD29D0" w:rsidRDefault="00355C2E" w:rsidP="009C2835">
            <w:pPr>
              <w:pStyle w:val="TableBullet1"/>
            </w:pPr>
            <w:r>
              <w:t>Students have access to a wide variety of extracurricular opportunities, including inclusive programs such as Best Buddies that promote engagement and belonging</w:t>
            </w:r>
          </w:p>
        </w:tc>
        <w:tc>
          <w:tcPr>
            <w:tcW w:w="1972" w:type="pct"/>
          </w:tcPr>
          <w:p w14:paraId="18A8769C" w14:textId="27853542" w:rsidR="00BD7563" w:rsidRDefault="00BD7563" w:rsidP="00BD7563">
            <w:pPr>
              <w:pStyle w:val="TableBullet1"/>
            </w:pPr>
            <w:r>
              <w:t>Increasing participation in advanced coursework, particularly among high-needs students and students with disabilities</w:t>
            </w:r>
          </w:p>
          <w:p w14:paraId="3F011882" w14:textId="3C58FA8C" w:rsidR="00473308" w:rsidRPr="00CD29D0" w:rsidRDefault="00BD7563" w:rsidP="009C2835">
            <w:pPr>
              <w:pStyle w:val="TableBullet1"/>
            </w:pPr>
            <w:r>
              <w:t>Strengthening high school guidance systems to provide timely support for college applications</w:t>
            </w:r>
          </w:p>
        </w:tc>
      </w:tr>
      <w:tr w:rsidR="00A273D2" w:rsidRPr="00CD29D0" w14:paraId="0EC4A794" w14:textId="77777777" w:rsidTr="009C2835">
        <w:tc>
          <w:tcPr>
            <w:tcW w:w="1055" w:type="pct"/>
          </w:tcPr>
          <w:p w14:paraId="78BB75FC" w14:textId="3B30DC47" w:rsidR="0037284E" w:rsidRPr="00CD29D0" w:rsidRDefault="00320588" w:rsidP="009C2835">
            <w:pPr>
              <w:pStyle w:val="TableSubheading"/>
            </w:pPr>
            <w:hyperlink w:anchor="_Effective_Instruction_and" w:history="1">
              <w:r w:rsidRPr="00CD29D0">
                <w:rPr>
                  <w:rStyle w:val="Hyperlink"/>
                  <w:color w:val="auto"/>
                  <w:u w:val="none"/>
                </w:rPr>
                <w:t>Effective Instruction and Curricular Implementation</w:t>
              </w:r>
            </w:hyperlink>
          </w:p>
        </w:tc>
        <w:tc>
          <w:tcPr>
            <w:tcW w:w="1972" w:type="pct"/>
          </w:tcPr>
          <w:p w14:paraId="4AAA2C06" w14:textId="719487FA" w:rsidR="0037284E" w:rsidRPr="00CD29D0" w:rsidRDefault="00C67C68" w:rsidP="009C2835">
            <w:pPr>
              <w:pStyle w:val="TableBullet1"/>
            </w:pPr>
            <w:r>
              <w:t>N/A</w:t>
            </w:r>
          </w:p>
        </w:tc>
        <w:tc>
          <w:tcPr>
            <w:tcW w:w="1972" w:type="pct"/>
          </w:tcPr>
          <w:p w14:paraId="7D67B62C" w14:textId="7E75693A" w:rsidR="0037284E" w:rsidRPr="00CD29D0" w:rsidRDefault="00C67C68" w:rsidP="009C2835">
            <w:pPr>
              <w:pStyle w:val="TableBullet1"/>
            </w:pPr>
            <w:r>
              <w:t>N/A</w:t>
            </w:r>
          </w:p>
        </w:tc>
      </w:tr>
    </w:tbl>
    <w:p w14:paraId="6EA47201" w14:textId="0E589CC2" w:rsidR="00473308" w:rsidRPr="00CD29D0" w:rsidRDefault="0037284E" w:rsidP="009C2835">
      <w:pPr>
        <w:pStyle w:val="Heading3"/>
      </w:pPr>
      <w:bookmarkStart w:id="30" w:name="_Curriculum_Selection_and"/>
      <w:bookmarkStart w:id="31" w:name="_Instructional_Leadership"/>
      <w:bookmarkEnd w:id="30"/>
      <w:bookmarkEnd w:id="31"/>
      <w:r w:rsidRPr="00CD29D0">
        <w:t>Instructional Leadership</w:t>
      </w:r>
    </w:p>
    <w:p w14:paraId="7AEAB65A" w14:textId="42B581D6" w:rsidR="00A45A08" w:rsidRPr="00CD29D0" w:rsidRDefault="00C178FB" w:rsidP="009C2835">
      <w:pPr>
        <w:pStyle w:val="BodyTextposthead"/>
        <w:rPr>
          <w:lang w:eastAsia="ja-JP"/>
        </w:rPr>
      </w:pPr>
      <w:bookmarkStart w:id="32" w:name="_Classroom_Instruction"/>
      <w:bookmarkEnd w:id="32"/>
      <w:r w:rsidRPr="00CD29D0">
        <w:rPr>
          <w:lang w:eastAsia="ja-JP"/>
        </w:rPr>
        <w:t>The assistant superintendent for teaching and learning</w:t>
      </w:r>
      <w:r w:rsidR="00C872E5" w:rsidRPr="00CD29D0">
        <w:rPr>
          <w:lang w:eastAsia="ja-JP"/>
        </w:rPr>
        <w:t xml:space="preserve"> is responsible for curriculum and instruction in the district. </w:t>
      </w:r>
      <w:bookmarkStart w:id="33" w:name="_Curriculum_and_Instructional"/>
      <w:bookmarkEnd w:id="33"/>
      <w:r w:rsidR="000856C7" w:rsidRPr="00CD29D0">
        <w:rPr>
          <w:lang w:eastAsia="ja-JP"/>
        </w:rPr>
        <w:t>P</w:t>
      </w:r>
      <w:r w:rsidR="009E1A62" w:rsidRPr="00CD29D0">
        <w:rPr>
          <w:lang w:eastAsia="ja-JP"/>
        </w:rPr>
        <w:t xml:space="preserve">rincipals </w:t>
      </w:r>
      <w:r w:rsidR="000856C7" w:rsidRPr="00CD29D0">
        <w:rPr>
          <w:lang w:eastAsia="ja-JP"/>
        </w:rPr>
        <w:t>are</w:t>
      </w:r>
      <w:r w:rsidR="009E1A62" w:rsidRPr="00CD29D0">
        <w:rPr>
          <w:lang w:eastAsia="ja-JP"/>
        </w:rPr>
        <w:t xml:space="preserve"> the instructional leaders for their building, </w:t>
      </w:r>
      <w:r w:rsidR="000856C7" w:rsidRPr="00CD29D0">
        <w:rPr>
          <w:lang w:eastAsia="ja-JP"/>
        </w:rPr>
        <w:t xml:space="preserve">and </w:t>
      </w:r>
      <w:r w:rsidR="005226DD" w:rsidRPr="00CD29D0">
        <w:rPr>
          <w:lang w:eastAsia="ja-JP"/>
        </w:rPr>
        <w:t xml:space="preserve">each </w:t>
      </w:r>
      <w:r w:rsidR="000856C7" w:rsidRPr="00CD29D0">
        <w:rPr>
          <w:lang w:eastAsia="ja-JP"/>
        </w:rPr>
        <w:t xml:space="preserve">school </w:t>
      </w:r>
      <w:r w:rsidR="005226DD" w:rsidRPr="00CD29D0">
        <w:rPr>
          <w:lang w:eastAsia="ja-JP"/>
        </w:rPr>
        <w:t>level</w:t>
      </w:r>
      <w:r w:rsidR="009E1A62" w:rsidRPr="00CD29D0">
        <w:rPr>
          <w:lang w:eastAsia="ja-JP"/>
        </w:rPr>
        <w:t xml:space="preserve"> </w:t>
      </w:r>
      <w:r w:rsidR="000856C7" w:rsidRPr="00CD29D0">
        <w:rPr>
          <w:lang w:eastAsia="ja-JP"/>
        </w:rPr>
        <w:t xml:space="preserve">also </w:t>
      </w:r>
      <w:r w:rsidR="009E1A62" w:rsidRPr="00CD29D0">
        <w:rPr>
          <w:lang w:eastAsia="ja-JP"/>
        </w:rPr>
        <w:t xml:space="preserve">has </w:t>
      </w:r>
      <w:r w:rsidR="00B249FD" w:rsidRPr="00CD29D0">
        <w:rPr>
          <w:lang w:eastAsia="ja-JP"/>
        </w:rPr>
        <w:t>school-based instructional leaders responsible for leading various school</w:t>
      </w:r>
      <w:r w:rsidR="000856C7" w:rsidRPr="00CD29D0">
        <w:rPr>
          <w:lang w:eastAsia="ja-JP"/>
        </w:rPr>
        <w:t xml:space="preserve"> </w:t>
      </w:r>
      <w:r w:rsidR="00B249FD" w:rsidRPr="00CD29D0">
        <w:rPr>
          <w:lang w:eastAsia="ja-JP"/>
        </w:rPr>
        <w:t xml:space="preserve">initiatives. At the </w:t>
      </w:r>
      <w:r w:rsidR="00B249FD" w:rsidRPr="00CD29D0">
        <w:rPr>
          <w:lang w:eastAsia="ja-JP"/>
        </w:rPr>
        <w:lastRenderedPageBreak/>
        <w:t xml:space="preserve">elementary level, these </w:t>
      </w:r>
      <w:r w:rsidR="007B49BF" w:rsidRPr="00CD29D0">
        <w:rPr>
          <w:lang w:eastAsia="ja-JP"/>
        </w:rPr>
        <w:t>individuals are referred to as curriculum leads (</w:t>
      </w:r>
      <w:r w:rsidR="000856C7" w:rsidRPr="00CD29D0">
        <w:rPr>
          <w:lang w:eastAsia="ja-JP"/>
        </w:rPr>
        <w:t xml:space="preserve">at </w:t>
      </w:r>
      <w:r w:rsidR="007251C8">
        <w:rPr>
          <w:lang w:eastAsia="ja-JP"/>
        </w:rPr>
        <w:t xml:space="preserve">L.G. </w:t>
      </w:r>
      <w:r w:rsidR="007B49BF" w:rsidRPr="00CD29D0">
        <w:rPr>
          <w:lang w:eastAsia="ja-JP"/>
        </w:rPr>
        <w:t>Nourse</w:t>
      </w:r>
      <w:r w:rsidR="007251C8">
        <w:rPr>
          <w:lang w:eastAsia="ja-JP"/>
        </w:rPr>
        <w:t xml:space="preserve"> and</w:t>
      </w:r>
      <w:r w:rsidR="007251C8" w:rsidRPr="00CD29D0">
        <w:rPr>
          <w:lang w:eastAsia="ja-JP"/>
        </w:rPr>
        <w:t xml:space="preserve"> </w:t>
      </w:r>
      <w:r w:rsidR="00C21183" w:rsidRPr="00CD29D0">
        <w:rPr>
          <w:lang w:eastAsia="ja-JP"/>
        </w:rPr>
        <w:t>J</w:t>
      </w:r>
      <w:r w:rsidR="007251C8">
        <w:rPr>
          <w:lang w:eastAsia="ja-JP"/>
        </w:rPr>
        <w:t>.</w:t>
      </w:r>
      <w:r w:rsidR="00C21183" w:rsidRPr="00CD29D0">
        <w:rPr>
          <w:lang w:eastAsia="ja-JP"/>
        </w:rPr>
        <w:t>C</w:t>
      </w:r>
      <w:r w:rsidR="007251C8">
        <w:rPr>
          <w:lang w:eastAsia="ja-JP"/>
        </w:rPr>
        <w:t xml:space="preserve">. </w:t>
      </w:r>
      <w:r w:rsidR="00C21183" w:rsidRPr="00CD29D0">
        <w:rPr>
          <w:lang w:eastAsia="ja-JP"/>
        </w:rPr>
        <w:t>S</w:t>
      </w:r>
      <w:r w:rsidR="007251C8">
        <w:rPr>
          <w:lang w:eastAsia="ja-JP"/>
        </w:rPr>
        <w:t>olmonese</w:t>
      </w:r>
      <w:r w:rsidR="007B49BF" w:rsidRPr="00CD29D0">
        <w:rPr>
          <w:lang w:eastAsia="ja-JP"/>
        </w:rPr>
        <w:t>) or teacher leaders (</w:t>
      </w:r>
      <w:r w:rsidR="00F229DF" w:rsidRPr="00CD29D0">
        <w:rPr>
          <w:lang w:eastAsia="ja-JP"/>
        </w:rPr>
        <w:t xml:space="preserve">at </w:t>
      </w:r>
      <w:r w:rsidR="007B49BF" w:rsidRPr="00CD29D0">
        <w:rPr>
          <w:lang w:eastAsia="ja-JP"/>
        </w:rPr>
        <w:t>Yelle)</w:t>
      </w:r>
      <w:r w:rsidR="00F229DF" w:rsidRPr="00CD29D0">
        <w:rPr>
          <w:lang w:eastAsia="ja-JP"/>
        </w:rPr>
        <w:t>.</w:t>
      </w:r>
      <w:r w:rsidR="007B49BF" w:rsidRPr="00CD29D0">
        <w:rPr>
          <w:lang w:eastAsia="ja-JP"/>
        </w:rPr>
        <w:t xml:space="preserve"> </w:t>
      </w:r>
      <w:r w:rsidR="00F229DF" w:rsidRPr="00CD29D0">
        <w:rPr>
          <w:lang w:eastAsia="ja-JP"/>
        </w:rPr>
        <w:t>A</w:t>
      </w:r>
      <w:r w:rsidR="007B49BF" w:rsidRPr="00CD29D0">
        <w:rPr>
          <w:lang w:eastAsia="ja-JP"/>
        </w:rPr>
        <w:t>t the middle school level, these individuals are teacher leaders; at the high school level, these individuals are academic coordinators</w:t>
      </w:r>
      <w:r w:rsidR="00F229DF" w:rsidRPr="00CD29D0">
        <w:rPr>
          <w:lang w:eastAsia="ja-JP"/>
        </w:rPr>
        <w:t>, which is</w:t>
      </w:r>
      <w:r w:rsidR="007B49BF" w:rsidRPr="00CD29D0">
        <w:rPr>
          <w:lang w:eastAsia="ja-JP"/>
        </w:rPr>
        <w:t xml:space="preserve"> </w:t>
      </w:r>
      <w:r w:rsidR="00CE70FD" w:rsidRPr="00CD29D0">
        <w:rPr>
          <w:lang w:eastAsia="ja-JP"/>
        </w:rPr>
        <w:t>like</w:t>
      </w:r>
      <w:r w:rsidR="007B49BF" w:rsidRPr="00CD29D0">
        <w:rPr>
          <w:lang w:eastAsia="ja-JP"/>
        </w:rPr>
        <w:t xml:space="preserve"> department chairs. All </w:t>
      </w:r>
      <w:r w:rsidR="002E5A0F" w:rsidRPr="00CD29D0">
        <w:rPr>
          <w:lang w:eastAsia="ja-JP"/>
        </w:rPr>
        <w:t>receive stipends for the additional responsibilities</w:t>
      </w:r>
      <w:r w:rsidR="00F229DF" w:rsidRPr="00CD29D0">
        <w:rPr>
          <w:lang w:eastAsia="ja-JP"/>
        </w:rPr>
        <w:t>,</w:t>
      </w:r>
      <w:r w:rsidR="002E5A0F" w:rsidRPr="00CD29D0">
        <w:rPr>
          <w:lang w:eastAsia="ja-JP"/>
        </w:rPr>
        <w:t xml:space="preserve"> and</w:t>
      </w:r>
      <w:r w:rsidR="00F229DF" w:rsidRPr="00CD29D0">
        <w:rPr>
          <w:lang w:eastAsia="ja-JP"/>
        </w:rPr>
        <w:t xml:space="preserve"> all</w:t>
      </w:r>
      <w:r w:rsidR="002E5A0F" w:rsidRPr="00CD29D0">
        <w:rPr>
          <w:lang w:eastAsia="ja-JP"/>
        </w:rPr>
        <w:t xml:space="preserve"> sit on their respective school’s </w:t>
      </w:r>
      <w:r w:rsidR="00F229DF" w:rsidRPr="00CD29D0">
        <w:t>instructional leadership team (</w:t>
      </w:r>
      <w:r w:rsidR="002E5A0F" w:rsidRPr="00CD29D0">
        <w:rPr>
          <w:lang w:eastAsia="ja-JP"/>
        </w:rPr>
        <w:t>ILT</w:t>
      </w:r>
      <w:r w:rsidR="00F229DF" w:rsidRPr="00CD29D0">
        <w:rPr>
          <w:lang w:eastAsia="ja-JP"/>
        </w:rPr>
        <w:t>)</w:t>
      </w:r>
      <w:r w:rsidR="002E5A0F" w:rsidRPr="00CD29D0">
        <w:rPr>
          <w:lang w:eastAsia="ja-JP"/>
        </w:rPr>
        <w:t xml:space="preserve">. </w:t>
      </w:r>
      <w:r w:rsidR="5CDF5584" w:rsidRPr="00C67C68">
        <w:rPr>
          <w:lang w:eastAsia="ja-JP"/>
        </w:rPr>
        <w:t>The representation of teachers from all grade spans on instructional leadership teams is a strength</w:t>
      </w:r>
      <w:r w:rsidR="00A45A08" w:rsidRPr="00C67C68">
        <w:rPr>
          <w:lang w:eastAsia="ja-JP"/>
        </w:rPr>
        <w:t>.</w:t>
      </w:r>
    </w:p>
    <w:p w14:paraId="060D5AE5" w14:textId="4D8FF58C" w:rsidR="002E2CE9" w:rsidRPr="00CD29D0" w:rsidRDefault="00754671" w:rsidP="009C2835">
      <w:pPr>
        <w:pStyle w:val="BodyText"/>
        <w:rPr>
          <w:lang w:eastAsia="ja-JP"/>
        </w:rPr>
      </w:pPr>
      <w:r w:rsidRPr="00CD29D0">
        <w:rPr>
          <w:lang w:eastAsia="ja-JP"/>
        </w:rPr>
        <w:t>L</w:t>
      </w:r>
      <w:r w:rsidR="009752CD" w:rsidRPr="00CD29D0">
        <w:rPr>
          <w:lang w:eastAsia="ja-JP"/>
        </w:rPr>
        <w:t>eaders are in the process of revising the district’s vision</w:t>
      </w:r>
      <w:r w:rsidRPr="00CD29D0">
        <w:rPr>
          <w:lang w:eastAsia="ja-JP"/>
        </w:rPr>
        <w:t xml:space="preserve"> (see Strategic Planning, Implementation, and Monitoring)</w:t>
      </w:r>
      <w:r w:rsidR="003C36CA" w:rsidRPr="00CD29D0">
        <w:rPr>
          <w:lang w:eastAsia="ja-JP"/>
        </w:rPr>
        <w:t xml:space="preserve">. </w:t>
      </w:r>
      <w:r w:rsidRPr="00CD29D0">
        <w:rPr>
          <w:lang w:eastAsia="ja-JP"/>
        </w:rPr>
        <w:t>S</w:t>
      </w:r>
      <w:r w:rsidR="00C20D2E" w:rsidRPr="00CD29D0">
        <w:rPr>
          <w:lang w:eastAsia="ja-JP"/>
        </w:rPr>
        <w:t xml:space="preserve">chool leaders and school staff consistently </w:t>
      </w:r>
      <w:r w:rsidR="004B4069" w:rsidRPr="00CD29D0">
        <w:rPr>
          <w:lang w:eastAsia="ja-JP"/>
        </w:rPr>
        <w:t xml:space="preserve">identified elements of an instructional vision, including implementing HQIM, </w:t>
      </w:r>
      <w:r w:rsidR="00754C83" w:rsidRPr="00CD29D0">
        <w:rPr>
          <w:lang w:eastAsia="ja-JP"/>
        </w:rPr>
        <w:t xml:space="preserve">data-informed instructional practices, </w:t>
      </w:r>
      <w:r w:rsidR="00B400F9" w:rsidRPr="00CD29D0">
        <w:rPr>
          <w:lang w:eastAsia="ja-JP"/>
        </w:rPr>
        <w:t xml:space="preserve">and tiered supports for students through </w:t>
      </w:r>
      <w:r w:rsidRPr="00CD29D0">
        <w:rPr>
          <w:lang w:eastAsia="ja-JP"/>
        </w:rPr>
        <w:t>I</w:t>
      </w:r>
      <w:r w:rsidR="00B400F9" w:rsidRPr="00CD29D0">
        <w:rPr>
          <w:lang w:eastAsia="ja-JP"/>
        </w:rPr>
        <w:t>MTSS.</w:t>
      </w:r>
    </w:p>
    <w:p w14:paraId="2ED89336" w14:textId="2507A07C" w:rsidR="00A45A08" w:rsidRPr="00CD29D0" w:rsidRDefault="002E2CE9" w:rsidP="009C2835">
      <w:pPr>
        <w:pStyle w:val="BodyText"/>
        <w:rPr>
          <w:lang w:eastAsia="ja-JP"/>
        </w:rPr>
      </w:pPr>
      <w:r w:rsidRPr="00CD29D0">
        <w:rPr>
          <w:lang w:eastAsia="ja-JP"/>
        </w:rPr>
        <w:t>D</w:t>
      </w:r>
      <w:r w:rsidR="00D2030B" w:rsidRPr="00CD29D0">
        <w:rPr>
          <w:lang w:eastAsia="ja-JP"/>
        </w:rPr>
        <w:t xml:space="preserve">istrict leaders are </w:t>
      </w:r>
      <w:r w:rsidRPr="00CD29D0">
        <w:rPr>
          <w:lang w:eastAsia="ja-JP"/>
        </w:rPr>
        <w:t xml:space="preserve">also </w:t>
      </w:r>
      <w:r w:rsidR="00D2030B" w:rsidRPr="00CD29D0">
        <w:rPr>
          <w:lang w:eastAsia="ja-JP"/>
        </w:rPr>
        <w:t>developing systems to monitor and continuously improve the district’s instructional priorities</w:t>
      </w:r>
      <w:r w:rsidRPr="00CD29D0">
        <w:rPr>
          <w:lang w:eastAsia="ja-JP"/>
        </w:rPr>
        <w:t xml:space="preserve"> (see Strategic Planning, Implementation, and Monitoring)</w:t>
      </w:r>
      <w:r w:rsidR="00D2030B" w:rsidRPr="00CD29D0">
        <w:rPr>
          <w:lang w:eastAsia="ja-JP"/>
        </w:rPr>
        <w:t xml:space="preserve">. </w:t>
      </w:r>
      <w:r w:rsidR="00674DFF" w:rsidRPr="00CD29D0">
        <w:rPr>
          <w:lang w:eastAsia="ja-JP"/>
        </w:rPr>
        <w:t>Beginning in the 2025</w:t>
      </w:r>
      <w:r w:rsidR="009B0439" w:rsidRPr="00CD29D0">
        <w:rPr>
          <w:lang w:eastAsia="ja-JP"/>
        </w:rPr>
        <w:noBreakHyphen/>
        <w:t>20</w:t>
      </w:r>
      <w:r w:rsidR="00674DFF" w:rsidRPr="00CD29D0">
        <w:rPr>
          <w:lang w:eastAsia="ja-JP"/>
        </w:rPr>
        <w:t>26 school year, district leaders implement</w:t>
      </w:r>
      <w:r w:rsidR="00EB4222" w:rsidRPr="00CD29D0">
        <w:rPr>
          <w:lang w:eastAsia="ja-JP"/>
        </w:rPr>
        <w:t>ed</w:t>
      </w:r>
      <w:r w:rsidR="00674DFF" w:rsidRPr="00CD29D0">
        <w:rPr>
          <w:lang w:eastAsia="ja-JP"/>
        </w:rPr>
        <w:t xml:space="preserve"> learning walks</w:t>
      </w:r>
      <w:r w:rsidR="00BC645B" w:rsidRPr="00CD29D0">
        <w:rPr>
          <w:lang w:eastAsia="ja-JP"/>
        </w:rPr>
        <w:t>, when</w:t>
      </w:r>
      <w:r w:rsidR="00F43E39" w:rsidRPr="00CD29D0">
        <w:rPr>
          <w:lang w:eastAsia="ja-JP"/>
        </w:rPr>
        <w:t xml:space="preserve"> principals have the autonomy to determine the focus and develop the “look-fors” in </w:t>
      </w:r>
      <w:r w:rsidR="007219EB" w:rsidRPr="00CD29D0">
        <w:rPr>
          <w:lang w:eastAsia="ja-JP"/>
        </w:rPr>
        <w:t>the</w:t>
      </w:r>
      <w:r w:rsidR="00F43E39" w:rsidRPr="00CD29D0">
        <w:rPr>
          <w:lang w:eastAsia="ja-JP"/>
        </w:rPr>
        <w:t xml:space="preserve"> observation protocol</w:t>
      </w:r>
      <w:r w:rsidR="00BC645B" w:rsidRPr="00CD29D0">
        <w:rPr>
          <w:lang w:eastAsia="ja-JP"/>
        </w:rPr>
        <w:t>. As noted earlier,</w:t>
      </w:r>
      <w:r w:rsidR="00F43E39" w:rsidRPr="00CD29D0">
        <w:rPr>
          <w:lang w:eastAsia="ja-JP"/>
        </w:rPr>
        <w:t xml:space="preserve"> school leaders appreciated </w:t>
      </w:r>
      <w:r w:rsidR="00BC645B" w:rsidRPr="00CD29D0">
        <w:rPr>
          <w:lang w:eastAsia="ja-JP"/>
        </w:rPr>
        <w:t>that</w:t>
      </w:r>
      <w:r w:rsidR="00F43E39" w:rsidRPr="00CD29D0">
        <w:rPr>
          <w:lang w:eastAsia="ja-JP"/>
        </w:rPr>
        <w:t xml:space="preserve"> feedback is better aligned with their focus areas. So far this year, learning walks have </w:t>
      </w:r>
      <w:r w:rsidR="0038552B" w:rsidRPr="00CD29D0">
        <w:rPr>
          <w:lang w:eastAsia="ja-JP"/>
        </w:rPr>
        <w:t xml:space="preserve">primarily </w:t>
      </w:r>
      <w:r w:rsidR="00F43E39" w:rsidRPr="00CD29D0">
        <w:rPr>
          <w:lang w:eastAsia="ja-JP"/>
        </w:rPr>
        <w:t>focused on student engagement</w:t>
      </w:r>
      <w:r w:rsidR="00A45A08" w:rsidRPr="00CD29D0">
        <w:rPr>
          <w:lang w:eastAsia="ja-JP"/>
        </w:rPr>
        <w:t>.</w:t>
      </w:r>
    </w:p>
    <w:p w14:paraId="4778928C" w14:textId="60854FB5" w:rsidR="00A45A08" w:rsidRPr="00CD29D0" w:rsidRDefault="00840929" w:rsidP="009C2835">
      <w:pPr>
        <w:pStyle w:val="BodyText"/>
        <w:rPr>
          <w:lang w:eastAsia="ja-JP"/>
        </w:rPr>
      </w:pPr>
      <w:r w:rsidRPr="00CD29D0">
        <w:rPr>
          <w:lang w:eastAsia="ja-JP"/>
        </w:rPr>
        <w:t xml:space="preserve">All schools have </w:t>
      </w:r>
      <w:r w:rsidR="0048362B" w:rsidRPr="00CD29D0">
        <w:rPr>
          <w:lang w:eastAsia="ja-JP"/>
        </w:rPr>
        <w:t>ILTs</w:t>
      </w:r>
      <w:r w:rsidRPr="00CD29D0">
        <w:rPr>
          <w:lang w:eastAsia="ja-JP"/>
        </w:rPr>
        <w:t xml:space="preserve"> that guide school priorities and improvement areas</w:t>
      </w:r>
      <w:r w:rsidR="00E5692C" w:rsidRPr="00CD29D0">
        <w:rPr>
          <w:lang w:eastAsia="ja-JP"/>
        </w:rPr>
        <w:t xml:space="preserve">, </w:t>
      </w:r>
      <w:r w:rsidR="0048362B" w:rsidRPr="00CD29D0">
        <w:rPr>
          <w:lang w:eastAsia="ja-JP"/>
        </w:rPr>
        <w:t>not</w:t>
      </w:r>
      <w:r w:rsidR="00E5692C" w:rsidRPr="00CD29D0">
        <w:rPr>
          <w:lang w:eastAsia="ja-JP"/>
        </w:rPr>
        <w:t xml:space="preserve"> just instruction. </w:t>
      </w:r>
      <w:r w:rsidR="006D4C4A" w:rsidRPr="00CD29D0">
        <w:rPr>
          <w:lang w:eastAsia="ja-JP"/>
        </w:rPr>
        <w:t>Each school leadership team meet</w:t>
      </w:r>
      <w:r w:rsidR="0048362B" w:rsidRPr="00CD29D0">
        <w:rPr>
          <w:lang w:eastAsia="ja-JP"/>
        </w:rPr>
        <w:t>s</w:t>
      </w:r>
      <w:r w:rsidR="006D4C4A" w:rsidRPr="00CD29D0">
        <w:rPr>
          <w:lang w:eastAsia="ja-JP"/>
        </w:rPr>
        <w:t xml:space="preserve"> </w:t>
      </w:r>
      <w:r w:rsidR="007D5C69" w:rsidRPr="00CD29D0">
        <w:rPr>
          <w:lang w:eastAsia="ja-JP"/>
        </w:rPr>
        <w:t xml:space="preserve">monthly to discuss </w:t>
      </w:r>
      <w:r w:rsidR="003D01F5" w:rsidRPr="00CD29D0">
        <w:rPr>
          <w:lang w:eastAsia="ja-JP"/>
        </w:rPr>
        <w:t xml:space="preserve">school and department initiatives, </w:t>
      </w:r>
      <w:r w:rsidR="00401A05" w:rsidRPr="00CD29D0">
        <w:rPr>
          <w:lang w:eastAsia="ja-JP"/>
        </w:rPr>
        <w:t>student behavior, social</w:t>
      </w:r>
      <w:r w:rsidR="00216FD2" w:rsidRPr="00CD29D0">
        <w:rPr>
          <w:lang w:eastAsia="ja-JP"/>
        </w:rPr>
        <w:t>-</w:t>
      </w:r>
      <w:r w:rsidR="00401A05" w:rsidRPr="00CD29D0">
        <w:rPr>
          <w:lang w:eastAsia="ja-JP"/>
        </w:rPr>
        <w:t>emotional learning, logistics/updates, and more</w:t>
      </w:r>
      <w:r w:rsidR="00A45A08" w:rsidRPr="00CD29D0">
        <w:rPr>
          <w:lang w:eastAsia="ja-JP"/>
        </w:rPr>
        <w:t>.</w:t>
      </w:r>
    </w:p>
    <w:p w14:paraId="68501147" w14:textId="2D3AE539" w:rsidR="00473308" w:rsidRPr="00CD29D0" w:rsidRDefault="00473308" w:rsidP="009C2835">
      <w:pPr>
        <w:pStyle w:val="Heading3"/>
      </w:pPr>
      <w:r w:rsidRPr="00CD29D0">
        <w:t>C</w:t>
      </w:r>
      <w:r w:rsidR="0037284E" w:rsidRPr="00CD29D0">
        <w:t>urriculum and Instructional Materials</w:t>
      </w:r>
    </w:p>
    <w:p w14:paraId="0C52F31C" w14:textId="25F5C70B" w:rsidR="00A45A08" w:rsidRPr="00CD29D0" w:rsidRDefault="005521C2" w:rsidP="009C2835">
      <w:pPr>
        <w:pStyle w:val="BodyTextposthead"/>
        <w:rPr>
          <w:lang w:eastAsia="ja-JP"/>
        </w:rPr>
      </w:pPr>
      <w:r w:rsidRPr="00C67C68">
        <w:rPr>
          <w:lang w:eastAsia="ja-JP"/>
        </w:rPr>
        <w:t xml:space="preserve">Norton has a </w:t>
      </w:r>
      <w:r w:rsidR="00957F35" w:rsidRPr="00C67C68">
        <w:rPr>
          <w:lang w:eastAsia="ja-JP"/>
        </w:rPr>
        <w:t>well-defined</w:t>
      </w:r>
      <w:r w:rsidRPr="00C67C68">
        <w:rPr>
          <w:lang w:eastAsia="ja-JP"/>
        </w:rPr>
        <w:t xml:space="preserve"> curriculum review and selection process for reviewing curricular materials, a strength of the district. </w:t>
      </w:r>
      <w:r w:rsidR="009C4E83" w:rsidRPr="00CD29D0">
        <w:rPr>
          <w:lang w:eastAsia="ja-JP"/>
        </w:rPr>
        <w:t xml:space="preserve">At the time of the district review, </w:t>
      </w:r>
      <w:r w:rsidR="00640AE6" w:rsidRPr="00CD29D0">
        <w:rPr>
          <w:lang w:eastAsia="ja-JP"/>
        </w:rPr>
        <w:t xml:space="preserve">Norton was in the middle of </w:t>
      </w:r>
      <w:r w:rsidR="00085574" w:rsidRPr="00CD29D0">
        <w:rPr>
          <w:lang w:eastAsia="ja-JP"/>
        </w:rPr>
        <w:t xml:space="preserve">two concurrent reviews: </w:t>
      </w:r>
      <w:r w:rsidR="00B225C5" w:rsidRPr="00CD29D0">
        <w:rPr>
          <w:lang w:eastAsia="ja-JP"/>
        </w:rPr>
        <w:t xml:space="preserve">middle school </w:t>
      </w:r>
      <w:r w:rsidR="00085574" w:rsidRPr="00CD29D0">
        <w:rPr>
          <w:lang w:eastAsia="ja-JP"/>
        </w:rPr>
        <w:t>science</w:t>
      </w:r>
      <w:r w:rsidR="00202542" w:rsidRPr="00CD29D0">
        <w:rPr>
          <w:lang w:eastAsia="ja-JP"/>
        </w:rPr>
        <w:t>,</w:t>
      </w:r>
      <w:r w:rsidR="00085574" w:rsidRPr="00CD29D0">
        <w:rPr>
          <w:lang w:eastAsia="ja-JP"/>
        </w:rPr>
        <w:t xml:space="preserve"> and</w:t>
      </w:r>
      <w:r w:rsidR="00B225C5" w:rsidRPr="00CD29D0">
        <w:rPr>
          <w:lang w:eastAsia="ja-JP"/>
        </w:rPr>
        <w:t xml:space="preserve"> high school mathematics</w:t>
      </w:r>
      <w:r w:rsidR="00085574" w:rsidRPr="00CD29D0">
        <w:rPr>
          <w:lang w:eastAsia="ja-JP"/>
        </w:rPr>
        <w:t xml:space="preserve"> </w:t>
      </w:r>
      <w:r w:rsidR="00D40BF0" w:rsidRPr="00CD29D0">
        <w:rPr>
          <w:lang w:eastAsia="ja-JP"/>
        </w:rPr>
        <w:t>sequencing</w:t>
      </w:r>
      <w:r w:rsidR="00085574" w:rsidRPr="00CD29D0">
        <w:rPr>
          <w:lang w:eastAsia="ja-JP"/>
        </w:rPr>
        <w:t xml:space="preserve"> (</w:t>
      </w:r>
      <w:r w:rsidR="00E841FD" w:rsidRPr="00CD29D0">
        <w:rPr>
          <w:lang w:eastAsia="ja-JP"/>
        </w:rPr>
        <w:t>a</w:t>
      </w:r>
      <w:r w:rsidR="00085574" w:rsidRPr="00CD29D0">
        <w:rPr>
          <w:lang w:eastAsia="ja-JP"/>
        </w:rPr>
        <w:t xml:space="preserve">lgebra, </w:t>
      </w:r>
      <w:r w:rsidR="00E841FD" w:rsidRPr="00CD29D0">
        <w:rPr>
          <w:lang w:eastAsia="ja-JP"/>
        </w:rPr>
        <w:t>g</w:t>
      </w:r>
      <w:r w:rsidR="00085574" w:rsidRPr="00CD29D0">
        <w:rPr>
          <w:lang w:eastAsia="ja-JP"/>
        </w:rPr>
        <w:t xml:space="preserve">eometry, </w:t>
      </w:r>
      <w:r w:rsidR="00E841FD" w:rsidRPr="00CD29D0">
        <w:rPr>
          <w:lang w:eastAsia="ja-JP"/>
        </w:rPr>
        <w:t>a</w:t>
      </w:r>
      <w:r w:rsidR="00085574" w:rsidRPr="00CD29D0">
        <w:rPr>
          <w:lang w:eastAsia="ja-JP"/>
        </w:rPr>
        <w:t>lgebra)</w:t>
      </w:r>
      <w:r w:rsidR="00A45A08" w:rsidRPr="00CD29D0">
        <w:rPr>
          <w:lang w:eastAsia="ja-JP"/>
        </w:rPr>
        <w:t>.</w:t>
      </w:r>
    </w:p>
    <w:p w14:paraId="13A98F8E" w14:textId="26B607B8" w:rsidR="00D35731" w:rsidRPr="00CD29D0" w:rsidRDefault="009872F7" w:rsidP="009C2835">
      <w:pPr>
        <w:pStyle w:val="BodyText"/>
        <w:rPr>
          <w:lang w:eastAsia="ja-JP"/>
        </w:rPr>
      </w:pPr>
      <w:r w:rsidRPr="00CD29D0">
        <w:rPr>
          <w:lang w:eastAsia="ja-JP"/>
        </w:rPr>
        <w:t xml:space="preserve">According to district leaders, </w:t>
      </w:r>
      <w:r w:rsidR="00B515B4" w:rsidRPr="00CD29D0">
        <w:rPr>
          <w:lang w:eastAsia="ja-JP"/>
        </w:rPr>
        <w:t>a</w:t>
      </w:r>
      <w:r w:rsidR="001872CB" w:rsidRPr="00CD29D0">
        <w:rPr>
          <w:lang w:eastAsia="ja-JP"/>
        </w:rPr>
        <w:t xml:space="preserve"> curriculum council leads this </w:t>
      </w:r>
      <w:r w:rsidR="00B515B4" w:rsidRPr="00CD29D0">
        <w:rPr>
          <w:lang w:eastAsia="ja-JP"/>
        </w:rPr>
        <w:t xml:space="preserve">review and selection </w:t>
      </w:r>
      <w:r w:rsidR="001872CB" w:rsidRPr="00CD29D0">
        <w:rPr>
          <w:lang w:eastAsia="ja-JP"/>
        </w:rPr>
        <w:t xml:space="preserve">process. </w:t>
      </w:r>
      <w:r w:rsidR="007D46AF" w:rsidRPr="00CD29D0">
        <w:rPr>
          <w:lang w:eastAsia="ja-JP"/>
        </w:rPr>
        <w:t xml:space="preserve">Participating </w:t>
      </w:r>
      <w:r w:rsidR="00BC734A" w:rsidRPr="00CD29D0">
        <w:rPr>
          <w:lang w:eastAsia="ja-JP"/>
        </w:rPr>
        <w:t>in</w:t>
      </w:r>
      <w:r w:rsidR="007D46AF" w:rsidRPr="00CD29D0">
        <w:rPr>
          <w:lang w:eastAsia="ja-JP"/>
        </w:rPr>
        <w:t xml:space="preserve"> the curriculum council is open to all relevant staff</w:t>
      </w:r>
      <w:r w:rsidR="0003409A" w:rsidRPr="00CD29D0">
        <w:rPr>
          <w:lang w:eastAsia="ja-JP"/>
        </w:rPr>
        <w:t>.</w:t>
      </w:r>
      <w:r w:rsidR="007D46AF" w:rsidRPr="00CD29D0">
        <w:rPr>
          <w:lang w:eastAsia="ja-JP"/>
        </w:rPr>
        <w:t xml:space="preserve"> </w:t>
      </w:r>
      <w:r w:rsidR="0003409A" w:rsidRPr="00CD29D0">
        <w:rPr>
          <w:lang w:eastAsia="ja-JP"/>
        </w:rPr>
        <w:t>Invitations are sent via</w:t>
      </w:r>
      <w:r w:rsidR="007D46AF" w:rsidRPr="00CD29D0">
        <w:rPr>
          <w:lang w:eastAsia="ja-JP"/>
        </w:rPr>
        <w:t xml:space="preserve"> email to join a</w:t>
      </w:r>
      <w:r w:rsidR="00656E27" w:rsidRPr="00CD29D0">
        <w:rPr>
          <w:lang w:eastAsia="ja-JP"/>
        </w:rPr>
        <w:t xml:space="preserve"> </w:t>
      </w:r>
      <w:r w:rsidR="00554D2A" w:rsidRPr="00CD29D0">
        <w:rPr>
          <w:lang w:eastAsia="ja-JP"/>
        </w:rPr>
        <w:t>Google Meet</w:t>
      </w:r>
      <w:r w:rsidR="0003409A" w:rsidRPr="00CD29D0">
        <w:rPr>
          <w:lang w:eastAsia="ja-JP"/>
        </w:rPr>
        <w:t>,</w:t>
      </w:r>
      <w:r w:rsidR="00554D2A" w:rsidRPr="00CD29D0">
        <w:rPr>
          <w:lang w:eastAsia="ja-JP"/>
        </w:rPr>
        <w:t xml:space="preserve"> </w:t>
      </w:r>
      <w:r w:rsidR="0003409A" w:rsidRPr="00CD29D0">
        <w:rPr>
          <w:lang w:eastAsia="ja-JP"/>
        </w:rPr>
        <w:t xml:space="preserve">during which time </w:t>
      </w:r>
      <w:r w:rsidR="00554D2A" w:rsidRPr="00CD29D0">
        <w:rPr>
          <w:lang w:eastAsia="ja-JP"/>
        </w:rPr>
        <w:t xml:space="preserve">interested staff can learn more about the </w:t>
      </w:r>
      <w:r w:rsidR="0003409A" w:rsidRPr="00CD29D0">
        <w:rPr>
          <w:lang w:eastAsia="ja-JP"/>
        </w:rPr>
        <w:t>council</w:t>
      </w:r>
      <w:r w:rsidR="00554D2A" w:rsidRPr="00CD29D0">
        <w:rPr>
          <w:lang w:eastAsia="ja-JP"/>
        </w:rPr>
        <w:t xml:space="preserve"> and ask questions. All staff who </w:t>
      </w:r>
      <w:r w:rsidR="00CE2019" w:rsidRPr="00CD29D0">
        <w:rPr>
          <w:lang w:eastAsia="ja-JP"/>
        </w:rPr>
        <w:t xml:space="preserve">agree to participate </w:t>
      </w:r>
      <w:r w:rsidR="00BC734A" w:rsidRPr="00CD29D0">
        <w:rPr>
          <w:lang w:eastAsia="ja-JP"/>
        </w:rPr>
        <w:t>in</w:t>
      </w:r>
      <w:r w:rsidR="00CE2019" w:rsidRPr="00CD29D0">
        <w:rPr>
          <w:lang w:eastAsia="ja-JP"/>
        </w:rPr>
        <w:t xml:space="preserve"> the </w:t>
      </w:r>
      <w:r w:rsidR="0003409A" w:rsidRPr="00CD29D0">
        <w:rPr>
          <w:lang w:eastAsia="ja-JP"/>
        </w:rPr>
        <w:t xml:space="preserve">council </w:t>
      </w:r>
      <w:r w:rsidR="00CE2019" w:rsidRPr="00CD29D0">
        <w:rPr>
          <w:lang w:eastAsia="ja-JP"/>
        </w:rPr>
        <w:t xml:space="preserve">receive </w:t>
      </w:r>
      <w:r w:rsidR="003D3FCE" w:rsidRPr="00CD29D0">
        <w:rPr>
          <w:lang w:eastAsia="ja-JP"/>
        </w:rPr>
        <w:t>Lancer credits</w:t>
      </w:r>
      <w:r w:rsidR="00CE2019" w:rsidRPr="00CD29D0">
        <w:rPr>
          <w:lang w:eastAsia="ja-JP"/>
        </w:rPr>
        <w:t xml:space="preserve"> for their time</w:t>
      </w:r>
      <w:r w:rsidR="008A7E34" w:rsidRPr="00CD29D0">
        <w:rPr>
          <w:lang w:eastAsia="ja-JP"/>
        </w:rPr>
        <w:t>, which are in-district professional development credits that allow staff members to advance</w:t>
      </w:r>
      <w:r w:rsidR="0003409A" w:rsidRPr="00CD29D0">
        <w:rPr>
          <w:lang w:eastAsia="ja-JP"/>
        </w:rPr>
        <w:t xml:space="preserve"> on</w:t>
      </w:r>
      <w:r w:rsidR="008A7E34" w:rsidRPr="00CD29D0">
        <w:rPr>
          <w:lang w:eastAsia="ja-JP"/>
        </w:rPr>
        <w:t xml:space="preserve"> the salary scale</w:t>
      </w:r>
      <w:r w:rsidR="00CE2019" w:rsidRPr="00CD29D0">
        <w:rPr>
          <w:lang w:eastAsia="ja-JP"/>
        </w:rPr>
        <w:t xml:space="preserve">. </w:t>
      </w:r>
      <w:r w:rsidR="00B515B4" w:rsidRPr="00CD29D0">
        <w:rPr>
          <w:lang w:eastAsia="ja-JP"/>
        </w:rPr>
        <w:t>The c</w:t>
      </w:r>
      <w:r w:rsidR="00CE2019" w:rsidRPr="00CD29D0">
        <w:rPr>
          <w:lang w:eastAsia="ja-JP"/>
        </w:rPr>
        <w:t xml:space="preserve">urriculum </w:t>
      </w:r>
      <w:r w:rsidR="00B515B4" w:rsidRPr="00CD29D0">
        <w:rPr>
          <w:lang w:eastAsia="ja-JP"/>
        </w:rPr>
        <w:t xml:space="preserve">council </w:t>
      </w:r>
      <w:r w:rsidR="00CE2019" w:rsidRPr="00CD29D0">
        <w:rPr>
          <w:lang w:eastAsia="ja-JP"/>
        </w:rPr>
        <w:t>typically meet</w:t>
      </w:r>
      <w:r w:rsidR="00B515B4" w:rsidRPr="00CD29D0">
        <w:rPr>
          <w:lang w:eastAsia="ja-JP"/>
        </w:rPr>
        <w:t>s</w:t>
      </w:r>
      <w:r w:rsidR="00CE2019" w:rsidRPr="00CD29D0">
        <w:rPr>
          <w:lang w:eastAsia="ja-JP"/>
        </w:rPr>
        <w:t xml:space="preserve"> monthly</w:t>
      </w:r>
      <w:r w:rsidR="00B515B4" w:rsidRPr="00CD29D0">
        <w:rPr>
          <w:lang w:eastAsia="ja-JP"/>
        </w:rPr>
        <w:t xml:space="preserve"> to</w:t>
      </w:r>
      <w:r w:rsidR="00CE2019" w:rsidRPr="00CD29D0">
        <w:rPr>
          <w:lang w:eastAsia="ja-JP"/>
        </w:rPr>
        <w:t xml:space="preserve"> develop </w:t>
      </w:r>
      <w:r w:rsidR="00102A33" w:rsidRPr="00CD29D0">
        <w:rPr>
          <w:lang w:eastAsia="ja-JP"/>
        </w:rPr>
        <w:t xml:space="preserve">the vision </w:t>
      </w:r>
      <w:r w:rsidR="00B01A32" w:rsidRPr="00CD29D0">
        <w:rPr>
          <w:lang w:eastAsia="ja-JP"/>
        </w:rPr>
        <w:t>for instruction in the relevant area. A district leader described:</w:t>
      </w:r>
    </w:p>
    <w:p w14:paraId="1DE415EF" w14:textId="6D1B850C" w:rsidR="00B01A32" w:rsidRPr="00CD29D0" w:rsidRDefault="00A6205B" w:rsidP="009C2835">
      <w:pPr>
        <w:pStyle w:val="BodyTextIndent"/>
        <w:keepNext/>
        <w:keepLines/>
      </w:pPr>
      <w:r w:rsidRPr="00CD29D0">
        <w:t>So</w:t>
      </w:r>
      <w:r w:rsidR="00B515B4" w:rsidRPr="00CD29D0">
        <w:t>,</w:t>
      </w:r>
      <w:r w:rsidRPr="00CD29D0">
        <w:t xml:space="preserve"> the first step in the process was to craft a series of visioning questions. So</w:t>
      </w:r>
      <w:r w:rsidR="00B515B4" w:rsidRPr="00CD29D0">
        <w:t>,</w:t>
      </w:r>
      <w:r w:rsidRPr="00CD29D0">
        <w:t xml:space="preserve"> what do we value in this area of education for Norton Public Schools? What do we expect and what do we want our students to know? What are the high values that our teachers have? And then from that, we put together a vision statement.</w:t>
      </w:r>
    </w:p>
    <w:p w14:paraId="0A9D4C78" w14:textId="68B6B39D" w:rsidR="00A45A08" w:rsidRPr="00CD29D0" w:rsidRDefault="00B515B4" w:rsidP="009C2835">
      <w:pPr>
        <w:pStyle w:val="BodyText"/>
        <w:rPr>
          <w:lang w:eastAsia="ja-JP"/>
        </w:rPr>
      </w:pPr>
      <w:r w:rsidRPr="00CD29D0">
        <w:rPr>
          <w:lang w:eastAsia="ja-JP"/>
        </w:rPr>
        <w:t xml:space="preserve">After developing </w:t>
      </w:r>
      <w:r w:rsidR="003504AE" w:rsidRPr="00CD29D0">
        <w:rPr>
          <w:lang w:eastAsia="ja-JP"/>
        </w:rPr>
        <w:t xml:space="preserve">the vision statement, </w:t>
      </w:r>
      <w:r w:rsidR="00A52181" w:rsidRPr="00CD29D0">
        <w:rPr>
          <w:lang w:eastAsia="ja-JP"/>
        </w:rPr>
        <w:t xml:space="preserve">the </w:t>
      </w:r>
      <w:r w:rsidR="008249AD" w:rsidRPr="00CD29D0">
        <w:rPr>
          <w:lang w:eastAsia="ja-JP"/>
        </w:rPr>
        <w:t xml:space="preserve">council </w:t>
      </w:r>
      <w:r w:rsidR="00A52181" w:rsidRPr="00CD29D0">
        <w:rPr>
          <w:lang w:eastAsia="ja-JP"/>
        </w:rPr>
        <w:t>review</w:t>
      </w:r>
      <w:r w:rsidRPr="00CD29D0">
        <w:rPr>
          <w:lang w:eastAsia="ja-JP"/>
        </w:rPr>
        <w:t>s</w:t>
      </w:r>
      <w:r w:rsidR="00A52181" w:rsidRPr="00CD29D0">
        <w:rPr>
          <w:lang w:eastAsia="ja-JP"/>
        </w:rPr>
        <w:t xml:space="preserve"> EdReports, CURATE, </w:t>
      </w:r>
      <w:r w:rsidR="00B82F56" w:rsidRPr="00CD29D0">
        <w:rPr>
          <w:lang w:eastAsia="ja-JP"/>
        </w:rPr>
        <w:t xml:space="preserve">or </w:t>
      </w:r>
      <w:r w:rsidR="005677C5" w:rsidRPr="00CD29D0">
        <w:rPr>
          <w:lang w:eastAsia="ja-JP"/>
        </w:rPr>
        <w:t>Next Generation Science Standards</w:t>
      </w:r>
      <w:r w:rsidR="008249AD" w:rsidRPr="00CD29D0">
        <w:rPr>
          <w:lang w:eastAsia="ja-JP"/>
        </w:rPr>
        <w:t xml:space="preserve"> (NGSS</w:t>
      </w:r>
      <w:r w:rsidR="005677C5" w:rsidRPr="00CD29D0">
        <w:rPr>
          <w:lang w:eastAsia="ja-JP"/>
        </w:rPr>
        <w:t>)</w:t>
      </w:r>
      <w:r w:rsidR="00800BD5" w:rsidRPr="00CD29D0">
        <w:rPr>
          <w:lang w:eastAsia="ja-JP"/>
        </w:rPr>
        <w:t xml:space="preserve"> as a barometer </w:t>
      </w:r>
      <w:r w:rsidR="00F31CEC" w:rsidRPr="00CD29D0">
        <w:rPr>
          <w:lang w:eastAsia="ja-JP"/>
        </w:rPr>
        <w:t>for potential curricular programs.</w:t>
      </w:r>
      <w:r w:rsidR="00DC6BEC" w:rsidRPr="00CD29D0">
        <w:rPr>
          <w:lang w:eastAsia="ja-JP"/>
        </w:rPr>
        <w:t xml:space="preserve"> </w:t>
      </w:r>
      <w:r w:rsidR="008249AD" w:rsidRPr="00CD29D0">
        <w:rPr>
          <w:lang w:eastAsia="ja-JP"/>
        </w:rPr>
        <w:t>T</w:t>
      </w:r>
      <w:r w:rsidR="00DC6BEC" w:rsidRPr="00CD29D0">
        <w:rPr>
          <w:lang w:eastAsia="ja-JP"/>
        </w:rPr>
        <w:t xml:space="preserve">o be considered by the </w:t>
      </w:r>
      <w:r w:rsidR="008249AD" w:rsidRPr="00CD29D0">
        <w:rPr>
          <w:lang w:eastAsia="ja-JP"/>
        </w:rPr>
        <w:t xml:space="preserve">council </w:t>
      </w:r>
      <w:r w:rsidR="00DC6BEC" w:rsidRPr="00CD29D0">
        <w:rPr>
          <w:lang w:eastAsia="ja-JP"/>
        </w:rPr>
        <w:t xml:space="preserve">for adoption, programs must </w:t>
      </w:r>
      <w:r w:rsidR="00A34691">
        <w:rPr>
          <w:lang w:eastAsia="ja-JP"/>
        </w:rPr>
        <w:t xml:space="preserve">at least </w:t>
      </w:r>
      <w:r w:rsidR="00DC6BEC" w:rsidRPr="00CD29D0">
        <w:rPr>
          <w:lang w:eastAsia="ja-JP"/>
        </w:rPr>
        <w:t xml:space="preserve">partially meet expectations according to these </w:t>
      </w:r>
      <w:r w:rsidR="00DC6BEC" w:rsidRPr="00CD29D0">
        <w:rPr>
          <w:lang w:eastAsia="ja-JP"/>
        </w:rPr>
        <w:lastRenderedPageBreak/>
        <w:t xml:space="preserve">resources. </w:t>
      </w:r>
      <w:r w:rsidR="000D2110" w:rsidRPr="00CD29D0">
        <w:rPr>
          <w:lang w:eastAsia="ja-JP"/>
        </w:rPr>
        <w:t xml:space="preserve">After the </w:t>
      </w:r>
      <w:r w:rsidR="008249AD" w:rsidRPr="00CD29D0">
        <w:rPr>
          <w:lang w:eastAsia="ja-JP"/>
        </w:rPr>
        <w:t xml:space="preserve">council </w:t>
      </w:r>
      <w:r w:rsidR="000D2110" w:rsidRPr="00CD29D0">
        <w:rPr>
          <w:lang w:eastAsia="ja-JP"/>
        </w:rPr>
        <w:t>identifies programs of interest</w:t>
      </w:r>
      <w:r w:rsidR="00A23F9F" w:rsidRPr="00CD29D0">
        <w:rPr>
          <w:lang w:eastAsia="ja-JP"/>
        </w:rPr>
        <w:t xml:space="preserve">, </w:t>
      </w:r>
      <w:r w:rsidR="008249AD" w:rsidRPr="00CD29D0">
        <w:rPr>
          <w:lang w:eastAsia="ja-JP"/>
        </w:rPr>
        <w:t>it</w:t>
      </w:r>
      <w:r w:rsidR="00A23F9F" w:rsidRPr="00CD29D0">
        <w:rPr>
          <w:lang w:eastAsia="ja-JP"/>
        </w:rPr>
        <w:t xml:space="preserve"> learn</w:t>
      </w:r>
      <w:r w:rsidR="007A3D01" w:rsidRPr="00CD29D0">
        <w:rPr>
          <w:lang w:eastAsia="ja-JP"/>
        </w:rPr>
        <w:t>s</w:t>
      </w:r>
      <w:r w:rsidR="00A23F9F" w:rsidRPr="00CD29D0">
        <w:rPr>
          <w:lang w:eastAsia="ja-JP"/>
        </w:rPr>
        <w:t xml:space="preserve"> more about the programs. Whenever possible, this process includes </w:t>
      </w:r>
      <w:r w:rsidR="00587394" w:rsidRPr="00CD29D0">
        <w:rPr>
          <w:lang w:eastAsia="ja-JP"/>
        </w:rPr>
        <w:t xml:space="preserve">conducting site visits to nearby schools already implementing the program to see it in action. This process </w:t>
      </w:r>
      <w:r w:rsidR="006A2389" w:rsidRPr="00CD29D0">
        <w:rPr>
          <w:lang w:eastAsia="ja-JP"/>
        </w:rPr>
        <w:t>narrow</w:t>
      </w:r>
      <w:r w:rsidR="007A3D01" w:rsidRPr="00CD29D0">
        <w:rPr>
          <w:lang w:eastAsia="ja-JP"/>
        </w:rPr>
        <w:t>s</w:t>
      </w:r>
      <w:r w:rsidR="006A2389" w:rsidRPr="00CD29D0">
        <w:rPr>
          <w:lang w:eastAsia="ja-JP"/>
        </w:rPr>
        <w:t xml:space="preserve"> </w:t>
      </w:r>
      <w:r w:rsidR="007A3D01" w:rsidRPr="00CD29D0">
        <w:rPr>
          <w:lang w:eastAsia="ja-JP"/>
        </w:rPr>
        <w:t xml:space="preserve">all possibilities </w:t>
      </w:r>
      <w:r w:rsidR="006A2389" w:rsidRPr="00CD29D0">
        <w:rPr>
          <w:lang w:eastAsia="ja-JP"/>
        </w:rPr>
        <w:t>to two potential programs</w:t>
      </w:r>
      <w:r w:rsidR="007A3D01" w:rsidRPr="00CD29D0">
        <w:rPr>
          <w:lang w:eastAsia="ja-JP"/>
        </w:rPr>
        <w:t xml:space="preserve">; </w:t>
      </w:r>
      <w:r w:rsidR="00FB6555" w:rsidRPr="00CD29D0">
        <w:rPr>
          <w:lang w:eastAsia="ja-JP"/>
        </w:rPr>
        <w:t>teachers</w:t>
      </w:r>
      <w:r w:rsidR="007A3D01" w:rsidRPr="00CD29D0">
        <w:rPr>
          <w:lang w:eastAsia="ja-JP"/>
        </w:rPr>
        <w:t xml:space="preserve"> then</w:t>
      </w:r>
      <w:r w:rsidR="006A2389" w:rsidRPr="00CD29D0">
        <w:rPr>
          <w:lang w:eastAsia="ja-JP"/>
        </w:rPr>
        <w:t xml:space="preserve"> field</w:t>
      </w:r>
      <w:r w:rsidR="007A3D01" w:rsidRPr="00CD29D0">
        <w:rPr>
          <w:lang w:eastAsia="ja-JP"/>
        </w:rPr>
        <w:t>-</w:t>
      </w:r>
      <w:r w:rsidR="006A2389" w:rsidRPr="00CD29D0">
        <w:rPr>
          <w:lang w:eastAsia="ja-JP"/>
        </w:rPr>
        <w:t>test</w:t>
      </w:r>
      <w:r w:rsidR="00FB6555" w:rsidRPr="00CD29D0">
        <w:rPr>
          <w:lang w:eastAsia="ja-JP"/>
        </w:rPr>
        <w:t xml:space="preserve"> both programs </w:t>
      </w:r>
      <w:r w:rsidR="006A2389" w:rsidRPr="00CD29D0">
        <w:rPr>
          <w:lang w:eastAsia="ja-JP"/>
        </w:rPr>
        <w:t xml:space="preserve">for </w:t>
      </w:r>
      <w:r w:rsidR="007A3D01" w:rsidRPr="00CD29D0">
        <w:rPr>
          <w:lang w:eastAsia="ja-JP"/>
        </w:rPr>
        <w:t>three to four</w:t>
      </w:r>
      <w:r w:rsidR="006A2389" w:rsidRPr="00CD29D0">
        <w:rPr>
          <w:lang w:eastAsia="ja-JP"/>
        </w:rPr>
        <w:t xml:space="preserve"> weeks</w:t>
      </w:r>
      <w:r w:rsidR="00FB6555" w:rsidRPr="00CD29D0">
        <w:rPr>
          <w:lang w:eastAsia="ja-JP"/>
        </w:rPr>
        <w:t xml:space="preserve">. </w:t>
      </w:r>
      <w:r w:rsidR="007A3D01" w:rsidRPr="00CD29D0">
        <w:rPr>
          <w:lang w:eastAsia="ja-JP"/>
        </w:rPr>
        <w:t xml:space="preserve">After that test, </w:t>
      </w:r>
      <w:r w:rsidR="008303E4" w:rsidRPr="00CD29D0">
        <w:rPr>
          <w:lang w:eastAsia="ja-JP"/>
        </w:rPr>
        <w:t xml:space="preserve">the district sends out teacher and student surveys to get their input on the </w:t>
      </w:r>
      <w:r w:rsidR="007A3D01" w:rsidRPr="00CD29D0">
        <w:rPr>
          <w:lang w:eastAsia="ja-JP"/>
        </w:rPr>
        <w:t xml:space="preserve">two </w:t>
      </w:r>
      <w:r w:rsidR="008303E4" w:rsidRPr="00CD29D0">
        <w:rPr>
          <w:lang w:eastAsia="ja-JP"/>
        </w:rPr>
        <w:t>programs</w:t>
      </w:r>
      <w:r w:rsidR="007A3D01" w:rsidRPr="00CD29D0">
        <w:rPr>
          <w:lang w:eastAsia="ja-JP"/>
        </w:rPr>
        <w:t xml:space="preserve">. The council considers </w:t>
      </w:r>
      <w:r w:rsidR="007A52BF" w:rsidRPr="00CD29D0">
        <w:rPr>
          <w:lang w:eastAsia="ja-JP"/>
        </w:rPr>
        <w:t xml:space="preserve">this feedback </w:t>
      </w:r>
      <w:r w:rsidR="007A3D01" w:rsidRPr="00CD29D0">
        <w:rPr>
          <w:lang w:eastAsia="ja-JP"/>
        </w:rPr>
        <w:t>during the</w:t>
      </w:r>
      <w:r w:rsidR="007A52BF" w:rsidRPr="00CD29D0">
        <w:rPr>
          <w:lang w:eastAsia="ja-JP"/>
        </w:rPr>
        <w:t xml:space="preserve"> final selection. </w:t>
      </w:r>
      <w:r w:rsidR="00BF78BA" w:rsidRPr="00CD29D0">
        <w:rPr>
          <w:lang w:eastAsia="ja-JP"/>
        </w:rPr>
        <w:t xml:space="preserve">This selection is then recommended to the school committee for purchase approval. </w:t>
      </w:r>
      <w:r w:rsidR="00056FDB" w:rsidRPr="00CD29D0">
        <w:rPr>
          <w:lang w:eastAsia="ja-JP"/>
        </w:rPr>
        <w:t>T</w:t>
      </w:r>
      <w:r w:rsidR="0043128C" w:rsidRPr="00CD29D0">
        <w:rPr>
          <w:lang w:eastAsia="ja-JP"/>
        </w:rPr>
        <w:t xml:space="preserve">he district is planning to present their final </w:t>
      </w:r>
      <w:r w:rsidR="00056FDB" w:rsidRPr="00CD29D0">
        <w:rPr>
          <w:lang w:eastAsia="ja-JP"/>
        </w:rPr>
        <w:t xml:space="preserve">current </w:t>
      </w:r>
      <w:r w:rsidR="0043128C" w:rsidRPr="00CD29D0">
        <w:rPr>
          <w:lang w:eastAsia="ja-JP"/>
        </w:rPr>
        <w:t>recommendations to the school committee during the May 6 meeting</w:t>
      </w:r>
      <w:r w:rsidR="00056FDB" w:rsidRPr="00CD29D0">
        <w:rPr>
          <w:lang w:eastAsia="ja-JP"/>
        </w:rPr>
        <w:t>,</w:t>
      </w:r>
      <w:r w:rsidR="0043128C" w:rsidRPr="00CD29D0">
        <w:rPr>
          <w:lang w:eastAsia="ja-JP"/>
        </w:rPr>
        <w:t xml:space="preserve"> </w:t>
      </w:r>
      <w:r w:rsidR="00056FDB" w:rsidRPr="00CD29D0">
        <w:rPr>
          <w:lang w:eastAsia="ja-JP"/>
        </w:rPr>
        <w:t>allowing</w:t>
      </w:r>
      <w:r w:rsidR="00536CBB" w:rsidRPr="00CD29D0">
        <w:rPr>
          <w:lang w:eastAsia="ja-JP"/>
        </w:rPr>
        <w:t xml:space="preserve"> time to purchase and receive the materials and provide staff with professional development </w:t>
      </w:r>
      <w:r w:rsidR="002063A1" w:rsidRPr="00CD29D0">
        <w:rPr>
          <w:lang w:eastAsia="ja-JP"/>
        </w:rPr>
        <w:t>prior to the start of the 2026</w:t>
      </w:r>
      <w:r w:rsidR="009C2835" w:rsidRPr="00CD29D0">
        <w:rPr>
          <w:lang w:eastAsia="ja-JP"/>
        </w:rPr>
        <w:noBreakHyphen/>
      </w:r>
      <w:r w:rsidR="00056FDB" w:rsidRPr="00CD29D0">
        <w:rPr>
          <w:lang w:eastAsia="ja-JP"/>
        </w:rPr>
        <w:t>20</w:t>
      </w:r>
      <w:r w:rsidR="002063A1" w:rsidRPr="00CD29D0">
        <w:rPr>
          <w:lang w:eastAsia="ja-JP"/>
        </w:rPr>
        <w:t>27 school year</w:t>
      </w:r>
      <w:r w:rsidR="00A45A08" w:rsidRPr="00CD29D0">
        <w:rPr>
          <w:lang w:eastAsia="ja-JP"/>
        </w:rPr>
        <w:t>.</w:t>
      </w:r>
    </w:p>
    <w:p w14:paraId="7BC3F9B4" w14:textId="71811D5D" w:rsidR="007235B9" w:rsidRPr="00CD29D0" w:rsidRDefault="00A64112" w:rsidP="009C2835">
      <w:pPr>
        <w:pStyle w:val="BodyText"/>
        <w:rPr>
          <w:lang w:eastAsia="ja-JP"/>
        </w:rPr>
      </w:pPr>
      <w:r w:rsidRPr="00CD29D0">
        <w:rPr>
          <w:lang w:eastAsia="ja-JP"/>
        </w:rPr>
        <w:t xml:space="preserve">When possible, district leaders </w:t>
      </w:r>
      <w:r w:rsidR="00D62382" w:rsidRPr="00CD29D0">
        <w:rPr>
          <w:lang w:eastAsia="ja-JP"/>
        </w:rPr>
        <w:t xml:space="preserve">give </w:t>
      </w:r>
      <w:r w:rsidR="008B7E85" w:rsidRPr="00CD29D0">
        <w:rPr>
          <w:lang w:eastAsia="ja-JP"/>
        </w:rPr>
        <w:t xml:space="preserve">teaching </w:t>
      </w:r>
      <w:r w:rsidR="00D62382" w:rsidRPr="00CD29D0">
        <w:rPr>
          <w:lang w:eastAsia="ja-JP"/>
        </w:rPr>
        <w:t xml:space="preserve">staff a basic overview of the new curricular materials in </w:t>
      </w:r>
      <w:r w:rsidR="00857883" w:rsidRPr="00CD29D0">
        <w:rPr>
          <w:lang w:eastAsia="ja-JP"/>
        </w:rPr>
        <w:t>the spring</w:t>
      </w:r>
      <w:r w:rsidR="008B7E85" w:rsidRPr="00CD29D0">
        <w:rPr>
          <w:lang w:eastAsia="ja-JP"/>
        </w:rPr>
        <w:t>,</w:t>
      </w:r>
      <w:r w:rsidR="00D824DC" w:rsidRPr="00CD29D0">
        <w:rPr>
          <w:lang w:eastAsia="ja-JP"/>
        </w:rPr>
        <w:t xml:space="preserve"> so that teachers can explor</w:t>
      </w:r>
      <w:r w:rsidR="008B7E85" w:rsidRPr="00CD29D0">
        <w:rPr>
          <w:lang w:eastAsia="ja-JP"/>
        </w:rPr>
        <w:t>e</w:t>
      </w:r>
      <w:r w:rsidR="00D824DC" w:rsidRPr="00CD29D0">
        <w:rPr>
          <w:lang w:eastAsia="ja-JP"/>
        </w:rPr>
        <w:t xml:space="preserve"> the content over the summer. </w:t>
      </w:r>
      <w:r w:rsidR="007235B9" w:rsidRPr="00CD29D0">
        <w:rPr>
          <w:lang w:eastAsia="ja-JP"/>
        </w:rPr>
        <w:t>Additionally</w:t>
      </w:r>
      <w:r w:rsidR="008B7E85" w:rsidRPr="00CD29D0">
        <w:rPr>
          <w:lang w:eastAsia="ja-JP"/>
        </w:rPr>
        <w:t xml:space="preserve"> over the summer</w:t>
      </w:r>
      <w:r w:rsidR="007235B9" w:rsidRPr="00CD29D0">
        <w:rPr>
          <w:lang w:eastAsia="ja-JP"/>
        </w:rPr>
        <w:t xml:space="preserve">, </w:t>
      </w:r>
      <w:r w:rsidR="00987A5A" w:rsidRPr="00CD29D0">
        <w:rPr>
          <w:lang w:eastAsia="ja-JP"/>
        </w:rPr>
        <w:t xml:space="preserve">the district </w:t>
      </w:r>
      <w:r w:rsidR="0011581D" w:rsidRPr="00CD29D0">
        <w:rPr>
          <w:lang w:eastAsia="ja-JP"/>
        </w:rPr>
        <w:t xml:space="preserve">convenes a group of staff to </w:t>
      </w:r>
      <w:r w:rsidR="000F499D" w:rsidRPr="00CD29D0">
        <w:rPr>
          <w:lang w:eastAsia="ja-JP"/>
        </w:rPr>
        <w:t xml:space="preserve">review the new curricula and </w:t>
      </w:r>
      <w:r w:rsidR="0011581D" w:rsidRPr="00CD29D0">
        <w:rPr>
          <w:lang w:eastAsia="ja-JP"/>
        </w:rPr>
        <w:t xml:space="preserve">develop curriculum maps </w:t>
      </w:r>
      <w:r w:rsidR="00A84322" w:rsidRPr="00CD29D0">
        <w:rPr>
          <w:lang w:eastAsia="ja-JP"/>
        </w:rPr>
        <w:t>that</w:t>
      </w:r>
      <w:r w:rsidR="008B7E85" w:rsidRPr="00CD29D0">
        <w:rPr>
          <w:lang w:eastAsia="ja-JP"/>
        </w:rPr>
        <w:t xml:space="preserve"> will</w:t>
      </w:r>
      <w:r w:rsidR="00A84322" w:rsidRPr="00CD29D0">
        <w:rPr>
          <w:lang w:eastAsia="ja-JP"/>
        </w:rPr>
        <w:t xml:space="preserve"> support</w:t>
      </w:r>
      <w:r w:rsidR="00AE4B7A" w:rsidRPr="00CD29D0">
        <w:rPr>
          <w:lang w:eastAsia="ja-JP"/>
        </w:rPr>
        <w:t xml:space="preserve"> teachers</w:t>
      </w:r>
      <w:r w:rsidR="00A84322" w:rsidRPr="00CD29D0">
        <w:rPr>
          <w:lang w:eastAsia="ja-JP"/>
        </w:rPr>
        <w:t xml:space="preserve"> </w:t>
      </w:r>
      <w:r w:rsidR="00F722C0" w:rsidRPr="00CD29D0">
        <w:rPr>
          <w:lang w:eastAsia="ja-JP"/>
        </w:rPr>
        <w:t>in</w:t>
      </w:r>
      <w:r w:rsidR="00AE4B7A" w:rsidRPr="00CD29D0">
        <w:rPr>
          <w:lang w:eastAsia="ja-JP"/>
        </w:rPr>
        <w:t xml:space="preserve"> implement</w:t>
      </w:r>
      <w:r w:rsidR="00F722C0" w:rsidRPr="00CD29D0">
        <w:rPr>
          <w:lang w:eastAsia="ja-JP"/>
        </w:rPr>
        <w:t>ing</w:t>
      </w:r>
      <w:r w:rsidR="00AE4B7A" w:rsidRPr="00CD29D0">
        <w:rPr>
          <w:lang w:eastAsia="ja-JP"/>
        </w:rPr>
        <w:t xml:space="preserve"> </w:t>
      </w:r>
      <w:r w:rsidR="008B7E85" w:rsidRPr="00CD29D0">
        <w:rPr>
          <w:lang w:eastAsia="ja-JP"/>
        </w:rPr>
        <w:t>the</w:t>
      </w:r>
      <w:r w:rsidR="00AE4B7A" w:rsidRPr="00CD29D0">
        <w:rPr>
          <w:lang w:eastAsia="ja-JP"/>
        </w:rPr>
        <w:t xml:space="preserve"> new curriculum </w:t>
      </w:r>
      <w:r w:rsidR="008B7E85" w:rsidRPr="00CD29D0">
        <w:rPr>
          <w:lang w:eastAsia="ja-JP"/>
        </w:rPr>
        <w:t>at the start of the school year</w:t>
      </w:r>
      <w:r w:rsidR="00A84322" w:rsidRPr="00CD29D0">
        <w:rPr>
          <w:lang w:eastAsia="ja-JP"/>
        </w:rPr>
        <w:t>. This process occurs twice</w:t>
      </w:r>
      <w:r w:rsidR="00F722C0" w:rsidRPr="00CD29D0">
        <w:rPr>
          <w:lang w:eastAsia="ja-JP"/>
        </w:rPr>
        <w:t>—</w:t>
      </w:r>
      <w:r w:rsidR="00CA08D7" w:rsidRPr="00CD29D0">
        <w:rPr>
          <w:lang w:eastAsia="ja-JP"/>
        </w:rPr>
        <w:t xml:space="preserve">at the start of the first </w:t>
      </w:r>
      <w:r w:rsidR="00F722C0" w:rsidRPr="00CD29D0">
        <w:rPr>
          <w:lang w:eastAsia="ja-JP"/>
        </w:rPr>
        <w:t xml:space="preserve">year </w:t>
      </w:r>
      <w:r w:rsidR="00CA08D7" w:rsidRPr="00CD29D0">
        <w:rPr>
          <w:lang w:eastAsia="ja-JP"/>
        </w:rPr>
        <w:t>and second year of implementation</w:t>
      </w:r>
      <w:r w:rsidR="00F722C0" w:rsidRPr="00CD29D0">
        <w:rPr>
          <w:lang w:eastAsia="ja-JP"/>
        </w:rPr>
        <w:t>—</w:t>
      </w:r>
      <w:r w:rsidR="00CA08D7" w:rsidRPr="00CD29D0">
        <w:rPr>
          <w:lang w:eastAsia="ja-JP"/>
        </w:rPr>
        <w:t xml:space="preserve">so that curriculum maps can be refined. </w:t>
      </w:r>
      <w:r w:rsidR="0055547B" w:rsidRPr="00CD29D0">
        <w:rPr>
          <w:lang w:eastAsia="ja-JP"/>
        </w:rPr>
        <w:t>A district leader explained, “</w:t>
      </w:r>
      <w:r w:rsidR="00D77F3E" w:rsidRPr="00CD29D0">
        <w:rPr>
          <w:lang w:eastAsia="ja-JP"/>
        </w:rPr>
        <w:t xml:space="preserve">We do it a minimum of two times because you learn things in </w:t>
      </w:r>
      <w:r w:rsidR="00F722C0" w:rsidRPr="00CD29D0">
        <w:rPr>
          <w:lang w:eastAsia="ja-JP"/>
        </w:rPr>
        <w:t>Y</w:t>
      </w:r>
      <w:r w:rsidR="00D77F3E" w:rsidRPr="00CD29D0">
        <w:rPr>
          <w:lang w:eastAsia="ja-JP"/>
        </w:rPr>
        <w:t xml:space="preserve">ear </w:t>
      </w:r>
      <w:r w:rsidR="00F722C0" w:rsidRPr="00CD29D0">
        <w:rPr>
          <w:lang w:eastAsia="ja-JP"/>
        </w:rPr>
        <w:t>1</w:t>
      </w:r>
      <w:r w:rsidR="00D77F3E" w:rsidRPr="00CD29D0">
        <w:rPr>
          <w:lang w:eastAsia="ja-JP"/>
        </w:rPr>
        <w:t xml:space="preserve">, and you can manage your time better in </w:t>
      </w:r>
      <w:r w:rsidR="00F722C0" w:rsidRPr="00CD29D0">
        <w:rPr>
          <w:lang w:eastAsia="ja-JP"/>
        </w:rPr>
        <w:t>Y</w:t>
      </w:r>
      <w:r w:rsidR="00D77F3E" w:rsidRPr="00CD29D0">
        <w:rPr>
          <w:lang w:eastAsia="ja-JP"/>
        </w:rPr>
        <w:t xml:space="preserve">ear </w:t>
      </w:r>
      <w:r w:rsidR="00F722C0" w:rsidRPr="00CD29D0">
        <w:rPr>
          <w:lang w:eastAsia="ja-JP"/>
        </w:rPr>
        <w:t>2</w:t>
      </w:r>
      <w:r w:rsidR="00D77F3E" w:rsidRPr="00CD29D0">
        <w:rPr>
          <w:lang w:eastAsia="ja-JP"/>
        </w:rPr>
        <w:t xml:space="preserve">.” </w:t>
      </w:r>
      <w:r w:rsidR="006E5B9A" w:rsidRPr="00CD29D0">
        <w:rPr>
          <w:lang w:eastAsia="ja-JP"/>
        </w:rPr>
        <w:t xml:space="preserve">Staff members receive a stipend for </w:t>
      </w:r>
      <w:r w:rsidR="00F722C0" w:rsidRPr="00CD29D0">
        <w:rPr>
          <w:lang w:eastAsia="ja-JP"/>
        </w:rPr>
        <w:t>reviewing and mapping curriculum</w:t>
      </w:r>
      <w:r w:rsidR="008E68A1" w:rsidRPr="00CD29D0">
        <w:rPr>
          <w:lang w:eastAsia="ja-JP"/>
        </w:rPr>
        <w:t xml:space="preserve">. </w:t>
      </w:r>
      <w:r w:rsidR="00230B77" w:rsidRPr="00F47F9D">
        <w:rPr>
          <w:lang w:eastAsia="ja-JP"/>
        </w:rPr>
        <w:t>The district’s</w:t>
      </w:r>
      <w:r w:rsidR="00691A99" w:rsidRPr="00F47F9D">
        <w:rPr>
          <w:lang w:eastAsia="ja-JP"/>
        </w:rPr>
        <w:t xml:space="preserve"> early engagement of staff in iterative summer curriculum-mapping cycles is a strength of the district.</w:t>
      </w:r>
    </w:p>
    <w:p w14:paraId="1EA645AE" w14:textId="77777777" w:rsidR="00240C48" w:rsidRPr="00CD29D0" w:rsidRDefault="00240C48" w:rsidP="00240C48">
      <w:pPr>
        <w:pStyle w:val="BodyText"/>
        <w:rPr>
          <w:lang w:eastAsia="ja-JP"/>
        </w:rPr>
      </w:pPr>
      <w:r w:rsidRPr="00CD29D0">
        <w:rPr>
          <w:lang w:eastAsia="ja-JP"/>
        </w:rPr>
        <w:t>Regarding the current curriculum review cycles, the curriculum council has developed vision statements with the following elements:</w:t>
      </w:r>
    </w:p>
    <w:p w14:paraId="6BCBE8EB" w14:textId="77777777" w:rsidR="00240C48" w:rsidRPr="00CD29D0" w:rsidRDefault="00240C48" w:rsidP="00240C48">
      <w:pPr>
        <w:pStyle w:val="Bullet1"/>
        <w:rPr>
          <w:lang w:eastAsia="ja-JP"/>
        </w:rPr>
      </w:pPr>
      <w:r w:rsidRPr="00CD29D0">
        <w:rPr>
          <w:lang w:eastAsia="ja-JP"/>
        </w:rPr>
        <w:t>Middle School Science: Science is three-dimensional and real world. It requires students to get their hands dirty and that mistakes are expected and encouraged. The materials need to be accessible to anyone and everyone, and they need to be written from an inclusive, open-ended perspective that is free from bias.</w:t>
      </w:r>
    </w:p>
    <w:p w14:paraId="08B36EDE" w14:textId="77777777" w:rsidR="00240C48" w:rsidRPr="00CD29D0" w:rsidRDefault="00240C48" w:rsidP="00240C48">
      <w:pPr>
        <w:pStyle w:val="Bullet1"/>
        <w:keepNext/>
        <w:keepLines/>
        <w:rPr>
          <w:lang w:eastAsia="ja-JP"/>
        </w:rPr>
      </w:pPr>
      <w:r w:rsidRPr="00CD29D0">
        <w:rPr>
          <w:lang w:eastAsia="ja-JP"/>
        </w:rPr>
        <w:t>High School AGA (algebra</w:t>
      </w:r>
      <w:r>
        <w:rPr>
          <w:lang w:eastAsia="ja-JP"/>
        </w:rPr>
        <w:t xml:space="preserve"> I</w:t>
      </w:r>
      <w:r w:rsidRPr="00CD29D0">
        <w:rPr>
          <w:lang w:eastAsia="ja-JP"/>
        </w:rPr>
        <w:t>, geometry, algebra</w:t>
      </w:r>
      <w:r>
        <w:rPr>
          <w:lang w:eastAsia="ja-JP"/>
        </w:rPr>
        <w:t xml:space="preserve"> II</w:t>
      </w:r>
      <w:r w:rsidRPr="00CD29D0">
        <w:rPr>
          <w:lang w:eastAsia="ja-JP"/>
        </w:rPr>
        <w:t>): Math is a universal, transferable, durable skill that all students need and require. The teacher is seen as a facilitator, and the expectation is that the workload is shared and that we expect and believe that our students can do this work.</w:t>
      </w:r>
    </w:p>
    <w:p w14:paraId="64E0E4B0" w14:textId="36353AFD" w:rsidR="00A64112" w:rsidRPr="00CD29D0" w:rsidRDefault="00D873A9" w:rsidP="009C2835">
      <w:pPr>
        <w:pStyle w:val="BodyText"/>
        <w:rPr>
          <w:lang w:eastAsia="ja-JP"/>
        </w:rPr>
      </w:pPr>
      <w:r w:rsidRPr="00CD29D0">
        <w:rPr>
          <w:lang w:eastAsia="ja-JP"/>
        </w:rPr>
        <w:t>Throughout the first year, the district supports teachers with implementing the new curriculum through professional development</w:t>
      </w:r>
      <w:r w:rsidR="007C3A09" w:rsidRPr="00CD29D0">
        <w:rPr>
          <w:lang w:eastAsia="ja-JP"/>
        </w:rPr>
        <w:t xml:space="preserve"> and vendor coaching</w:t>
      </w:r>
      <w:r w:rsidRPr="00CD29D0">
        <w:rPr>
          <w:lang w:eastAsia="ja-JP"/>
        </w:rPr>
        <w:t xml:space="preserve">, </w:t>
      </w:r>
      <w:r w:rsidR="00C30BF2" w:rsidRPr="00CD29D0">
        <w:rPr>
          <w:lang w:eastAsia="ja-JP"/>
        </w:rPr>
        <w:t xml:space="preserve">question and answer documents, </w:t>
      </w:r>
      <w:r w:rsidR="006F68F1" w:rsidRPr="00CD29D0">
        <w:rPr>
          <w:lang w:eastAsia="ja-JP"/>
        </w:rPr>
        <w:t xml:space="preserve">and conducting surveys to </w:t>
      </w:r>
      <w:r w:rsidR="00C772CF" w:rsidRPr="00CD29D0">
        <w:rPr>
          <w:lang w:eastAsia="ja-JP"/>
        </w:rPr>
        <w:t xml:space="preserve">collect </w:t>
      </w:r>
      <w:r w:rsidR="006F68F1" w:rsidRPr="00CD29D0">
        <w:rPr>
          <w:lang w:eastAsia="ja-JP"/>
        </w:rPr>
        <w:t xml:space="preserve">their ongoing input and feedback. </w:t>
      </w:r>
      <w:r w:rsidR="00397F9D" w:rsidRPr="00CD29D0">
        <w:rPr>
          <w:lang w:eastAsia="ja-JP"/>
        </w:rPr>
        <w:t xml:space="preserve">District leaders use the staff surveys, </w:t>
      </w:r>
      <w:r w:rsidR="00C772CF" w:rsidRPr="00CD29D0">
        <w:rPr>
          <w:lang w:eastAsia="ja-JP"/>
        </w:rPr>
        <w:t xml:space="preserve">observations from </w:t>
      </w:r>
      <w:r w:rsidR="00397F9D" w:rsidRPr="00CD29D0">
        <w:rPr>
          <w:lang w:eastAsia="ja-JP"/>
        </w:rPr>
        <w:t>learning walk</w:t>
      </w:r>
      <w:r w:rsidR="00C772CF" w:rsidRPr="00CD29D0">
        <w:rPr>
          <w:lang w:eastAsia="ja-JP"/>
        </w:rPr>
        <w:t>s</w:t>
      </w:r>
      <w:r w:rsidR="00397F9D" w:rsidRPr="00CD29D0">
        <w:rPr>
          <w:lang w:eastAsia="ja-JP"/>
        </w:rPr>
        <w:t xml:space="preserve">, and other data to determine ongoing professional development needs for </w:t>
      </w:r>
      <w:r w:rsidR="00C772CF" w:rsidRPr="00CD29D0">
        <w:rPr>
          <w:lang w:eastAsia="ja-JP"/>
        </w:rPr>
        <w:t>teachers</w:t>
      </w:r>
      <w:r w:rsidR="00397F9D" w:rsidRPr="00CD29D0">
        <w:rPr>
          <w:lang w:eastAsia="ja-JP"/>
        </w:rPr>
        <w:t xml:space="preserve">. </w:t>
      </w:r>
      <w:r w:rsidR="009036AA" w:rsidRPr="00CD29D0">
        <w:rPr>
          <w:lang w:eastAsia="ja-JP"/>
        </w:rPr>
        <w:t>A district leader summarized, “We want to be open and supportive. We want to approach this from a place of we believe in you, we want to give you what you need, and it</w:t>
      </w:r>
      <w:r w:rsidR="00C772CF" w:rsidRPr="00CD29D0">
        <w:rPr>
          <w:lang w:eastAsia="ja-JP"/>
        </w:rPr>
        <w:t>’</w:t>
      </w:r>
      <w:r w:rsidR="009036AA" w:rsidRPr="00CD29D0">
        <w:rPr>
          <w:lang w:eastAsia="ja-JP"/>
        </w:rPr>
        <w:t>s worth doing well.”</w:t>
      </w:r>
    </w:p>
    <w:p w14:paraId="42E17868" w14:textId="49ACB00F" w:rsidR="00A45A08" w:rsidRPr="00CD29D0" w:rsidRDefault="003E77FB" w:rsidP="009C2835">
      <w:pPr>
        <w:pStyle w:val="BodyText"/>
        <w:rPr>
          <w:lang w:eastAsia="ja-JP"/>
        </w:rPr>
      </w:pPr>
      <w:r w:rsidRPr="00CD29D0">
        <w:rPr>
          <w:lang w:eastAsia="ja-JP"/>
        </w:rPr>
        <w:t>A</w:t>
      </w:r>
      <w:r w:rsidR="00031A8B" w:rsidRPr="00CD29D0">
        <w:rPr>
          <w:lang w:eastAsia="ja-JP"/>
        </w:rPr>
        <w:t>t the time of the district review, the</w:t>
      </w:r>
      <w:r w:rsidR="00902825" w:rsidRPr="00CD29D0">
        <w:rPr>
          <w:lang w:eastAsia="ja-JP"/>
        </w:rPr>
        <w:t xml:space="preserve"> curriculum</w:t>
      </w:r>
      <w:r w:rsidR="00031A8B" w:rsidRPr="00CD29D0">
        <w:rPr>
          <w:lang w:eastAsia="ja-JP"/>
        </w:rPr>
        <w:t xml:space="preserve"> </w:t>
      </w:r>
      <w:r w:rsidR="00902825" w:rsidRPr="00CD29D0">
        <w:rPr>
          <w:lang w:eastAsia="ja-JP"/>
        </w:rPr>
        <w:t>council was</w:t>
      </w:r>
      <w:r w:rsidRPr="00CD29D0">
        <w:rPr>
          <w:lang w:eastAsia="ja-JP"/>
        </w:rPr>
        <w:t xml:space="preserve"> investigating </w:t>
      </w:r>
      <w:r w:rsidR="00902825" w:rsidRPr="00CD29D0">
        <w:rPr>
          <w:lang w:eastAsia="ja-JP"/>
        </w:rPr>
        <w:t xml:space="preserve">multiple </w:t>
      </w:r>
      <w:r w:rsidRPr="00CD29D0">
        <w:rPr>
          <w:lang w:eastAsia="ja-JP"/>
        </w:rPr>
        <w:t xml:space="preserve">curricular materials </w:t>
      </w:r>
      <w:r w:rsidR="00D5615F" w:rsidRPr="00CD29D0">
        <w:rPr>
          <w:lang w:eastAsia="ja-JP"/>
        </w:rPr>
        <w:t xml:space="preserve">in these two areas and were in the process of </w:t>
      </w:r>
      <w:r w:rsidR="004347F3" w:rsidRPr="00CD29D0">
        <w:rPr>
          <w:lang w:eastAsia="ja-JP"/>
        </w:rPr>
        <w:t xml:space="preserve">selecting </w:t>
      </w:r>
      <w:r w:rsidR="00CF2025" w:rsidRPr="00CD29D0">
        <w:rPr>
          <w:lang w:eastAsia="ja-JP"/>
        </w:rPr>
        <w:t xml:space="preserve">the </w:t>
      </w:r>
      <w:r w:rsidR="004347F3" w:rsidRPr="00CD29D0">
        <w:rPr>
          <w:lang w:eastAsia="ja-JP"/>
        </w:rPr>
        <w:t>two finalist</w:t>
      </w:r>
      <w:r w:rsidR="00852615">
        <w:rPr>
          <w:lang w:eastAsia="ja-JP"/>
        </w:rPr>
        <w:t>s</w:t>
      </w:r>
      <w:r w:rsidR="004347F3" w:rsidRPr="00CD29D0">
        <w:rPr>
          <w:lang w:eastAsia="ja-JP"/>
        </w:rPr>
        <w:t xml:space="preserve"> to be field</w:t>
      </w:r>
      <w:r w:rsidR="00902825" w:rsidRPr="00CD29D0">
        <w:rPr>
          <w:lang w:eastAsia="ja-JP"/>
        </w:rPr>
        <w:t>-</w:t>
      </w:r>
      <w:r w:rsidR="004347F3" w:rsidRPr="00CD29D0">
        <w:rPr>
          <w:lang w:eastAsia="ja-JP"/>
        </w:rPr>
        <w:t>tested in March and April</w:t>
      </w:r>
      <w:r w:rsidR="00902825" w:rsidRPr="00CD29D0">
        <w:rPr>
          <w:lang w:eastAsia="ja-JP"/>
        </w:rPr>
        <w:t>,</w:t>
      </w:r>
      <w:r w:rsidR="004347F3" w:rsidRPr="00CD29D0">
        <w:rPr>
          <w:lang w:eastAsia="ja-JP"/>
        </w:rPr>
        <w:t xml:space="preserve"> with a final determination </w:t>
      </w:r>
      <w:r w:rsidR="00902825" w:rsidRPr="00CD29D0">
        <w:rPr>
          <w:lang w:eastAsia="ja-JP"/>
        </w:rPr>
        <w:t xml:space="preserve">to </w:t>
      </w:r>
      <w:r w:rsidR="004347F3" w:rsidRPr="00CD29D0">
        <w:rPr>
          <w:lang w:eastAsia="ja-JP"/>
        </w:rPr>
        <w:t xml:space="preserve">be made in May. For middle school math, the </w:t>
      </w:r>
      <w:r w:rsidR="00CF2025" w:rsidRPr="00CD29D0">
        <w:rPr>
          <w:lang w:eastAsia="ja-JP"/>
        </w:rPr>
        <w:t xml:space="preserve">council </w:t>
      </w:r>
      <w:r w:rsidR="004347F3" w:rsidRPr="00CD29D0">
        <w:rPr>
          <w:lang w:eastAsia="ja-JP"/>
        </w:rPr>
        <w:t xml:space="preserve">was </w:t>
      </w:r>
      <w:r w:rsidR="00172B0E" w:rsidRPr="00CD29D0">
        <w:rPr>
          <w:lang w:eastAsia="ja-JP"/>
        </w:rPr>
        <w:t>reviewing Lab</w:t>
      </w:r>
      <w:r w:rsidR="006223CC" w:rsidRPr="00CD29D0">
        <w:rPr>
          <w:lang w:eastAsia="ja-JP"/>
        </w:rPr>
        <w:t>-</w:t>
      </w:r>
      <w:r w:rsidR="00172B0E" w:rsidRPr="00CD29D0">
        <w:rPr>
          <w:lang w:eastAsia="ja-JP"/>
        </w:rPr>
        <w:t xml:space="preserve">Aids and </w:t>
      </w:r>
      <w:r w:rsidR="00EF5DF2" w:rsidRPr="00CD29D0">
        <w:rPr>
          <w:lang w:eastAsia="ja-JP"/>
        </w:rPr>
        <w:t>Saavas</w:t>
      </w:r>
      <w:r w:rsidR="000C4872" w:rsidRPr="00CD29D0">
        <w:rPr>
          <w:lang w:eastAsia="ja-JP"/>
        </w:rPr>
        <w:t xml:space="preserve">, </w:t>
      </w:r>
      <w:r w:rsidR="00CF2025" w:rsidRPr="00CD29D0">
        <w:rPr>
          <w:lang w:eastAsia="ja-JP"/>
        </w:rPr>
        <w:t xml:space="preserve">which, based on the respective vendor’s websites, </w:t>
      </w:r>
      <w:r w:rsidR="000C4872" w:rsidRPr="00CD29D0">
        <w:rPr>
          <w:lang w:eastAsia="ja-JP"/>
        </w:rPr>
        <w:t xml:space="preserve">align with </w:t>
      </w:r>
      <w:r w:rsidR="000C4872" w:rsidRPr="00CD29D0">
        <w:rPr>
          <w:lang w:eastAsia="ja-JP"/>
        </w:rPr>
        <w:lastRenderedPageBreak/>
        <w:t>NGSS</w:t>
      </w:r>
      <w:r w:rsidR="00167761" w:rsidRPr="00CD29D0">
        <w:rPr>
          <w:lang w:eastAsia="ja-JP"/>
        </w:rPr>
        <w:t xml:space="preserve">. </w:t>
      </w:r>
      <w:r w:rsidR="002856EB" w:rsidRPr="00CD29D0">
        <w:rPr>
          <w:lang w:eastAsia="ja-JP"/>
        </w:rPr>
        <w:t xml:space="preserve">For the AGA review, the </w:t>
      </w:r>
      <w:r w:rsidR="00A76539" w:rsidRPr="00CD29D0">
        <w:rPr>
          <w:lang w:eastAsia="ja-JP"/>
        </w:rPr>
        <w:t xml:space="preserve">council </w:t>
      </w:r>
      <w:r w:rsidR="002856EB" w:rsidRPr="00CD29D0">
        <w:rPr>
          <w:lang w:eastAsia="ja-JP"/>
        </w:rPr>
        <w:t>was considering four potential curricul</w:t>
      </w:r>
      <w:r w:rsidR="00A76539" w:rsidRPr="00CD29D0">
        <w:rPr>
          <w:lang w:eastAsia="ja-JP"/>
        </w:rPr>
        <w:t>a,</w:t>
      </w:r>
      <w:r w:rsidR="002856EB" w:rsidRPr="00CD29D0">
        <w:rPr>
          <w:lang w:eastAsia="ja-JP"/>
        </w:rPr>
        <w:t xml:space="preserve"> and had </w:t>
      </w:r>
      <w:r w:rsidR="00C016A6" w:rsidRPr="00CD29D0">
        <w:rPr>
          <w:lang w:eastAsia="ja-JP"/>
        </w:rPr>
        <w:t xml:space="preserve">scheduled </w:t>
      </w:r>
      <w:r w:rsidR="00A76539" w:rsidRPr="00CD29D0">
        <w:rPr>
          <w:lang w:eastAsia="ja-JP"/>
        </w:rPr>
        <w:t>appointments</w:t>
      </w:r>
      <w:r w:rsidR="00C016A6" w:rsidRPr="00CD29D0">
        <w:rPr>
          <w:lang w:eastAsia="ja-JP"/>
        </w:rPr>
        <w:t xml:space="preserve"> for </w:t>
      </w:r>
      <w:r w:rsidR="002856EB" w:rsidRPr="00CD29D0">
        <w:rPr>
          <w:lang w:eastAsia="ja-JP"/>
        </w:rPr>
        <w:t>the vendors to speak to the</w:t>
      </w:r>
      <w:r w:rsidR="00A76539" w:rsidRPr="00CD29D0">
        <w:rPr>
          <w:lang w:eastAsia="ja-JP"/>
        </w:rPr>
        <w:t xml:space="preserve"> council</w:t>
      </w:r>
      <w:r w:rsidR="00A45A08" w:rsidRPr="00CD29D0">
        <w:rPr>
          <w:lang w:eastAsia="ja-JP"/>
        </w:rPr>
        <w:t>.</w:t>
      </w:r>
    </w:p>
    <w:p w14:paraId="0858C3E2" w14:textId="13D7A3DB" w:rsidR="00A45A08" w:rsidRPr="00CD29D0" w:rsidRDefault="006064D5" w:rsidP="009C2835">
      <w:pPr>
        <w:pStyle w:val="BodyText"/>
        <w:rPr>
          <w:lang w:eastAsia="ja-JP"/>
        </w:rPr>
      </w:pPr>
      <w:r w:rsidRPr="00CD29D0">
        <w:rPr>
          <w:lang w:eastAsia="ja-JP"/>
        </w:rPr>
        <w:t>Table 4 summarizes the status of all districtwide curricula</w:t>
      </w:r>
      <w:r w:rsidR="001C441D" w:rsidRPr="00CD29D0">
        <w:rPr>
          <w:lang w:eastAsia="ja-JP"/>
        </w:rPr>
        <w:t xml:space="preserve"> currently</w:t>
      </w:r>
      <w:r w:rsidRPr="00CD29D0">
        <w:rPr>
          <w:lang w:eastAsia="ja-JP"/>
        </w:rPr>
        <w:t xml:space="preserve"> being used.</w:t>
      </w:r>
      <w:r w:rsidR="0018424B" w:rsidRPr="00CD29D0">
        <w:rPr>
          <w:lang w:eastAsia="ja-JP"/>
        </w:rPr>
        <w:t xml:space="preserve"> </w:t>
      </w:r>
      <w:r w:rsidR="0028551E" w:rsidRPr="00CD29D0">
        <w:rPr>
          <w:lang w:eastAsia="ja-JP"/>
        </w:rPr>
        <w:t>HMH Into Reading</w:t>
      </w:r>
      <w:r w:rsidR="00B77FBD" w:rsidRPr="00CD29D0">
        <w:rPr>
          <w:lang w:eastAsia="ja-JP"/>
        </w:rPr>
        <w:t xml:space="preserve"> has been in place for two years</w:t>
      </w:r>
      <w:r w:rsidR="00BE2883" w:rsidRPr="00CD29D0">
        <w:rPr>
          <w:lang w:eastAsia="ja-JP"/>
        </w:rPr>
        <w:t>;</w:t>
      </w:r>
      <w:r w:rsidR="0028551E" w:rsidRPr="00CD29D0">
        <w:rPr>
          <w:lang w:eastAsia="ja-JP"/>
        </w:rPr>
        <w:t xml:space="preserve"> </w:t>
      </w:r>
      <w:r w:rsidR="00B77FBD" w:rsidRPr="00CD29D0">
        <w:rPr>
          <w:lang w:eastAsia="ja-JP"/>
        </w:rPr>
        <w:t>Stepping Stones</w:t>
      </w:r>
      <w:r w:rsidR="00BE2883" w:rsidRPr="00CD29D0">
        <w:rPr>
          <w:lang w:eastAsia="ja-JP"/>
        </w:rPr>
        <w:t>, Amplify</w:t>
      </w:r>
      <w:r w:rsidR="00B97FF1" w:rsidRPr="00CD29D0">
        <w:rPr>
          <w:lang w:eastAsia="ja-JP"/>
        </w:rPr>
        <w:t xml:space="preserve"> ELA</w:t>
      </w:r>
      <w:r w:rsidR="00BE2883" w:rsidRPr="00CD29D0">
        <w:rPr>
          <w:lang w:eastAsia="ja-JP"/>
        </w:rPr>
        <w:t>, and Mid-School Math</w:t>
      </w:r>
      <w:r w:rsidR="00B77FBD" w:rsidRPr="00CD29D0">
        <w:rPr>
          <w:lang w:eastAsia="ja-JP"/>
        </w:rPr>
        <w:t xml:space="preserve"> for three years</w:t>
      </w:r>
      <w:r w:rsidR="0018424B" w:rsidRPr="00CD29D0">
        <w:rPr>
          <w:lang w:eastAsia="ja-JP"/>
        </w:rPr>
        <w:t>;</w:t>
      </w:r>
      <w:r w:rsidR="00B77FBD" w:rsidRPr="00CD29D0">
        <w:rPr>
          <w:lang w:eastAsia="ja-JP"/>
        </w:rPr>
        <w:t xml:space="preserve"> </w:t>
      </w:r>
      <w:r w:rsidR="00C51CD8" w:rsidRPr="00CD29D0">
        <w:rPr>
          <w:lang w:eastAsia="ja-JP"/>
        </w:rPr>
        <w:t>Saavas for seven years</w:t>
      </w:r>
      <w:r w:rsidR="0018424B" w:rsidRPr="00CD29D0">
        <w:rPr>
          <w:lang w:eastAsia="ja-JP"/>
        </w:rPr>
        <w:t>;</w:t>
      </w:r>
      <w:r w:rsidR="00C51CD8" w:rsidRPr="00CD29D0">
        <w:rPr>
          <w:lang w:eastAsia="ja-JP"/>
        </w:rPr>
        <w:t xml:space="preserve"> and Mystery Science for </w:t>
      </w:r>
      <w:r w:rsidR="0005358B" w:rsidRPr="00CD29D0">
        <w:rPr>
          <w:lang w:eastAsia="ja-JP"/>
        </w:rPr>
        <w:t>over nine years</w:t>
      </w:r>
      <w:r w:rsidR="00EB62A2" w:rsidRPr="00CD29D0">
        <w:rPr>
          <w:lang w:eastAsia="ja-JP"/>
        </w:rPr>
        <w:t>. Only HMH Into Reading is in the</w:t>
      </w:r>
      <w:r w:rsidR="0005358B" w:rsidRPr="00CD29D0">
        <w:rPr>
          <w:lang w:eastAsia="ja-JP"/>
        </w:rPr>
        <w:t xml:space="preserve"> implementation phase</w:t>
      </w:r>
      <w:r w:rsidR="00A45A08" w:rsidRPr="00CD29D0">
        <w:rPr>
          <w:lang w:eastAsia="ja-JP"/>
        </w:rPr>
        <w:t>.</w:t>
      </w:r>
    </w:p>
    <w:p w14:paraId="09035190" w14:textId="38CA58CC" w:rsidR="006064D5" w:rsidRPr="00CD29D0" w:rsidRDefault="006064D5" w:rsidP="009C2835">
      <w:pPr>
        <w:pStyle w:val="TableTitle0"/>
      </w:pPr>
      <w:r w:rsidRPr="00CD29D0">
        <w:t>Table 4. Summary of Districtwide Curricula Being Used</w:t>
      </w:r>
    </w:p>
    <w:tbl>
      <w:tblPr>
        <w:tblStyle w:val="MSVTable1"/>
        <w:tblW w:w="5000" w:type="pct"/>
        <w:tblLook w:val="04A0" w:firstRow="1" w:lastRow="0" w:firstColumn="1" w:lastColumn="0" w:noHBand="0" w:noVBand="1"/>
        <w:tblCaption w:val="Table 4. Summary of Districtwide Curricula Being Used"/>
        <w:tblDescription w:val="Summary of Districtwide Curricula Being Used"/>
      </w:tblPr>
      <w:tblGrid>
        <w:gridCol w:w="786"/>
        <w:gridCol w:w="1712"/>
        <w:gridCol w:w="1712"/>
        <w:gridCol w:w="1712"/>
        <w:gridCol w:w="1712"/>
        <w:gridCol w:w="1710"/>
      </w:tblGrid>
      <w:tr w:rsidR="00894E63" w:rsidRPr="00CD29D0" w14:paraId="7D41CAA7" w14:textId="2B477ACE" w:rsidTr="00E82B75">
        <w:trPr>
          <w:cnfStyle w:val="100000000000" w:firstRow="1" w:lastRow="0" w:firstColumn="0" w:lastColumn="0" w:oddVBand="0" w:evenVBand="0" w:oddHBand="0" w:evenHBand="0" w:firstRowFirstColumn="0" w:firstRowLastColumn="0" w:lastRowFirstColumn="0" w:lastRowLastColumn="0"/>
          <w:tblHeader/>
        </w:trPr>
        <w:tc>
          <w:tcPr>
            <w:tcW w:w="421" w:type="pct"/>
          </w:tcPr>
          <w:p w14:paraId="7A55BC83" w14:textId="477F6C92" w:rsidR="00107CBA" w:rsidRPr="00D732FB" w:rsidRDefault="00107CBA" w:rsidP="009C71A0">
            <w:pPr>
              <w:pStyle w:val="TableColHeadingCenter"/>
            </w:pPr>
            <w:r w:rsidRPr="00D732FB">
              <w:t xml:space="preserve">Grade </w:t>
            </w:r>
            <w:r w:rsidR="00383364" w:rsidRPr="00D732FB">
              <w:t>l</w:t>
            </w:r>
            <w:r w:rsidRPr="00D732FB">
              <w:t>evel(s)</w:t>
            </w:r>
          </w:p>
        </w:tc>
        <w:tc>
          <w:tcPr>
            <w:tcW w:w="916" w:type="pct"/>
          </w:tcPr>
          <w:p w14:paraId="462DDE5B" w14:textId="0C57BB8B" w:rsidR="00107CBA" w:rsidRPr="00CD29D0" w:rsidRDefault="00107CBA" w:rsidP="009C71A0">
            <w:pPr>
              <w:pStyle w:val="TableColHeadingCenter"/>
            </w:pPr>
            <w:r w:rsidRPr="00CD29D0">
              <w:t>Subject</w:t>
            </w:r>
          </w:p>
        </w:tc>
        <w:tc>
          <w:tcPr>
            <w:tcW w:w="916" w:type="pct"/>
          </w:tcPr>
          <w:p w14:paraId="16DDF827" w14:textId="4BBB810C" w:rsidR="00107CBA" w:rsidRPr="00CD29D0" w:rsidRDefault="00107CBA" w:rsidP="009C71A0">
            <w:pPr>
              <w:pStyle w:val="TableColHeadingCenter"/>
            </w:pPr>
            <w:r w:rsidRPr="00CD29D0">
              <w:t>Curriculum</w:t>
            </w:r>
          </w:p>
        </w:tc>
        <w:tc>
          <w:tcPr>
            <w:tcW w:w="916" w:type="pct"/>
          </w:tcPr>
          <w:p w14:paraId="5B413269" w14:textId="7EF7A0FA" w:rsidR="00107CBA" w:rsidRPr="00CD29D0" w:rsidRDefault="00107CBA" w:rsidP="009C71A0">
            <w:pPr>
              <w:pStyle w:val="TableColHeadingCenter"/>
            </w:pPr>
            <w:r w:rsidRPr="00CD29D0">
              <w:t>Type</w:t>
            </w:r>
          </w:p>
        </w:tc>
        <w:tc>
          <w:tcPr>
            <w:tcW w:w="916" w:type="pct"/>
          </w:tcPr>
          <w:p w14:paraId="43F454C5" w14:textId="56AED2B2" w:rsidR="00107CBA" w:rsidRPr="00CD29D0" w:rsidRDefault="00107CBA" w:rsidP="009C71A0">
            <w:pPr>
              <w:pStyle w:val="TableColHeadingCenter"/>
            </w:pPr>
            <w:r w:rsidRPr="00CD29D0">
              <w:t>CURATE</w:t>
            </w:r>
            <w:r w:rsidR="13E3D495" w:rsidRPr="00CD29D0">
              <w:t xml:space="preserve"> Rating</w:t>
            </w:r>
          </w:p>
        </w:tc>
        <w:tc>
          <w:tcPr>
            <w:tcW w:w="916" w:type="pct"/>
          </w:tcPr>
          <w:p w14:paraId="703F0D85" w14:textId="154888EF" w:rsidR="00107CBA" w:rsidRPr="00CD29D0" w:rsidRDefault="00107CBA" w:rsidP="009C71A0">
            <w:pPr>
              <w:pStyle w:val="TableColHeadingCenter"/>
            </w:pPr>
            <w:r w:rsidRPr="00CD29D0">
              <w:t>EdReports</w:t>
            </w:r>
            <w:r w:rsidR="222ADEEF" w:rsidRPr="00CD29D0">
              <w:t xml:space="preserve"> Rating</w:t>
            </w:r>
          </w:p>
        </w:tc>
      </w:tr>
      <w:tr w:rsidR="00894E63" w:rsidRPr="00CD29D0" w14:paraId="51F53E0C" w14:textId="2DAA80B0" w:rsidTr="00E82B75">
        <w:trPr>
          <w:cnfStyle w:val="000000100000" w:firstRow="0" w:lastRow="0" w:firstColumn="0" w:lastColumn="0" w:oddVBand="0" w:evenVBand="0" w:oddHBand="1" w:evenHBand="0" w:firstRowFirstColumn="0" w:firstRowLastColumn="0" w:lastRowFirstColumn="0" w:lastRowLastColumn="0"/>
        </w:trPr>
        <w:tc>
          <w:tcPr>
            <w:tcW w:w="421" w:type="pct"/>
          </w:tcPr>
          <w:p w14:paraId="600858AF" w14:textId="40697257" w:rsidR="00107CBA" w:rsidRPr="00CD29D0" w:rsidRDefault="00460766" w:rsidP="009C71A0">
            <w:pPr>
              <w:pStyle w:val="TableSubheading"/>
            </w:pPr>
            <w:r w:rsidRPr="00CD29D0">
              <w:t>PK-3</w:t>
            </w:r>
          </w:p>
        </w:tc>
        <w:tc>
          <w:tcPr>
            <w:tcW w:w="916" w:type="pct"/>
          </w:tcPr>
          <w:p w14:paraId="3B3F20B2" w14:textId="3B72BD41" w:rsidR="00107CBA" w:rsidRPr="00CD29D0" w:rsidRDefault="00460766" w:rsidP="009C71A0">
            <w:pPr>
              <w:pStyle w:val="TableText"/>
            </w:pPr>
            <w:r w:rsidRPr="00CD29D0">
              <w:t>ELA</w:t>
            </w:r>
          </w:p>
        </w:tc>
        <w:tc>
          <w:tcPr>
            <w:tcW w:w="916" w:type="pct"/>
          </w:tcPr>
          <w:p w14:paraId="4157BF26" w14:textId="0A85278E" w:rsidR="00107CBA" w:rsidRPr="00CD29D0" w:rsidRDefault="00460766" w:rsidP="009C71A0">
            <w:pPr>
              <w:pStyle w:val="TableText"/>
            </w:pPr>
            <w:r w:rsidRPr="00CD29D0">
              <w:t>HMH Into Reading</w:t>
            </w:r>
          </w:p>
        </w:tc>
        <w:tc>
          <w:tcPr>
            <w:tcW w:w="916" w:type="pct"/>
          </w:tcPr>
          <w:p w14:paraId="3DEFFD8D" w14:textId="70E818E5" w:rsidR="00107CBA" w:rsidRPr="00CD29D0" w:rsidRDefault="0020454A" w:rsidP="009C71A0">
            <w:pPr>
              <w:pStyle w:val="TableText"/>
            </w:pPr>
            <w:r w:rsidRPr="00CD29D0">
              <w:t>Comprehensive</w:t>
            </w:r>
          </w:p>
        </w:tc>
        <w:tc>
          <w:tcPr>
            <w:tcW w:w="916" w:type="pct"/>
          </w:tcPr>
          <w:p w14:paraId="0F62214C" w14:textId="0908BA02" w:rsidR="00107CBA" w:rsidRPr="00CD29D0" w:rsidRDefault="00516178" w:rsidP="00E82B75">
            <w:pPr>
              <w:pStyle w:val="TableTextCentered"/>
            </w:pPr>
            <w:r w:rsidRPr="00CD29D0">
              <w:t>P</w:t>
            </w:r>
            <w:r w:rsidR="00753C96" w:rsidRPr="00CD29D0">
              <w:t>M</w:t>
            </w:r>
          </w:p>
        </w:tc>
        <w:tc>
          <w:tcPr>
            <w:tcW w:w="916" w:type="pct"/>
          </w:tcPr>
          <w:p w14:paraId="011798F6" w14:textId="6B26EAB8" w:rsidR="00107CBA" w:rsidRPr="00CD29D0" w:rsidRDefault="005C6B6E" w:rsidP="00E82B75">
            <w:pPr>
              <w:pStyle w:val="TableTextCentered"/>
            </w:pPr>
            <w:r w:rsidRPr="00CD29D0">
              <w:t>ME</w:t>
            </w:r>
          </w:p>
        </w:tc>
      </w:tr>
      <w:tr w:rsidR="00894E63" w:rsidRPr="00CD29D0" w14:paraId="22A4C1AB" w14:textId="5510AF21" w:rsidTr="00E82B75">
        <w:tc>
          <w:tcPr>
            <w:tcW w:w="421" w:type="pct"/>
          </w:tcPr>
          <w:p w14:paraId="485A3E55" w14:textId="750B07F4" w:rsidR="00107CBA" w:rsidRPr="00CD29D0" w:rsidRDefault="0020454A" w:rsidP="009C71A0">
            <w:pPr>
              <w:pStyle w:val="TableSubheading"/>
            </w:pPr>
            <w:r w:rsidRPr="00CD29D0">
              <w:t>6-8</w:t>
            </w:r>
          </w:p>
        </w:tc>
        <w:tc>
          <w:tcPr>
            <w:tcW w:w="916" w:type="pct"/>
          </w:tcPr>
          <w:p w14:paraId="491612E7" w14:textId="18AE268E" w:rsidR="00107CBA" w:rsidRPr="00CD29D0" w:rsidRDefault="0020454A" w:rsidP="009C71A0">
            <w:pPr>
              <w:pStyle w:val="TableText"/>
            </w:pPr>
            <w:r w:rsidRPr="00CD29D0">
              <w:t>ELA</w:t>
            </w:r>
          </w:p>
        </w:tc>
        <w:tc>
          <w:tcPr>
            <w:tcW w:w="916" w:type="pct"/>
          </w:tcPr>
          <w:p w14:paraId="6AB79767" w14:textId="1D0A0938" w:rsidR="00107CBA" w:rsidRPr="00CD29D0" w:rsidRDefault="0020454A" w:rsidP="009C71A0">
            <w:pPr>
              <w:pStyle w:val="TableText"/>
            </w:pPr>
            <w:r w:rsidRPr="00CD29D0">
              <w:t>Amplify</w:t>
            </w:r>
            <w:r w:rsidR="005A4FDE" w:rsidRPr="00CD29D0">
              <w:t xml:space="preserve"> ELA</w:t>
            </w:r>
          </w:p>
        </w:tc>
        <w:tc>
          <w:tcPr>
            <w:tcW w:w="916" w:type="pct"/>
          </w:tcPr>
          <w:p w14:paraId="765E724E" w14:textId="16771187" w:rsidR="00107CBA" w:rsidRPr="00CD29D0" w:rsidRDefault="0020454A" w:rsidP="009C71A0">
            <w:pPr>
              <w:pStyle w:val="TableText"/>
            </w:pPr>
            <w:r w:rsidRPr="00CD29D0">
              <w:t>Comprehensive</w:t>
            </w:r>
          </w:p>
        </w:tc>
        <w:tc>
          <w:tcPr>
            <w:tcW w:w="916" w:type="pct"/>
          </w:tcPr>
          <w:p w14:paraId="183D729B" w14:textId="516C1D16" w:rsidR="00107CBA" w:rsidRPr="00CD29D0" w:rsidRDefault="00E97A0F" w:rsidP="00E82B75">
            <w:pPr>
              <w:pStyle w:val="TableTextCentered"/>
            </w:pPr>
            <w:r w:rsidRPr="00CD29D0">
              <w:t>ME</w:t>
            </w:r>
          </w:p>
        </w:tc>
        <w:tc>
          <w:tcPr>
            <w:tcW w:w="916" w:type="pct"/>
          </w:tcPr>
          <w:p w14:paraId="7C1B7B26" w14:textId="0429A366" w:rsidR="00107CBA" w:rsidRPr="00CD29D0" w:rsidRDefault="005A4FDE" w:rsidP="00E82B75">
            <w:pPr>
              <w:pStyle w:val="TableTextCentered"/>
            </w:pPr>
            <w:r w:rsidRPr="00CD29D0">
              <w:t>ME</w:t>
            </w:r>
          </w:p>
        </w:tc>
      </w:tr>
      <w:tr w:rsidR="00894E63" w:rsidRPr="00CD29D0" w14:paraId="171B65EC" w14:textId="1C362264" w:rsidTr="00CC7B84">
        <w:trPr>
          <w:cnfStyle w:val="000000100000" w:firstRow="0" w:lastRow="0" w:firstColumn="0" w:lastColumn="0" w:oddVBand="0" w:evenVBand="0" w:oddHBand="1" w:evenHBand="0" w:firstRowFirstColumn="0" w:firstRowLastColumn="0" w:lastRowFirstColumn="0" w:lastRowLastColumn="0"/>
        </w:trPr>
        <w:tc>
          <w:tcPr>
            <w:tcW w:w="421" w:type="pct"/>
          </w:tcPr>
          <w:p w14:paraId="2B985C43" w14:textId="3379DD6D" w:rsidR="00107CBA" w:rsidRPr="00CD29D0" w:rsidRDefault="0020454A" w:rsidP="009C71A0">
            <w:pPr>
              <w:pStyle w:val="TableSubheading"/>
            </w:pPr>
            <w:r w:rsidRPr="00CD29D0">
              <w:t>9-12</w:t>
            </w:r>
          </w:p>
        </w:tc>
        <w:tc>
          <w:tcPr>
            <w:tcW w:w="916" w:type="pct"/>
          </w:tcPr>
          <w:p w14:paraId="0F184013" w14:textId="137E012D" w:rsidR="00107CBA" w:rsidRPr="00CD29D0" w:rsidRDefault="0020454A" w:rsidP="009C71A0">
            <w:pPr>
              <w:pStyle w:val="TableText"/>
            </w:pPr>
            <w:r w:rsidRPr="00CD29D0">
              <w:t>ELA</w:t>
            </w:r>
          </w:p>
        </w:tc>
        <w:tc>
          <w:tcPr>
            <w:tcW w:w="916" w:type="pct"/>
            <w:tcMar>
              <w:right w:w="29" w:type="dxa"/>
            </w:tcMar>
          </w:tcPr>
          <w:p w14:paraId="305EC230" w14:textId="4E7FE1E6" w:rsidR="00107CBA" w:rsidRPr="00CD29D0" w:rsidRDefault="001B3CF5" w:rsidP="009C71A0">
            <w:pPr>
              <w:pStyle w:val="TableText"/>
            </w:pPr>
            <w:r w:rsidRPr="00CD29D0">
              <w:t>Teacher</w:t>
            </w:r>
            <w:r w:rsidR="0020454A" w:rsidRPr="00CD29D0">
              <w:t>-developed</w:t>
            </w:r>
          </w:p>
        </w:tc>
        <w:tc>
          <w:tcPr>
            <w:tcW w:w="916" w:type="pct"/>
          </w:tcPr>
          <w:p w14:paraId="3E4C8880" w14:textId="26A80290" w:rsidR="00107CBA" w:rsidRPr="00CD29D0" w:rsidRDefault="0020454A" w:rsidP="009C71A0">
            <w:pPr>
              <w:pStyle w:val="TableText"/>
            </w:pPr>
            <w:r w:rsidRPr="00CD29D0">
              <w:t>Comprehensive</w:t>
            </w:r>
          </w:p>
        </w:tc>
        <w:tc>
          <w:tcPr>
            <w:tcW w:w="916" w:type="pct"/>
          </w:tcPr>
          <w:p w14:paraId="191D60E8" w14:textId="78A8B0FE" w:rsidR="00107CBA" w:rsidRPr="00CD29D0" w:rsidRDefault="00E97A0F" w:rsidP="00E82B75">
            <w:pPr>
              <w:pStyle w:val="TableTextCentered"/>
            </w:pPr>
            <w:r w:rsidRPr="00CD29D0">
              <w:t>NR</w:t>
            </w:r>
          </w:p>
        </w:tc>
        <w:tc>
          <w:tcPr>
            <w:tcW w:w="916" w:type="pct"/>
          </w:tcPr>
          <w:p w14:paraId="63D20741" w14:textId="3AA79AFC" w:rsidR="00107CBA" w:rsidRPr="00CD29D0" w:rsidRDefault="005A4FDE" w:rsidP="00E82B75">
            <w:pPr>
              <w:pStyle w:val="TableTextCentered"/>
            </w:pPr>
            <w:r w:rsidRPr="00CD29D0">
              <w:t>NR</w:t>
            </w:r>
          </w:p>
        </w:tc>
      </w:tr>
      <w:tr w:rsidR="00894E63" w:rsidRPr="00CD29D0" w14:paraId="17485D39" w14:textId="2D97B5BB" w:rsidTr="00E82B75">
        <w:tc>
          <w:tcPr>
            <w:tcW w:w="421" w:type="pct"/>
          </w:tcPr>
          <w:p w14:paraId="42B45DC3" w14:textId="5E7A9B44" w:rsidR="00107CBA" w:rsidRPr="00CD29D0" w:rsidRDefault="0020454A" w:rsidP="009C71A0">
            <w:pPr>
              <w:pStyle w:val="TableSubheading"/>
            </w:pPr>
            <w:r w:rsidRPr="00CD29D0">
              <w:t>K-5</w:t>
            </w:r>
          </w:p>
        </w:tc>
        <w:tc>
          <w:tcPr>
            <w:tcW w:w="916" w:type="pct"/>
          </w:tcPr>
          <w:p w14:paraId="1C7DE892" w14:textId="5382D0F5" w:rsidR="00107CBA" w:rsidRPr="00CD29D0" w:rsidRDefault="0020454A" w:rsidP="009C71A0">
            <w:pPr>
              <w:pStyle w:val="TableText"/>
            </w:pPr>
            <w:r w:rsidRPr="00CD29D0">
              <w:t>Math</w:t>
            </w:r>
          </w:p>
        </w:tc>
        <w:tc>
          <w:tcPr>
            <w:tcW w:w="916" w:type="pct"/>
          </w:tcPr>
          <w:p w14:paraId="254FDDA4" w14:textId="7E531166" w:rsidR="00107CBA" w:rsidRPr="00CD29D0" w:rsidRDefault="0020454A" w:rsidP="009C71A0">
            <w:pPr>
              <w:pStyle w:val="TableText"/>
            </w:pPr>
            <w:r w:rsidRPr="00CD29D0">
              <w:t>Origo Stepping Stones</w:t>
            </w:r>
          </w:p>
        </w:tc>
        <w:tc>
          <w:tcPr>
            <w:tcW w:w="916" w:type="pct"/>
          </w:tcPr>
          <w:p w14:paraId="03F6A3B0" w14:textId="50A009E2" w:rsidR="00107CBA" w:rsidRPr="00CD29D0" w:rsidRDefault="0020454A" w:rsidP="009C71A0">
            <w:pPr>
              <w:pStyle w:val="TableText"/>
            </w:pPr>
            <w:r w:rsidRPr="00CD29D0">
              <w:t>Comprehensive</w:t>
            </w:r>
          </w:p>
        </w:tc>
        <w:tc>
          <w:tcPr>
            <w:tcW w:w="916" w:type="pct"/>
          </w:tcPr>
          <w:p w14:paraId="27F258E0" w14:textId="4C279808" w:rsidR="00107CBA" w:rsidRPr="00CD29D0" w:rsidRDefault="00780228" w:rsidP="00E82B75">
            <w:pPr>
              <w:pStyle w:val="TableTextCentered"/>
            </w:pPr>
            <w:r w:rsidRPr="00CD29D0">
              <w:t>NR</w:t>
            </w:r>
          </w:p>
        </w:tc>
        <w:tc>
          <w:tcPr>
            <w:tcW w:w="916" w:type="pct"/>
          </w:tcPr>
          <w:p w14:paraId="3023977C" w14:textId="51BBF781" w:rsidR="00107CBA" w:rsidRPr="00CD29D0" w:rsidRDefault="00BC3878" w:rsidP="00E82B75">
            <w:pPr>
              <w:pStyle w:val="TableTextCentered"/>
            </w:pPr>
            <w:r w:rsidRPr="00CD29D0">
              <w:t>ME</w:t>
            </w:r>
          </w:p>
        </w:tc>
      </w:tr>
      <w:tr w:rsidR="00894E63" w:rsidRPr="00CD29D0" w14:paraId="368D8D33" w14:textId="3DB88C46" w:rsidTr="00E82B75">
        <w:trPr>
          <w:cnfStyle w:val="000000100000" w:firstRow="0" w:lastRow="0" w:firstColumn="0" w:lastColumn="0" w:oddVBand="0" w:evenVBand="0" w:oddHBand="1" w:evenHBand="0" w:firstRowFirstColumn="0" w:firstRowLastColumn="0" w:lastRowFirstColumn="0" w:lastRowLastColumn="0"/>
        </w:trPr>
        <w:tc>
          <w:tcPr>
            <w:tcW w:w="421" w:type="pct"/>
          </w:tcPr>
          <w:p w14:paraId="7660DFAC" w14:textId="634E7494" w:rsidR="00107CBA" w:rsidRPr="00CD29D0" w:rsidRDefault="0020454A" w:rsidP="009C71A0">
            <w:pPr>
              <w:pStyle w:val="TableSubheading"/>
            </w:pPr>
            <w:r w:rsidRPr="00CD29D0">
              <w:t>6-8</w:t>
            </w:r>
          </w:p>
        </w:tc>
        <w:tc>
          <w:tcPr>
            <w:tcW w:w="916" w:type="pct"/>
          </w:tcPr>
          <w:p w14:paraId="7D71C0B1" w14:textId="5CCB5BE0" w:rsidR="00107CBA" w:rsidRPr="00CD29D0" w:rsidRDefault="0020454A" w:rsidP="009C71A0">
            <w:pPr>
              <w:pStyle w:val="TableText"/>
            </w:pPr>
            <w:r w:rsidRPr="00CD29D0">
              <w:t>Math</w:t>
            </w:r>
          </w:p>
        </w:tc>
        <w:tc>
          <w:tcPr>
            <w:tcW w:w="916" w:type="pct"/>
          </w:tcPr>
          <w:p w14:paraId="0FFA4635" w14:textId="3C6DF0EC" w:rsidR="00107CBA" w:rsidRPr="00CD29D0" w:rsidRDefault="00514CB9" w:rsidP="009C71A0">
            <w:pPr>
              <w:pStyle w:val="TableText"/>
            </w:pPr>
            <w:r w:rsidRPr="00CD29D0">
              <w:t xml:space="preserve">Core Curriculum by </w:t>
            </w:r>
            <w:r w:rsidR="0020454A" w:rsidRPr="00CD29D0">
              <w:t>Mid</w:t>
            </w:r>
            <w:r w:rsidR="009C71A0" w:rsidRPr="00CD29D0">
              <w:noBreakHyphen/>
            </w:r>
            <w:r w:rsidR="0020454A" w:rsidRPr="00CD29D0">
              <w:t>School Math</w:t>
            </w:r>
          </w:p>
        </w:tc>
        <w:tc>
          <w:tcPr>
            <w:tcW w:w="916" w:type="pct"/>
          </w:tcPr>
          <w:p w14:paraId="0F641521" w14:textId="6726A54B" w:rsidR="00107CBA" w:rsidRPr="00CD29D0" w:rsidRDefault="0020454A" w:rsidP="009C71A0">
            <w:pPr>
              <w:pStyle w:val="TableText"/>
            </w:pPr>
            <w:r w:rsidRPr="00CD29D0">
              <w:t>Comprehensive</w:t>
            </w:r>
          </w:p>
        </w:tc>
        <w:tc>
          <w:tcPr>
            <w:tcW w:w="916" w:type="pct"/>
          </w:tcPr>
          <w:p w14:paraId="0D8B5D78" w14:textId="21F4904A" w:rsidR="00107CBA" w:rsidRPr="00CD29D0" w:rsidRDefault="00514CB9" w:rsidP="00E82B75">
            <w:pPr>
              <w:pStyle w:val="TableTextCentered"/>
            </w:pPr>
            <w:r w:rsidRPr="00CD29D0">
              <w:t>ME</w:t>
            </w:r>
          </w:p>
        </w:tc>
        <w:tc>
          <w:tcPr>
            <w:tcW w:w="916" w:type="pct"/>
          </w:tcPr>
          <w:p w14:paraId="6BEA3D89" w14:textId="3BA374B3" w:rsidR="00107CBA" w:rsidRPr="00CD29D0" w:rsidRDefault="006828DA" w:rsidP="00E82B75">
            <w:pPr>
              <w:pStyle w:val="TableTextCentered"/>
            </w:pPr>
            <w:r w:rsidRPr="00CD29D0">
              <w:t>ME</w:t>
            </w:r>
          </w:p>
        </w:tc>
      </w:tr>
      <w:tr w:rsidR="00894E63" w:rsidRPr="00CD29D0" w14:paraId="5CE3A276" w14:textId="69FACBE6" w:rsidTr="00CC7B84">
        <w:tc>
          <w:tcPr>
            <w:tcW w:w="421" w:type="pct"/>
          </w:tcPr>
          <w:p w14:paraId="25A680C9" w14:textId="2C1F8573" w:rsidR="00107CBA" w:rsidRPr="00CD29D0" w:rsidRDefault="0020454A" w:rsidP="009C71A0">
            <w:pPr>
              <w:pStyle w:val="TableSubheading"/>
            </w:pPr>
            <w:r w:rsidRPr="00CD29D0">
              <w:t>9-12</w:t>
            </w:r>
          </w:p>
        </w:tc>
        <w:tc>
          <w:tcPr>
            <w:tcW w:w="916" w:type="pct"/>
          </w:tcPr>
          <w:p w14:paraId="7FA75351" w14:textId="75BAD6B6" w:rsidR="00107CBA" w:rsidRPr="00CD29D0" w:rsidRDefault="0020454A" w:rsidP="009C71A0">
            <w:pPr>
              <w:pStyle w:val="TableText"/>
            </w:pPr>
            <w:r w:rsidRPr="00CD29D0">
              <w:t>Math</w:t>
            </w:r>
          </w:p>
        </w:tc>
        <w:tc>
          <w:tcPr>
            <w:tcW w:w="916" w:type="pct"/>
            <w:tcMar>
              <w:right w:w="29" w:type="dxa"/>
            </w:tcMar>
          </w:tcPr>
          <w:p w14:paraId="264085CB" w14:textId="4A403DD5" w:rsidR="00107CBA" w:rsidRPr="00CD29D0" w:rsidRDefault="001B3CF5" w:rsidP="009C71A0">
            <w:pPr>
              <w:pStyle w:val="TableText"/>
            </w:pPr>
            <w:r w:rsidRPr="00CD29D0">
              <w:t>Teacher</w:t>
            </w:r>
            <w:r w:rsidR="0020454A" w:rsidRPr="00CD29D0">
              <w:t>-developed</w:t>
            </w:r>
          </w:p>
        </w:tc>
        <w:tc>
          <w:tcPr>
            <w:tcW w:w="916" w:type="pct"/>
          </w:tcPr>
          <w:p w14:paraId="2DEF9DD6" w14:textId="47C9623A" w:rsidR="00107CBA" w:rsidRPr="00CD29D0" w:rsidRDefault="0020454A" w:rsidP="009C71A0">
            <w:pPr>
              <w:pStyle w:val="TableText"/>
            </w:pPr>
            <w:r w:rsidRPr="00CD29D0">
              <w:t>Comprehensive</w:t>
            </w:r>
          </w:p>
        </w:tc>
        <w:tc>
          <w:tcPr>
            <w:tcW w:w="916" w:type="pct"/>
          </w:tcPr>
          <w:p w14:paraId="67D46718" w14:textId="22AB461D" w:rsidR="00107CBA" w:rsidRPr="00CD29D0" w:rsidRDefault="00514CB9" w:rsidP="00E82B75">
            <w:pPr>
              <w:pStyle w:val="TableTextCentered"/>
            </w:pPr>
            <w:r w:rsidRPr="00CD29D0">
              <w:t>NR</w:t>
            </w:r>
          </w:p>
        </w:tc>
        <w:tc>
          <w:tcPr>
            <w:tcW w:w="916" w:type="pct"/>
          </w:tcPr>
          <w:p w14:paraId="556D309D" w14:textId="675BEEDB" w:rsidR="00107CBA" w:rsidRPr="00CD29D0" w:rsidRDefault="006828DA" w:rsidP="00E82B75">
            <w:pPr>
              <w:pStyle w:val="TableTextCentered"/>
            </w:pPr>
            <w:r w:rsidRPr="00CD29D0">
              <w:t>NR</w:t>
            </w:r>
          </w:p>
        </w:tc>
      </w:tr>
      <w:tr w:rsidR="00894E63" w:rsidRPr="00CD29D0" w14:paraId="76B15FB7" w14:textId="7F8B2CC2" w:rsidTr="00E82B75">
        <w:trPr>
          <w:cnfStyle w:val="000000100000" w:firstRow="0" w:lastRow="0" w:firstColumn="0" w:lastColumn="0" w:oddVBand="0" w:evenVBand="0" w:oddHBand="1" w:evenHBand="0" w:firstRowFirstColumn="0" w:firstRowLastColumn="0" w:lastRowFirstColumn="0" w:lastRowLastColumn="0"/>
        </w:trPr>
        <w:tc>
          <w:tcPr>
            <w:tcW w:w="421" w:type="pct"/>
          </w:tcPr>
          <w:p w14:paraId="23DC622F" w14:textId="6CE91F84" w:rsidR="00107CBA" w:rsidRPr="00CD29D0" w:rsidRDefault="005F4FAB" w:rsidP="009C71A0">
            <w:pPr>
              <w:pStyle w:val="TableSubheading"/>
            </w:pPr>
            <w:r w:rsidRPr="00CD29D0">
              <w:t>K</w:t>
            </w:r>
            <w:r w:rsidR="0020454A" w:rsidRPr="00CD29D0">
              <w:t>-5</w:t>
            </w:r>
          </w:p>
        </w:tc>
        <w:tc>
          <w:tcPr>
            <w:tcW w:w="916" w:type="pct"/>
          </w:tcPr>
          <w:p w14:paraId="58AF6C54" w14:textId="217E1871" w:rsidR="00107CBA" w:rsidRPr="00CD29D0" w:rsidRDefault="0020454A" w:rsidP="009C71A0">
            <w:pPr>
              <w:pStyle w:val="TableText"/>
            </w:pPr>
            <w:r w:rsidRPr="00CD29D0">
              <w:t>Science</w:t>
            </w:r>
          </w:p>
        </w:tc>
        <w:tc>
          <w:tcPr>
            <w:tcW w:w="916" w:type="pct"/>
          </w:tcPr>
          <w:p w14:paraId="61E074D3" w14:textId="59B89AA9" w:rsidR="00107CBA" w:rsidRPr="00CD29D0" w:rsidRDefault="0020454A" w:rsidP="009C71A0">
            <w:pPr>
              <w:pStyle w:val="TableText"/>
            </w:pPr>
            <w:r w:rsidRPr="00CD29D0">
              <w:t>Mystery Science</w:t>
            </w:r>
          </w:p>
        </w:tc>
        <w:tc>
          <w:tcPr>
            <w:tcW w:w="916" w:type="pct"/>
          </w:tcPr>
          <w:p w14:paraId="1635D980" w14:textId="13CA1840" w:rsidR="00107CBA" w:rsidRPr="00CD29D0" w:rsidRDefault="0020454A" w:rsidP="009C71A0">
            <w:pPr>
              <w:pStyle w:val="TableText"/>
            </w:pPr>
            <w:r w:rsidRPr="00CD29D0">
              <w:t>Comprehensive</w:t>
            </w:r>
          </w:p>
        </w:tc>
        <w:tc>
          <w:tcPr>
            <w:tcW w:w="916" w:type="pct"/>
          </w:tcPr>
          <w:p w14:paraId="26644921" w14:textId="29A7F644" w:rsidR="00107CBA" w:rsidRPr="00CD29D0" w:rsidRDefault="00836F48" w:rsidP="00E82B75">
            <w:pPr>
              <w:pStyle w:val="TableTextCentered"/>
            </w:pPr>
            <w:r w:rsidRPr="00CD29D0">
              <w:t>NR</w:t>
            </w:r>
          </w:p>
        </w:tc>
        <w:tc>
          <w:tcPr>
            <w:tcW w:w="916" w:type="pct"/>
          </w:tcPr>
          <w:p w14:paraId="194114D3" w14:textId="2DFD17A9" w:rsidR="00107CBA" w:rsidRPr="00CD29D0" w:rsidRDefault="006A709A" w:rsidP="00E82B75">
            <w:pPr>
              <w:pStyle w:val="TableTextCentered"/>
            </w:pPr>
            <w:r w:rsidRPr="00CD29D0">
              <w:t>NR</w:t>
            </w:r>
          </w:p>
        </w:tc>
      </w:tr>
      <w:tr w:rsidR="0020454A" w:rsidRPr="00CD29D0" w14:paraId="1620EFE8" w14:textId="77777777" w:rsidTr="00E82B75">
        <w:tc>
          <w:tcPr>
            <w:tcW w:w="421" w:type="pct"/>
          </w:tcPr>
          <w:p w14:paraId="0F3FE4B4" w14:textId="7F75CF1B" w:rsidR="0020454A" w:rsidRPr="00CD29D0" w:rsidRDefault="0020454A" w:rsidP="009C71A0">
            <w:pPr>
              <w:pStyle w:val="TableSubheading"/>
            </w:pPr>
            <w:r w:rsidRPr="00CD29D0">
              <w:t>6-8</w:t>
            </w:r>
          </w:p>
        </w:tc>
        <w:tc>
          <w:tcPr>
            <w:tcW w:w="916" w:type="pct"/>
          </w:tcPr>
          <w:p w14:paraId="21358D62" w14:textId="4C1467AA" w:rsidR="0020454A" w:rsidRPr="00CD29D0" w:rsidRDefault="0020454A" w:rsidP="009C71A0">
            <w:pPr>
              <w:pStyle w:val="TableText"/>
            </w:pPr>
            <w:r w:rsidRPr="00CD29D0">
              <w:t>Science</w:t>
            </w:r>
          </w:p>
        </w:tc>
        <w:tc>
          <w:tcPr>
            <w:tcW w:w="916" w:type="pct"/>
          </w:tcPr>
          <w:p w14:paraId="1E7DA0BA" w14:textId="753F4765" w:rsidR="0020454A" w:rsidRPr="00CD29D0" w:rsidRDefault="0020454A" w:rsidP="009C71A0">
            <w:pPr>
              <w:pStyle w:val="TableText"/>
            </w:pPr>
            <w:r w:rsidRPr="00CD29D0">
              <w:t>Sav</w:t>
            </w:r>
            <w:r w:rsidR="009C3288" w:rsidRPr="00CD29D0">
              <w:t>v</w:t>
            </w:r>
            <w:r w:rsidRPr="00CD29D0">
              <w:t>as</w:t>
            </w:r>
          </w:p>
        </w:tc>
        <w:tc>
          <w:tcPr>
            <w:tcW w:w="916" w:type="pct"/>
          </w:tcPr>
          <w:p w14:paraId="548BB4EB" w14:textId="4B11062C" w:rsidR="0020454A" w:rsidRPr="00CD29D0" w:rsidRDefault="0020454A" w:rsidP="009C71A0">
            <w:pPr>
              <w:pStyle w:val="TableText"/>
            </w:pPr>
            <w:r w:rsidRPr="00CD29D0">
              <w:t>Comprehensive</w:t>
            </w:r>
          </w:p>
        </w:tc>
        <w:tc>
          <w:tcPr>
            <w:tcW w:w="916" w:type="pct"/>
          </w:tcPr>
          <w:p w14:paraId="0EA881CD" w14:textId="52BA6316" w:rsidR="0020454A" w:rsidRPr="00CD29D0" w:rsidRDefault="003041F9" w:rsidP="00E82B75">
            <w:pPr>
              <w:pStyle w:val="TableTextCentered"/>
            </w:pPr>
            <w:r w:rsidRPr="00CD29D0">
              <w:t>NR</w:t>
            </w:r>
          </w:p>
        </w:tc>
        <w:tc>
          <w:tcPr>
            <w:tcW w:w="916" w:type="pct"/>
          </w:tcPr>
          <w:p w14:paraId="7188548F" w14:textId="45E4FBC9" w:rsidR="0020454A" w:rsidRPr="00CD29D0" w:rsidRDefault="003041F9" w:rsidP="00E82B75">
            <w:pPr>
              <w:pStyle w:val="TableTextCentered"/>
            </w:pPr>
            <w:r w:rsidRPr="00CD29D0">
              <w:t>NR</w:t>
            </w:r>
          </w:p>
        </w:tc>
      </w:tr>
      <w:tr w:rsidR="001B3CF5" w:rsidRPr="00CD29D0" w14:paraId="4FA55AF1" w14:textId="77777777" w:rsidTr="00CC7B84">
        <w:trPr>
          <w:cnfStyle w:val="000000100000" w:firstRow="0" w:lastRow="0" w:firstColumn="0" w:lastColumn="0" w:oddVBand="0" w:evenVBand="0" w:oddHBand="1" w:evenHBand="0" w:firstRowFirstColumn="0" w:firstRowLastColumn="0" w:lastRowFirstColumn="0" w:lastRowLastColumn="0"/>
        </w:trPr>
        <w:tc>
          <w:tcPr>
            <w:tcW w:w="421" w:type="pct"/>
          </w:tcPr>
          <w:p w14:paraId="7CA7ED48" w14:textId="471425C3" w:rsidR="001B3CF5" w:rsidRPr="00CD29D0" w:rsidRDefault="001B3CF5" w:rsidP="009C71A0">
            <w:pPr>
              <w:pStyle w:val="TableSubheading"/>
            </w:pPr>
            <w:r w:rsidRPr="00CD29D0">
              <w:t>9-12</w:t>
            </w:r>
          </w:p>
        </w:tc>
        <w:tc>
          <w:tcPr>
            <w:tcW w:w="916" w:type="pct"/>
          </w:tcPr>
          <w:p w14:paraId="5146EE26" w14:textId="5D835064" w:rsidR="001B3CF5" w:rsidRPr="00CD29D0" w:rsidRDefault="001B3CF5" w:rsidP="009C71A0">
            <w:pPr>
              <w:pStyle w:val="TableText"/>
            </w:pPr>
            <w:r w:rsidRPr="00CD29D0">
              <w:t>Science</w:t>
            </w:r>
          </w:p>
        </w:tc>
        <w:tc>
          <w:tcPr>
            <w:tcW w:w="916" w:type="pct"/>
            <w:tcMar>
              <w:right w:w="29" w:type="dxa"/>
            </w:tcMar>
          </w:tcPr>
          <w:p w14:paraId="292AFF8C" w14:textId="0F7E7D06" w:rsidR="001B3CF5" w:rsidRPr="00CD29D0" w:rsidRDefault="001B3CF5" w:rsidP="009C71A0">
            <w:pPr>
              <w:pStyle w:val="TableText"/>
            </w:pPr>
            <w:r w:rsidRPr="00CD29D0">
              <w:t>Teacher-developed</w:t>
            </w:r>
          </w:p>
        </w:tc>
        <w:tc>
          <w:tcPr>
            <w:tcW w:w="916" w:type="pct"/>
          </w:tcPr>
          <w:p w14:paraId="719A6C3B" w14:textId="685BB09F" w:rsidR="001B3CF5" w:rsidRPr="00CD29D0" w:rsidRDefault="001B3CF5" w:rsidP="009C71A0">
            <w:pPr>
              <w:pStyle w:val="TableText"/>
            </w:pPr>
            <w:r w:rsidRPr="00CD29D0">
              <w:t>Comprehensive</w:t>
            </w:r>
          </w:p>
        </w:tc>
        <w:tc>
          <w:tcPr>
            <w:tcW w:w="916" w:type="pct"/>
          </w:tcPr>
          <w:p w14:paraId="4C37137C" w14:textId="0F4F1055" w:rsidR="001B3CF5" w:rsidRPr="00CD29D0" w:rsidRDefault="001B3CF5" w:rsidP="00E82B75">
            <w:pPr>
              <w:pStyle w:val="TableTextCentered"/>
            </w:pPr>
            <w:r w:rsidRPr="00CD29D0">
              <w:t>NR</w:t>
            </w:r>
          </w:p>
        </w:tc>
        <w:tc>
          <w:tcPr>
            <w:tcW w:w="916" w:type="pct"/>
          </w:tcPr>
          <w:p w14:paraId="77F36638" w14:textId="0CFB7ED2" w:rsidR="001B3CF5" w:rsidRPr="00CD29D0" w:rsidRDefault="001B3CF5" w:rsidP="00E82B75">
            <w:pPr>
              <w:pStyle w:val="TableTextCentered"/>
            </w:pPr>
            <w:r w:rsidRPr="00CD29D0">
              <w:t>NR</w:t>
            </w:r>
          </w:p>
        </w:tc>
      </w:tr>
    </w:tbl>
    <w:p w14:paraId="1A98FE05" w14:textId="241A92FE" w:rsidR="007F5160" w:rsidRPr="00CD29D0" w:rsidRDefault="006F2AA0" w:rsidP="009C2835">
      <w:pPr>
        <w:pStyle w:val="TableNote"/>
      </w:pPr>
      <w:r w:rsidRPr="00CD29D0">
        <w:rPr>
          <w:i/>
          <w:iCs/>
        </w:rPr>
        <w:t>Note</w:t>
      </w:r>
      <w:r w:rsidR="0094457E" w:rsidRPr="00CD29D0">
        <w:t xml:space="preserve">. </w:t>
      </w:r>
      <w:r w:rsidR="64E96642" w:rsidRPr="00CD29D0">
        <w:t xml:space="preserve">CURATE = CUrriculum RAtings by TEachers; </w:t>
      </w:r>
      <w:r w:rsidR="0018424B" w:rsidRPr="00CD29D0">
        <w:t xml:space="preserve">ELA = English language arts; PM = Partially Meets Expectations; </w:t>
      </w:r>
      <w:r w:rsidRPr="00CD29D0">
        <w:t>ME=Meets Expectations</w:t>
      </w:r>
      <w:r w:rsidR="0094457E" w:rsidRPr="00CD29D0">
        <w:t>; NR = Not Rated</w:t>
      </w:r>
      <w:r w:rsidR="0018424B" w:rsidRPr="00CD29D0">
        <w:t>.</w:t>
      </w:r>
    </w:p>
    <w:p w14:paraId="22005E88" w14:textId="1BDC4D68" w:rsidR="00A45A08" w:rsidRPr="00CD29D0" w:rsidRDefault="009530B7" w:rsidP="009C2835">
      <w:pPr>
        <w:pStyle w:val="BodyText"/>
      </w:pPr>
      <w:r w:rsidRPr="00CD29D0">
        <w:t>At the elementary level, teachers</w:t>
      </w:r>
      <w:r w:rsidR="00C268E3" w:rsidRPr="00CD29D0">
        <w:t xml:space="preserve"> generally</w:t>
      </w:r>
      <w:r w:rsidRPr="00CD29D0">
        <w:t xml:space="preserve"> had positive impressions of the curricular materials. </w:t>
      </w:r>
      <w:r w:rsidR="00C268E3" w:rsidRPr="00CD29D0">
        <w:t xml:space="preserve">HMH Into Reading is in its second year of implementation, </w:t>
      </w:r>
      <w:r w:rsidR="006A71B6" w:rsidRPr="00CD29D0">
        <w:t xml:space="preserve">so teachers are still in the process of </w:t>
      </w:r>
      <w:r w:rsidR="00BC3808" w:rsidRPr="00CD29D0">
        <w:t>determining</w:t>
      </w:r>
      <w:r w:rsidR="002205D8" w:rsidRPr="00CD29D0">
        <w:t xml:space="preserve"> </w:t>
      </w:r>
      <w:r w:rsidR="00D74AD7" w:rsidRPr="00CD29D0">
        <w:t xml:space="preserve">its assets </w:t>
      </w:r>
      <w:r w:rsidR="00F42635" w:rsidRPr="00CD29D0">
        <w:t xml:space="preserve">and </w:t>
      </w:r>
      <w:r w:rsidR="00E830A0" w:rsidRPr="00CD29D0">
        <w:t xml:space="preserve">if </w:t>
      </w:r>
      <w:r w:rsidR="00F42635" w:rsidRPr="00CD29D0">
        <w:t>supplement</w:t>
      </w:r>
      <w:r w:rsidR="00E830A0" w:rsidRPr="00CD29D0">
        <w:t>al</w:t>
      </w:r>
      <w:r w:rsidR="00F42635" w:rsidRPr="00CD29D0">
        <w:t xml:space="preserve"> materials </w:t>
      </w:r>
      <w:r w:rsidR="00E830A0" w:rsidRPr="00CD29D0">
        <w:t xml:space="preserve">may be </w:t>
      </w:r>
      <w:r w:rsidR="00F42635" w:rsidRPr="00CD29D0">
        <w:t xml:space="preserve">needed. </w:t>
      </w:r>
      <w:r w:rsidR="00FF11A1" w:rsidRPr="00CD29D0">
        <w:t xml:space="preserve">Nevertheless, teachers appreciate the cultural responsiveness of the program, describing the texts as diverse and representing different cultures and backgrounds. </w:t>
      </w:r>
      <w:r w:rsidR="0019278E" w:rsidRPr="00CD29D0">
        <w:t xml:space="preserve">For math, teachers described Stepping Stones as engaging </w:t>
      </w:r>
      <w:r w:rsidR="00144A4C" w:rsidRPr="00CD29D0">
        <w:t xml:space="preserve">with strong vertical alignment and progression of skills across grades. </w:t>
      </w:r>
      <w:r w:rsidR="001501A5" w:rsidRPr="00CD29D0">
        <w:t xml:space="preserve">Teachers also appreciated </w:t>
      </w:r>
      <w:r w:rsidR="006025EC" w:rsidRPr="00CD29D0">
        <w:t>how the curriculum spirals</w:t>
      </w:r>
      <w:r w:rsidR="00F91BEE" w:rsidRPr="00CD29D0">
        <w:t>,</w:t>
      </w:r>
      <w:r w:rsidR="006025EC" w:rsidRPr="00CD29D0">
        <w:t xml:space="preserve"> so students return to concepts throughout the school year for reinforcement. </w:t>
      </w:r>
      <w:r w:rsidR="00E72FAD" w:rsidRPr="00CD29D0">
        <w:t xml:space="preserve">For science, teachers described </w:t>
      </w:r>
      <w:r w:rsidR="000A3F93" w:rsidRPr="00CD29D0">
        <w:t>Mystery Science</w:t>
      </w:r>
      <w:r w:rsidR="00E72FAD" w:rsidRPr="00CD29D0">
        <w:t xml:space="preserve"> as</w:t>
      </w:r>
      <w:r w:rsidR="000A3F93" w:rsidRPr="00CD29D0">
        <w:t xml:space="preserve"> highly engaging</w:t>
      </w:r>
      <w:r w:rsidR="00E72FAD" w:rsidRPr="00CD29D0">
        <w:t xml:space="preserve"> and </w:t>
      </w:r>
      <w:r w:rsidR="0047247F" w:rsidRPr="00CD29D0">
        <w:t>strong in making science real for students through real-world examples. Additionally, teachers have access to a variety of supplemental programs including Heggerty (grades K-3), ST Math</w:t>
      </w:r>
      <w:r w:rsidR="0039143B" w:rsidRPr="00CD29D0">
        <w:t xml:space="preserve">, </w:t>
      </w:r>
      <w:r w:rsidR="002E2B4B" w:rsidRPr="00CD29D0">
        <w:t xml:space="preserve">and </w:t>
      </w:r>
      <w:r w:rsidR="0039143B" w:rsidRPr="00CD29D0">
        <w:t xml:space="preserve">Bridges Math </w:t>
      </w:r>
      <w:r w:rsidR="00AF721E" w:rsidRPr="00CD29D0">
        <w:t>to meet the needs of students</w:t>
      </w:r>
      <w:r w:rsidR="00A45A08" w:rsidRPr="00CD29D0">
        <w:t>.</w:t>
      </w:r>
    </w:p>
    <w:p w14:paraId="07C8F6C5" w14:textId="1ED9770E" w:rsidR="00A3488C" w:rsidRPr="003A2235" w:rsidRDefault="00A3488C" w:rsidP="009C2835">
      <w:pPr>
        <w:pStyle w:val="BodyText"/>
      </w:pPr>
      <w:r w:rsidRPr="00CD29D0">
        <w:t>At the middle school level,</w:t>
      </w:r>
      <w:r w:rsidR="00E15C64" w:rsidRPr="00CD29D0">
        <w:t xml:space="preserve"> teachers generally have established curricular materials with the flexibility to supplement and make changes as needed. </w:t>
      </w:r>
      <w:r w:rsidRPr="00CD29D0">
        <w:t>ELA teachers are in their third year of implementing Amplify</w:t>
      </w:r>
      <w:r w:rsidR="00772992" w:rsidRPr="00CD29D0">
        <w:t xml:space="preserve"> ELA</w:t>
      </w:r>
      <w:r w:rsidRPr="00CD29D0">
        <w:t>, and they stay closely aligned in pacing so that all classes move through units simultaneously</w:t>
      </w:r>
      <w:r w:rsidR="00E135E6" w:rsidRPr="00CD29D0">
        <w:t xml:space="preserve">. </w:t>
      </w:r>
      <w:r w:rsidRPr="00CD29D0">
        <w:t>Similarly, the math departmen</w:t>
      </w:r>
      <w:r w:rsidR="00E135E6" w:rsidRPr="00CD29D0">
        <w:t xml:space="preserve">t, </w:t>
      </w:r>
      <w:r w:rsidRPr="00CD29D0">
        <w:t>now in its third year of using Mid</w:t>
      </w:r>
      <w:r w:rsidRPr="00CD29D0">
        <w:noBreakHyphen/>
        <w:t>School Math</w:t>
      </w:r>
      <w:r w:rsidR="00E135E6" w:rsidRPr="00CD29D0">
        <w:t xml:space="preserve">, </w:t>
      </w:r>
      <w:r w:rsidRPr="00CD29D0">
        <w:t xml:space="preserve">also strives for pacing alignment, though teachers sometimes adjust the program’s highly structured lessons to </w:t>
      </w:r>
      <w:r w:rsidR="0078775D" w:rsidRPr="00CD29D0">
        <w:t>make lessons more engaging to students</w:t>
      </w:r>
      <w:r w:rsidRPr="00CD29D0">
        <w:t xml:space="preserve">. In science, teachers currently rely on Savvas </w:t>
      </w:r>
      <w:r w:rsidRPr="00CD29D0">
        <w:lastRenderedPageBreak/>
        <w:t xml:space="preserve">textbooks but supplement heavily for lab work, and the department is </w:t>
      </w:r>
      <w:r w:rsidR="00B73541" w:rsidRPr="00CD29D0">
        <w:t>conducting</w:t>
      </w:r>
      <w:r w:rsidRPr="00CD29D0">
        <w:t xml:space="preserve"> a formal curriculum review to identify a new program for adoption. Finally, in history, teachers </w:t>
      </w:r>
      <w:r w:rsidR="00B73541" w:rsidRPr="00CD29D0">
        <w:t>use</w:t>
      </w:r>
      <w:r w:rsidRPr="00CD29D0">
        <w:t xml:space="preserve"> a textbook but supplement with additional materials</w:t>
      </w:r>
      <w:r w:rsidR="00F978D1" w:rsidRPr="00CD29D0">
        <w:t xml:space="preserve">. Teachers </w:t>
      </w:r>
      <w:r w:rsidR="00B73541" w:rsidRPr="00CD29D0">
        <w:t>said</w:t>
      </w:r>
      <w:r w:rsidR="00F978D1" w:rsidRPr="00CD29D0">
        <w:t xml:space="preserve"> the history materials have been in place for a long time</w:t>
      </w:r>
      <w:r w:rsidR="00B73541" w:rsidRPr="00CD29D0">
        <w:t>, with one teacher calling them</w:t>
      </w:r>
      <w:r w:rsidR="00F978D1" w:rsidRPr="00CD29D0">
        <w:t xml:space="preserve"> “</w:t>
      </w:r>
      <w:r w:rsidR="00374B15" w:rsidRPr="00CD29D0">
        <w:t>very outdated.”</w:t>
      </w:r>
      <w:r w:rsidR="00D8005E">
        <w:t xml:space="preserve"> </w:t>
      </w:r>
      <w:r w:rsidR="00D8005E" w:rsidRPr="003A2235">
        <w:t>Ensuring that all core subject areas, including scien</w:t>
      </w:r>
      <w:r w:rsidR="00E45885" w:rsidRPr="003A2235">
        <w:t>ce and history, have robust curricular materials is an area of growth for the district.</w:t>
      </w:r>
    </w:p>
    <w:p w14:paraId="5490CAC5" w14:textId="6567A47B" w:rsidR="00A45A08" w:rsidRPr="00CD29D0" w:rsidRDefault="00531015" w:rsidP="009C2835">
      <w:pPr>
        <w:pStyle w:val="BodyText"/>
        <w:rPr>
          <w:color w:val="EE0000"/>
        </w:rPr>
      </w:pPr>
      <w:r w:rsidRPr="00CD29D0">
        <w:t xml:space="preserve">At the high school level, teachers created </w:t>
      </w:r>
      <w:r w:rsidR="00B73541" w:rsidRPr="00CD29D0">
        <w:t>much of</w:t>
      </w:r>
      <w:r w:rsidRPr="00CD29D0">
        <w:t xml:space="preserve"> their curriculum</w:t>
      </w:r>
      <w:r w:rsidR="004F4CEF" w:rsidRPr="00CD29D0">
        <w:t xml:space="preserve">, with each department sharing its own approach </w:t>
      </w:r>
      <w:r w:rsidR="00B73541" w:rsidRPr="00CD29D0">
        <w:t xml:space="preserve">for </w:t>
      </w:r>
      <w:r w:rsidR="004F4CEF" w:rsidRPr="00CD29D0">
        <w:t>alignment and shared expectations. In ELA, teachers collaborate as a department to design curriculum and have established common assessments</w:t>
      </w:r>
      <w:r w:rsidR="00BC7F8B" w:rsidRPr="00CD29D0">
        <w:t xml:space="preserve"> and set of texts at each grade level</w:t>
      </w:r>
      <w:r w:rsidR="00B73541" w:rsidRPr="00CD29D0">
        <w:t>.</w:t>
      </w:r>
      <w:r w:rsidR="004F4CEF" w:rsidRPr="00CD29D0">
        <w:t xml:space="preserve"> </w:t>
      </w:r>
      <w:r w:rsidR="00B73541" w:rsidRPr="00CD29D0">
        <w:t xml:space="preserve">However, </w:t>
      </w:r>
      <w:r w:rsidR="00AA03BB" w:rsidRPr="00CD29D0">
        <w:t>they are working toward a more consistent scope and sequence</w:t>
      </w:r>
      <w:r w:rsidR="00B73541" w:rsidRPr="00CD29D0">
        <w:t>,</w:t>
      </w:r>
      <w:r w:rsidR="00AA03BB" w:rsidRPr="00CD29D0">
        <w:t xml:space="preserve"> which has been delayed </w:t>
      </w:r>
      <w:r w:rsidR="00B73541" w:rsidRPr="00CD29D0">
        <w:t xml:space="preserve">by </w:t>
      </w:r>
      <w:r w:rsidR="00AA03BB" w:rsidRPr="00CD29D0">
        <w:t xml:space="preserve">turnover in department leadership. </w:t>
      </w:r>
      <w:r w:rsidR="00BC7F8B" w:rsidRPr="00CD29D0">
        <w:t>In math, the curriculum has evolved from earlier Glencoe-McGraw Hill materials into teacher-developed content</w:t>
      </w:r>
      <w:r w:rsidR="00CD6927" w:rsidRPr="00CD29D0">
        <w:t>. As described above, this department is currently engaged in a formal curriculum review</w:t>
      </w:r>
      <w:r w:rsidR="00B73541" w:rsidRPr="00CD29D0">
        <w:t>, which is</w:t>
      </w:r>
      <w:r w:rsidR="00CD6927" w:rsidRPr="00CD29D0">
        <w:t xml:space="preserve"> supported by a grant to purchase new curricular materials. Science teachers have course-specific curriculum maps and shared digital folders to draw from common resources, and are actively working to strengthen the alignment in the types and number of assessments across courses. In history, </w:t>
      </w:r>
      <w:r w:rsidR="00785380" w:rsidRPr="00CD29D0">
        <w:t xml:space="preserve">grade-level teams regularly update curriculum maps and administer common midterm and final assessments. </w:t>
      </w:r>
      <w:r w:rsidR="00785380" w:rsidRPr="005F155E">
        <w:t xml:space="preserve">Generally, departments are </w:t>
      </w:r>
      <w:r w:rsidR="00DA7393" w:rsidRPr="005F155E">
        <w:t>working to increase coherence, alignment, and shared expectations for students</w:t>
      </w:r>
      <w:r w:rsidR="00A45A08" w:rsidRPr="005F155E">
        <w:t>.</w:t>
      </w:r>
    </w:p>
    <w:p w14:paraId="5B29549C" w14:textId="04ABF98A" w:rsidR="00473308" w:rsidRPr="00CD29D0" w:rsidRDefault="0037284E" w:rsidP="009C2835">
      <w:pPr>
        <w:pStyle w:val="Heading3"/>
      </w:pPr>
      <w:bookmarkStart w:id="34" w:name="_Student_Access_to"/>
      <w:bookmarkStart w:id="35" w:name="_Equitable_Practices_and"/>
      <w:bookmarkEnd w:id="34"/>
      <w:bookmarkEnd w:id="35"/>
      <w:r w:rsidRPr="00CD29D0">
        <w:t>Equitable Practices and</w:t>
      </w:r>
      <w:r w:rsidR="00473308" w:rsidRPr="00CD29D0">
        <w:t xml:space="preserve"> Acces</w:t>
      </w:r>
      <w:r w:rsidRPr="00CD29D0">
        <w:t>s</w:t>
      </w:r>
    </w:p>
    <w:p w14:paraId="41C08E6B" w14:textId="3A7579E1" w:rsidR="0025644D" w:rsidRPr="00CD29D0" w:rsidRDefault="009F1837" w:rsidP="009C2835">
      <w:pPr>
        <w:pStyle w:val="BodyTextposthead"/>
      </w:pPr>
      <w:r w:rsidRPr="00CD29D0">
        <w:t>Norton has a current District Curriculum Accommodation Plan (DCAP)</w:t>
      </w:r>
      <w:r w:rsidR="004B08BB" w:rsidRPr="00CD29D0">
        <w:t>, last updated in April 2024</w:t>
      </w:r>
      <w:r w:rsidR="00974237" w:rsidRPr="00CD29D0">
        <w:t xml:space="preserve">. </w:t>
      </w:r>
      <w:r w:rsidR="00E72C75" w:rsidRPr="00CD29D0">
        <w:t>The</w:t>
      </w:r>
      <w:r w:rsidR="00974237" w:rsidRPr="00CD29D0">
        <w:t xml:space="preserve"> DCAP guides teachers in </w:t>
      </w:r>
      <w:r w:rsidR="00167430" w:rsidRPr="00CD29D0">
        <w:t>ensuring</w:t>
      </w:r>
      <w:r w:rsidR="00974237" w:rsidRPr="00CD29D0">
        <w:t xml:space="preserve"> that all students can access the general education curriculum by outlining instructional supports, accommodations, and strategies to help teachers address students’ needs.</w:t>
      </w:r>
      <w:r w:rsidR="00B90D85" w:rsidRPr="00CD29D0">
        <w:t xml:space="preserve"> Examples of Tier 1 </w:t>
      </w:r>
      <w:r w:rsidR="00B72A17" w:rsidRPr="00CD29D0">
        <w:t>accommodations</w:t>
      </w:r>
      <w:r w:rsidR="00B90D85" w:rsidRPr="00CD29D0">
        <w:t xml:space="preserve"> included in the DCAP </w:t>
      </w:r>
      <w:r w:rsidR="005641EC" w:rsidRPr="00CD29D0">
        <w:t xml:space="preserve">across all grade levels include </w:t>
      </w:r>
      <w:r w:rsidR="003115DE" w:rsidRPr="00CD29D0">
        <w:t xml:space="preserve">strong core curriculum, </w:t>
      </w:r>
      <w:r w:rsidR="003E4D5B" w:rsidRPr="00CD29D0">
        <w:t>scaffold</w:t>
      </w:r>
      <w:r w:rsidR="00167430" w:rsidRPr="00CD29D0">
        <w:t>ed</w:t>
      </w:r>
      <w:r w:rsidR="003E4D5B" w:rsidRPr="00CD29D0">
        <w:t xml:space="preserve"> learning (e.g., graphic organizers, chunking information, small</w:t>
      </w:r>
      <w:r w:rsidR="00167430" w:rsidRPr="00CD29D0">
        <w:t>-</w:t>
      </w:r>
      <w:r w:rsidR="003E4D5B" w:rsidRPr="00CD29D0">
        <w:t>group instruction)</w:t>
      </w:r>
      <w:r w:rsidR="003115DE" w:rsidRPr="00CD29D0">
        <w:t xml:space="preserve">, </w:t>
      </w:r>
      <w:r w:rsidR="00BE2296" w:rsidRPr="00CD29D0">
        <w:t>separate setting</w:t>
      </w:r>
      <w:r w:rsidR="00167430" w:rsidRPr="00CD29D0">
        <w:t>s</w:t>
      </w:r>
      <w:r w:rsidR="00BE2296" w:rsidRPr="00CD29D0">
        <w:t xml:space="preserve"> for work or testing, preferential seating, extra wait time, more frequent breaks, </w:t>
      </w:r>
      <w:r w:rsidR="006B0B0B" w:rsidRPr="00CD29D0">
        <w:t>afterschool help (middle and high school only)</w:t>
      </w:r>
      <w:r w:rsidR="005641EC" w:rsidRPr="00CD29D0">
        <w:t xml:space="preserve">, </w:t>
      </w:r>
      <w:r w:rsidR="000B3806" w:rsidRPr="00CD29D0">
        <w:t>leveled classes (high school only),</w:t>
      </w:r>
      <w:r w:rsidR="00CA0E5D">
        <w:t xml:space="preserve"> and</w:t>
      </w:r>
      <w:r w:rsidR="000B3806" w:rsidRPr="00CD29D0">
        <w:t xml:space="preserve"> independent study classes (high school only)</w:t>
      </w:r>
      <w:r w:rsidR="00AE10B4" w:rsidRPr="00CD29D0">
        <w:t xml:space="preserve">, </w:t>
      </w:r>
      <w:r w:rsidR="00167430" w:rsidRPr="00CD29D0">
        <w:t>among others</w:t>
      </w:r>
      <w:r w:rsidR="00AE10B4" w:rsidRPr="00CD29D0">
        <w:t>.</w:t>
      </w:r>
    </w:p>
    <w:p w14:paraId="3569605E" w14:textId="4B5BD36F" w:rsidR="00320588" w:rsidRPr="00CD29D0" w:rsidRDefault="00672C9C" w:rsidP="009C2835">
      <w:pPr>
        <w:pStyle w:val="BodyText"/>
      </w:pPr>
      <w:r w:rsidRPr="00CD29D0">
        <w:t>For students in need of additional supports, the following academic interventions are available in ELA and mathematics:</w:t>
      </w:r>
    </w:p>
    <w:p w14:paraId="1B275BC2" w14:textId="27C0CADF" w:rsidR="00A45A08" w:rsidRPr="00CD29D0" w:rsidRDefault="007B30D9" w:rsidP="009C71A0">
      <w:pPr>
        <w:pStyle w:val="Bullet1"/>
        <w:keepNext/>
        <w:keepLines/>
      </w:pPr>
      <w:r w:rsidRPr="00CD29D0">
        <w:t>Elementary</w:t>
      </w:r>
      <w:r w:rsidR="005055AF" w:rsidRPr="00CD29D0">
        <w:t xml:space="preserve"> ELA</w:t>
      </w:r>
      <w:r w:rsidRPr="00CD29D0">
        <w:t>: R</w:t>
      </w:r>
      <w:r w:rsidR="00EF7C92" w:rsidRPr="00CD29D0">
        <w:t>eading specialists provid</w:t>
      </w:r>
      <w:r w:rsidR="00A41C28" w:rsidRPr="00CD29D0">
        <w:t>e</w:t>
      </w:r>
      <w:r w:rsidR="00EF7C92" w:rsidRPr="00CD29D0">
        <w:t xml:space="preserve"> small</w:t>
      </w:r>
      <w:r w:rsidR="00A41C28" w:rsidRPr="00CD29D0">
        <w:t>-</w:t>
      </w:r>
      <w:r w:rsidR="00EF7C92" w:rsidRPr="00CD29D0">
        <w:t xml:space="preserve">group intervention </w:t>
      </w:r>
      <w:r w:rsidR="00E474E5" w:rsidRPr="00CD29D0">
        <w:t>(</w:t>
      </w:r>
      <w:r w:rsidR="00A41C28" w:rsidRPr="00CD29D0">
        <w:t xml:space="preserve">i.e., </w:t>
      </w:r>
      <w:r w:rsidR="00E474E5" w:rsidRPr="00CD29D0">
        <w:t>two at L.G. Nourse, one at J</w:t>
      </w:r>
      <w:r w:rsidR="007251C8">
        <w:t>.</w:t>
      </w:r>
      <w:r w:rsidR="00E474E5" w:rsidRPr="00CD29D0">
        <w:t>C</w:t>
      </w:r>
      <w:r w:rsidR="007251C8">
        <w:t xml:space="preserve">. </w:t>
      </w:r>
      <w:r w:rsidR="00E474E5" w:rsidRPr="00CD29D0">
        <w:t>S</w:t>
      </w:r>
      <w:r w:rsidR="007251C8">
        <w:t>olmonese</w:t>
      </w:r>
      <w:r w:rsidR="00A84AC1" w:rsidRPr="00CD29D0">
        <w:t xml:space="preserve">) using either </w:t>
      </w:r>
      <w:r w:rsidR="00371935" w:rsidRPr="00CD29D0">
        <w:t xml:space="preserve">Specialized Program Individualizing Reading Excellence (S.P.I.R.E.; </w:t>
      </w:r>
      <w:r w:rsidR="00A41C28" w:rsidRPr="00CD29D0">
        <w:t xml:space="preserve">mostly </w:t>
      </w:r>
      <w:r w:rsidR="002070AB" w:rsidRPr="00CD29D0">
        <w:t>for phonics</w:t>
      </w:r>
      <w:r w:rsidR="00457FD6" w:rsidRPr="00CD29D0">
        <w:t xml:space="preserve"> but also comprehension at the upper elementary grades</w:t>
      </w:r>
      <w:r w:rsidR="002070AB" w:rsidRPr="00CD29D0">
        <w:t xml:space="preserve">) </w:t>
      </w:r>
      <w:r w:rsidR="00A84AC1" w:rsidRPr="00CD29D0">
        <w:t xml:space="preserve">or </w:t>
      </w:r>
      <w:r w:rsidR="00A13DC2" w:rsidRPr="00CD29D0">
        <w:t>University of Florida Literary Institute</w:t>
      </w:r>
      <w:r w:rsidR="00E81023" w:rsidRPr="00CD29D0">
        <w:t>;</w:t>
      </w:r>
      <w:r w:rsidR="00F25D5E" w:rsidRPr="00CD29D0">
        <w:t xml:space="preserve"> classroom teachers us</w:t>
      </w:r>
      <w:r w:rsidR="00A13DC2" w:rsidRPr="00CD29D0">
        <w:t>e</w:t>
      </w:r>
      <w:r w:rsidR="00E81023" w:rsidRPr="00CD29D0">
        <w:t xml:space="preserve"> </w:t>
      </w:r>
      <w:r w:rsidR="005C67DF" w:rsidRPr="00CD29D0">
        <w:t xml:space="preserve">HMH </w:t>
      </w:r>
      <w:r w:rsidR="00A94B6F" w:rsidRPr="00CD29D0">
        <w:t xml:space="preserve">Into Reading </w:t>
      </w:r>
      <w:r w:rsidR="00E177AB" w:rsidRPr="00CD29D0">
        <w:t>intervention</w:t>
      </w:r>
      <w:r w:rsidR="00EA5E99" w:rsidRPr="00CD29D0">
        <w:t xml:space="preserve"> and Rigby Readers for enrichment</w:t>
      </w:r>
      <w:r w:rsidR="00E177AB" w:rsidRPr="00CD29D0">
        <w:t xml:space="preserve"> in classrooms</w:t>
      </w:r>
      <w:r w:rsidR="00A45A08" w:rsidRPr="00CD29D0">
        <w:t>.</w:t>
      </w:r>
    </w:p>
    <w:p w14:paraId="1B1929DC" w14:textId="06E4B45A" w:rsidR="005055AF" w:rsidRPr="00CD29D0" w:rsidRDefault="00E4063C" w:rsidP="009C71A0">
      <w:pPr>
        <w:pStyle w:val="Bullet1"/>
      </w:pPr>
      <w:r w:rsidRPr="00CD29D0">
        <w:t>Elementary</w:t>
      </w:r>
      <w:r w:rsidR="005055AF" w:rsidRPr="00CD29D0">
        <w:t xml:space="preserve"> </w:t>
      </w:r>
      <w:r w:rsidR="00A13DC2" w:rsidRPr="00CD29D0">
        <w:t>m</w:t>
      </w:r>
      <w:r w:rsidR="005055AF" w:rsidRPr="00CD29D0">
        <w:t xml:space="preserve">athematics: </w:t>
      </w:r>
      <w:r w:rsidR="00A13DC2" w:rsidRPr="00CD29D0">
        <w:t>One m</w:t>
      </w:r>
      <w:r w:rsidR="005055AF" w:rsidRPr="00CD29D0">
        <w:t>ath interventionist (one split between L.G. Nourse and J</w:t>
      </w:r>
      <w:r w:rsidR="007251C8">
        <w:t>.</w:t>
      </w:r>
      <w:r w:rsidR="005055AF" w:rsidRPr="00CD29D0">
        <w:t>C</w:t>
      </w:r>
      <w:r w:rsidR="007251C8">
        <w:t xml:space="preserve">. </w:t>
      </w:r>
      <w:r w:rsidR="005055AF" w:rsidRPr="00CD29D0">
        <w:t>S</w:t>
      </w:r>
      <w:r w:rsidR="007251C8">
        <w:t>olmonese</w:t>
      </w:r>
      <w:r w:rsidR="005055AF" w:rsidRPr="00CD29D0">
        <w:t xml:space="preserve">, </w:t>
      </w:r>
      <w:r w:rsidR="00A13DC2" w:rsidRPr="00CD29D0">
        <w:t xml:space="preserve">and </w:t>
      </w:r>
      <w:r w:rsidR="005055AF" w:rsidRPr="00CD29D0">
        <w:t>one math tutor at J</w:t>
      </w:r>
      <w:r w:rsidR="007251C8">
        <w:t>.</w:t>
      </w:r>
      <w:r w:rsidR="005055AF" w:rsidRPr="00CD29D0">
        <w:t>C</w:t>
      </w:r>
      <w:r w:rsidR="007251C8">
        <w:t xml:space="preserve">. </w:t>
      </w:r>
      <w:r w:rsidR="005055AF" w:rsidRPr="00CD29D0">
        <w:t>S</w:t>
      </w:r>
      <w:r w:rsidR="007251C8">
        <w:t>olmonese</w:t>
      </w:r>
      <w:r w:rsidR="005055AF" w:rsidRPr="00CD29D0">
        <w:t>) us</w:t>
      </w:r>
      <w:r w:rsidR="00A13DC2" w:rsidRPr="00CD29D0">
        <w:t xml:space="preserve">e </w:t>
      </w:r>
      <w:r w:rsidR="005055AF" w:rsidRPr="00CD29D0">
        <w:t>Bridges Math (elementary and middle)</w:t>
      </w:r>
      <w:r w:rsidR="00A13DC2" w:rsidRPr="00CD29D0">
        <w:t xml:space="preserve"> and</w:t>
      </w:r>
      <w:r w:rsidR="005055AF" w:rsidRPr="00CD29D0">
        <w:t xml:space="preserve"> Math Fact Lab (</w:t>
      </w:r>
      <w:r w:rsidR="00A13DC2" w:rsidRPr="00CD29D0">
        <w:t xml:space="preserve">i.e., </w:t>
      </w:r>
      <w:r w:rsidR="005055AF" w:rsidRPr="00CD29D0">
        <w:t>math fact fluency)</w:t>
      </w:r>
      <w:r w:rsidR="00A13DC2" w:rsidRPr="00CD29D0">
        <w:t>.</w:t>
      </w:r>
    </w:p>
    <w:p w14:paraId="491B88A0" w14:textId="33F8B169" w:rsidR="00A45A08" w:rsidRPr="00CD29D0" w:rsidRDefault="005055AF" w:rsidP="009C71A0">
      <w:pPr>
        <w:pStyle w:val="Bullet1"/>
      </w:pPr>
      <w:r w:rsidRPr="00CD29D0">
        <w:t xml:space="preserve">Middle </w:t>
      </w:r>
      <w:r w:rsidR="00A13DC2" w:rsidRPr="00CD29D0">
        <w:t>s</w:t>
      </w:r>
      <w:r w:rsidRPr="00CD29D0">
        <w:t xml:space="preserve">chool: All students have </w:t>
      </w:r>
      <w:r w:rsidR="008E2286" w:rsidRPr="00CD29D0">
        <w:t>an</w:t>
      </w:r>
      <w:r w:rsidRPr="00CD29D0">
        <w:t xml:space="preserve"> ICE block </w:t>
      </w:r>
      <w:r w:rsidR="008E2286" w:rsidRPr="00CD29D0">
        <w:t xml:space="preserve">built into their schedule to catch up on missed work, meet with teachers, </w:t>
      </w:r>
      <w:r w:rsidR="002A07E0" w:rsidRPr="00CD29D0">
        <w:t xml:space="preserve">or </w:t>
      </w:r>
      <w:r w:rsidR="008E2286" w:rsidRPr="00CD29D0">
        <w:t xml:space="preserve">reengage after absences. For students in need of more support, there is a reading </w:t>
      </w:r>
      <w:r w:rsidR="008451C9" w:rsidRPr="00CD29D0">
        <w:t>specialist</w:t>
      </w:r>
      <w:r w:rsidR="008E2286" w:rsidRPr="00CD29D0">
        <w:t xml:space="preserve"> who uses either Orton-Gillingham or Wilson</w:t>
      </w:r>
      <w:r w:rsidR="002A07E0" w:rsidRPr="00CD29D0">
        <w:t>,</w:t>
      </w:r>
      <w:r w:rsidR="008E2286" w:rsidRPr="00CD29D0">
        <w:t xml:space="preserve"> depending on </w:t>
      </w:r>
      <w:r w:rsidR="002A07E0" w:rsidRPr="00CD29D0">
        <w:t xml:space="preserve">each </w:t>
      </w:r>
      <w:r w:rsidR="008E2286" w:rsidRPr="00CD29D0">
        <w:t>student</w:t>
      </w:r>
      <w:r w:rsidR="002A07E0" w:rsidRPr="00CD29D0">
        <w:t>’</w:t>
      </w:r>
      <w:r w:rsidR="008E2286" w:rsidRPr="00CD29D0">
        <w:t>s needs</w:t>
      </w:r>
      <w:r w:rsidR="00A45A08" w:rsidRPr="00CD29D0">
        <w:t>.</w:t>
      </w:r>
    </w:p>
    <w:p w14:paraId="5D468999" w14:textId="08F2065C" w:rsidR="00A45A08" w:rsidRPr="00CD29D0" w:rsidRDefault="008E2286" w:rsidP="009C71A0">
      <w:pPr>
        <w:pStyle w:val="Bullet1"/>
      </w:pPr>
      <w:r w:rsidRPr="00CD29D0">
        <w:lastRenderedPageBreak/>
        <w:t xml:space="preserve">High </w:t>
      </w:r>
      <w:r w:rsidR="002A07E0" w:rsidRPr="00CD29D0">
        <w:t>s</w:t>
      </w:r>
      <w:r w:rsidRPr="00CD29D0">
        <w:t xml:space="preserve">chool: </w:t>
      </w:r>
      <w:r w:rsidR="00655954" w:rsidRPr="00CD29D0">
        <w:t xml:space="preserve">All students have </w:t>
      </w:r>
      <w:r w:rsidR="006208C5" w:rsidRPr="00CD29D0">
        <w:t>a Learning Lab Block (</w:t>
      </w:r>
      <w:r w:rsidR="005055AF" w:rsidRPr="00CD29D0">
        <w:t>LLB</w:t>
      </w:r>
      <w:r w:rsidR="006208C5" w:rsidRPr="00CD29D0">
        <w:t>)</w:t>
      </w:r>
      <w:r w:rsidR="005055AF" w:rsidRPr="00CD29D0">
        <w:t>/advisory block</w:t>
      </w:r>
      <w:r w:rsidR="00655954" w:rsidRPr="00CD29D0">
        <w:t xml:space="preserve"> built into their schedule to </w:t>
      </w:r>
      <w:r w:rsidR="005055AF" w:rsidRPr="00CD29D0">
        <w:t xml:space="preserve">catch up on missed work, meet with teachers, </w:t>
      </w:r>
      <w:r w:rsidR="002A07E0" w:rsidRPr="00CD29D0">
        <w:t xml:space="preserve">or </w:t>
      </w:r>
      <w:r w:rsidR="005055AF" w:rsidRPr="00CD29D0">
        <w:t>reengage after absences</w:t>
      </w:r>
      <w:r w:rsidR="00A45A08" w:rsidRPr="00CD29D0">
        <w:t>.</w:t>
      </w:r>
    </w:p>
    <w:p w14:paraId="0DEA8171" w14:textId="688EB170" w:rsidR="006E2275" w:rsidRPr="00CD29D0" w:rsidRDefault="002A07E0" w:rsidP="009C2835">
      <w:pPr>
        <w:pStyle w:val="BodyText"/>
      </w:pPr>
      <w:r w:rsidRPr="00CD29D0">
        <w:t>In 2025-2026</w:t>
      </w:r>
      <w:r w:rsidR="000F52EC" w:rsidRPr="00CD29D0">
        <w:t xml:space="preserve">, </w:t>
      </w:r>
      <w:r w:rsidR="00633533" w:rsidRPr="00CD29D0">
        <w:t xml:space="preserve">students with disabilities make up </w:t>
      </w:r>
      <w:r w:rsidR="000F52EC" w:rsidRPr="00CD29D0">
        <w:t>23.7</w:t>
      </w:r>
      <w:r w:rsidR="00887EDD" w:rsidRPr="00CD29D0">
        <w:t xml:space="preserve"> percent</w:t>
      </w:r>
      <w:r w:rsidR="00633533" w:rsidRPr="00CD29D0">
        <w:t xml:space="preserve"> of the district, a slightly higher percentage compared </w:t>
      </w:r>
      <w:r w:rsidRPr="00CD29D0">
        <w:t>with</w:t>
      </w:r>
      <w:r w:rsidR="00633533" w:rsidRPr="00CD29D0">
        <w:t xml:space="preserve"> the state </w:t>
      </w:r>
      <w:r w:rsidR="009B0B3E" w:rsidRPr="00CD29D0">
        <w:t>average of 21.1</w:t>
      </w:r>
      <w:r w:rsidR="00887EDD" w:rsidRPr="00CD29D0">
        <w:t xml:space="preserve"> percent</w:t>
      </w:r>
      <w:r w:rsidR="009B0B3E" w:rsidRPr="00CD29D0">
        <w:t>.</w:t>
      </w:r>
      <w:r w:rsidR="000F52EC" w:rsidRPr="00CD29D0">
        <w:t xml:space="preserve"> </w:t>
      </w:r>
      <w:r w:rsidR="00D306C4" w:rsidRPr="00CD29D0">
        <w:t>Regarding services for students with disabilities, the district</w:t>
      </w:r>
      <w:r w:rsidR="00D54E9F" w:rsidRPr="00CD29D0">
        <w:t xml:space="preserve"> has made several programmatic changes to better meet students’ needs</w:t>
      </w:r>
      <w:r w:rsidR="001A6AFE" w:rsidRPr="00CD29D0">
        <w:t xml:space="preserve">, </w:t>
      </w:r>
      <w:r w:rsidRPr="00CD29D0">
        <w:t xml:space="preserve">such as </w:t>
      </w:r>
      <w:r w:rsidR="00B70A7B" w:rsidRPr="00CD29D0">
        <w:t xml:space="preserve">adding </w:t>
      </w:r>
      <w:r w:rsidR="00BE6AFE" w:rsidRPr="00CD29D0">
        <w:t>several</w:t>
      </w:r>
      <w:r w:rsidR="001A6AFE" w:rsidRPr="00CD29D0">
        <w:t xml:space="preserve"> specialized program classrooms across the district in recent years</w:t>
      </w:r>
      <w:r w:rsidR="00D54E9F" w:rsidRPr="00CD29D0">
        <w:t xml:space="preserve">. </w:t>
      </w:r>
      <w:r w:rsidR="006E2275" w:rsidRPr="00CD29D0">
        <w:t xml:space="preserve">The </w:t>
      </w:r>
      <w:r w:rsidR="00B70A7B" w:rsidRPr="00CD29D0">
        <w:t xml:space="preserve">fiscal year 2025 </w:t>
      </w:r>
      <w:r w:rsidR="006E2275" w:rsidRPr="00CD29D0">
        <w:t>approved budget book summarizes:</w:t>
      </w:r>
    </w:p>
    <w:p w14:paraId="16AA59B2" w14:textId="264D86BD" w:rsidR="00D54E9F" w:rsidRPr="00CD29D0" w:rsidRDefault="006E2275" w:rsidP="009C2835">
      <w:pPr>
        <w:pStyle w:val="BodyTextIndent"/>
      </w:pPr>
      <w:r w:rsidRPr="00CD29D0">
        <w:t>Over the last ten years, Norton Public Schools has made a commitment to developing additional classrooms and programs to provide high quality learning experiences for our students with specialized educational needs. Creating programs that support the unique learning needs of our students allows us to control the quality of the programming and to keep our students learning in their community.</w:t>
      </w:r>
    </w:p>
    <w:p w14:paraId="22BA7ABD" w14:textId="453A028F" w:rsidR="00A45A08" w:rsidRPr="00CD29D0" w:rsidRDefault="006E2275" w:rsidP="009C2835">
      <w:pPr>
        <w:pStyle w:val="BodyText"/>
      </w:pPr>
      <w:r w:rsidRPr="00CD29D0">
        <w:t>As a result, Norto</w:t>
      </w:r>
      <w:r w:rsidR="001B5CA2" w:rsidRPr="00CD29D0">
        <w:t>n</w:t>
      </w:r>
      <w:r w:rsidRPr="00CD29D0">
        <w:t xml:space="preserve"> </w:t>
      </w:r>
      <w:r w:rsidR="00D306C4" w:rsidRPr="00CD29D0">
        <w:t>offers several programming options to meet students’ needs, with variations across schools. Currently, the range of services generally entail inclusion and sub-separate programs</w:t>
      </w:r>
      <w:r w:rsidR="00A45A08" w:rsidRPr="00CD29D0">
        <w:t>:</w:t>
      </w:r>
    </w:p>
    <w:p w14:paraId="75B19169" w14:textId="196FFBE8" w:rsidR="00A45A08" w:rsidRPr="00CD29D0" w:rsidRDefault="00D306C4" w:rsidP="009C71A0">
      <w:pPr>
        <w:pStyle w:val="Bullet1"/>
      </w:pPr>
      <w:r w:rsidRPr="00CD29D0">
        <w:t>Inclusion setting</w:t>
      </w:r>
      <w:r w:rsidR="00FA0A34" w:rsidRPr="00CD29D0">
        <w:t xml:space="preserve"> (</w:t>
      </w:r>
      <w:r w:rsidR="00683B48" w:rsidRPr="00CD29D0">
        <w:t xml:space="preserve">grades </w:t>
      </w:r>
      <w:r w:rsidR="00FA0A34" w:rsidRPr="00CD29D0">
        <w:t>K-12)</w:t>
      </w:r>
      <w:r w:rsidRPr="00CD29D0">
        <w:t>:</w:t>
      </w:r>
      <w:r w:rsidR="00351071" w:rsidRPr="00CD29D0">
        <w:t xml:space="preserve"> </w:t>
      </w:r>
      <w:r w:rsidR="00451753" w:rsidRPr="00451753">
        <w:t>Students with disabilities primarily learn alongside general education peers with support from a special educator or paraprofessional, with occasional pull-out for assessments or targeted support. This is the most common setting. In 2023–2024, 63.2</w:t>
      </w:r>
      <w:r w:rsidR="005C5BCC">
        <w:t xml:space="preserve"> percent</w:t>
      </w:r>
      <w:r w:rsidR="00451753" w:rsidRPr="00451753">
        <w:t xml:space="preserve"> of students were served in full inclusion, slightly below the state average (67.8</w:t>
      </w:r>
      <w:r w:rsidR="005C5BCC">
        <w:t xml:space="preserve"> percent</w:t>
      </w:r>
      <w:r w:rsidR="00451753" w:rsidRPr="00451753">
        <w:t>).</w:t>
      </w:r>
    </w:p>
    <w:p w14:paraId="5A5764BE" w14:textId="2488BC11" w:rsidR="00A45A08" w:rsidRPr="00CD29D0" w:rsidRDefault="00DA4F33" w:rsidP="009C71A0">
      <w:pPr>
        <w:pStyle w:val="Bullet1"/>
      </w:pPr>
      <w:r w:rsidRPr="00CD29D0">
        <w:t>STEP (</w:t>
      </w:r>
      <w:r w:rsidR="00683B48" w:rsidRPr="00CD29D0">
        <w:t xml:space="preserve">grade </w:t>
      </w:r>
      <w:r w:rsidR="00AC71D8" w:rsidRPr="00CD29D0">
        <w:t xml:space="preserve">K-age 22): </w:t>
      </w:r>
      <w:r w:rsidR="00451753" w:rsidRPr="00451753">
        <w:t>Serves students with developmental or intellectual disabilities across a continuum: STEP (substantially separate for intensive needs), STEP Up (mixed inclusion and separate settings), and STEP Out (ages 18–22, focused on life skills and community access).</w:t>
      </w:r>
    </w:p>
    <w:p w14:paraId="6A9667A1" w14:textId="5EDF1226" w:rsidR="00A45A08" w:rsidRPr="00CD29D0" w:rsidRDefault="004E68CA" w:rsidP="009C71A0">
      <w:pPr>
        <w:pStyle w:val="Bullet1"/>
      </w:pPr>
      <w:r w:rsidRPr="00CD29D0">
        <w:t xml:space="preserve">BEST (grades </w:t>
      </w:r>
      <w:r w:rsidR="00C80929" w:rsidRPr="00CD29D0">
        <w:t>PK</w:t>
      </w:r>
      <w:r w:rsidRPr="00CD29D0">
        <w:t xml:space="preserve">-12): </w:t>
      </w:r>
      <w:r w:rsidR="004D7388" w:rsidRPr="004D7388">
        <w:t>Primarily for students with autism. Elementary includes higher- and lower-functioning classrooms, with some inclusion. Secondary students largely participate in inclusion for academics with additional support (e.g., adjustment counselor).</w:t>
      </w:r>
    </w:p>
    <w:p w14:paraId="2369488C" w14:textId="03D24EF3" w:rsidR="00A45A08" w:rsidRPr="00CD29D0" w:rsidRDefault="004E68CA" w:rsidP="009C71A0">
      <w:pPr>
        <w:pStyle w:val="Bullet1"/>
      </w:pPr>
      <w:r w:rsidRPr="00CD29D0">
        <w:t xml:space="preserve">LBC (Language-Based Classroom; grades 2-12): </w:t>
      </w:r>
      <w:r w:rsidR="004D7388" w:rsidRPr="004D7388">
        <w:t>For students with language-based learning disabilities. Students receive small-group ELA (e.g., Orton-Gillingham) and math, with inclusion in other subjects. Services continue across elementary, middle, and high school with similar structures.</w:t>
      </w:r>
    </w:p>
    <w:p w14:paraId="3ABD4B27" w14:textId="42480D0C" w:rsidR="00A45A08" w:rsidRPr="00CD29D0" w:rsidRDefault="00A55E4A" w:rsidP="009C71A0">
      <w:pPr>
        <w:pStyle w:val="Bullet1"/>
      </w:pPr>
      <w:r w:rsidRPr="00CD29D0">
        <w:t>G</w:t>
      </w:r>
      <w:r w:rsidR="00CA08EC" w:rsidRPr="00CD29D0">
        <w:t>RIT</w:t>
      </w:r>
      <w:r w:rsidR="005F18FE" w:rsidRPr="00CD29D0">
        <w:t xml:space="preserve"> (</w:t>
      </w:r>
      <w:r w:rsidR="002B7F5C" w:rsidRPr="00CD29D0">
        <w:t>Elementary)</w:t>
      </w:r>
      <w:r w:rsidR="000D2CBA" w:rsidRPr="00CD29D0">
        <w:t>/SAIL (High School)</w:t>
      </w:r>
      <w:r w:rsidR="00CA08EC" w:rsidRPr="00CD29D0">
        <w:t xml:space="preserve">: </w:t>
      </w:r>
      <w:r w:rsidR="0006766F" w:rsidRPr="0006766F">
        <w:t>Supports students with social-emotional needs. GRIT provides inclusion or separate settings based on need. SAIL (starting in grade 9) supports students with anxiety, school avoidance, or mental health challenges through inclusion plus a structured “home base” and check-ins.</w:t>
      </w:r>
    </w:p>
    <w:p w14:paraId="4F46077F" w14:textId="14E04639" w:rsidR="00FA0A34" w:rsidRPr="00CD29D0" w:rsidRDefault="005A7561" w:rsidP="009C71A0">
      <w:pPr>
        <w:pStyle w:val="Bullet1"/>
      </w:pPr>
      <w:r w:rsidRPr="00CD29D0">
        <w:t>ICE (Middle)/Academic Strategies (High School):</w:t>
      </w:r>
      <w:r w:rsidR="00FA0A34" w:rsidRPr="00CD29D0">
        <w:t xml:space="preserve"> </w:t>
      </w:r>
      <w:r w:rsidR="0006766F" w:rsidRPr="0006766F">
        <w:t>Scheduled support blocks providing IEP services, specialized reading instruction (e.g., Wilson, Orton-Gillingham), and academic support such as reteaching and organization.</w:t>
      </w:r>
    </w:p>
    <w:p w14:paraId="67C0133C" w14:textId="21468903" w:rsidR="00A45A08" w:rsidRPr="00CD29D0" w:rsidRDefault="007E4AC4" w:rsidP="009C71A0">
      <w:pPr>
        <w:pStyle w:val="Bullet1"/>
      </w:pPr>
      <w:r w:rsidRPr="00CD29D0">
        <w:t xml:space="preserve">BRIDGE (High School): </w:t>
      </w:r>
      <w:r w:rsidR="000C7D42" w:rsidRPr="000C7D42">
        <w:t>Transitional support for students returning after prolonged absences; students needing longer-term support may transition to SAIL.</w:t>
      </w:r>
    </w:p>
    <w:p w14:paraId="462D5FA3" w14:textId="349CF983" w:rsidR="00A45A08" w:rsidRPr="00CD29D0" w:rsidRDefault="00E83961" w:rsidP="009C2835">
      <w:pPr>
        <w:pStyle w:val="BodyText"/>
      </w:pPr>
      <w:r w:rsidRPr="00CD29D0">
        <w:lastRenderedPageBreak/>
        <w:t>Despite</w:t>
      </w:r>
      <w:r w:rsidR="0066404A" w:rsidRPr="00CD29D0">
        <w:t xml:space="preserve"> these </w:t>
      </w:r>
      <w:r w:rsidRPr="00CD29D0">
        <w:t xml:space="preserve">program </w:t>
      </w:r>
      <w:r w:rsidR="00A44D24" w:rsidRPr="00CD29D0">
        <w:t>options</w:t>
      </w:r>
      <w:r w:rsidR="0066404A" w:rsidRPr="00CD29D0">
        <w:t xml:space="preserve">, </w:t>
      </w:r>
      <w:r w:rsidR="006F2CF6" w:rsidRPr="00CD29D0">
        <w:t>inclusion is prioritized whenever possible and appropriate for students’ needs.</w:t>
      </w:r>
      <w:r w:rsidR="00FB27AC" w:rsidRPr="00CD29D0">
        <w:t xml:space="preserve"> </w:t>
      </w:r>
      <w:r w:rsidR="006F2CF6" w:rsidRPr="00CD29D0">
        <w:t>DESE data</w:t>
      </w:r>
      <w:r w:rsidR="00B564B9" w:rsidRPr="00CD29D0">
        <w:t xml:space="preserve"> shows that </w:t>
      </w:r>
      <w:r w:rsidR="00F81B00" w:rsidRPr="00CD29D0">
        <w:t>9.1</w:t>
      </w:r>
      <w:r w:rsidR="00FB27AC" w:rsidRPr="00CD29D0">
        <w:t xml:space="preserve"> percent</w:t>
      </w:r>
      <w:r w:rsidR="00F81B00" w:rsidRPr="00CD29D0">
        <w:t xml:space="preserve"> of students with disabilities in Norton are in substantially separate learning environments</w:t>
      </w:r>
      <w:r w:rsidR="0083510A" w:rsidRPr="00CD29D0">
        <w:t>,</w:t>
      </w:r>
      <w:r w:rsidR="00F81B00" w:rsidRPr="00CD29D0">
        <w:t xml:space="preserve"> spending less than 40</w:t>
      </w:r>
      <w:r w:rsidR="00FB27AC" w:rsidRPr="00CD29D0">
        <w:t xml:space="preserve"> percent </w:t>
      </w:r>
      <w:r w:rsidR="00F81B00" w:rsidRPr="00CD29D0">
        <w:t>of the school day inside a general education classroom. This is less than the statewide average of 12.9</w:t>
      </w:r>
      <w:r w:rsidR="009C71A0" w:rsidRPr="00CD29D0">
        <w:t> </w:t>
      </w:r>
      <w:r w:rsidR="00FB27AC" w:rsidRPr="00CD29D0">
        <w:t>percent</w:t>
      </w:r>
      <w:r w:rsidR="00A45A08" w:rsidRPr="00CD29D0">
        <w:t>.</w:t>
      </w:r>
      <w:r w:rsidR="003F192E">
        <w:t xml:space="preserve"> </w:t>
      </w:r>
      <w:r w:rsidR="002F0DAE" w:rsidRPr="00CD29D0">
        <w:t>Occasionally</w:t>
      </w:r>
      <w:r w:rsidR="007811E6" w:rsidRPr="00CD29D0">
        <w:t xml:space="preserve">, </w:t>
      </w:r>
      <w:r w:rsidR="002F0DAE" w:rsidRPr="00CD29D0" w:rsidDel="00FB27AC">
        <w:t>it is</w:t>
      </w:r>
      <w:r w:rsidR="002F0DAE" w:rsidRPr="00CD29D0">
        <w:t xml:space="preserve"> determine</w:t>
      </w:r>
      <w:r w:rsidR="002F0DAE" w:rsidRPr="00CD29D0" w:rsidDel="00FB27AC">
        <w:t>d</w:t>
      </w:r>
      <w:r w:rsidR="002F0DAE" w:rsidRPr="00CD29D0">
        <w:t xml:space="preserve"> that a</w:t>
      </w:r>
      <w:r w:rsidR="007811E6" w:rsidRPr="00CD29D0">
        <w:t xml:space="preserve"> student with disabilit</w:t>
      </w:r>
      <w:r w:rsidR="00A856F6" w:rsidRPr="00CD29D0">
        <w:t>ies</w:t>
      </w:r>
      <w:r w:rsidR="00A856F6" w:rsidRPr="00CD29D0" w:rsidDel="00FB27AC">
        <w:t xml:space="preserve"> </w:t>
      </w:r>
      <w:r w:rsidR="00A856F6" w:rsidRPr="00CD29D0">
        <w:t xml:space="preserve">would be better </w:t>
      </w:r>
      <w:r w:rsidR="00FB27AC" w:rsidRPr="00CD29D0">
        <w:t xml:space="preserve">served </w:t>
      </w:r>
      <w:r w:rsidR="00A856F6" w:rsidRPr="00CD29D0">
        <w:t>in an out</w:t>
      </w:r>
      <w:r w:rsidR="009C71A0" w:rsidRPr="00CD29D0">
        <w:noBreakHyphen/>
      </w:r>
      <w:r w:rsidR="00A856F6" w:rsidRPr="00CD29D0">
        <w:t>of</w:t>
      </w:r>
      <w:r w:rsidR="009C71A0" w:rsidRPr="00CD29D0">
        <w:noBreakHyphen/>
      </w:r>
      <w:r w:rsidR="00A856F6" w:rsidRPr="00CD29D0">
        <w:t>district placement</w:t>
      </w:r>
      <w:r w:rsidR="00E14A84">
        <w:t xml:space="preserve"> (see </w:t>
      </w:r>
      <w:r w:rsidR="007B45FF">
        <w:t>details in Budgeting and Budget Process)</w:t>
      </w:r>
      <w:r w:rsidR="00A856F6" w:rsidRPr="00CD29D0">
        <w:t xml:space="preserve">. </w:t>
      </w:r>
    </w:p>
    <w:p w14:paraId="6E0A7D9E" w14:textId="36994E92" w:rsidR="00CB7FC6" w:rsidRPr="00CD29D0" w:rsidRDefault="009B0B3E" w:rsidP="009C2835">
      <w:pPr>
        <w:pStyle w:val="BodyText"/>
      </w:pPr>
      <w:r w:rsidRPr="00CD29D0">
        <w:t xml:space="preserve">During the </w:t>
      </w:r>
      <w:r w:rsidR="00013759" w:rsidRPr="00CD29D0">
        <w:t xml:space="preserve">2025-2026 </w:t>
      </w:r>
      <w:r w:rsidRPr="00CD29D0">
        <w:t>school year, English Learners make up 2.4</w:t>
      </w:r>
      <w:r w:rsidR="00013759" w:rsidRPr="00CD29D0">
        <w:t xml:space="preserve"> percent </w:t>
      </w:r>
      <w:r w:rsidRPr="00CD29D0">
        <w:t xml:space="preserve">of the district, </w:t>
      </w:r>
      <w:r w:rsidR="00013759" w:rsidRPr="00CD29D0">
        <w:t xml:space="preserve">which is </w:t>
      </w:r>
      <w:r w:rsidRPr="00CD29D0">
        <w:t xml:space="preserve">a much smaller percentage compared </w:t>
      </w:r>
      <w:r w:rsidR="00013759" w:rsidRPr="00CD29D0">
        <w:t xml:space="preserve">with </w:t>
      </w:r>
      <w:r w:rsidRPr="00CD29D0">
        <w:t xml:space="preserve">the state average of </w:t>
      </w:r>
      <w:r w:rsidR="004944B6" w:rsidRPr="00CD29D0">
        <w:t>13.4</w:t>
      </w:r>
      <w:r w:rsidR="00013759" w:rsidRPr="00CD29D0">
        <w:t xml:space="preserve"> percent. </w:t>
      </w:r>
      <w:r w:rsidR="00C3542C" w:rsidRPr="00CD29D0" w:rsidDel="00013759">
        <w:t xml:space="preserve">Regarding </w:t>
      </w:r>
      <w:r w:rsidR="00C3542C" w:rsidRPr="00CD29D0">
        <w:t xml:space="preserve">services </w:t>
      </w:r>
      <w:r w:rsidR="00C3542C" w:rsidRPr="00CD29D0" w:rsidDel="006E378D">
        <w:t>f</w:t>
      </w:r>
      <w:r w:rsidR="00C3542C" w:rsidRPr="00CD29D0">
        <w:t xml:space="preserve">or English </w:t>
      </w:r>
      <w:r w:rsidR="00013759" w:rsidRPr="00CD29D0">
        <w:t>L</w:t>
      </w:r>
      <w:r w:rsidR="00C3542C" w:rsidRPr="00CD29D0">
        <w:t xml:space="preserve">earners, </w:t>
      </w:r>
      <w:r w:rsidR="009C63CD" w:rsidRPr="00CD29D0">
        <w:t>services are delivered through push-in and pull-out models</w:t>
      </w:r>
      <w:r w:rsidR="001C30EF" w:rsidRPr="00CD29D0">
        <w:t xml:space="preserve"> at the elementary level and through </w:t>
      </w:r>
      <w:r w:rsidR="009C63CD" w:rsidRPr="00CD29D0">
        <w:t xml:space="preserve">dedicated </w:t>
      </w:r>
      <w:r w:rsidR="00013759" w:rsidRPr="00CD29D0">
        <w:t>English Language Development (</w:t>
      </w:r>
      <w:r w:rsidR="009C63CD" w:rsidRPr="00CD29D0">
        <w:t>ELD</w:t>
      </w:r>
      <w:r w:rsidR="00013759" w:rsidRPr="00CD29D0">
        <w:t>)</w:t>
      </w:r>
      <w:r w:rsidR="009C63CD" w:rsidRPr="00CD29D0">
        <w:t xml:space="preserve"> courses</w:t>
      </w:r>
      <w:r w:rsidR="001C30EF" w:rsidRPr="00CD29D0">
        <w:t xml:space="preserve"> at the secondary level</w:t>
      </w:r>
      <w:r w:rsidR="009C63CD" w:rsidRPr="00CD29D0">
        <w:t>.</w:t>
      </w:r>
      <w:r w:rsidR="00CB7FC6" w:rsidRPr="00CD29D0">
        <w:t xml:space="preserve"> At the elementary level, </w:t>
      </w:r>
      <w:r w:rsidR="00A71930" w:rsidRPr="00CD29D0">
        <w:t>service time is determined based on</w:t>
      </w:r>
      <w:r w:rsidR="00013759" w:rsidRPr="00CD29D0">
        <w:t xml:space="preserve"> a</w:t>
      </w:r>
      <w:r w:rsidR="00A71930" w:rsidRPr="00CD29D0">
        <w:t xml:space="preserve"> student</w:t>
      </w:r>
      <w:r w:rsidR="00013759" w:rsidRPr="00CD29D0">
        <w:t>’</w:t>
      </w:r>
      <w:r w:rsidR="00A71930" w:rsidRPr="00CD29D0">
        <w:t>s ELD</w:t>
      </w:r>
      <w:r w:rsidR="00013759" w:rsidRPr="00CD29D0">
        <w:t xml:space="preserve"> </w:t>
      </w:r>
      <w:r w:rsidR="00A71930" w:rsidRPr="00CD29D0">
        <w:t>level</w:t>
      </w:r>
      <w:r w:rsidR="00D37AF4" w:rsidRPr="00CD29D0">
        <w:t>: students at ELD</w:t>
      </w:r>
      <w:r w:rsidR="001A0BE0">
        <w:t xml:space="preserve"> levels</w:t>
      </w:r>
      <w:r w:rsidR="00D37AF4" w:rsidRPr="00CD29D0">
        <w:t xml:space="preserve"> 1-2 receive </w:t>
      </w:r>
      <w:r w:rsidR="00D37AF4" w:rsidRPr="00CD29D0" w:rsidDel="0005324E">
        <w:t xml:space="preserve">90 </w:t>
      </w:r>
      <w:r w:rsidR="00D37AF4" w:rsidRPr="00CD29D0">
        <w:t>minutes per day</w:t>
      </w:r>
      <w:r w:rsidR="00E40D36" w:rsidRPr="00CD29D0">
        <w:t xml:space="preserve"> and students at ELD</w:t>
      </w:r>
      <w:r w:rsidR="001A0BE0">
        <w:t xml:space="preserve"> levels</w:t>
      </w:r>
      <w:r w:rsidR="00E40D36" w:rsidRPr="00CD29D0">
        <w:t xml:space="preserve"> 3 or above receive </w:t>
      </w:r>
      <w:r w:rsidR="00E40D36" w:rsidRPr="00CD29D0" w:rsidDel="0005324E">
        <w:t xml:space="preserve">45 </w:t>
      </w:r>
      <w:r w:rsidR="00E40D36" w:rsidRPr="00CD29D0">
        <w:t xml:space="preserve">minutes per day. </w:t>
      </w:r>
      <w:r w:rsidR="0005324E" w:rsidRPr="00CD29D0">
        <w:t>T</w:t>
      </w:r>
      <w:r w:rsidR="00E40D36" w:rsidRPr="00CD29D0">
        <w:t xml:space="preserve">o </w:t>
      </w:r>
      <w:r w:rsidR="0005324E" w:rsidRPr="00CD29D0">
        <w:t xml:space="preserve">fit </w:t>
      </w:r>
      <w:r w:rsidR="00E40D36" w:rsidRPr="00CD29D0">
        <w:t xml:space="preserve">the </w:t>
      </w:r>
      <w:r w:rsidR="0005324E" w:rsidRPr="00CD29D0">
        <w:t xml:space="preserve">school </w:t>
      </w:r>
      <w:r w:rsidR="00E40D36" w:rsidRPr="00CD29D0">
        <w:t xml:space="preserve">schedule, these minutes are divided over the course of the day and include </w:t>
      </w:r>
      <w:r w:rsidR="00516DDA" w:rsidRPr="00CD29D0">
        <w:t xml:space="preserve">both push-in and pull-out for targeted supports (e.g., </w:t>
      </w:r>
      <w:r w:rsidR="00D37AF4" w:rsidRPr="00CD29D0">
        <w:t>vocabulary, grammar</w:t>
      </w:r>
      <w:r w:rsidR="00E40D36" w:rsidRPr="00CD29D0">
        <w:t xml:space="preserve">). </w:t>
      </w:r>
      <w:r w:rsidR="0001687E" w:rsidRPr="00CD29D0">
        <w:t xml:space="preserve">New this </w:t>
      </w:r>
      <w:r w:rsidR="0005324E" w:rsidRPr="00CD29D0">
        <w:t xml:space="preserve">school </w:t>
      </w:r>
      <w:r w:rsidR="0001687E" w:rsidRPr="00CD29D0">
        <w:t xml:space="preserve">year, elementary </w:t>
      </w:r>
      <w:r w:rsidR="00555D2A" w:rsidRPr="00CD29D0">
        <w:t>English as a Second Language (</w:t>
      </w:r>
      <w:r w:rsidR="0001687E" w:rsidRPr="00CD29D0">
        <w:t>ESL</w:t>
      </w:r>
      <w:r w:rsidR="00555D2A" w:rsidRPr="00CD29D0">
        <w:t>)</w:t>
      </w:r>
      <w:r w:rsidR="0001687E" w:rsidRPr="00CD29D0">
        <w:t xml:space="preserve"> teachers are using the Language Power curriculum </w:t>
      </w:r>
      <w:r w:rsidR="00482CA1" w:rsidRPr="00CD29D0">
        <w:t>to better target students’ language development needs.</w:t>
      </w:r>
      <w:r w:rsidR="004125BE" w:rsidRPr="00CD29D0">
        <w:t xml:space="preserve"> HMH Into Reading also has ESL</w:t>
      </w:r>
      <w:r w:rsidR="00521C63">
        <w:t xml:space="preserve"> supports</w:t>
      </w:r>
      <w:r w:rsidR="004125BE" w:rsidRPr="00CD29D0">
        <w:t xml:space="preserve"> built</w:t>
      </w:r>
      <w:r w:rsidR="00521C63">
        <w:t xml:space="preserve"> into the </w:t>
      </w:r>
      <w:r w:rsidR="00BC0C18">
        <w:t xml:space="preserve">curriculum. </w:t>
      </w:r>
      <w:r w:rsidR="00E40D36" w:rsidRPr="00CD29D0">
        <w:t xml:space="preserve">At the secondary level, students have ELD courses </w:t>
      </w:r>
      <w:r w:rsidR="003108A0" w:rsidRPr="00CD29D0">
        <w:t xml:space="preserve">built </w:t>
      </w:r>
      <w:r w:rsidR="00E40D36" w:rsidRPr="00CD29D0">
        <w:t>into their instructional schedules</w:t>
      </w:r>
      <w:r w:rsidR="007C72BA" w:rsidRPr="00CD29D0">
        <w:t xml:space="preserve">. Students </w:t>
      </w:r>
      <w:r w:rsidR="0041022C" w:rsidRPr="00CD29D0">
        <w:t xml:space="preserve">in need of </w:t>
      </w:r>
      <w:r w:rsidR="0041022C" w:rsidRPr="00CD29D0" w:rsidDel="006E378D">
        <w:t xml:space="preserve">90 </w:t>
      </w:r>
      <w:r w:rsidR="0041022C" w:rsidRPr="00CD29D0">
        <w:t xml:space="preserve">minutes of services </w:t>
      </w:r>
      <w:r w:rsidR="00714C28" w:rsidRPr="00CD29D0">
        <w:t xml:space="preserve">receive </w:t>
      </w:r>
      <w:r w:rsidR="007C72BA" w:rsidRPr="00CD29D0">
        <w:t xml:space="preserve">additional </w:t>
      </w:r>
      <w:r w:rsidR="0041022C" w:rsidRPr="00CD29D0">
        <w:t>time from</w:t>
      </w:r>
      <w:r w:rsidR="00714C28" w:rsidRPr="00CD29D0">
        <w:t xml:space="preserve"> the ESL teacher during the intervention block</w:t>
      </w:r>
      <w:r w:rsidR="00E40D36" w:rsidRPr="00CD29D0">
        <w:t xml:space="preserve">. </w:t>
      </w:r>
      <w:r w:rsidR="006E378D" w:rsidRPr="00CD29D0">
        <w:t>T</w:t>
      </w:r>
      <w:r w:rsidR="007866D7" w:rsidRPr="00CD29D0">
        <w:t xml:space="preserve">eachers </w:t>
      </w:r>
      <w:r w:rsidR="006E378D" w:rsidRPr="00CD29D0">
        <w:t>at the secondary level</w:t>
      </w:r>
      <w:r w:rsidR="00F920B7" w:rsidRPr="00CD29D0">
        <w:t xml:space="preserve"> </w:t>
      </w:r>
      <w:r w:rsidR="007866D7" w:rsidRPr="00CD29D0">
        <w:t xml:space="preserve">described developing their own materials by pulling from curricula </w:t>
      </w:r>
      <w:r w:rsidR="00F920B7" w:rsidRPr="00CD29D0">
        <w:t xml:space="preserve">(e.g., </w:t>
      </w:r>
      <w:r w:rsidR="007866D7" w:rsidRPr="00CD29D0">
        <w:t>Vista, Get Ready, National Geographic</w:t>
      </w:r>
      <w:r w:rsidR="00F920B7" w:rsidRPr="00CD29D0">
        <w:t>)</w:t>
      </w:r>
      <w:r w:rsidR="00EE4270" w:rsidRPr="00CD29D0">
        <w:t xml:space="preserve"> based on </w:t>
      </w:r>
      <w:r w:rsidR="00F920B7" w:rsidRPr="00CD29D0">
        <w:t xml:space="preserve">a </w:t>
      </w:r>
      <w:r w:rsidR="00EE4270" w:rsidRPr="00CD29D0">
        <w:t>student</w:t>
      </w:r>
      <w:r w:rsidR="00F920B7" w:rsidRPr="00CD29D0">
        <w:t>’</w:t>
      </w:r>
      <w:r w:rsidR="00EE4270" w:rsidRPr="00CD29D0">
        <w:t xml:space="preserve">s needs. </w:t>
      </w:r>
      <w:r w:rsidR="00453AF7" w:rsidRPr="00CD29D0">
        <w:t>A teacher summarized:</w:t>
      </w:r>
    </w:p>
    <w:p w14:paraId="10B0B76D" w14:textId="401F88DA" w:rsidR="00453AF7" w:rsidRPr="00CD29D0" w:rsidRDefault="00453AF7" w:rsidP="009C2835">
      <w:pPr>
        <w:pStyle w:val="BodyTextIndent"/>
      </w:pPr>
      <w:r w:rsidRPr="00CD29D0">
        <w:t>We don</w:t>
      </w:r>
      <w:r w:rsidR="00CE70FD" w:rsidRPr="00CD29D0">
        <w:t>’</w:t>
      </w:r>
      <w:r w:rsidRPr="00CD29D0">
        <w:t>t have a real set {ESL] curriculum at this time. We</w:t>
      </w:r>
      <w:r w:rsidR="00F920B7" w:rsidRPr="00CD29D0">
        <w:t>’</w:t>
      </w:r>
      <w:r w:rsidRPr="00CD29D0">
        <w:t>ve been working on that as a department</w:t>
      </w:r>
      <w:r w:rsidR="00DA1F41" w:rsidRPr="00CD29D0">
        <w:t>,</w:t>
      </w:r>
      <w:r w:rsidRPr="00CD29D0">
        <w:t xml:space="preserve"> and we</w:t>
      </w:r>
      <w:r w:rsidR="00DA1F41" w:rsidRPr="00CD29D0">
        <w:t>’</w:t>
      </w:r>
      <w:r w:rsidRPr="00CD29D0">
        <w:t>ve focused more on the primary grades thus far and now we</w:t>
      </w:r>
      <w:r w:rsidR="00DA1F41" w:rsidRPr="00CD29D0">
        <w:t>’</w:t>
      </w:r>
      <w:r w:rsidRPr="00CD29D0">
        <w:t>re moving more into looking at secondary programs for the middle and high school.</w:t>
      </w:r>
    </w:p>
    <w:p w14:paraId="23A3C66E" w14:textId="47DE393D" w:rsidR="00A45A08" w:rsidRPr="00CD29D0" w:rsidRDefault="003C6E84" w:rsidP="009C2835">
      <w:pPr>
        <w:pStyle w:val="BodyText"/>
      </w:pPr>
      <w:r w:rsidRPr="003C6E84">
        <w:t>In addition to services for English Learners, the district also offers a range of nonacademic coursework for all students</w:t>
      </w:r>
      <w:r w:rsidR="004944B6" w:rsidRPr="00CD29D0">
        <w:t xml:space="preserve">. At the elementary level, </w:t>
      </w:r>
      <w:r w:rsidR="00F63420" w:rsidRPr="00CD29D0">
        <w:t>students take art, music, gym, library</w:t>
      </w:r>
      <w:r w:rsidR="002A4431" w:rsidRPr="00CD29D0">
        <w:t>/media</w:t>
      </w:r>
      <w:r w:rsidR="00F63420" w:rsidRPr="00CD29D0">
        <w:t>, and STEAM</w:t>
      </w:r>
      <w:r w:rsidR="00526281" w:rsidRPr="00CD29D0">
        <w:t xml:space="preserve"> (science, technology, engineering, art, and mathematics)</w:t>
      </w:r>
      <w:r w:rsidR="009D7207" w:rsidRPr="00CD29D0">
        <w:t xml:space="preserve">. </w:t>
      </w:r>
      <w:r w:rsidR="00002DE3" w:rsidRPr="00CD29D0">
        <w:t>Students</w:t>
      </w:r>
      <w:r w:rsidR="002A4431" w:rsidRPr="00CD29D0">
        <w:t xml:space="preserve"> in the lower elementary grades</w:t>
      </w:r>
      <w:r w:rsidR="00002DE3" w:rsidRPr="00CD29D0">
        <w:t xml:space="preserve"> have gym twice per week</w:t>
      </w:r>
      <w:r w:rsidR="00872AEB" w:rsidRPr="00CD29D0">
        <w:t>,</w:t>
      </w:r>
      <w:r w:rsidR="00002DE3" w:rsidRPr="00CD29D0">
        <w:t xml:space="preserve"> and</w:t>
      </w:r>
      <w:r w:rsidR="002A4431" w:rsidRPr="00CD29D0">
        <w:t xml:space="preserve"> in the upper elementary grades once per week</w:t>
      </w:r>
      <w:r w:rsidR="00872AEB" w:rsidRPr="00CD29D0">
        <w:t>; students</w:t>
      </w:r>
      <w:r w:rsidR="00002DE3" w:rsidRPr="00CD29D0">
        <w:t xml:space="preserve"> </w:t>
      </w:r>
      <w:r w:rsidR="00FB31BF" w:rsidRPr="00CD29D0">
        <w:t xml:space="preserve">then rotate through the remaining </w:t>
      </w:r>
      <w:r w:rsidR="002A4431" w:rsidRPr="00CD29D0">
        <w:t xml:space="preserve">specials once per week. </w:t>
      </w:r>
      <w:r w:rsidR="00F55497" w:rsidRPr="00CD29D0">
        <w:t xml:space="preserve">At the middle school, </w:t>
      </w:r>
      <w:r w:rsidR="00AC1B45" w:rsidRPr="00CD29D0">
        <w:t xml:space="preserve">all </w:t>
      </w:r>
      <w:r w:rsidR="00A83D6C" w:rsidRPr="00CD29D0">
        <w:t>students have access to</w:t>
      </w:r>
      <w:r w:rsidR="00EF41D7" w:rsidRPr="00CD29D0">
        <w:t xml:space="preserve"> specials</w:t>
      </w:r>
      <w:r w:rsidR="00C60885" w:rsidRPr="00CD29D0">
        <w:t>,</w:t>
      </w:r>
      <w:r w:rsidR="00EF41D7" w:rsidRPr="00CD29D0">
        <w:t xml:space="preserve"> including art,</w:t>
      </w:r>
      <w:r w:rsidR="00A83D6C" w:rsidRPr="00CD29D0">
        <w:t xml:space="preserve"> music, </w:t>
      </w:r>
      <w:r w:rsidR="00BB5A0E" w:rsidRPr="00CD29D0">
        <w:t>physical education and wellness, and</w:t>
      </w:r>
      <w:r w:rsidR="004C7541" w:rsidRPr="00CD29D0">
        <w:t xml:space="preserve"> technology </w:t>
      </w:r>
      <w:r w:rsidR="00BB5A0E" w:rsidRPr="00CD29D0">
        <w:t>education</w:t>
      </w:r>
      <w:r w:rsidR="00C60885" w:rsidRPr="00CD29D0">
        <w:t>. S</w:t>
      </w:r>
      <w:r w:rsidR="00BB5A0E" w:rsidRPr="00CD29D0">
        <w:t>tudents in seventh grade also have access to creative design</w:t>
      </w:r>
      <w:r w:rsidR="004C7541" w:rsidRPr="00CD29D0">
        <w:t xml:space="preserve">. </w:t>
      </w:r>
      <w:r w:rsidR="006210C3" w:rsidRPr="00CD29D0">
        <w:t xml:space="preserve">Outside of </w:t>
      </w:r>
      <w:r w:rsidR="007D7920" w:rsidRPr="00CD29D0">
        <w:t>school hours, students have access to a variety of athletics</w:t>
      </w:r>
      <w:r w:rsidR="00AB3ACB" w:rsidRPr="00AB3ACB">
        <w:t xml:space="preserve"> </w:t>
      </w:r>
      <w:r w:rsidR="00AB3ACB" w:rsidRPr="00CD29D0">
        <w:t>and clubs</w:t>
      </w:r>
      <w:r w:rsidR="007D7920" w:rsidRPr="00CD29D0">
        <w:t xml:space="preserve">, including drama club, drone club, </w:t>
      </w:r>
      <w:r w:rsidR="00694E3E" w:rsidRPr="00CD29D0">
        <w:t>robotics club, student council, woodworking, yearbook</w:t>
      </w:r>
      <w:r w:rsidR="00C60885" w:rsidRPr="00CD29D0">
        <w:t>,</w:t>
      </w:r>
      <w:r w:rsidR="00694E3E" w:rsidRPr="00CD29D0">
        <w:t xml:space="preserve"> </w:t>
      </w:r>
      <w:r w:rsidR="00BF5507" w:rsidRPr="00CD29D0">
        <w:t xml:space="preserve">debate club, The Lancer Times student newspaper, and </w:t>
      </w:r>
      <w:r w:rsidR="00C60885" w:rsidRPr="00CD29D0">
        <w:t>other groups</w:t>
      </w:r>
      <w:r w:rsidR="00A45A08" w:rsidRPr="00CD29D0">
        <w:t>.</w:t>
      </w:r>
    </w:p>
    <w:p w14:paraId="548C918E" w14:textId="0D5439B6" w:rsidR="004B1887" w:rsidRPr="003F192E" w:rsidRDefault="00F636A5" w:rsidP="009C2835">
      <w:pPr>
        <w:pStyle w:val="BodyText"/>
      </w:pPr>
      <w:r w:rsidRPr="003F192E">
        <w:t xml:space="preserve">A review of the </w:t>
      </w:r>
      <w:r w:rsidR="00E17CD8" w:rsidRPr="003F192E">
        <w:t>Norton</w:t>
      </w:r>
      <w:r w:rsidRPr="003F192E">
        <w:t xml:space="preserve"> High School Program of Studies indicated that the school provides students with a broad range of rigorous coursework across grades, which is a strength of the district. </w:t>
      </w:r>
      <w:r w:rsidR="00F55497" w:rsidRPr="003F192E">
        <w:t xml:space="preserve">Students at the high school must earn the following credits to graduate: </w:t>
      </w:r>
      <w:r w:rsidR="0084444C" w:rsidRPr="003F192E">
        <w:t>20 credits each for English and mathematics; 15 credits each for science and social studies; 10 credits for wellness; and 42.5</w:t>
      </w:r>
      <w:r w:rsidR="009C71A0" w:rsidRPr="003F192E">
        <w:t> </w:t>
      </w:r>
      <w:r w:rsidR="0084444C" w:rsidRPr="003F192E">
        <w:t xml:space="preserve">credits for electives. Students earn 5 credits for a full-year course and 2.5 credits for semester courses. </w:t>
      </w:r>
      <w:r w:rsidR="00225E64" w:rsidRPr="003F192E">
        <w:t>At N</w:t>
      </w:r>
      <w:r w:rsidR="00E17CD8" w:rsidRPr="003F192E">
        <w:t xml:space="preserve">orton </w:t>
      </w:r>
      <w:r w:rsidR="00225E64" w:rsidRPr="003F192E">
        <w:t>H</w:t>
      </w:r>
      <w:r w:rsidR="00E17CD8" w:rsidRPr="003F192E">
        <w:t xml:space="preserve">igh </w:t>
      </w:r>
      <w:r w:rsidR="00225E64" w:rsidRPr="003F192E">
        <w:t>S</w:t>
      </w:r>
      <w:r w:rsidR="00E17CD8" w:rsidRPr="003F192E">
        <w:t>chool</w:t>
      </w:r>
      <w:r w:rsidR="00225E64" w:rsidRPr="003F192E">
        <w:t>, t</w:t>
      </w:r>
      <w:r w:rsidR="00A8743F" w:rsidRPr="003F192E">
        <w:t>here are</w:t>
      </w:r>
      <w:r w:rsidR="00B77DC0" w:rsidRPr="003F192E">
        <w:t xml:space="preserve"> </w:t>
      </w:r>
      <w:r w:rsidR="00A8743F" w:rsidRPr="003F192E">
        <w:t>four course levels</w:t>
      </w:r>
      <w:r w:rsidR="00B77DC0" w:rsidRPr="003F192E">
        <w:t xml:space="preserve">: </w:t>
      </w:r>
      <w:r w:rsidR="002C5E36" w:rsidRPr="003F192E">
        <w:t xml:space="preserve">college preparatory </w:t>
      </w:r>
      <w:r w:rsidR="00444C6B" w:rsidRPr="003F192E">
        <w:t xml:space="preserve">focused on skill development; college preparatory focused on college preparation and general concepts; advanced </w:t>
      </w:r>
      <w:r w:rsidR="00444C6B" w:rsidRPr="003F192E">
        <w:lastRenderedPageBreak/>
        <w:t xml:space="preserve">(honors) </w:t>
      </w:r>
      <w:r w:rsidR="00B6229F" w:rsidRPr="003F192E">
        <w:t>focused on challenging acade</w:t>
      </w:r>
      <w:r w:rsidR="00F83F44" w:rsidRPr="003F192E">
        <w:t>mics through advanced pacing; and postsecondary (</w:t>
      </w:r>
      <w:r w:rsidR="001B72E0" w:rsidRPr="003F192E">
        <w:t>A</w:t>
      </w:r>
      <w:r w:rsidR="00F83F44" w:rsidRPr="003F192E">
        <w:t xml:space="preserve">dvanced </w:t>
      </w:r>
      <w:r w:rsidR="001B72E0" w:rsidRPr="003F192E">
        <w:t>P</w:t>
      </w:r>
      <w:r w:rsidR="00F83F44" w:rsidRPr="003F192E">
        <w:t xml:space="preserve">lacement </w:t>
      </w:r>
      <w:r w:rsidR="006B670F" w:rsidRPr="003F192E">
        <w:t xml:space="preserve">[AP] </w:t>
      </w:r>
      <w:r w:rsidR="00F83F44" w:rsidRPr="003F192E">
        <w:t xml:space="preserve">and dual enrollment) focused on </w:t>
      </w:r>
      <w:r w:rsidR="00F3295A" w:rsidRPr="003F192E">
        <w:t>students earning college credits through college</w:t>
      </w:r>
      <w:r w:rsidR="008066B6" w:rsidRPr="003F192E">
        <w:t>-</w:t>
      </w:r>
      <w:r w:rsidR="00F3295A" w:rsidRPr="003F192E">
        <w:t xml:space="preserve">level courses. </w:t>
      </w:r>
      <w:r w:rsidR="00FE088F" w:rsidRPr="003F192E">
        <w:t>In 2025</w:t>
      </w:r>
      <w:r w:rsidR="00FE088F" w:rsidRPr="003F192E">
        <w:noBreakHyphen/>
        <w:t>2026</w:t>
      </w:r>
      <w:r w:rsidR="00225E64" w:rsidRPr="003F192E">
        <w:t xml:space="preserve">, there are 13 AP courses across both core and elective subject areas, although students may </w:t>
      </w:r>
      <w:r w:rsidR="00290260" w:rsidRPr="003F192E">
        <w:t xml:space="preserve">take additional AP </w:t>
      </w:r>
      <w:r w:rsidR="00CC2425" w:rsidRPr="003F192E">
        <w:t>offerings</w:t>
      </w:r>
      <w:r w:rsidR="00290260" w:rsidRPr="003F192E">
        <w:t xml:space="preserve"> through the Virtual High School (VHS) program. </w:t>
      </w:r>
      <w:r w:rsidR="00D52394" w:rsidRPr="003F192E">
        <w:t xml:space="preserve">Students may also take </w:t>
      </w:r>
      <w:r w:rsidR="00A66535" w:rsidRPr="003F192E">
        <w:t xml:space="preserve">one </w:t>
      </w:r>
      <w:r w:rsidR="00D52394" w:rsidRPr="003F192E">
        <w:t>dual enrollment course</w:t>
      </w:r>
      <w:r w:rsidR="00A66535" w:rsidRPr="003F192E">
        <w:t xml:space="preserve"> at a local college or university</w:t>
      </w:r>
      <w:r w:rsidR="008E195B" w:rsidRPr="003F192E">
        <w:t xml:space="preserve"> each semester</w:t>
      </w:r>
      <w:r w:rsidR="00A66535" w:rsidRPr="003F192E">
        <w:t>, w</w:t>
      </w:r>
      <w:r w:rsidR="008E195B" w:rsidRPr="003F192E">
        <w:t>ith partnerships in place at Wheaton College and Bristol Community College</w:t>
      </w:r>
      <w:r w:rsidR="0011694B" w:rsidRPr="003F192E">
        <w:t>,</w:t>
      </w:r>
      <w:r w:rsidR="008E195B" w:rsidRPr="003F192E">
        <w:t xml:space="preserve"> although arrangements can be made w</w:t>
      </w:r>
      <w:r w:rsidR="00E453BD" w:rsidRPr="003F192E">
        <w:t>i</w:t>
      </w:r>
      <w:r w:rsidR="008E195B" w:rsidRPr="003F192E">
        <w:t xml:space="preserve">th other institutions. </w:t>
      </w:r>
      <w:r w:rsidR="00BA42ED" w:rsidRPr="003F192E">
        <w:t xml:space="preserve">Despite these opportunities, </w:t>
      </w:r>
      <w:r w:rsidR="004B1887" w:rsidRPr="003F192E">
        <w:t xml:space="preserve">DESE data indicates that </w:t>
      </w:r>
      <w:r w:rsidR="0011694B" w:rsidRPr="003F192E">
        <w:t xml:space="preserve">during the 2024-25 school year, </w:t>
      </w:r>
      <w:r w:rsidR="004B1887" w:rsidRPr="003F192E">
        <w:t xml:space="preserve">50.4 percent of Norton students completed advanced courses compared </w:t>
      </w:r>
      <w:r w:rsidR="0011694B" w:rsidRPr="003F192E">
        <w:t>with</w:t>
      </w:r>
      <w:r w:rsidR="004B1887" w:rsidRPr="003F192E">
        <w:t xml:space="preserve"> 68.8 percent statewide. This percentage has remained generally consistent over the past five years.</w:t>
      </w:r>
      <w:r w:rsidR="00060B4C" w:rsidRPr="003F192E">
        <w:t xml:space="preserve"> </w:t>
      </w:r>
      <w:r w:rsidRPr="003F192E">
        <w:t xml:space="preserve">Participation among special populations, including high needs students and students with disabilities, was also lower for Norton students as compared to the state. </w:t>
      </w:r>
      <w:r w:rsidR="00060B4C" w:rsidRPr="003F192E">
        <w:t>Increasing the percent</w:t>
      </w:r>
      <w:r w:rsidR="003E70D1">
        <w:t>age</w:t>
      </w:r>
      <w:r w:rsidR="00060B4C" w:rsidRPr="003F192E">
        <w:t xml:space="preserve"> of students who take advanced courses is an area of growth for Norton.</w:t>
      </w:r>
    </w:p>
    <w:p w14:paraId="4F238EFE" w14:textId="2059CF2C" w:rsidR="00A45A08" w:rsidRPr="00CD29D0" w:rsidRDefault="00E453BD" w:rsidP="009C2835">
      <w:pPr>
        <w:pStyle w:val="BodyText"/>
      </w:pPr>
      <w:r w:rsidRPr="00CD29D0">
        <w:t>In addition,</w:t>
      </w:r>
      <w:r w:rsidR="004B1887" w:rsidRPr="00CD29D0">
        <w:t xml:space="preserve"> </w:t>
      </w:r>
      <w:r w:rsidR="00CC2425" w:rsidRPr="00CD29D0">
        <w:t>N</w:t>
      </w:r>
      <w:r w:rsidR="00E17CD8">
        <w:t xml:space="preserve">orton </w:t>
      </w:r>
      <w:r w:rsidR="00CC2425" w:rsidRPr="00CD29D0">
        <w:t>H</w:t>
      </w:r>
      <w:r w:rsidR="00E17CD8">
        <w:t xml:space="preserve">igh </w:t>
      </w:r>
      <w:r w:rsidR="00CC2425" w:rsidRPr="00CD29D0">
        <w:t>S</w:t>
      </w:r>
      <w:r w:rsidR="00E17CD8">
        <w:t>chool</w:t>
      </w:r>
      <w:r w:rsidR="00CC2425" w:rsidRPr="00CD29D0">
        <w:t xml:space="preserve"> </w:t>
      </w:r>
      <w:r w:rsidR="00CF5E88" w:rsidRPr="00CD29D0">
        <w:t xml:space="preserve">offers </w:t>
      </w:r>
      <w:r w:rsidRPr="00CD29D0">
        <w:t>the</w:t>
      </w:r>
      <w:r w:rsidR="00CC2425" w:rsidRPr="00CD29D0">
        <w:t xml:space="preserve"> Advanced Manufacturing Innovation Pathway</w:t>
      </w:r>
      <w:r w:rsidR="004B1887" w:rsidRPr="00CD29D0">
        <w:t xml:space="preserve">. </w:t>
      </w:r>
      <w:r w:rsidR="009D18A6" w:rsidRPr="00CD29D0">
        <w:t xml:space="preserve">Students elect to enroll in this pathway during their sophomore </w:t>
      </w:r>
      <w:r w:rsidR="00EA3403" w:rsidRPr="00CD29D0">
        <w:t>year and</w:t>
      </w:r>
      <w:r w:rsidR="009D18A6" w:rsidRPr="00CD29D0">
        <w:t xml:space="preserve"> must take at least one course in the pathway each year</w:t>
      </w:r>
      <w:r w:rsidR="00CF5E88" w:rsidRPr="00CD29D0">
        <w:t>,</w:t>
      </w:r>
      <w:r w:rsidR="009D18A6" w:rsidRPr="00CD29D0">
        <w:t xml:space="preserve"> including two technical courses and two advanced courses from the approved list. </w:t>
      </w:r>
      <w:r w:rsidR="005B19F1" w:rsidRPr="00CD29D0">
        <w:t xml:space="preserve">New </w:t>
      </w:r>
      <w:r w:rsidR="00CF5E88" w:rsidRPr="00CD29D0">
        <w:t>in 2025-2026</w:t>
      </w:r>
      <w:r w:rsidR="005B19F1" w:rsidRPr="00CD29D0">
        <w:t>, N</w:t>
      </w:r>
      <w:r w:rsidR="00E17CD8">
        <w:t xml:space="preserve">orton </w:t>
      </w:r>
      <w:r w:rsidR="005B19F1" w:rsidRPr="00CD29D0">
        <w:t>H</w:t>
      </w:r>
      <w:r w:rsidR="00E17CD8">
        <w:t xml:space="preserve">igh </w:t>
      </w:r>
      <w:r w:rsidR="005B19F1" w:rsidRPr="00CD29D0">
        <w:t>S</w:t>
      </w:r>
      <w:r w:rsidR="00E17CD8">
        <w:t>chool</w:t>
      </w:r>
      <w:r w:rsidR="005B19F1" w:rsidRPr="00CD29D0">
        <w:t xml:space="preserve"> added a semester-long advanced manufacturing course </w:t>
      </w:r>
      <w:r w:rsidR="00D64417" w:rsidRPr="00CD29D0">
        <w:t xml:space="preserve">that addresses training with manufacturing machines, tools, and processes. </w:t>
      </w:r>
      <w:r w:rsidR="004B1887" w:rsidRPr="00CD29D0">
        <w:t xml:space="preserve">Seniors </w:t>
      </w:r>
      <w:r w:rsidR="000F4541" w:rsidRPr="00CD29D0">
        <w:t xml:space="preserve">in the innovation pathway </w:t>
      </w:r>
      <w:r w:rsidR="004B1887" w:rsidRPr="00CD29D0">
        <w:t>may also take a yearlong internship or capstone</w:t>
      </w:r>
      <w:r w:rsidR="00E02F9E" w:rsidRPr="00CD29D0">
        <w:t xml:space="preserve"> </w:t>
      </w:r>
      <w:r w:rsidR="00CF5E88" w:rsidRPr="00CD29D0">
        <w:t xml:space="preserve">during which </w:t>
      </w:r>
      <w:r w:rsidR="00E02F9E" w:rsidRPr="00CD29D0">
        <w:t>they partner with a local organization to gain related experience</w:t>
      </w:r>
      <w:r w:rsidR="00333880" w:rsidRPr="00CD29D0">
        <w:t xml:space="preserve"> and complete a manufacturing project.</w:t>
      </w:r>
      <w:r w:rsidR="000F4541" w:rsidRPr="00CD29D0">
        <w:t xml:space="preserve"> </w:t>
      </w:r>
      <w:r w:rsidR="00D63E52" w:rsidRPr="00CD29D0">
        <w:t>S</w:t>
      </w:r>
      <w:r w:rsidR="000F4541" w:rsidRPr="00CD29D0">
        <w:t xml:space="preserve">eniors not </w:t>
      </w:r>
      <w:r w:rsidR="00BF5507" w:rsidRPr="00CD29D0">
        <w:t xml:space="preserve">in </w:t>
      </w:r>
      <w:r w:rsidR="000F4541" w:rsidRPr="00CD29D0">
        <w:t xml:space="preserve">the innovation pathway may still complete a senior project </w:t>
      </w:r>
      <w:r w:rsidR="00D52394" w:rsidRPr="00CD29D0">
        <w:t>in a self-directed area of their choosing</w:t>
      </w:r>
      <w:r w:rsidR="00A45A08" w:rsidRPr="00CD29D0">
        <w:t>.</w:t>
      </w:r>
    </w:p>
    <w:p w14:paraId="36CCED1C" w14:textId="381B0D1B" w:rsidR="00A45A08" w:rsidRPr="00CD29D0" w:rsidRDefault="00BF5507" w:rsidP="009C2835">
      <w:pPr>
        <w:pStyle w:val="BodyText"/>
      </w:pPr>
      <w:r w:rsidRPr="00CD29D0">
        <w:t>As noted, o</w:t>
      </w:r>
      <w:r w:rsidR="00694E3E" w:rsidRPr="00CD29D0">
        <w:t xml:space="preserve">utside of the school day, </w:t>
      </w:r>
      <w:r w:rsidR="00C508C9" w:rsidRPr="00CD29D0">
        <w:t>students have access to clubs and athletic</w:t>
      </w:r>
      <w:r w:rsidR="00135C4A" w:rsidRPr="00CD29D0">
        <w:t xml:space="preserve">s. </w:t>
      </w:r>
      <w:r w:rsidR="00B3573C" w:rsidRPr="00CD29D0">
        <w:t>N</w:t>
      </w:r>
      <w:r w:rsidR="00E17CD8">
        <w:t xml:space="preserve">orton </w:t>
      </w:r>
      <w:r w:rsidR="00B3573C" w:rsidRPr="00CD29D0">
        <w:t>H</w:t>
      </w:r>
      <w:r w:rsidR="00E17CD8">
        <w:t xml:space="preserve">igh </w:t>
      </w:r>
      <w:r w:rsidR="00B3573C" w:rsidRPr="00CD29D0">
        <w:t>S</w:t>
      </w:r>
      <w:r w:rsidR="00E17CD8">
        <w:t>chool</w:t>
      </w:r>
      <w:r w:rsidR="00B3573C" w:rsidRPr="00CD29D0">
        <w:t xml:space="preserve"> also has eight national honors societies</w:t>
      </w:r>
      <w:r w:rsidR="00277B7F" w:rsidRPr="00CD29D0">
        <w:t xml:space="preserve">: </w:t>
      </w:r>
      <w:r w:rsidR="00B3573C" w:rsidRPr="00CD29D0">
        <w:t xml:space="preserve">La </w:t>
      </w:r>
      <w:r w:rsidR="0037373D" w:rsidRPr="0037373D">
        <w:t>Société Honoraire de Français</w:t>
      </w:r>
      <w:r w:rsidR="00382BAD" w:rsidRPr="00CD29D0">
        <w:t xml:space="preserve">, La Sociedada Honoraria </w:t>
      </w:r>
      <w:r w:rsidR="006A6EB1" w:rsidRPr="006A6EB1">
        <w:t>Hispánica</w:t>
      </w:r>
      <w:r w:rsidR="00382BAD" w:rsidRPr="00CD29D0">
        <w:t xml:space="preserve">, National Art Society, National English Honor Society, National History Honor Society, National Honor Society, National Math Honor Society, </w:t>
      </w:r>
      <w:r w:rsidR="00136FC7" w:rsidRPr="00CD29D0">
        <w:t xml:space="preserve">and </w:t>
      </w:r>
      <w:r w:rsidR="00382BAD" w:rsidRPr="00CD29D0">
        <w:t>National Science Honor Society</w:t>
      </w:r>
      <w:r w:rsidR="00136FC7" w:rsidRPr="00CD29D0">
        <w:t>. According to students, each of these honors societies lead community service projects within the broader Norton community</w:t>
      </w:r>
      <w:r w:rsidR="00277B7F" w:rsidRPr="00CD29D0">
        <w:t>. F</w:t>
      </w:r>
      <w:r w:rsidR="002523C5" w:rsidRPr="00CD29D0">
        <w:t xml:space="preserve">or example, </w:t>
      </w:r>
      <w:r w:rsidR="00295211" w:rsidRPr="00CD29D0">
        <w:t>through the National History Society, students recognize veterans within their communities by sending birthday cards</w:t>
      </w:r>
      <w:r w:rsidR="00277B7F" w:rsidRPr="00CD29D0">
        <w:t>;</w:t>
      </w:r>
      <w:r w:rsidR="00295211" w:rsidRPr="00CD29D0">
        <w:t xml:space="preserve"> </w:t>
      </w:r>
      <w:r w:rsidR="004B6FAC" w:rsidRPr="00CD29D0">
        <w:t>through National English Society, students set</w:t>
      </w:r>
      <w:r w:rsidR="00277B7F" w:rsidRPr="00CD29D0">
        <w:t xml:space="preserve"> </w:t>
      </w:r>
      <w:r w:rsidR="004B6FAC" w:rsidRPr="00CD29D0">
        <w:t xml:space="preserve">up free </w:t>
      </w:r>
      <w:r w:rsidR="00277B7F" w:rsidRPr="00CD29D0">
        <w:t>“</w:t>
      </w:r>
      <w:r w:rsidR="004B6FAC" w:rsidRPr="00CD29D0">
        <w:t>little libraries</w:t>
      </w:r>
      <w:r w:rsidR="00277B7F" w:rsidRPr="00CD29D0">
        <w:t>”</w:t>
      </w:r>
      <w:r w:rsidR="004B6FAC" w:rsidRPr="00CD29D0">
        <w:t xml:space="preserve"> around town. </w:t>
      </w:r>
      <w:r w:rsidR="00C9150A" w:rsidRPr="00CD29D0">
        <w:t>S</w:t>
      </w:r>
      <w:r w:rsidR="004B6FAC" w:rsidRPr="00CD29D0">
        <w:t xml:space="preserve">tudents spoke </w:t>
      </w:r>
      <w:r w:rsidR="00C9150A" w:rsidRPr="00CD29D0">
        <w:t xml:space="preserve">of </w:t>
      </w:r>
      <w:r w:rsidR="004932A2" w:rsidRPr="00CD29D0">
        <w:t xml:space="preserve">the robust Best Buddies </w:t>
      </w:r>
      <w:r w:rsidR="00AE7139" w:rsidRPr="00CD29D0">
        <w:t>program</w:t>
      </w:r>
      <w:r w:rsidR="00C9150A" w:rsidRPr="00CD29D0">
        <w:t xml:space="preserve"> in which</w:t>
      </w:r>
      <w:r w:rsidR="00AE7139" w:rsidRPr="00CD29D0">
        <w:t xml:space="preserve"> </w:t>
      </w:r>
      <w:r w:rsidR="008672EE" w:rsidRPr="00CD29D0">
        <w:t>students with disabilities</w:t>
      </w:r>
      <w:r w:rsidR="00AE7139" w:rsidRPr="00CD29D0">
        <w:t xml:space="preserve"> and nondisabled students are </w:t>
      </w:r>
      <w:r w:rsidR="00C9150A" w:rsidRPr="00CD29D0">
        <w:t>paired</w:t>
      </w:r>
      <w:r w:rsidR="00AE7139" w:rsidRPr="00CD29D0">
        <w:t xml:space="preserve"> </w:t>
      </w:r>
      <w:r w:rsidR="00676F6B" w:rsidRPr="00CD29D0">
        <w:t>to form lasting friendships and create an inclusive learning environment. According to students</w:t>
      </w:r>
      <w:r w:rsidR="00C9150A" w:rsidRPr="00CD29D0">
        <w:t xml:space="preserve"> in interviews and focus groups</w:t>
      </w:r>
      <w:r w:rsidR="00676F6B" w:rsidRPr="00CD29D0">
        <w:t>, nearly 200 out of the 700 students at N</w:t>
      </w:r>
      <w:r w:rsidR="00E17CD8">
        <w:t xml:space="preserve">orton </w:t>
      </w:r>
      <w:r w:rsidR="00676F6B" w:rsidRPr="00CD29D0">
        <w:t>H</w:t>
      </w:r>
      <w:r w:rsidR="00E17CD8">
        <w:t xml:space="preserve">igh </w:t>
      </w:r>
      <w:r w:rsidR="00676F6B" w:rsidRPr="00CD29D0">
        <w:t>S</w:t>
      </w:r>
      <w:r w:rsidR="00E17CD8">
        <w:t>chool</w:t>
      </w:r>
      <w:r w:rsidR="00676F6B" w:rsidRPr="00CD29D0">
        <w:t xml:space="preserve"> participate in the program, making it one of the largest in the state. </w:t>
      </w:r>
      <w:r w:rsidR="00ED73E7" w:rsidRPr="00CD29D0">
        <w:t>A student summarized, “I would say that [Best Buddies] is our flagship extracurricular, and that</w:t>
      </w:r>
      <w:r w:rsidR="00C9150A" w:rsidRPr="00CD29D0">
        <w:t>’</w:t>
      </w:r>
      <w:r w:rsidR="00ED73E7" w:rsidRPr="00CD29D0">
        <w:t>s something we are very proud of.”</w:t>
      </w:r>
      <w:r w:rsidR="00ED73E7" w:rsidRPr="003F192E">
        <w:t xml:space="preserve"> </w:t>
      </w:r>
      <w:r w:rsidR="007E39AD" w:rsidRPr="003F192E">
        <w:t>The variety and breadth of extracurricular opportunities</w:t>
      </w:r>
      <w:r w:rsidR="00CE2711" w:rsidRPr="003F192E">
        <w:t>, particularly the Best Buddies program,</w:t>
      </w:r>
      <w:r w:rsidR="007E39AD" w:rsidRPr="003F192E">
        <w:t xml:space="preserve"> at N</w:t>
      </w:r>
      <w:r w:rsidR="00E17CD8" w:rsidRPr="003F192E">
        <w:t xml:space="preserve">orton </w:t>
      </w:r>
      <w:r w:rsidR="007E39AD" w:rsidRPr="003F192E">
        <w:t>H</w:t>
      </w:r>
      <w:r w:rsidR="00E17CD8" w:rsidRPr="003F192E">
        <w:t xml:space="preserve">igh </w:t>
      </w:r>
      <w:r w:rsidR="007E39AD" w:rsidRPr="003F192E">
        <w:t>S</w:t>
      </w:r>
      <w:r w:rsidR="00E17CD8" w:rsidRPr="003F192E">
        <w:t>chool</w:t>
      </w:r>
      <w:r w:rsidR="007E39AD" w:rsidRPr="003F192E">
        <w:t xml:space="preserve"> is a strength of the district</w:t>
      </w:r>
      <w:r w:rsidR="00A45A08" w:rsidRPr="003F192E">
        <w:t>.</w:t>
      </w:r>
    </w:p>
    <w:p w14:paraId="32939833" w14:textId="3887BDA7" w:rsidR="00A45A08" w:rsidRPr="00CD29D0" w:rsidRDefault="00D52E4F" w:rsidP="009C2835">
      <w:pPr>
        <w:pStyle w:val="BodyText"/>
      </w:pPr>
      <w:r w:rsidRPr="00CD29D0">
        <w:t>G</w:t>
      </w:r>
      <w:r w:rsidR="005D6D65" w:rsidRPr="00CD29D0">
        <w:t>uidance counselors at the high school are responsible for</w:t>
      </w:r>
      <w:r w:rsidRPr="00CD29D0">
        <w:t xml:space="preserve"> preparing students for college and postsecondary education by</w:t>
      </w:r>
      <w:r w:rsidR="005D6D65" w:rsidRPr="00CD29D0">
        <w:t xml:space="preserve"> assisting students throughout the college</w:t>
      </w:r>
      <w:r w:rsidR="00CB4CFC">
        <w:t xml:space="preserve"> preparation and application</w:t>
      </w:r>
      <w:r w:rsidR="005D6D65" w:rsidRPr="00CD29D0">
        <w:t xml:space="preserve"> process. </w:t>
      </w:r>
      <w:r w:rsidR="00191AF1" w:rsidRPr="00CD29D0">
        <w:t>The process begins during</w:t>
      </w:r>
      <w:r w:rsidRPr="00CD29D0">
        <w:t xml:space="preserve"> a</w:t>
      </w:r>
      <w:r w:rsidR="00191AF1" w:rsidRPr="00CD29D0">
        <w:t xml:space="preserve"> student</w:t>
      </w:r>
      <w:r w:rsidRPr="00CD29D0">
        <w:t>’</w:t>
      </w:r>
      <w:r w:rsidR="00191AF1" w:rsidRPr="00CD29D0">
        <w:t>s sophomore year</w:t>
      </w:r>
      <w:r w:rsidRPr="00CD29D0">
        <w:t xml:space="preserve"> when </w:t>
      </w:r>
      <w:r w:rsidR="00191AF1" w:rsidRPr="00CD29D0">
        <w:t>they complete college interest surveys</w:t>
      </w:r>
      <w:r w:rsidR="0074074F">
        <w:t xml:space="preserve"> and</w:t>
      </w:r>
      <w:r w:rsidR="00DF2C76" w:rsidRPr="00CD29D0">
        <w:t xml:space="preserve"> explore different majors. Throughout </w:t>
      </w:r>
      <w:r w:rsidRPr="00CD29D0">
        <w:t xml:space="preserve">their </w:t>
      </w:r>
      <w:r w:rsidR="00DF2C76" w:rsidRPr="00CD29D0">
        <w:t>junior year, they complete college searches</w:t>
      </w:r>
      <w:r w:rsidR="0074074F">
        <w:t xml:space="preserve"> and</w:t>
      </w:r>
      <w:r w:rsidR="00DF2C76" w:rsidRPr="00CD29D0">
        <w:t xml:space="preserve"> </w:t>
      </w:r>
      <w:r w:rsidR="007D50E1" w:rsidRPr="00CD29D0">
        <w:t xml:space="preserve">conduct college visits. During their senior year, </w:t>
      </w:r>
      <w:r w:rsidRPr="00CD29D0">
        <w:t xml:space="preserve">counselors </w:t>
      </w:r>
      <w:r w:rsidR="00467452" w:rsidRPr="00CD29D0">
        <w:t xml:space="preserve">help </w:t>
      </w:r>
      <w:r w:rsidRPr="00CD29D0">
        <w:t xml:space="preserve">students </w:t>
      </w:r>
      <w:r w:rsidR="00467452" w:rsidRPr="00CD29D0">
        <w:t xml:space="preserve">with completing their applications, </w:t>
      </w:r>
      <w:r w:rsidR="00F20901" w:rsidRPr="00CD29D0">
        <w:t>get</w:t>
      </w:r>
      <w:r w:rsidRPr="00CD29D0">
        <w:t>ting</w:t>
      </w:r>
      <w:r w:rsidR="00467452" w:rsidRPr="00CD29D0">
        <w:t xml:space="preserve"> letters of recommendation, </w:t>
      </w:r>
      <w:r w:rsidR="00F20901" w:rsidRPr="00CD29D0">
        <w:t>us</w:t>
      </w:r>
      <w:r w:rsidRPr="00CD29D0">
        <w:t>ing</w:t>
      </w:r>
      <w:r w:rsidR="00F20901" w:rsidRPr="00CD29D0">
        <w:t xml:space="preserve"> different platforms (e.g., Common App, Naviance), and</w:t>
      </w:r>
      <w:r w:rsidR="00646F6D" w:rsidRPr="00CD29D0">
        <w:t xml:space="preserve"> other services</w:t>
      </w:r>
      <w:r w:rsidR="00F20901" w:rsidRPr="00CD29D0">
        <w:t xml:space="preserve">. </w:t>
      </w:r>
      <w:r w:rsidR="00B10AF1" w:rsidRPr="00CD29D0">
        <w:t>Over the</w:t>
      </w:r>
      <w:r w:rsidR="00646F6D" w:rsidRPr="00CD29D0">
        <w:t>se few</w:t>
      </w:r>
      <w:r w:rsidR="00B10AF1" w:rsidRPr="00CD29D0">
        <w:t xml:space="preserve"> years, </w:t>
      </w:r>
      <w:r w:rsidR="00646F6D" w:rsidRPr="00CD29D0">
        <w:t xml:space="preserve">counselors hold </w:t>
      </w:r>
      <w:r w:rsidR="00B10AF1" w:rsidRPr="00CD29D0">
        <w:t xml:space="preserve">multiple family events about </w:t>
      </w:r>
      <w:r w:rsidR="00B10AF1" w:rsidRPr="00CD29D0">
        <w:lastRenderedPageBreak/>
        <w:t>the college process</w:t>
      </w:r>
      <w:r w:rsidR="00646F6D" w:rsidRPr="00CD29D0">
        <w:t>,</w:t>
      </w:r>
      <w:r w:rsidR="00B10AF1" w:rsidRPr="00CD29D0">
        <w:t xml:space="preserve"> including </w:t>
      </w:r>
      <w:r w:rsidR="00311F13" w:rsidRPr="00CD29D0">
        <w:t>how to find scholarships</w:t>
      </w:r>
      <w:r w:rsidR="001F4033" w:rsidRPr="00CD29D0">
        <w:t xml:space="preserve"> and </w:t>
      </w:r>
      <w:r w:rsidR="00311F13" w:rsidRPr="00CD29D0">
        <w:t xml:space="preserve">apply for finance aid. </w:t>
      </w:r>
      <w:r w:rsidR="00584425" w:rsidRPr="00CD29D0">
        <w:t>According to DESE data for 2023-</w:t>
      </w:r>
      <w:r w:rsidR="00646F6D" w:rsidRPr="00CD29D0">
        <w:t>20</w:t>
      </w:r>
      <w:r w:rsidR="00584425" w:rsidRPr="00CD29D0">
        <w:t>24, 70</w:t>
      </w:r>
      <w:r w:rsidR="00887EDD" w:rsidRPr="00CD29D0">
        <w:t xml:space="preserve"> percent</w:t>
      </w:r>
      <w:r w:rsidR="00584425" w:rsidRPr="00CD29D0">
        <w:t xml:space="preserve"> of Norton graduates attended a college or university compared </w:t>
      </w:r>
      <w:r w:rsidR="00646F6D" w:rsidRPr="00CD29D0">
        <w:t>with</w:t>
      </w:r>
      <w:r w:rsidR="00584425" w:rsidRPr="00CD29D0">
        <w:t xml:space="preserve"> 64</w:t>
      </w:r>
      <w:r w:rsidR="00887EDD" w:rsidRPr="00CD29D0">
        <w:t xml:space="preserve"> percent</w:t>
      </w:r>
      <w:r w:rsidR="00584425" w:rsidRPr="00CD29D0">
        <w:t xml:space="preserve"> statewide</w:t>
      </w:r>
      <w:r w:rsidR="00A45A08" w:rsidRPr="00CD29D0">
        <w:t>.</w:t>
      </w:r>
    </w:p>
    <w:p w14:paraId="0E27C37A" w14:textId="73F0B3C1" w:rsidR="00A45A08" w:rsidRPr="00CD29D0" w:rsidRDefault="004E7CD4" w:rsidP="009C2835">
      <w:pPr>
        <w:pStyle w:val="BodyText"/>
        <w:rPr>
          <w:color w:val="EE0000"/>
        </w:rPr>
      </w:pPr>
      <w:r w:rsidRPr="00CD29D0">
        <w:t xml:space="preserve">However, </w:t>
      </w:r>
      <w:r w:rsidR="00CC350F" w:rsidRPr="00CD29D0">
        <w:t xml:space="preserve">multiple high school </w:t>
      </w:r>
      <w:r w:rsidRPr="00CD29D0">
        <w:t xml:space="preserve">students </w:t>
      </w:r>
      <w:r w:rsidR="00EC4C94" w:rsidRPr="00CD29D0">
        <w:t>reported feeling under-supported in the college application process</w:t>
      </w:r>
      <w:r w:rsidR="001F4033" w:rsidRPr="00CD29D0">
        <w:t xml:space="preserve">. While students </w:t>
      </w:r>
      <w:r w:rsidR="00EC4C94" w:rsidRPr="00CD29D0">
        <w:t>acknowledged recent</w:t>
      </w:r>
      <w:r w:rsidR="001F4033" w:rsidRPr="00CD29D0">
        <w:t xml:space="preserve"> funding cuts that </w:t>
      </w:r>
      <w:r w:rsidR="00EC4C94" w:rsidRPr="00CD29D0">
        <w:t>reduced</w:t>
      </w:r>
      <w:r w:rsidR="001F4033" w:rsidRPr="00CD29D0">
        <w:t xml:space="preserve"> the number of guidance counselors</w:t>
      </w:r>
      <w:r w:rsidR="00694025" w:rsidRPr="00CD29D0">
        <w:t xml:space="preserve">, they described </w:t>
      </w:r>
      <w:r w:rsidRPr="00CD29D0">
        <w:t>the guidance department a</w:t>
      </w:r>
      <w:r w:rsidR="0068432C" w:rsidRPr="00CD29D0">
        <w:t>s difficult to contact</w:t>
      </w:r>
      <w:r w:rsidR="00CC350F" w:rsidRPr="00CD29D0">
        <w:t xml:space="preserve"> and </w:t>
      </w:r>
      <w:r w:rsidR="0068432C" w:rsidRPr="00CD29D0">
        <w:t>slow to respond</w:t>
      </w:r>
      <w:r w:rsidR="00CC350F" w:rsidRPr="00CD29D0">
        <w:t>.</w:t>
      </w:r>
      <w:r w:rsidR="00F11697" w:rsidRPr="00CD29D0">
        <w:t xml:space="preserve"> S</w:t>
      </w:r>
      <w:r w:rsidR="00A76340" w:rsidRPr="00CD29D0">
        <w:t>tudents</w:t>
      </w:r>
      <w:r w:rsidR="00F11697" w:rsidRPr="00CD29D0">
        <w:t xml:space="preserve"> also</w:t>
      </w:r>
      <w:r w:rsidR="00A76340" w:rsidRPr="00CD29D0">
        <w:t xml:space="preserve"> noted delay</w:t>
      </w:r>
      <w:r w:rsidR="005806B6" w:rsidRPr="00CD29D0">
        <w:t>s</w:t>
      </w:r>
      <w:r w:rsidR="00A76340" w:rsidRPr="00CD29D0">
        <w:t xml:space="preserve"> </w:t>
      </w:r>
      <w:r w:rsidR="00F11697" w:rsidRPr="00CD29D0">
        <w:t xml:space="preserve">in receiving important </w:t>
      </w:r>
      <w:r w:rsidR="00A76340" w:rsidRPr="00CD29D0">
        <w:t>information, such as college meeting</w:t>
      </w:r>
      <w:r w:rsidR="00646F6D" w:rsidRPr="00CD29D0">
        <w:t>s</w:t>
      </w:r>
      <w:r w:rsidR="00A76340" w:rsidRPr="00CD29D0">
        <w:t xml:space="preserve"> for seniors that happened </w:t>
      </w:r>
      <w:r w:rsidR="00CF1BC7" w:rsidRPr="00CD29D0">
        <w:t xml:space="preserve">after college early action deadlines </w:t>
      </w:r>
      <w:r w:rsidR="00646F6D" w:rsidRPr="00CD29D0">
        <w:t>had</w:t>
      </w:r>
      <w:r w:rsidR="00CF1BC7" w:rsidRPr="00CD29D0">
        <w:t xml:space="preserve"> passed</w:t>
      </w:r>
      <w:r w:rsidR="00240A86" w:rsidRPr="00CD29D0">
        <w:t xml:space="preserve"> </w:t>
      </w:r>
      <w:r w:rsidR="00646F6D" w:rsidRPr="00CD29D0">
        <w:t>and</w:t>
      </w:r>
      <w:r w:rsidR="00240A86" w:rsidRPr="00CD29D0">
        <w:t xml:space="preserve"> long waits for required materials</w:t>
      </w:r>
      <w:r w:rsidR="00646F6D" w:rsidRPr="00CD29D0">
        <w:t>,</w:t>
      </w:r>
      <w:r w:rsidR="00240A86" w:rsidRPr="00CD29D0">
        <w:t xml:space="preserve"> </w:t>
      </w:r>
      <w:r w:rsidR="00646F6D" w:rsidRPr="00CD29D0">
        <w:t xml:space="preserve">such as </w:t>
      </w:r>
      <w:r w:rsidR="00240A86" w:rsidRPr="00CD29D0">
        <w:t xml:space="preserve">letters of recommendation. </w:t>
      </w:r>
      <w:r w:rsidR="00BE62DE" w:rsidRPr="00CD29D0">
        <w:t>One</w:t>
      </w:r>
      <w:r w:rsidR="00501ED9" w:rsidRPr="00CD29D0">
        <w:t xml:space="preserve"> student </w:t>
      </w:r>
      <w:r w:rsidR="00BE62DE" w:rsidRPr="00CD29D0">
        <w:t>shared</w:t>
      </w:r>
      <w:r w:rsidR="004E74EC" w:rsidRPr="00CD29D0">
        <w:t>, “I was trying to apply early decision to a college</w:t>
      </w:r>
      <w:r w:rsidR="00646F6D" w:rsidRPr="00CD29D0">
        <w:t>,</w:t>
      </w:r>
      <w:r w:rsidR="004E74EC" w:rsidRPr="00CD29D0">
        <w:t xml:space="preserve"> and I messed it up because my guidance counselor didn</w:t>
      </w:r>
      <w:r w:rsidR="00646F6D" w:rsidRPr="00CD29D0">
        <w:t>’</w:t>
      </w:r>
      <w:r w:rsidR="004E74EC" w:rsidRPr="00CD29D0">
        <w:t xml:space="preserve">t have time to meet with me.” </w:t>
      </w:r>
      <w:r w:rsidR="00677885" w:rsidRPr="00CD29D0">
        <w:t>Another student expanded on this</w:t>
      </w:r>
      <w:r w:rsidR="00DC4E0C" w:rsidRPr="00CD29D0">
        <w:t>, highlighting how these challenges have impacted other students in recent years</w:t>
      </w:r>
      <w:r w:rsidR="00646F6D" w:rsidRPr="00CD29D0">
        <w:t xml:space="preserve">: </w:t>
      </w:r>
      <w:r w:rsidR="00DC4E0C" w:rsidRPr="00CD29D0">
        <w:t>“</w:t>
      </w:r>
      <w:r w:rsidR="00646F6D" w:rsidRPr="00CD29D0">
        <w:t>T</w:t>
      </w:r>
      <w:r w:rsidR="00DC4E0C" w:rsidRPr="00CD29D0">
        <w:t>his happened in the past two senior classes, people aren</w:t>
      </w:r>
      <w:r w:rsidR="00646F6D" w:rsidRPr="00CD29D0">
        <w:t>’</w:t>
      </w:r>
      <w:r w:rsidR="00DC4E0C" w:rsidRPr="00CD29D0">
        <w:t>t being able to go to the schools that they want to, because their guidance counselors aren</w:t>
      </w:r>
      <w:r w:rsidR="00646F6D" w:rsidRPr="00CD29D0">
        <w:t>’</w:t>
      </w:r>
      <w:r w:rsidR="00DC4E0C" w:rsidRPr="00CD29D0">
        <w:t xml:space="preserve">t on top of it.” </w:t>
      </w:r>
      <w:r w:rsidR="007B302E" w:rsidRPr="003F192E">
        <w:t xml:space="preserve">Strengthening </w:t>
      </w:r>
      <w:r w:rsidR="00646F6D" w:rsidRPr="003F192E">
        <w:t xml:space="preserve">guidance </w:t>
      </w:r>
      <w:r w:rsidR="007B302E" w:rsidRPr="003F192E">
        <w:t>systems at N</w:t>
      </w:r>
      <w:r w:rsidR="00E17CD8" w:rsidRPr="003F192E">
        <w:t xml:space="preserve">orton </w:t>
      </w:r>
      <w:r w:rsidR="007B302E" w:rsidRPr="003F192E">
        <w:t>H</w:t>
      </w:r>
      <w:r w:rsidR="00E17CD8" w:rsidRPr="003F192E">
        <w:t xml:space="preserve">igh </w:t>
      </w:r>
      <w:r w:rsidR="007B302E" w:rsidRPr="003F192E">
        <w:t>S</w:t>
      </w:r>
      <w:r w:rsidR="00E17CD8" w:rsidRPr="003F192E">
        <w:t>chool</w:t>
      </w:r>
      <w:r w:rsidR="007B302E" w:rsidRPr="003F192E">
        <w:t xml:space="preserve"> </w:t>
      </w:r>
      <w:r w:rsidR="006A7240">
        <w:t>in service of</w:t>
      </w:r>
      <w:r w:rsidR="006A7240" w:rsidRPr="003F192E">
        <w:t xml:space="preserve"> </w:t>
      </w:r>
      <w:r w:rsidR="007B302E" w:rsidRPr="003F192E">
        <w:t>timely supports for seniors applying to college is an area of growth</w:t>
      </w:r>
      <w:r w:rsidR="00A45A08" w:rsidRPr="003F192E">
        <w:t>.</w:t>
      </w:r>
    </w:p>
    <w:p w14:paraId="0D92C3B6" w14:textId="0810F8DC" w:rsidR="00320588" w:rsidRPr="00CD29D0" w:rsidRDefault="00320588" w:rsidP="009C2835">
      <w:pPr>
        <w:pStyle w:val="Heading3"/>
      </w:pPr>
      <w:bookmarkStart w:id="36" w:name="_Effective_Instruction_and"/>
      <w:bookmarkEnd w:id="36"/>
      <w:r w:rsidRPr="00CD29D0">
        <w:t>Effective Instruction and Curricular Implementation</w:t>
      </w:r>
    </w:p>
    <w:p w14:paraId="5A03D812" w14:textId="53AA678D" w:rsidR="00D843E4" w:rsidRPr="00CD29D0" w:rsidRDefault="00D843E4" w:rsidP="009C2835">
      <w:pPr>
        <w:pStyle w:val="BodyTextposthead"/>
      </w:pPr>
      <w:r w:rsidRPr="00CD29D0">
        <w:t xml:space="preserve">Teachers, school leaders, and district staff generally agreed that their district prioritizes providing supports for developing a safe and supportive learning environment in which all students can engage in academic content. These supports include </w:t>
      </w:r>
      <w:r w:rsidR="00C426C6" w:rsidRPr="00CD29D0">
        <w:t>HQIM</w:t>
      </w:r>
      <w:r w:rsidRPr="00CD29D0">
        <w:t xml:space="preserve"> provided at the elementary level, as well as districtwide practices such as adjusting lessons to meet the needs of individual students and prioritizing teacher autonomy within the classroom. Students somewhat agreed, saying that content is occasionally relevant to their lives, although this </w:t>
      </w:r>
      <w:r w:rsidR="00C426C6" w:rsidRPr="00CD29D0">
        <w:t>was</w:t>
      </w:r>
      <w:r w:rsidRPr="00CD29D0">
        <w:t xml:space="preserve"> more implied rather than explicitly stated</w:t>
      </w:r>
      <w:r w:rsidR="00C426C6" w:rsidRPr="00CD29D0">
        <w:t xml:space="preserve"> in focus groups</w:t>
      </w:r>
      <w:r w:rsidRPr="00CD29D0">
        <w:t xml:space="preserve">. For example, </w:t>
      </w:r>
      <w:r w:rsidR="00002585" w:rsidRPr="00CD29D0">
        <w:t xml:space="preserve">a middle school </w:t>
      </w:r>
      <w:r w:rsidRPr="00CD29D0">
        <w:t xml:space="preserve">student described how </w:t>
      </w:r>
      <w:r w:rsidR="004107F8" w:rsidRPr="00CD29D0">
        <w:t>learning about the water cycle in science is relevant because</w:t>
      </w:r>
      <w:r w:rsidR="005B1B43" w:rsidRPr="00CD29D0">
        <w:t xml:space="preserve"> “</w:t>
      </w:r>
      <w:r w:rsidR="00002585" w:rsidRPr="00CD29D0">
        <w:t>that</w:t>
      </w:r>
      <w:r w:rsidR="00C426C6" w:rsidRPr="00CD29D0">
        <w:t>’</w:t>
      </w:r>
      <w:r w:rsidR="00002585" w:rsidRPr="00CD29D0">
        <w:t>s always happening around us. So</w:t>
      </w:r>
      <w:r w:rsidR="00F32CC8" w:rsidRPr="00CD29D0">
        <w:t>,</w:t>
      </w:r>
      <w:r w:rsidR="00002585" w:rsidRPr="00CD29D0">
        <w:t xml:space="preserve"> it</w:t>
      </w:r>
      <w:r w:rsidR="00C426C6" w:rsidRPr="00CD29D0">
        <w:t>’</w:t>
      </w:r>
      <w:r w:rsidR="00002585" w:rsidRPr="00CD29D0">
        <w:t>s easier in some subjects to connect to the world than others.”</w:t>
      </w:r>
    </w:p>
    <w:p w14:paraId="64C9B657" w14:textId="15175AC4" w:rsidR="00A45A08" w:rsidRPr="00CD29D0" w:rsidRDefault="005D7601" w:rsidP="009C2835">
      <w:pPr>
        <w:pStyle w:val="BodyText"/>
      </w:pPr>
      <w:r w:rsidRPr="00CD29D0">
        <w:t>Classroom observation scores in the middle range for dimensions in the Emotional Support domain for all grade bands (average 5.</w:t>
      </w:r>
      <w:r w:rsidR="00511A06" w:rsidRPr="00CD29D0">
        <w:t>4</w:t>
      </w:r>
      <w:r w:rsidRPr="00CD29D0">
        <w:t xml:space="preserve"> for </w:t>
      </w:r>
      <w:r w:rsidR="002C3A4B" w:rsidRPr="00CD29D0">
        <w:t>g</w:t>
      </w:r>
      <w:r w:rsidRPr="00CD29D0">
        <w:t xml:space="preserve">rades PK-5, </w:t>
      </w:r>
      <w:r w:rsidR="00511A06" w:rsidRPr="00CD29D0">
        <w:t>4.3</w:t>
      </w:r>
      <w:r w:rsidRPr="00CD29D0">
        <w:t xml:space="preserve"> for </w:t>
      </w:r>
      <w:r w:rsidR="002C3A4B" w:rsidRPr="00CD29D0">
        <w:t>g</w:t>
      </w:r>
      <w:r w:rsidRPr="00CD29D0">
        <w:t>rades 6-8, and 4.</w:t>
      </w:r>
      <w:r w:rsidR="00A371A1" w:rsidRPr="00CD29D0">
        <w:t>6</w:t>
      </w:r>
      <w:r w:rsidRPr="00CD29D0">
        <w:t xml:space="preserve"> for </w:t>
      </w:r>
      <w:r w:rsidR="002C3A4B" w:rsidRPr="00CD29D0">
        <w:t>g</w:t>
      </w:r>
      <w:r w:rsidRPr="00CD29D0">
        <w:t xml:space="preserve">rades 9-12) partially support these descriptions. In contrast, low scores in Regard for Student Perspectives (average </w:t>
      </w:r>
      <w:r w:rsidR="00A371A1" w:rsidRPr="00CD29D0">
        <w:t>3</w:t>
      </w:r>
      <w:r w:rsidRPr="00CD29D0">
        <w:t>.</w:t>
      </w:r>
      <w:r w:rsidR="000E282C" w:rsidRPr="00CD29D0">
        <w:t>3</w:t>
      </w:r>
      <w:r w:rsidRPr="00CD29D0">
        <w:t xml:space="preserve"> in </w:t>
      </w:r>
      <w:r w:rsidR="002C3A4B" w:rsidRPr="00CD29D0">
        <w:t>g</w:t>
      </w:r>
      <w:r w:rsidRPr="00CD29D0">
        <w:t>rades PK-5, 2.</w:t>
      </w:r>
      <w:r w:rsidR="00A371A1" w:rsidRPr="00CD29D0">
        <w:t>8</w:t>
      </w:r>
      <w:r w:rsidRPr="00CD29D0">
        <w:t xml:space="preserve"> in </w:t>
      </w:r>
      <w:r w:rsidR="002C3A4B" w:rsidRPr="00CD29D0">
        <w:t>g</w:t>
      </w:r>
      <w:r w:rsidRPr="00CD29D0">
        <w:t xml:space="preserve">rades 6-8, and </w:t>
      </w:r>
      <w:r w:rsidR="00A371A1" w:rsidRPr="00CD29D0">
        <w:t>3</w:t>
      </w:r>
      <w:r w:rsidRPr="00CD29D0">
        <w:t>.</w:t>
      </w:r>
      <w:r w:rsidR="00A371A1" w:rsidRPr="00CD29D0">
        <w:t>6</w:t>
      </w:r>
      <w:r w:rsidRPr="00CD29D0">
        <w:t xml:space="preserve"> in </w:t>
      </w:r>
      <w:r w:rsidR="002C3A4B" w:rsidRPr="00CD29D0">
        <w:t>g</w:t>
      </w:r>
      <w:r w:rsidRPr="00CD29D0">
        <w:t>rades 9-12) suggest that student choice is limited in lessons.</w:t>
      </w:r>
      <w:r w:rsidR="00BC4562" w:rsidRPr="00CD29D0">
        <w:t xml:space="preserve"> </w:t>
      </w:r>
      <w:r w:rsidR="664434E1" w:rsidRPr="00CD29D0">
        <w:t xml:space="preserve">Teachers were clearly using HQIM in </w:t>
      </w:r>
      <w:r w:rsidR="00975829" w:rsidRPr="00CD29D0">
        <w:t>3</w:t>
      </w:r>
      <w:r w:rsidR="000C5604" w:rsidRPr="00CD29D0">
        <w:t>6</w:t>
      </w:r>
      <w:r w:rsidR="00AC5CF2" w:rsidRPr="00CD29D0">
        <w:t xml:space="preserve"> </w:t>
      </w:r>
      <w:r w:rsidR="00E562FE" w:rsidRPr="00CD29D0">
        <w:t>percent</w:t>
      </w:r>
      <w:r w:rsidR="664434E1" w:rsidRPr="00CD29D0">
        <w:t xml:space="preserve"> of all classrooms observed</w:t>
      </w:r>
      <w:r w:rsidR="006C527C" w:rsidRPr="00CD29D0">
        <w:t xml:space="preserve"> (</w:t>
      </w:r>
      <w:r w:rsidR="00975829" w:rsidRPr="00CD29D0">
        <w:t>26</w:t>
      </w:r>
      <w:r w:rsidR="009C2835" w:rsidRPr="00CD29D0">
        <w:t> </w:t>
      </w:r>
      <w:r w:rsidR="006C527C" w:rsidRPr="00CD29D0">
        <w:t xml:space="preserve">of </w:t>
      </w:r>
      <w:r w:rsidR="00B34079" w:rsidRPr="00CD29D0">
        <w:t>73 observations)</w:t>
      </w:r>
      <w:r w:rsidR="664434E1" w:rsidRPr="00CD29D0">
        <w:t xml:space="preserve">. These rates varied by grade level: teachers were clearly using HQIM in </w:t>
      </w:r>
      <w:r w:rsidR="00975829" w:rsidRPr="00CD29D0">
        <w:t>61</w:t>
      </w:r>
      <w:r w:rsidR="009C2835" w:rsidRPr="00CD29D0">
        <w:t> </w:t>
      </w:r>
      <w:r w:rsidR="00AC5CF2" w:rsidRPr="00CD29D0">
        <w:t xml:space="preserve">percent </w:t>
      </w:r>
      <w:r w:rsidR="664434E1" w:rsidRPr="00CD29D0">
        <w:t>of elementary (</w:t>
      </w:r>
      <w:r w:rsidR="00AC5CF2" w:rsidRPr="00CD29D0">
        <w:t xml:space="preserve">grades </w:t>
      </w:r>
      <w:r w:rsidR="664434E1" w:rsidRPr="00CD29D0">
        <w:t>K-5) classrooms observed,</w:t>
      </w:r>
      <w:r w:rsidR="003B1489" w:rsidRPr="00CD29D0">
        <w:t xml:space="preserve"> </w:t>
      </w:r>
      <w:r w:rsidR="664434E1" w:rsidRPr="00CD29D0">
        <w:t xml:space="preserve">in </w:t>
      </w:r>
      <w:r w:rsidR="00975829" w:rsidRPr="00CD29D0">
        <w:t>30</w:t>
      </w:r>
      <w:r w:rsidR="00AC5CF2" w:rsidRPr="00CD29D0">
        <w:t xml:space="preserve"> percent </w:t>
      </w:r>
      <w:r w:rsidR="664434E1" w:rsidRPr="00CD29D0">
        <w:t>of middle school (</w:t>
      </w:r>
      <w:r w:rsidR="00AC5CF2" w:rsidRPr="00CD29D0">
        <w:t>grades</w:t>
      </w:r>
      <w:r w:rsidR="009C2835" w:rsidRPr="00CD29D0">
        <w:t> </w:t>
      </w:r>
      <w:r w:rsidR="664434E1" w:rsidRPr="00CD29D0">
        <w:t xml:space="preserve">6-8) classrooms observed, and in </w:t>
      </w:r>
      <w:r w:rsidR="00975829" w:rsidRPr="00CD29D0">
        <w:t>0</w:t>
      </w:r>
      <w:r w:rsidR="00AC5CF2" w:rsidRPr="00CD29D0">
        <w:t xml:space="preserve"> percent </w:t>
      </w:r>
      <w:r w:rsidR="664434E1" w:rsidRPr="00CD29D0">
        <w:t>of high school classrooms</w:t>
      </w:r>
      <w:r w:rsidR="00AC5CF2" w:rsidRPr="00CD29D0">
        <w:t xml:space="preserve"> (grades 9-12)</w:t>
      </w:r>
      <w:r w:rsidR="664434E1" w:rsidRPr="00CD29D0">
        <w:t xml:space="preserve"> observed. These rates</w:t>
      </w:r>
      <w:r w:rsidR="00AC5CF2" w:rsidRPr="00CD29D0">
        <w:t xml:space="preserve"> also</w:t>
      </w:r>
      <w:r w:rsidR="664434E1" w:rsidRPr="00CD29D0">
        <w:t xml:space="preserve"> varied by content: teachers were clearly using HQIM in </w:t>
      </w:r>
      <w:r w:rsidR="00646DF6" w:rsidRPr="00CD29D0">
        <w:t>61</w:t>
      </w:r>
      <w:r w:rsidR="00346063" w:rsidRPr="00CD29D0">
        <w:t xml:space="preserve"> percent </w:t>
      </w:r>
      <w:r w:rsidR="664434E1" w:rsidRPr="00CD29D0">
        <w:t xml:space="preserve">of ELA lessons </w:t>
      </w:r>
      <w:r w:rsidR="00346063" w:rsidRPr="00CD29D0">
        <w:t xml:space="preserve">in </w:t>
      </w:r>
      <w:r w:rsidR="664434E1" w:rsidRPr="00CD29D0">
        <w:t xml:space="preserve">classrooms observed, </w:t>
      </w:r>
      <w:r w:rsidR="00646DF6" w:rsidRPr="00CD29D0">
        <w:t>27</w:t>
      </w:r>
      <w:r w:rsidR="00346063" w:rsidRPr="00CD29D0">
        <w:t xml:space="preserve"> percent</w:t>
      </w:r>
      <w:r w:rsidR="664434E1" w:rsidRPr="00CD29D0">
        <w:t xml:space="preserve"> of mathematics lessons </w:t>
      </w:r>
      <w:r w:rsidR="00346063" w:rsidRPr="00CD29D0">
        <w:t xml:space="preserve">in </w:t>
      </w:r>
      <w:r w:rsidR="664434E1" w:rsidRPr="00CD29D0">
        <w:t>classrooms observed</w:t>
      </w:r>
      <w:r w:rsidR="00646DF6" w:rsidRPr="00CD29D0">
        <w:t>, and 8</w:t>
      </w:r>
      <w:r w:rsidR="009C2835" w:rsidRPr="00CD29D0">
        <w:t> </w:t>
      </w:r>
      <w:r w:rsidR="00346063" w:rsidRPr="00CD29D0">
        <w:t>per</w:t>
      </w:r>
      <w:r w:rsidR="00196F72" w:rsidRPr="00CD29D0">
        <w:t>c</w:t>
      </w:r>
      <w:r w:rsidR="00346063" w:rsidRPr="00CD29D0">
        <w:t>ent</w:t>
      </w:r>
      <w:r w:rsidR="00646DF6" w:rsidRPr="00CD29D0">
        <w:t xml:space="preserve"> of other lessons </w:t>
      </w:r>
      <w:r w:rsidR="00346063" w:rsidRPr="00CD29D0">
        <w:t xml:space="preserve">in </w:t>
      </w:r>
      <w:r w:rsidR="00646DF6" w:rsidRPr="00CD29D0">
        <w:t>classrooms observed</w:t>
      </w:r>
      <w:r w:rsidR="00A45A08" w:rsidRPr="00CD29D0">
        <w:t>.</w:t>
      </w:r>
    </w:p>
    <w:p w14:paraId="42BD9D5F" w14:textId="3A178DF1" w:rsidR="00A45A08" w:rsidRPr="00CD29D0" w:rsidRDefault="00600067" w:rsidP="009C2835">
      <w:pPr>
        <w:pStyle w:val="BodyText"/>
      </w:pPr>
      <w:r w:rsidRPr="00CD29D0">
        <w:t xml:space="preserve">At the elementary level, observers </w:t>
      </w:r>
      <w:r w:rsidR="00A77476" w:rsidRPr="00CD29D0">
        <w:t>saw teachers using</w:t>
      </w:r>
      <w:r w:rsidR="0018095E" w:rsidRPr="00CD29D0">
        <w:t xml:space="preserve"> core and supplemental curricular materials</w:t>
      </w:r>
      <w:r w:rsidR="00196F72" w:rsidRPr="00CD29D0">
        <w:t>,</w:t>
      </w:r>
      <w:r w:rsidR="0018095E" w:rsidRPr="00CD29D0">
        <w:t xml:space="preserve"> including</w:t>
      </w:r>
      <w:r w:rsidR="00A77476" w:rsidRPr="00CD29D0">
        <w:t xml:space="preserve"> HMH Into Reading</w:t>
      </w:r>
      <w:r w:rsidR="00E64296" w:rsidRPr="00CD29D0">
        <w:t xml:space="preserve">, Heggerty, </w:t>
      </w:r>
      <w:r w:rsidR="002F32E7" w:rsidRPr="00CD29D0">
        <w:t>Stepping Stone</w:t>
      </w:r>
      <w:r w:rsidR="00551A10" w:rsidRPr="00CD29D0">
        <w:t>s</w:t>
      </w:r>
      <w:r w:rsidR="002F32E7" w:rsidRPr="00CD29D0">
        <w:t xml:space="preserve">, </w:t>
      </w:r>
      <w:r w:rsidR="00551A10" w:rsidRPr="00CD29D0">
        <w:t xml:space="preserve">and ST Math. </w:t>
      </w:r>
      <w:r w:rsidR="001A5226" w:rsidRPr="00CD29D0">
        <w:t>Aligned with the time of year, s</w:t>
      </w:r>
      <w:r w:rsidR="00E27B65" w:rsidRPr="00CD29D0">
        <w:t xml:space="preserve">everal observed classrooms </w:t>
      </w:r>
      <w:r w:rsidR="001A5226" w:rsidRPr="00CD29D0">
        <w:t xml:space="preserve">were </w:t>
      </w:r>
      <w:r w:rsidR="00C1267D" w:rsidRPr="00CD29D0">
        <w:t xml:space="preserve">learning about Ground Hog Day </w:t>
      </w:r>
      <w:r w:rsidR="00196F72" w:rsidRPr="00CD29D0">
        <w:t xml:space="preserve">by </w:t>
      </w:r>
      <w:r w:rsidR="00C1267D" w:rsidRPr="00CD29D0">
        <w:t xml:space="preserve">using </w:t>
      </w:r>
      <w:r w:rsidR="00045EF4" w:rsidRPr="00CD29D0">
        <w:t xml:space="preserve">various texts (e.g., Scholastic Magazine) and </w:t>
      </w:r>
      <w:r w:rsidR="00C016C4" w:rsidRPr="00CD29D0">
        <w:t xml:space="preserve">worksheets. </w:t>
      </w:r>
      <w:r w:rsidR="004020DD" w:rsidRPr="00CD29D0">
        <w:t xml:space="preserve">Other activities observed included </w:t>
      </w:r>
      <w:r w:rsidR="002D011D" w:rsidRPr="00CD29D0">
        <w:t xml:space="preserve">a </w:t>
      </w:r>
      <w:r w:rsidR="004020DD" w:rsidRPr="00CD29D0">
        <w:t>lesson on parts of a letter</w:t>
      </w:r>
      <w:r w:rsidR="00196F72" w:rsidRPr="00CD29D0">
        <w:t xml:space="preserve"> and </w:t>
      </w:r>
      <w:r w:rsidR="005145D9" w:rsidRPr="00CD29D0">
        <w:t>a</w:t>
      </w:r>
      <w:r w:rsidR="004020DD" w:rsidRPr="00CD29D0">
        <w:t xml:space="preserve"> </w:t>
      </w:r>
      <w:r w:rsidR="002D011D" w:rsidRPr="00CD29D0">
        <w:t>timed writing activity</w:t>
      </w:r>
      <w:r w:rsidR="00196F72" w:rsidRPr="00CD29D0">
        <w:t xml:space="preserve"> in English </w:t>
      </w:r>
      <w:r w:rsidR="005D6190" w:rsidRPr="00CD29D0">
        <w:t>and learning ab</w:t>
      </w:r>
      <w:r w:rsidR="005145D9" w:rsidRPr="00CD29D0">
        <w:t xml:space="preserve">out photosynthesis in science. At the middle </w:t>
      </w:r>
      <w:r w:rsidR="005145D9" w:rsidRPr="00CD29D0">
        <w:lastRenderedPageBreak/>
        <w:t xml:space="preserve">school level, </w:t>
      </w:r>
      <w:r w:rsidR="0018095E" w:rsidRPr="00CD29D0">
        <w:t xml:space="preserve">teachers were observed </w:t>
      </w:r>
      <w:r w:rsidR="00827B1A" w:rsidRPr="00CD29D0">
        <w:t>using core curricular materials</w:t>
      </w:r>
      <w:r w:rsidR="002675AD" w:rsidRPr="00CD29D0">
        <w:t>,</w:t>
      </w:r>
      <w:r w:rsidR="00827B1A" w:rsidRPr="00CD29D0">
        <w:t xml:space="preserve"> including Amplify ELA, </w:t>
      </w:r>
      <w:r w:rsidR="009E18C6" w:rsidRPr="00CD29D0">
        <w:t>Mid</w:t>
      </w:r>
      <w:r w:rsidR="009C2835" w:rsidRPr="00CD29D0">
        <w:noBreakHyphen/>
      </w:r>
      <w:r w:rsidR="009E18C6" w:rsidRPr="00CD29D0">
        <w:t xml:space="preserve">School Math, </w:t>
      </w:r>
      <w:r w:rsidR="009509BE" w:rsidRPr="00CD29D0">
        <w:t>and Saavas</w:t>
      </w:r>
      <w:r w:rsidR="00452D8C" w:rsidRPr="00CD29D0">
        <w:t xml:space="preserve">. </w:t>
      </w:r>
      <w:r w:rsidR="001E64D3" w:rsidRPr="00CD29D0">
        <w:t xml:space="preserve">In social studies, students were observed </w:t>
      </w:r>
      <w:r w:rsidR="00773F71" w:rsidRPr="00CD29D0">
        <w:t xml:space="preserve">completing </w:t>
      </w:r>
      <w:r w:rsidR="002675AD" w:rsidRPr="00CD29D0">
        <w:t xml:space="preserve">grade-level </w:t>
      </w:r>
      <w:r w:rsidR="00773F71" w:rsidRPr="00CD29D0">
        <w:t xml:space="preserve">worksheets </w:t>
      </w:r>
      <w:r w:rsidR="00BB1A3B" w:rsidRPr="00CD29D0">
        <w:t>(e.g.,</w:t>
      </w:r>
      <w:r w:rsidR="002675AD" w:rsidRPr="00CD29D0">
        <w:t xml:space="preserve"> on</w:t>
      </w:r>
      <w:r w:rsidR="00BB1A3B" w:rsidRPr="00CD29D0">
        <w:t xml:space="preserve"> </w:t>
      </w:r>
      <w:r w:rsidR="00773F71" w:rsidRPr="00CD29D0">
        <w:t>geography</w:t>
      </w:r>
      <w:r w:rsidR="00BB1A3B" w:rsidRPr="00CD29D0">
        <w:t xml:space="preserve">, mummification). </w:t>
      </w:r>
      <w:r w:rsidR="00583E47" w:rsidRPr="00CD29D0">
        <w:t>At the high school level, teachers were not observed using HQIM</w:t>
      </w:r>
      <w:r w:rsidR="00114DC1" w:rsidRPr="00CD29D0">
        <w:t xml:space="preserve"> (see</w:t>
      </w:r>
      <w:r w:rsidR="00583E47" w:rsidRPr="00CD29D0">
        <w:t xml:space="preserve"> Curriculum and Instructional Materials</w:t>
      </w:r>
      <w:r w:rsidR="00114DC1" w:rsidRPr="00CD29D0">
        <w:t>)</w:t>
      </w:r>
      <w:r w:rsidR="00583E47" w:rsidRPr="00CD29D0">
        <w:t xml:space="preserve">. Students were observed </w:t>
      </w:r>
      <w:r w:rsidR="0012459A" w:rsidRPr="00CD29D0">
        <w:t xml:space="preserve">completing essay prompts and reading comprehension questions on the text they just read, </w:t>
      </w:r>
      <w:r w:rsidR="00D30947" w:rsidRPr="00CD29D0">
        <w:t xml:space="preserve">worksheets on </w:t>
      </w:r>
      <w:r w:rsidR="006054CC" w:rsidRPr="00CD29D0">
        <w:t>science topics that varied by course</w:t>
      </w:r>
      <w:r w:rsidR="003D166F" w:rsidRPr="00CD29D0">
        <w:t>, and other activities</w:t>
      </w:r>
      <w:r w:rsidR="00A45A08" w:rsidRPr="00CD29D0">
        <w:t>.</w:t>
      </w:r>
    </w:p>
    <w:p w14:paraId="0BCB4083" w14:textId="1C03EBC7" w:rsidR="00A45A08" w:rsidRPr="00CD29D0" w:rsidRDefault="00517856" w:rsidP="009C2835">
      <w:pPr>
        <w:pStyle w:val="BodyText"/>
      </w:pPr>
      <w:r w:rsidRPr="00CD29D0">
        <w:t xml:space="preserve">According to teachers across the district, the district has some supports for teachers in implementing instructional practices. </w:t>
      </w:r>
      <w:r w:rsidR="0008511C" w:rsidRPr="00CD29D0">
        <w:t xml:space="preserve">The district has </w:t>
      </w:r>
      <w:r w:rsidR="00AD6CFF" w:rsidRPr="00CD29D0">
        <w:t>one</w:t>
      </w:r>
      <w:r w:rsidR="0008511C" w:rsidRPr="00CD29D0">
        <w:t xml:space="preserve"> full day of professional development at the start of the </w:t>
      </w:r>
      <w:r w:rsidR="00123ACB" w:rsidRPr="00CD29D0">
        <w:t xml:space="preserve">school </w:t>
      </w:r>
      <w:r w:rsidR="0008511C" w:rsidRPr="00CD29D0">
        <w:t>year</w:t>
      </w:r>
      <w:r w:rsidR="00AD6CFF" w:rsidRPr="00CD29D0">
        <w:t xml:space="preserve"> for all staff</w:t>
      </w:r>
      <w:r w:rsidR="0008511C" w:rsidRPr="00CD29D0">
        <w:t xml:space="preserve">, in addition to </w:t>
      </w:r>
      <w:r w:rsidR="00AD6CFF" w:rsidRPr="00CD29D0">
        <w:t>seven</w:t>
      </w:r>
      <w:r w:rsidR="0008511C" w:rsidRPr="00CD29D0">
        <w:t xml:space="preserve"> half-days throughout the </w:t>
      </w:r>
      <w:r w:rsidR="00123ACB" w:rsidRPr="00CD29D0">
        <w:t xml:space="preserve">school </w:t>
      </w:r>
      <w:r w:rsidR="0008511C" w:rsidRPr="00CD29D0">
        <w:t>year. Half-day professional development</w:t>
      </w:r>
      <w:r w:rsidR="00123ACB" w:rsidRPr="00CD29D0">
        <w:t xml:space="preserve"> sessions</w:t>
      </w:r>
      <w:r w:rsidR="0008511C" w:rsidRPr="00CD29D0">
        <w:t xml:space="preserve"> are a mix of district- and school-developed</w:t>
      </w:r>
      <w:r w:rsidR="00123ACB" w:rsidRPr="00CD29D0">
        <w:t xml:space="preserve"> training</w:t>
      </w:r>
      <w:r w:rsidR="0008511C" w:rsidRPr="00CD29D0">
        <w:t xml:space="preserve">. </w:t>
      </w:r>
      <w:r w:rsidR="004A2255" w:rsidRPr="00CD29D0">
        <w:t xml:space="preserve">For all school administrators and curriculum leaders, </w:t>
      </w:r>
      <w:r w:rsidR="00F34C81" w:rsidRPr="00CD29D0">
        <w:t xml:space="preserve">the district provided professional development through Research on Better Teaching (RBT) </w:t>
      </w:r>
      <w:r w:rsidR="00E071FC" w:rsidRPr="00CD29D0">
        <w:t xml:space="preserve">on high-impact teaching. </w:t>
      </w:r>
      <w:r w:rsidR="00295226" w:rsidRPr="00CD29D0">
        <w:t>T</w:t>
      </w:r>
      <w:r w:rsidR="00086660" w:rsidRPr="00CD29D0">
        <w:t>he district partners with curriculum providers for some professional development</w:t>
      </w:r>
      <w:r w:rsidR="00295226" w:rsidRPr="00CD29D0">
        <w:t xml:space="preserve"> for school staff</w:t>
      </w:r>
      <w:r w:rsidR="00086660" w:rsidRPr="00CD29D0">
        <w:t>, with recent providers from S</w:t>
      </w:r>
      <w:r w:rsidR="00371935" w:rsidRPr="00CD29D0">
        <w:t>.</w:t>
      </w:r>
      <w:r w:rsidR="00086660" w:rsidRPr="00CD29D0">
        <w:t>P</w:t>
      </w:r>
      <w:r w:rsidR="00371935" w:rsidRPr="00CD29D0">
        <w:t>.</w:t>
      </w:r>
      <w:r w:rsidR="00086660" w:rsidRPr="00CD29D0">
        <w:t>I</w:t>
      </w:r>
      <w:r w:rsidR="00371935" w:rsidRPr="00CD29D0">
        <w:t>.</w:t>
      </w:r>
      <w:r w:rsidR="00086660" w:rsidRPr="00CD29D0">
        <w:t>R</w:t>
      </w:r>
      <w:r w:rsidR="00371935" w:rsidRPr="00CD29D0">
        <w:t>.</w:t>
      </w:r>
      <w:r w:rsidR="00086660" w:rsidRPr="00CD29D0">
        <w:t>E</w:t>
      </w:r>
      <w:r w:rsidR="00371935" w:rsidRPr="00CD29D0">
        <w:t>.</w:t>
      </w:r>
      <w:r w:rsidR="00F4042F" w:rsidRPr="00CD29D0">
        <w:t xml:space="preserve"> providing training to </w:t>
      </w:r>
      <w:r w:rsidR="00AB61CC" w:rsidRPr="00CD29D0">
        <w:t>all interventionists and reading tutors and</w:t>
      </w:r>
      <w:r w:rsidR="00295226" w:rsidRPr="00CD29D0">
        <w:t xml:space="preserve"> to</w:t>
      </w:r>
      <w:r w:rsidR="00AB61CC" w:rsidRPr="00CD29D0">
        <w:t xml:space="preserve"> some special educators. </w:t>
      </w:r>
      <w:r w:rsidR="006157CC" w:rsidRPr="00CD29D0">
        <w:t>T</w:t>
      </w:r>
      <w:r w:rsidR="003446DE" w:rsidRPr="00CD29D0">
        <w:t xml:space="preserve">he district recently provided professional development to </w:t>
      </w:r>
      <w:r w:rsidR="00244D70" w:rsidRPr="00CD29D0">
        <w:t xml:space="preserve">all staff on meeting the needs of </w:t>
      </w:r>
      <w:r w:rsidR="006157CC" w:rsidRPr="00CD29D0">
        <w:t xml:space="preserve">English Learner </w:t>
      </w:r>
      <w:r w:rsidR="00244D70" w:rsidRPr="00CD29D0">
        <w:t xml:space="preserve">students, including laws, regulations, and basic instructional practices. </w:t>
      </w:r>
      <w:r w:rsidR="00345F75" w:rsidRPr="00CD29D0">
        <w:t>T</w:t>
      </w:r>
      <w:r w:rsidR="00086660" w:rsidRPr="00CD29D0">
        <w:t>he district has recently focused on AI use (see Leadership and Governance Structures for more information about the AI Task Force)</w:t>
      </w:r>
      <w:r w:rsidR="006157CC" w:rsidRPr="00CD29D0">
        <w:t xml:space="preserve"> by</w:t>
      </w:r>
      <w:r w:rsidR="00345F75" w:rsidRPr="00CD29D0">
        <w:t xml:space="preserve"> providing staff with professional development</w:t>
      </w:r>
      <w:r w:rsidR="006F4306" w:rsidRPr="00CD29D0">
        <w:t xml:space="preserve"> </w:t>
      </w:r>
      <w:r w:rsidR="00DD7CBC" w:rsidRPr="00CD29D0">
        <w:t>in partnership with</w:t>
      </w:r>
      <w:r w:rsidR="00E13812" w:rsidRPr="00CD29D0">
        <w:t xml:space="preserve"> MassCue Partnership for Educators Advancing AI Knowledge</w:t>
      </w:r>
      <w:r w:rsidR="006157CC" w:rsidRPr="00CD29D0">
        <w:t xml:space="preserve"> (PEAK</w:t>
      </w:r>
      <w:r w:rsidR="00E13812" w:rsidRPr="00CD29D0">
        <w:t>)</w:t>
      </w:r>
      <w:r w:rsidR="00987EF1" w:rsidRPr="00CD29D0">
        <w:t xml:space="preserve">. </w:t>
      </w:r>
      <w:r w:rsidR="005331D5" w:rsidRPr="00CD29D0">
        <w:t xml:space="preserve">Some professional development has included instructional walkthroughs with school leaders and curriculum providers to </w:t>
      </w:r>
      <w:r w:rsidR="00920025" w:rsidRPr="00CD29D0">
        <w:t>gauge current implementation and provide feedback</w:t>
      </w:r>
      <w:r w:rsidR="00406F83" w:rsidRPr="00CD29D0">
        <w:t xml:space="preserve"> (s</w:t>
      </w:r>
      <w:r w:rsidR="00252E2B" w:rsidRPr="00CD29D0">
        <w:t>ee Professional Learning for more information</w:t>
      </w:r>
      <w:r w:rsidR="00406F83" w:rsidRPr="00CD29D0">
        <w:t>)</w:t>
      </w:r>
      <w:r w:rsidR="00A45A08" w:rsidRPr="00CD29D0">
        <w:t>.</w:t>
      </w:r>
    </w:p>
    <w:p w14:paraId="40D5D3FE" w14:textId="181C2BDB" w:rsidR="002B4CEF" w:rsidRPr="00CD29D0" w:rsidRDefault="002B4CEF" w:rsidP="009C2835">
      <w:pPr>
        <w:pStyle w:val="Heading3"/>
      </w:pPr>
      <w:r w:rsidRPr="00CD29D0">
        <w:t>Recommendations</w:t>
      </w:r>
    </w:p>
    <w:p w14:paraId="66327CBB" w14:textId="742CE992" w:rsidR="002B4CEF" w:rsidRPr="00651C25" w:rsidRDefault="00F555E4" w:rsidP="009C2835">
      <w:pPr>
        <w:pStyle w:val="Bullet1"/>
        <w:rPr>
          <w:i/>
          <w:iCs/>
        </w:rPr>
      </w:pPr>
      <w:r w:rsidRPr="00651C25">
        <w:rPr>
          <w:i/>
          <w:iCs/>
        </w:rPr>
        <w:t>The district should</w:t>
      </w:r>
      <w:r w:rsidR="007279BD" w:rsidRPr="00651C25">
        <w:rPr>
          <w:i/>
          <w:iCs/>
        </w:rPr>
        <w:t xml:space="preserve"> work toward </w:t>
      </w:r>
      <w:r w:rsidR="00973F2C">
        <w:rPr>
          <w:i/>
          <w:iCs/>
        </w:rPr>
        <w:t xml:space="preserve">adopting and </w:t>
      </w:r>
      <w:r w:rsidR="007279BD" w:rsidRPr="00651C25">
        <w:rPr>
          <w:i/>
          <w:iCs/>
        </w:rPr>
        <w:t xml:space="preserve">implementing </w:t>
      </w:r>
      <w:r w:rsidR="004C6E7F">
        <w:rPr>
          <w:i/>
          <w:iCs/>
        </w:rPr>
        <w:t>high-quality</w:t>
      </w:r>
      <w:r w:rsidR="007279BD" w:rsidRPr="00651C25">
        <w:rPr>
          <w:i/>
          <w:iCs/>
        </w:rPr>
        <w:t xml:space="preserve"> instructional materials across all grades and subject areas in which they are available. Particularly, the district should prioritize continuing its middle school science curriculum review process and initiating a review of middle school social studies materials.  </w:t>
      </w:r>
    </w:p>
    <w:p w14:paraId="5FFA67D6" w14:textId="32932588" w:rsidR="00A46139" w:rsidRPr="00651C25" w:rsidRDefault="00A46139" w:rsidP="009C2835">
      <w:pPr>
        <w:pStyle w:val="Bullet1"/>
        <w:rPr>
          <w:i/>
          <w:iCs/>
        </w:rPr>
      </w:pPr>
      <w:r w:rsidRPr="00651C25">
        <w:rPr>
          <w:i/>
          <w:iCs/>
        </w:rPr>
        <w:t xml:space="preserve">The district should </w:t>
      </w:r>
      <w:r w:rsidR="00203E27" w:rsidRPr="00651C25">
        <w:rPr>
          <w:i/>
          <w:iCs/>
        </w:rPr>
        <w:t xml:space="preserve">further investigate the root cause of </w:t>
      </w:r>
      <w:r w:rsidR="004C6E7F">
        <w:rPr>
          <w:i/>
          <w:iCs/>
        </w:rPr>
        <w:t xml:space="preserve">the </w:t>
      </w:r>
      <w:r w:rsidR="00203E27" w:rsidRPr="00651C25">
        <w:rPr>
          <w:i/>
          <w:iCs/>
        </w:rPr>
        <w:t>comparatively low proportion of high school students</w:t>
      </w:r>
      <w:r w:rsidR="00B119AE" w:rsidRPr="00651C25">
        <w:rPr>
          <w:i/>
          <w:iCs/>
        </w:rPr>
        <w:t>, including students with disabilities,</w:t>
      </w:r>
      <w:r w:rsidR="00203E27" w:rsidRPr="00651C25">
        <w:rPr>
          <w:i/>
          <w:iCs/>
        </w:rPr>
        <w:t xml:space="preserve"> enrolled in advanced coursework (as compared to the</w:t>
      </w:r>
      <w:r w:rsidR="004D4F15" w:rsidRPr="00651C25">
        <w:rPr>
          <w:i/>
          <w:iCs/>
        </w:rPr>
        <w:t xml:space="preserve"> state rate) and develop a plan to increase access and student enrollment. </w:t>
      </w:r>
    </w:p>
    <w:p w14:paraId="097BFE73" w14:textId="302B2B58" w:rsidR="00460A39" w:rsidRPr="00651C25" w:rsidRDefault="00460A39" w:rsidP="009C2835">
      <w:pPr>
        <w:pStyle w:val="Bullet1"/>
        <w:rPr>
          <w:i/>
          <w:iCs/>
        </w:rPr>
      </w:pPr>
      <w:r w:rsidRPr="00651C25">
        <w:rPr>
          <w:i/>
          <w:iCs/>
        </w:rPr>
        <w:t xml:space="preserve">The district should </w:t>
      </w:r>
      <w:r w:rsidR="00A3581E" w:rsidRPr="00651C25">
        <w:rPr>
          <w:i/>
          <w:iCs/>
        </w:rPr>
        <w:t xml:space="preserve">examine its current systems for supporting students with the college </w:t>
      </w:r>
      <w:r w:rsidR="006C02FC" w:rsidRPr="00651C25">
        <w:rPr>
          <w:i/>
          <w:iCs/>
        </w:rPr>
        <w:t>application</w:t>
      </w:r>
      <w:r w:rsidR="00A3581E" w:rsidRPr="00651C25">
        <w:rPr>
          <w:i/>
          <w:iCs/>
        </w:rPr>
        <w:t xml:space="preserve"> process</w:t>
      </w:r>
      <w:r w:rsidR="006C02FC" w:rsidRPr="00651C25">
        <w:rPr>
          <w:i/>
          <w:iCs/>
        </w:rPr>
        <w:t xml:space="preserve"> and implement changes that increase efficiency and improve communication between students and their guidance counselors. </w:t>
      </w:r>
    </w:p>
    <w:p w14:paraId="46DDAA29" w14:textId="271B21A6" w:rsidR="002B4CEF" w:rsidRPr="00CD29D0" w:rsidRDefault="00060E1C" w:rsidP="009C2835">
      <w:pPr>
        <w:pStyle w:val="BodyText"/>
        <w:rPr>
          <w:b/>
          <w:bCs/>
        </w:rPr>
      </w:pPr>
      <w:r w:rsidRPr="00CD29D0">
        <w:t>For related resources, see Appendix C.</w:t>
      </w:r>
      <w:r w:rsidRPr="00CD29D0">
        <w:rPr>
          <w:bCs/>
        </w:rPr>
        <w:br w:type="page"/>
      </w:r>
    </w:p>
    <w:p w14:paraId="366F3518" w14:textId="77777777" w:rsidR="008D6102" w:rsidRPr="00CD29D0" w:rsidRDefault="008D6102" w:rsidP="00820105">
      <w:pPr>
        <w:pStyle w:val="Heading2"/>
      </w:pPr>
      <w:bookmarkStart w:id="37" w:name="_Assessment"/>
      <w:bookmarkStart w:id="38" w:name="_Toc101446229"/>
      <w:bookmarkStart w:id="39" w:name="_Toc227589894"/>
      <w:bookmarkEnd w:id="37"/>
      <w:r w:rsidRPr="00CD29D0">
        <w:lastRenderedPageBreak/>
        <w:t>Assessment</w:t>
      </w:r>
      <w:bookmarkEnd w:id="38"/>
      <w:bookmarkEnd w:id="39"/>
    </w:p>
    <w:p w14:paraId="310C0944" w14:textId="3CC5CE99" w:rsidR="00A45A08" w:rsidRPr="00CD29D0" w:rsidRDefault="00B74C1F" w:rsidP="00820105">
      <w:pPr>
        <w:pStyle w:val="BodyTextposthead"/>
      </w:pPr>
      <w:r w:rsidRPr="00CD29D0">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3B663E" w:rsidRPr="00CD29D0">
        <w:t>. In addition, this section</w:t>
      </w:r>
      <w:r w:rsidRPr="00CD29D0">
        <w:t xml:space="preserve"> </w:t>
      </w:r>
      <w:r w:rsidR="005E443D" w:rsidRPr="00CD29D0">
        <w:t>focuses</w:t>
      </w:r>
      <w:r w:rsidR="003B663E" w:rsidRPr="00CD29D0">
        <w:t xml:space="preserve"> on</w:t>
      </w:r>
      <w:r w:rsidRPr="00CD29D0">
        <w:t xml:space="preserve"> analyzing assessment results and other data</w:t>
      </w:r>
      <w:r w:rsidR="003B663E" w:rsidRPr="00CD29D0">
        <w:t xml:space="preserve"> that </w:t>
      </w:r>
      <w:r w:rsidRPr="00CD29D0">
        <w:t xml:space="preserve">educators </w:t>
      </w:r>
      <w:r w:rsidR="003B663E" w:rsidRPr="00CD29D0">
        <w:t xml:space="preserve">use to </w:t>
      </w:r>
      <w:r w:rsidRPr="00CD29D0">
        <w:t xml:space="preserve">develop an understanding of the whole student, </w:t>
      </w:r>
      <w:r w:rsidR="003B663E" w:rsidRPr="00CD29D0">
        <w:t xml:space="preserve">to </w:t>
      </w:r>
      <w:r w:rsidRPr="00CD29D0">
        <w:t xml:space="preserve">examine trends across student groups, and </w:t>
      </w:r>
      <w:r w:rsidR="003B663E" w:rsidRPr="00CD29D0">
        <w:t xml:space="preserve">to </w:t>
      </w:r>
      <w:r w:rsidRPr="00CD29D0">
        <w:t>adjust their instruction accordingly</w:t>
      </w:r>
      <w:r w:rsidR="00A45A08" w:rsidRPr="00CD29D0">
        <w:t>.</w:t>
      </w:r>
    </w:p>
    <w:p w14:paraId="65DF5D4F" w14:textId="4892BC5D" w:rsidR="00C0766E" w:rsidRPr="00CD29D0" w:rsidRDefault="00C0766E" w:rsidP="00820105">
      <w:pPr>
        <w:pStyle w:val="BodyText"/>
      </w:pPr>
      <w:r w:rsidRPr="00CD29D0">
        <w:t xml:space="preserve">Table </w:t>
      </w:r>
      <w:r w:rsidR="003B663E" w:rsidRPr="00CD29D0">
        <w:t>5</w:t>
      </w:r>
      <w:r w:rsidR="00163C7A" w:rsidRPr="00CD29D0">
        <w:t xml:space="preserve"> </w:t>
      </w:r>
      <w:r w:rsidRPr="00CD29D0">
        <w:t>summarizes key strengths and areas for growth in assessment</w:t>
      </w:r>
      <w:r w:rsidR="00250663" w:rsidRPr="00CD29D0">
        <w:t xml:space="preserve"> in </w:t>
      </w:r>
      <w:r w:rsidR="008D0A6D" w:rsidRPr="00CD29D0">
        <w:t>Norton</w:t>
      </w:r>
      <w:r w:rsidRPr="00CD29D0">
        <w:t>.</w:t>
      </w:r>
    </w:p>
    <w:p w14:paraId="329E7498" w14:textId="038637FB" w:rsidR="00473308" w:rsidRPr="00CD29D0" w:rsidRDefault="00473308" w:rsidP="00820105">
      <w:pPr>
        <w:pStyle w:val="TableTitle0"/>
      </w:pPr>
      <w:r w:rsidRPr="00CD29D0">
        <w:t>Table</w:t>
      </w:r>
      <w:r w:rsidR="003B663E" w:rsidRPr="00CD29D0">
        <w:t>5</w:t>
      </w:r>
      <w:r w:rsidRPr="00CD29D0">
        <w:t xml:space="preserve">. Summary of </w:t>
      </w:r>
      <w:r w:rsidR="00C0766E" w:rsidRPr="00CD29D0">
        <w:t xml:space="preserve">Key Strengths </w:t>
      </w:r>
      <w:r w:rsidRPr="00CD29D0">
        <w:t xml:space="preserve">and </w:t>
      </w:r>
      <w:r w:rsidR="00C0766E" w:rsidRPr="00CD29D0">
        <w:t xml:space="preserve">Areas </w:t>
      </w:r>
      <w:r w:rsidRPr="00CD29D0">
        <w:t xml:space="preserve">for </w:t>
      </w:r>
      <w:r w:rsidR="00C0766E" w:rsidRPr="00CD29D0">
        <w:t>Growth:</w:t>
      </w:r>
      <w:r w:rsidRPr="00CD29D0">
        <w:t xml:space="preserve"> Assessment</w:t>
      </w:r>
      <w:r w:rsidR="00C0766E" w:rsidRPr="00CD29D0">
        <w:t xml:space="preserve"> Standard</w:t>
      </w:r>
    </w:p>
    <w:tbl>
      <w:tblPr>
        <w:tblStyle w:val="MSVTable1"/>
        <w:tblW w:w="5000" w:type="pct"/>
        <w:tblLook w:val="04A0" w:firstRow="1" w:lastRow="0" w:firstColumn="1" w:lastColumn="0" w:noHBand="0" w:noVBand="1"/>
        <w:tblCaption w:val="Table5. Summary of Key Strengths and Areas for Growth: Assessment Standard"/>
        <w:tblDescription w:val="Summary of Key Strengths and Areas for Growth: Assessment Standard"/>
      </w:tblPr>
      <w:tblGrid>
        <w:gridCol w:w="1972"/>
        <w:gridCol w:w="3685"/>
        <w:gridCol w:w="3687"/>
      </w:tblGrid>
      <w:tr w:rsidR="00A273D2" w:rsidRPr="00CD29D0" w14:paraId="4528F62A" w14:textId="77777777" w:rsidTr="00820105">
        <w:trPr>
          <w:cnfStyle w:val="100000000000" w:firstRow="1" w:lastRow="0" w:firstColumn="0" w:lastColumn="0" w:oddVBand="0" w:evenVBand="0" w:oddHBand="0" w:evenHBand="0" w:firstRowFirstColumn="0" w:firstRowLastColumn="0" w:lastRowFirstColumn="0" w:lastRowLastColumn="0"/>
          <w:tblHeader/>
        </w:trPr>
        <w:tc>
          <w:tcPr>
            <w:tcW w:w="1055" w:type="pct"/>
          </w:tcPr>
          <w:p w14:paraId="03EBB6C0" w14:textId="77777777" w:rsidR="00473308" w:rsidRPr="00D732FB" w:rsidRDefault="00473308" w:rsidP="00820105">
            <w:pPr>
              <w:pStyle w:val="TableColHeadingCenter"/>
            </w:pPr>
            <w:r w:rsidRPr="00D732FB">
              <w:t>Indicator</w:t>
            </w:r>
          </w:p>
        </w:tc>
        <w:tc>
          <w:tcPr>
            <w:tcW w:w="1972" w:type="pct"/>
          </w:tcPr>
          <w:p w14:paraId="04CE9AD4" w14:textId="77777777" w:rsidR="00473308" w:rsidRPr="00CD29D0" w:rsidRDefault="00473308" w:rsidP="00820105">
            <w:pPr>
              <w:pStyle w:val="TableColHeadingCenter"/>
            </w:pPr>
            <w:r w:rsidRPr="00CD29D0">
              <w:t>Strengths</w:t>
            </w:r>
          </w:p>
        </w:tc>
        <w:tc>
          <w:tcPr>
            <w:tcW w:w="1973" w:type="pct"/>
          </w:tcPr>
          <w:p w14:paraId="0516578A" w14:textId="6F03A48B" w:rsidR="00473308" w:rsidRPr="00CD29D0" w:rsidRDefault="00473308" w:rsidP="00820105">
            <w:pPr>
              <w:pStyle w:val="TableColHeadingCenter"/>
            </w:pPr>
            <w:r w:rsidRPr="00CD29D0">
              <w:t xml:space="preserve">Areas for </w:t>
            </w:r>
            <w:r w:rsidR="00C0766E" w:rsidRPr="00CD29D0">
              <w:t>g</w:t>
            </w:r>
            <w:r w:rsidRPr="00CD29D0">
              <w:t>rowth</w:t>
            </w:r>
          </w:p>
        </w:tc>
      </w:tr>
      <w:tr w:rsidR="00A273D2" w:rsidRPr="00CD29D0" w14:paraId="5BE4F452" w14:textId="77777777" w:rsidTr="00820105">
        <w:trPr>
          <w:cnfStyle w:val="000000100000" w:firstRow="0" w:lastRow="0" w:firstColumn="0" w:lastColumn="0" w:oddVBand="0" w:evenVBand="0" w:oddHBand="1" w:evenHBand="0" w:firstRowFirstColumn="0" w:firstRowLastColumn="0" w:lastRowFirstColumn="0" w:lastRowLastColumn="0"/>
        </w:trPr>
        <w:tc>
          <w:tcPr>
            <w:tcW w:w="1055" w:type="pct"/>
          </w:tcPr>
          <w:p w14:paraId="4F788977" w14:textId="791F61DD" w:rsidR="00473308" w:rsidRPr="00CD29D0" w:rsidRDefault="00473308" w:rsidP="00820105">
            <w:pPr>
              <w:pStyle w:val="TableSubheading"/>
            </w:pPr>
            <w:hyperlink w:anchor="_Data_Collection" w:history="1">
              <w:r w:rsidRPr="00CD29D0">
                <w:rPr>
                  <w:rStyle w:val="Hyperlink"/>
                  <w:color w:val="auto"/>
                  <w:u w:val="none"/>
                </w:rPr>
                <w:t xml:space="preserve">Data </w:t>
              </w:r>
              <w:r w:rsidR="008E0EE8" w:rsidRPr="00CD29D0">
                <w:rPr>
                  <w:rStyle w:val="Hyperlink"/>
                  <w:color w:val="auto"/>
                  <w:u w:val="none"/>
                </w:rPr>
                <w:t>Collection</w:t>
              </w:r>
            </w:hyperlink>
          </w:p>
        </w:tc>
        <w:tc>
          <w:tcPr>
            <w:tcW w:w="1972" w:type="pct"/>
          </w:tcPr>
          <w:p w14:paraId="5E3E7CC2" w14:textId="3ECB84AF" w:rsidR="00473308" w:rsidRPr="00CD29D0" w:rsidRDefault="1D3E76AC" w:rsidP="00820105">
            <w:pPr>
              <w:pStyle w:val="TableBullet1"/>
            </w:pPr>
            <w:r>
              <w:t>The district uses multiple academic and nonacademic data sources to inform instructional and programmatic decisions.</w:t>
            </w:r>
          </w:p>
        </w:tc>
        <w:tc>
          <w:tcPr>
            <w:tcW w:w="1973" w:type="pct"/>
          </w:tcPr>
          <w:p w14:paraId="1E451936" w14:textId="31BF63B7" w:rsidR="00473308" w:rsidRPr="00CD29D0" w:rsidRDefault="00D657C7" w:rsidP="00820105">
            <w:pPr>
              <w:pStyle w:val="TableBullet1"/>
            </w:pPr>
            <w:r>
              <w:t>N/A</w:t>
            </w:r>
          </w:p>
        </w:tc>
      </w:tr>
      <w:tr w:rsidR="00A273D2" w:rsidRPr="00CD29D0" w14:paraId="3744E5B9" w14:textId="77777777" w:rsidTr="00820105">
        <w:tc>
          <w:tcPr>
            <w:tcW w:w="1055" w:type="pct"/>
          </w:tcPr>
          <w:p w14:paraId="797DE778" w14:textId="231F0A7C" w:rsidR="00473308" w:rsidRPr="00CD29D0" w:rsidRDefault="00473308" w:rsidP="00820105">
            <w:pPr>
              <w:pStyle w:val="TableSubheading"/>
            </w:pPr>
            <w:hyperlink w:anchor="_Data_Use_and" w:history="1">
              <w:r w:rsidRPr="00CD29D0">
                <w:rPr>
                  <w:rStyle w:val="Hyperlink"/>
                  <w:color w:val="auto"/>
                  <w:u w:val="none"/>
                </w:rPr>
                <w:t xml:space="preserve">Data </w:t>
              </w:r>
              <w:r w:rsidR="008E0EE8" w:rsidRPr="00CD29D0">
                <w:rPr>
                  <w:rStyle w:val="Hyperlink"/>
                  <w:color w:val="auto"/>
                  <w:u w:val="none"/>
                </w:rPr>
                <w:t>U</w:t>
              </w:r>
              <w:r w:rsidRPr="00CD29D0">
                <w:rPr>
                  <w:rStyle w:val="Hyperlink"/>
                  <w:color w:val="auto"/>
                  <w:u w:val="none"/>
                </w:rPr>
                <w:t>se</w:t>
              </w:r>
              <w:r w:rsidR="008E0EE8" w:rsidRPr="00CD29D0">
                <w:rPr>
                  <w:rStyle w:val="Hyperlink"/>
                  <w:color w:val="auto"/>
                  <w:u w:val="none"/>
                </w:rPr>
                <w:t xml:space="preserve"> and Culture</w:t>
              </w:r>
            </w:hyperlink>
          </w:p>
        </w:tc>
        <w:tc>
          <w:tcPr>
            <w:tcW w:w="1972" w:type="pct"/>
          </w:tcPr>
          <w:p w14:paraId="3EFCF2E4" w14:textId="40AECFF6" w:rsidR="00473308" w:rsidRPr="00CD29D0" w:rsidRDefault="1D3E76AC" w:rsidP="00820105">
            <w:pPr>
              <w:pStyle w:val="TableBullet1"/>
            </w:pPr>
            <w:r>
              <w:t>Staff are provided with dedicated time and training to analyze and use student data to inform instruction.</w:t>
            </w:r>
          </w:p>
        </w:tc>
        <w:tc>
          <w:tcPr>
            <w:tcW w:w="1973" w:type="pct"/>
          </w:tcPr>
          <w:p w14:paraId="08FEEFDF" w14:textId="7A098CFB" w:rsidR="00473308" w:rsidRPr="00CD29D0" w:rsidRDefault="0074055A" w:rsidP="00820105">
            <w:pPr>
              <w:pStyle w:val="TableBullet1"/>
              <w:rPr>
                <w:color w:val="000000" w:themeColor="text1"/>
              </w:rPr>
            </w:pPr>
            <w:r>
              <w:rPr>
                <w:color w:val="000000" w:themeColor="text1"/>
              </w:rPr>
              <w:t>Establishing</w:t>
            </w:r>
            <w:r w:rsidRPr="1A3BE43D">
              <w:rPr>
                <w:color w:val="000000" w:themeColor="text1"/>
              </w:rPr>
              <w:t xml:space="preserve"> </w:t>
            </w:r>
            <w:r w:rsidR="685D22D0" w:rsidRPr="1A3BE43D">
              <w:rPr>
                <w:color w:val="000000" w:themeColor="text1"/>
              </w:rPr>
              <w:t>norms at the district level related to disaggregation of assessment data, specifically for English Learners</w:t>
            </w:r>
          </w:p>
        </w:tc>
      </w:tr>
      <w:tr w:rsidR="00A273D2" w:rsidRPr="00CD29D0" w14:paraId="2BFB5534" w14:textId="77777777" w:rsidTr="00820105">
        <w:trPr>
          <w:cnfStyle w:val="000000100000" w:firstRow="0" w:lastRow="0" w:firstColumn="0" w:lastColumn="0" w:oddVBand="0" w:evenVBand="0" w:oddHBand="1" w:evenHBand="0" w:firstRowFirstColumn="0" w:firstRowLastColumn="0" w:lastRowFirstColumn="0" w:lastRowLastColumn="0"/>
        </w:trPr>
        <w:tc>
          <w:tcPr>
            <w:tcW w:w="1055" w:type="pct"/>
          </w:tcPr>
          <w:p w14:paraId="692DCE62" w14:textId="545C52E1" w:rsidR="00473308" w:rsidRPr="00CD29D0" w:rsidRDefault="00473308" w:rsidP="00820105">
            <w:pPr>
              <w:pStyle w:val="TableSubheading"/>
            </w:pPr>
            <w:hyperlink w:anchor="_Sharing_Data" w:history="1">
              <w:r w:rsidRPr="00CD29D0">
                <w:rPr>
                  <w:rStyle w:val="Hyperlink"/>
                  <w:color w:val="auto"/>
                  <w:u w:val="none"/>
                </w:rPr>
                <w:t xml:space="preserve">Sharing </w:t>
              </w:r>
              <w:r w:rsidR="008E0EE8" w:rsidRPr="00CD29D0">
                <w:rPr>
                  <w:rStyle w:val="Hyperlink"/>
                  <w:color w:val="auto"/>
                  <w:u w:val="none"/>
                </w:rPr>
                <w:t>Data</w:t>
              </w:r>
            </w:hyperlink>
          </w:p>
        </w:tc>
        <w:tc>
          <w:tcPr>
            <w:tcW w:w="1972" w:type="pct"/>
          </w:tcPr>
          <w:p w14:paraId="1242ABD2" w14:textId="035051A5" w:rsidR="00473308" w:rsidRPr="00CD29D0" w:rsidRDefault="1D3E76AC" w:rsidP="00820105">
            <w:pPr>
              <w:pStyle w:val="TableBullet1"/>
            </w:pPr>
            <w:r>
              <w:t>Schools provide families with regular and multiple opportunities to receive updates on student progress.</w:t>
            </w:r>
          </w:p>
        </w:tc>
        <w:tc>
          <w:tcPr>
            <w:tcW w:w="1973" w:type="pct"/>
          </w:tcPr>
          <w:p w14:paraId="22C6496B" w14:textId="13FC4A9F" w:rsidR="00473308" w:rsidRPr="00CD29D0" w:rsidRDefault="00650473" w:rsidP="00820105">
            <w:pPr>
              <w:pStyle w:val="TableBullet1"/>
            </w:pPr>
            <w:r>
              <w:t>Increasing</w:t>
            </w:r>
            <w:r w:rsidR="00A82918">
              <w:t xml:space="preserve"> coherence and </w:t>
            </w:r>
            <w:r w:rsidRPr="00D657C7">
              <w:t xml:space="preserve"> </w:t>
            </w:r>
            <w:r w:rsidR="2FEE1C27" w:rsidRPr="00D657C7">
              <w:t>consisten</w:t>
            </w:r>
            <w:r w:rsidR="00A82918">
              <w:t xml:space="preserve">cy in </w:t>
            </w:r>
            <w:r w:rsidR="2FEE1C27" w:rsidRPr="00D657C7">
              <w:t>grading practices at the middle and high school levels</w:t>
            </w:r>
          </w:p>
        </w:tc>
      </w:tr>
    </w:tbl>
    <w:p w14:paraId="640082BB" w14:textId="0FC06A67" w:rsidR="00473308" w:rsidRPr="00CD29D0" w:rsidRDefault="00473308" w:rsidP="00820105">
      <w:pPr>
        <w:pStyle w:val="Heading3"/>
      </w:pPr>
      <w:r w:rsidRPr="00CD29D0">
        <w:t xml:space="preserve">Data </w:t>
      </w:r>
      <w:r w:rsidR="008E0EE8" w:rsidRPr="00CD29D0">
        <w:t>Collection</w:t>
      </w:r>
    </w:p>
    <w:p w14:paraId="4B4A7F46" w14:textId="77186C54" w:rsidR="009320A0" w:rsidRPr="00CD29D0" w:rsidRDefault="009458E7" w:rsidP="00820105">
      <w:pPr>
        <w:pStyle w:val="BodyTextposthead"/>
      </w:pPr>
      <w:r w:rsidRPr="00CD29D0">
        <w:t>District documents show a systematic use of multiple academic assessments across grades. The 2025–</w:t>
      </w:r>
      <w:r w:rsidR="001E751A" w:rsidRPr="00CD29D0">
        <w:t>20</w:t>
      </w:r>
      <w:r w:rsidRPr="00CD29D0">
        <w:t>26 assessment inventory</w:t>
      </w:r>
      <w:r w:rsidR="001E751A" w:rsidRPr="00CD29D0">
        <w:t xml:space="preserve"> </w:t>
      </w:r>
      <w:r w:rsidRPr="00CD29D0">
        <w:t>identifies</w:t>
      </w:r>
      <w:r w:rsidR="001E751A" w:rsidRPr="00CD29D0">
        <w:t xml:space="preserve"> </w:t>
      </w:r>
      <w:r w:rsidRPr="00CD29D0">
        <w:t>Star Early Literacy (</w:t>
      </w:r>
      <w:r w:rsidR="003B3181" w:rsidRPr="00CD29D0">
        <w:t>g</w:t>
      </w:r>
      <w:r w:rsidRPr="00CD29D0">
        <w:t>rade K), Star Reading (</w:t>
      </w:r>
      <w:r w:rsidR="003B3181" w:rsidRPr="00CD29D0">
        <w:t>g</w:t>
      </w:r>
      <w:r w:rsidRPr="00CD29D0">
        <w:t>rades</w:t>
      </w:r>
      <w:r w:rsidR="00820105" w:rsidRPr="00CD29D0">
        <w:t> </w:t>
      </w:r>
      <w:r w:rsidRPr="00CD29D0">
        <w:t>1</w:t>
      </w:r>
      <w:r w:rsidR="001E751A" w:rsidRPr="00CD29D0">
        <w:noBreakHyphen/>
      </w:r>
      <w:r w:rsidRPr="00CD29D0">
        <w:t>10), and Star Math (</w:t>
      </w:r>
      <w:r w:rsidR="003B3181" w:rsidRPr="00CD29D0">
        <w:t>g</w:t>
      </w:r>
      <w:r w:rsidRPr="00CD29D0">
        <w:t>rades K</w:t>
      </w:r>
      <w:r w:rsidR="001E751A" w:rsidRPr="00CD29D0">
        <w:t>-</w:t>
      </w:r>
      <w:r w:rsidRPr="00CD29D0">
        <w:t>10) as universal screeners administered to</w:t>
      </w:r>
      <w:r w:rsidR="001E751A" w:rsidRPr="00CD29D0">
        <w:t xml:space="preserve"> </w:t>
      </w:r>
      <w:r w:rsidRPr="00CD29D0">
        <w:t>all</w:t>
      </w:r>
      <w:r w:rsidR="001E751A" w:rsidRPr="00CD29D0">
        <w:t xml:space="preserve"> </w:t>
      </w:r>
      <w:r w:rsidRPr="00CD29D0">
        <w:t>students</w:t>
      </w:r>
      <w:r w:rsidR="001E751A" w:rsidRPr="00CD29D0">
        <w:t xml:space="preserve"> </w:t>
      </w:r>
      <w:r w:rsidRPr="00CD29D0">
        <w:t>multiple times per year</w:t>
      </w:r>
      <w:r w:rsidR="00F054B1" w:rsidRPr="00CD29D0">
        <w:t xml:space="preserve">, as well as common assessments </w:t>
      </w:r>
      <w:r w:rsidR="00766854" w:rsidRPr="00CD29D0">
        <w:t>at the high school level</w:t>
      </w:r>
      <w:r w:rsidRPr="00CD29D0">
        <w:t>.</w:t>
      </w:r>
      <w:r w:rsidR="001E751A" w:rsidRPr="00CD29D0">
        <w:t xml:space="preserve"> </w:t>
      </w:r>
      <w:r w:rsidRPr="00CD29D0">
        <w:t xml:space="preserve">The </w:t>
      </w:r>
      <w:r w:rsidR="001E751A" w:rsidRPr="00CD29D0">
        <w:t xml:space="preserve">grades </w:t>
      </w:r>
      <w:r w:rsidRPr="00CD29D0">
        <w:t>K</w:t>
      </w:r>
      <w:r w:rsidR="001E751A" w:rsidRPr="00CD29D0">
        <w:t>-</w:t>
      </w:r>
      <w:r w:rsidRPr="00CD29D0">
        <w:t xml:space="preserve">5 assessment calendar specifies three </w:t>
      </w:r>
      <w:r w:rsidR="001E751A" w:rsidRPr="00CD29D0">
        <w:t xml:space="preserve">Star </w:t>
      </w:r>
      <w:r w:rsidRPr="00CD29D0">
        <w:t>windows (</w:t>
      </w:r>
      <w:r w:rsidR="001E751A" w:rsidRPr="00CD29D0">
        <w:t xml:space="preserve">i.e., </w:t>
      </w:r>
      <w:r w:rsidRPr="00CD29D0">
        <w:t>September, February, May) for reading and math in grades 1</w:t>
      </w:r>
      <w:r w:rsidR="001E751A" w:rsidRPr="00CD29D0">
        <w:t>-</w:t>
      </w:r>
      <w:r w:rsidRPr="00CD29D0">
        <w:t>5 and Early Literacy for kindergarten</w:t>
      </w:r>
      <w:r w:rsidR="00890735" w:rsidRPr="00CD29D0">
        <w:t xml:space="preserve">; secondary teachers also reported administering </w:t>
      </w:r>
      <w:r w:rsidR="001E751A" w:rsidRPr="00CD29D0">
        <w:t xml:space="preserve">Star </w:t>
      </w:r>
      <w:r w:rsidR="00890735" w:rsidRPr="00CD29D0">
        <w:t>in the fall, winter, and spring</w:t>
      </w:r>
      <w:r w:rsidR="009B5190" w:rsidRPr="00CD29D0">
        <w:t>.</w:t>
      </w:r>
      <w:r w:rsidR="001E751A" w:rsidRPr="00CD29D0">
        <w:t xml:space="preserve"> </w:t>
      </w:r>
      <w:r w:rsidR="00260EC5">
        <w:t>District documents</w:t>
      </w:r>
      <w:r w:rsidRPr="00CD29D0">
        <w:t xml:space="preserve"> </w:t>
      </w:r>
      <w:r>
        <w:t>list</w:t>
      </w:r>
      <w:r w:rsidRPr="00CD29D0">
        <w:t xml:space="preserve"> Star </w:t>
      </w:r>
      <w:r w:rsidR="005D56FD" w:rsidRPr="00CD29D0">
        <w:t>Curriculum</w:t>
      </w:r>
      <w:r w:rsidR="00820105" w:rsidRPr="00CD29D0">
        <w:noBreakHyphen/>
      </w:r>
      <w:r w:rsidR="005D56FD" w:rsidRPr="00CD29D0">
        <w:t>Based Measures (</w:t>
      </w:r>
      <w:r w:rsidRPr="00CD29D0">
        <w:t>CBM</w:t>
      </w:r>
      <w:r w:rsidR="005D56FD" w:rsidRPr="00CD29D0">
        <w:t>)</w:t>
      </w:r>
      <w:r w:rsidRPr="00CD29D0">
        <w:t xml:space="preserve"> ELA and Math for</w:t>
      </w:r>
      <w:r w:rsidR="005D56FD" w:rsidRPr="00CD29D0">
        <w:t xml:space="preserve"> grades</w:t>
      </w:r>
      <w:r w:rsidRPr="00CD29D0">
        <w:t xml:space="preserve"> K</w:t>
      </w:r>
      <w:r w:rsidR="005D56FD" w:rsidRPr="00CD29D0">
        <w:t>-</w:t>
      </w:r>
      <w:r w:rsidRPr="00CD29D0">
        <w:t xml:space="preserve">5 as targeted measures used with students scoring below the 40th percentile on the corresponding </w:t>
      </w:r>
      <w:r w:rsidR="00371935">
        <w:t>Star</w:t>
      </w:r>
      <w:r w:rsidR="00371935" w:rsidRPr="00CD29D0">
        <w:t xml:space="preserve"> </w:t>
      </w:r>
      <w:r w:rsidRPr="00CD29D0">
        <w:t>screeners.</w:t>
      </w:r>
      <w:r w:rsidR="005D56FD" w:rsidRPr="00CD29D0">
        <w:t xml:space="preserve"> </w:t>
      </w:r>
      <w:r w:rsidRPr="00CD29D0">
        <w:t>Elementary teachers confirm</w:t>
      </w:r>
      <w:r w:rsidR="005D56FD" w:rsidRPr="00CD29D0">
        <w:t>ed</w:t>
      </w:r>
      <w:r w:rsidRPr="00CD29D0">
        <w:t xml:space="preserve"> that </w:t>
      </w:r>
      <w:r w:rsidR="00B51C5A" w:rsidRPr="00CD29D0">
        <w:t>Star</w:t>
      </w:r>
      <w:r w:rsidR="005D56FD" w:rsidRPr="00CD29D0">
        <w:t xml:space="preserve"> </w:t>
      </w:r>
      <w:r w:rsidRPr="00CD29D0">
        <w:t xml:space="preserve">and </w:t>
      </w:r>
      <w:r w:rsidR="00B51C5A" w:rsidRPr="00CD29D0">
        <w:t xml:space="preserve">Star </w:t>
      </w:r>
      <w:r w:rsidRPr="00CD29D0">
        <w:t>CBM are core data sources for</w:t>
      </w:r>
      <w:r w:rsidR="005D56FD" w:rsidRPr="00CD29D0">
        <w:t xml:space="preserve"> </w:t>
      </w:r>
      <w:r w:rsidRPr="00CD29D0">
        <w:t>identifying</w:t>
      </w:r>
      <w:r w:rsidR="005D56FD" w:rsidRPr="00CD29D0">
        <w:t xml:space="preserve"> </w:t>
      </w:r>
      <w:r w:rsidRPr="00CD29D0">
        <w:t xml:space="preserve">students </w:t>
      </w:r>
      <w:r w:rsidR="00B51C5A" w:rsidRPr="00CD29D0">
        <w:t xml:space="preserve">who </w:t>
      </w:r>
      <w:r w:rsidRPr="00CD29D0">
        <w:t xml:space="preserve">need support and </w:t>
      </w:r>
      <w:r w:rsidR="00B51C5A" w:rsidRPr="00CD29D0">
        <w:t xml:space="preserve">for </w:t>
      </w:r>
      <w:r w:rsidRPr="00CD29D0">
        <w:t>tracking growth, along</w:t>
      </w:r>
      <w:r w:rsidR="00B51C5A" w:rsidRPr="00CD29D0">
        <w:t xml:space="preserve"> with </w:t>
      </w:r>
      <w:r w:rsidRPr="00CD29D0">
        <w:t>curriculum</w:t>
      </w:r>
      <w:r w:rsidR="00B51C5A" w:rsidRPr="00CD29D0">
        <w:t>-</w:t>
      </w:r>
      <w:r w:rsidRPr="00CD29D0">
        <w:t>embedded</w:t>
      </w:r>
      <w:r w:rsidR="00B51C5A" w:rsidRPr="00CD29D0">
        <w:t xml:space="preserve"> </w:t>
      </w:r>
      <w:r w:rsidRPr="00CD29D0">
        <w:t xml:space="preserve">assessments from </w:t>
      </w:r>
      <w:r w:rsidR="00B51C5A" w:rsidRPr="00CD29D0">
        <w:t xml:space="preserve">HMH </w:t>
      </w:r>
      <w:r w:rsidRPr="00CD29D0">
        <w:t>Into Reading and</w:t>
      </w:r>
      <w:r w:rsidR="005D56FD" w:rsidRPr="00CD29D0">
        <w:t xml:space="preserve"> </w:t>
      </w:r>
      <w:r w:rsidRPr="00CD29D0">
        <w:t>Stepping Stones</w:t>
      </w:r>
      <w:r w:rsidR="005D56FD" w:rsidRPr="00CD29D0">
        <w:t xml:space="preserve"> </w:t>
      </w:r>
      <w:r w:rsidRPr="00CD29D0">
        <w:t>(e.g., pretests, module assessments, fluency checks)</w:t>
      </w:r>
      <w:r w:rsidR="008D0AD4" w:rsidRPr="00CD29D0">
        <w:t>. Teacher</w:t>
      </w:r>
      <w:r w:rsidR="00890735" w:rsidRPr="00CD29D0">
        <w:t>s</w:t>
      </w:r>
      <w:r w:rsidR="008D0AD4" w:rsidRPr="00CD29D0">
        <w:t xml:space="preserve"> also described using the data collected via</w:t>
      </w:r>
      <w:r w:rsidR="00A63B56" w:rsidRPr="00CD29D0">
        <w:t xml:space="preserve"> </w:t>
      </w:r>
      <w:r w:rsidR="00EC4757" w:rsidRPr="00CD29D0">
        <w:t>S</w:t>
      </w:r>
      <w:r w:rsidR="00A63B56" w:rsidRPr="00CD29D0">
        <w:t>T</w:t>
      </w:r>
      <w:r w:rsidR="00EC4757" w:rsidRPr="00CD29D0">
        <w:t xml:space="preserve"> Math</w:t>
      </w:r>
      <w:r w:rsidR="00A63B56" w:rsidRPr="00CD29D0">
        <w:t xml:space="preserve"> and </w:t>
      </w:r>
      <w:r w:rsidR="00EC4757" w:rsidRPr="00CD29D0">
        <w:t>IXL</w:t>
      </w:r>
      <w:r w:rsidRPr="00CD29D0">
        <w:t>.</w:t>
      </w:r>
      <w:r w:rsidR="005D56FD" w:rsidRPr="00CD29D0">
        <w:t xml:space="preserve"> </w:t>
      </w:r>
      <w:r w:rsidRPr="00CD29D0">
        <w:t>At the secondary level, principals and district leaders report</w:t>
      </w:r>
      <w:r w:rsidR="00B51C5A" w:rsidRPr="00CD29D0">
        <w:t>ed</w:t>
      </w:r>
      <w:r w:rsidRPr="00CD29D0">
        <w:t xml:space="preserve"> that MCAS is used for summative accountability and longitudinal trend analysis along</w:t>
      </w:r>
      <w:r w:rsidR="00B51C5A" w:rsidRPr="00CD29D0">
        <w:t xml:space="preserve"> with</w:t>
      </w:r>
      <w:r w:rsidRPr="00CD29D0">
        <w:t xml:space="preserve"> </w:t>
      </w:r>
      <w:r w:rsidR="00B51C5A" w:rsidRPr="00CD29D0">
        <w:t>Star</w:t>
      </w:r>
      <w:r w:rsidRPr="00CD29D0">
        <w:t xml:space="preserve"> and local common assessments. The</w:t>
      </w:r>
      <w:r w:rsidR="005D56FD" w:rsidRPr="00CD29D0">
        <w:t xml:space="preserve"> </w:t>
      </w:r>
      <w:r w:rsidRPr="00CD29D0">
        <w:t>Departmental Common Assessment Inventory</w:t>
      </w:r>
      <w:r w:rsidR="005D56FD" w:rsidRPr="00CD29D0">
        <w:t xml:space="preserve"> </w:t>
      </w:r>
      <w:r w:rsidRPr="00CD29D0">
        <w:t xml:space="preserve">shows that </w:t>
      </w:r>
      <w:r w:rsidR="00B51C5A" w:rsidRPr="00CD29D0">
        <w:t>Nor</w:t>
      </w:r>
      <w:r w:rsidR="008E7386" w:rsidRPr="00CD29D0">
        <w:t>t</w:t>
      </w:r>
      <w:r w:rsidR="00B51C5A" w:rsidRPr="00CD29D0">
        <w:t xml:space="preserve">on </w:t>
      </w:r>
      <w:r w:rsidRPr="00CD29D0">
        <w:t xml:space="preserve">departments have defined “common assessments” </w:t>
      </w:r>
      <w:r w:rsidR="00B51C5A" w:rsidRPr="00CD29D0">
        <w:t xml:space="preserve">that are </w:t>
      </w:r>
      <w:r w:rsidRPr="00CD29D0">
        <w:t xml:space="preserve">aligned to </w:t>
      </w:r>
      <w:r w:rsidR="005C6B59" w:rsidRPr="00CD29D0">
        <w:t>grade</w:t>
      </w:r>
      <w:r w:rsidR="00B51C5A" w:rsidRPr="00CD29D0">
        <w:t>-</w:t>
      </w:r>
      <w:r w:rsidR="005C6B59" w:rsidRPr="00CD29D0">
        <w:t>level standards</w:t>
      </w:r>
      <w:r w:rsidR="58CD2BE5">
        <w:t>.</w:t>
      </w:r>
    </w:p>
    <w:p w14:paraId="043D370E" w14:textId="379581C2" w:rsidR="009458E7" w:rsidRPr="00CD29D0" w:rsidRDefault="00260EC5" w:rsidP="00820105">
      <w:pPr>
        <w:pStyle w:val="BodyText"/>
        <w:keepNext/>
        <w:keepLines/>
      </w:pPr>
      <w:r>
        <w:lastRenderedPageBreak/>
        <w:t xml:space="preserve">Norton’s approach to assessment </w:t>
      </w:r>
      <w:r w:rsidR="009458E7">
        <w:t>reflect</w:t>
      </w:r>
      <w:r>
        <w:t>s</w:t>
      </w:r>
      <w:r w:rsidR="009458E7">
        <w:t xml:space="preserve"> a strategy of universal screening plus targeted progress monitoring.</w:t>
      </w:r>
      <w:r w:rsidR="008E7386">
        <w:t xml:space="preserve"> </w:t>
      </w:r>
      <w:r w:rsidR="009458E7" w:rsidRPr="00CD29D0">
        <w:t>Elementary teachers report</w:t>
      </w:r>
      <w:r w:rsidR="001514E4" w:rsidRPr="00CD29D0">
        <w:t>ed</w:t>
      </w:r>
      <w:r w:rsidR="009458E7" w:rsidRPr="00CD29D0">
        <w:t xml:space="preserve"> that </w:t>
      </w:r>
      <w:r w:rsidR="001514E4" w:rsidRPr="00CD29D0">
        <w:t xml:space="preserve">the timing </w:t>
      </w:r>
      <w:r w:rsidR="009458E7" w:rsidRPr="00CD29D0">
        <w:t xml:space="preserve">structure is </w:t>
      </w:r>
      <w:r w:rsidR="001514E4" w:rsidRPr="00CD29D0">
        <w:t>clear</w:t>
      </w:r>
      <w:r w:rsidR="009458E7" w:rsidRPr="00CD29D0">
        <w:t>:</w:t>
      </w:r>
      <w:r w:rsidR="008E7386" w:rsidRPr="00CD29D0">
        <w:t xml:space="preserve"> </w:t>
      </w:r>
      <w:r w:rsidR="009458E7" w:rsidRPr="00CD29D0">
        <w:t xml:space="preserve">universal </w:t>
      </w:r>
      <w:r w:rsidR="001514E4" w:rsidRPr="00CD29D0">
        <w:t xml:space="preserve">Star </w:t>
      </w:r>
      <w:r w:rsidR="009458E7" w:rsidRPr="00CD29D0">
        <w:t xml:space="preserve">screens </w:t>
      </w:r>
      <w:r w:rsidR="001514E4" w:rsidRPr="00CD29D0">
        <w:t xml:space="preserve">occur </w:t>
      </w:r>
      <w:r w:rsidR="009458E7" w:rsidRPr="00CD29D0">
        <w:t xml:space="preserve">three times a year, CBMs </w:t>
      </w:r>
      <w:r w:rsidR="001514E4" w:rsidRPr="00CD29D0">
        <w:t xml:space="preserve">are </w:t>
      </w:r>
      <w:r w:rsidR="009458E7" w:rsidRPr="00CD29D0">
        <w:t>used within</w:t>
      </w:r>
      <w:r w:rsidR="008E7386" w:rsidRPr="00CD29D0">
        <w:t xml:space="preserve"> </w:t>
      </w:r>
      <w:r w:rsidR="009458E7" w:rsidRPr="00CD29D0">
        <w:t>two-week</w:t>
      </w:r>
      <w:r w:rsidR="008E7386" w:rsidRPr="00CD29D0">
        <w:t xml:space="preserve"> </w:t>
      </w:r>
      <w:r w:rsidR="009458E7" w:rsidRPr="00CD29D0">
        <w:t>windows, and curriculum</w:t>
      </w:r>
      <w:r w:rsidR="001514E4" w:rsidRPr="00CD29D0">
        <w:t>-</w:t>
      </w:r>
      <w:r w:rsidR="009458E7" w:rsidRPr="00CD29D0">
        <w:t xml:space="preserve">embedded assessments </w:t>
      </w:r>
      <w:r w:rsidR="001514E4" w:rsidRPr="00CD29D0">
        <w:t xml:space="preserve">are </w:t>
      </w:r>
      <w:r w:rsidR="009458E7" w:rsidRPr="00CD29D0">
        <w:t>timed around report cards and conferences</w:t>
      </w:r>
      <w:r w:rsidR="001514E4" w:rsidRPr="00CD29D0">
        <w:t xml:space="preserve">, as </w:t>
      </w:r>
      <w:r w:rsidR="1F6E2CD1">
        <w:t>shown</w:t>
      </w:r>
      <w:r w:rsidR="001514E4" w:rsidRPr="00CD29D0">
        <w:t xml:space="preserve"> in Table 6</w:t>
      </w:r>
      <w:r w:rsidR="009458E7" w:rsidRPr="00CD29D0">
        <w:t>.</w:t>
      </w:r>
    </w:p>
    <w:p w14:paraId="2A0EC176" w14:textId="184DBE61" w:rsidR="00D36742" w:rsidRPr="00CD29D0" w:rsidRDefault="00D36742" w:rsidP="00820105">
      <w:pPr>
        <w:pStyle w:val="TableTitle0"/>
      </w:pPr>
      <w:r w:rsidRPr="00CD29D0">
        <w:t xml:space="preserve">Table </w:t>
      </w:r>
      <w:r w:rsidR="008400DF" w:rsidRPr="00CD29D0">
        <w:t>6</w:t>
      </w:r>
      <w:r w:rsidRPr="00CD29D0">
        <w:t xml:space="preserve">. Assessments Used in </w:t>
      </w:r>
      <w:r w:rsidR="00814AA6" w:rsidRPr="00CD29D0">
        <w:t>Norton</w:t>
      </w:r>
    </w:p>
    <w:tbl>
      <w:tblPr>
        <w:tblStyle w:val="MSVTable1"/>
        <w:tblW w:w="5000" w:type="pct"/>
        <w:tblLook w:val="04A0" w:firstRow="1" w:lastRow="0" w:firstColumn="1" w:lastColumn="0" w:noHBand="0" w:noVBand="1"/>
        <w:tblCaption w:val="Table 6. Assessments Used in Norton"/>
        <w:tblDescription w:val="Assessments Used in Norton"/>
      </w:tblPr>
      <w:tblGrid>
        <w:gridCol w:w="5486"/>
        <w:gridCol w:w="928"/>
        <w:gridCol w:w="2930"/>
      </w:tblGrid>
      <w:tr w:rsidR="00F1271E" w:rsidRPr="00CD29D0" w14:paraId="3ACCC677" w14:textId="77777777" w:rsidTr="00820105">
        <w:trPr>
          <w:cnfStyle w:val="100000000000" w:firstRow="1" w:lastRow="0" w:firstColumn="0" w:lastColumn="0" w:oddVBand="0" w:evenVBand="0" w:oddHBand="0" w:evenHBand="0" w:firstRowFirstColumn="0" w:firstRowLastColumn="0" w:lastRowFirstColumn="0" w:lastRowLastColumn="0"/>
          <w:tblHeader/>
        </w:trPr>
        <w:tc>
          <w:tcPr>
            <w:tcW w:w="5486" w:type="dxa"/>
            <w:hideMark/>
          </w:tcPr>
          <w:p w14:paraId="624ED2CB" w14:textId="0345DD03" w:rsidR="00D36742" w:rsidRPr="00CD29D0" w:rsidRDefault="00D36742" w:rsidP="00820105">
            <w:pPr>
              <w:pStyle w:val="TableColHeadingCenter"/>
            </w:pPr>
            <w:r w:rsidRPr="00CD29D0">
              <w:t>Assessment</w:t>
            </w:r>
          </w:p>
        </w:tc>
        <w:tc>
          <w:tcPr>
            <w:tcW w:w="928" w:type="dxa"/>
            <w:hideMark/>
          </w:tcPr>
          <w:p w14:paraId="04F995E2" w14:textId="2A3C702B" w:rsidR="00D36742" w:rsidRPr="00CD29D0" w:rsidRDefault="00D36742" w:rsidP="00820105">
            <w:pPr>
              <w:pStyle w:val="TableColHeadingCenter"/>
            </w:pPr>
            <w:r w:rsidRPr="00CD29D0">
              <w:t>Grade(s)</w:t>
            </w:r>
          </w:p>
        </w:tc>
        <w:tc>
          <w:tcPr>
            <w:tcW w:w="2930" w:type="dxa"/>
            <w:hideMark/>
          </w:tcPr>
          <w:p w14:paraId="75F7B44C" w14:textId="6BA7DE50" w:rsidR="00D36742" w:rsidRPr="00CD29D0" w:rsidRDefault="00D36742" w:rsidP="00820105">
            <w:pPr>
              <w:pStyle w:val="TableColHeadingCenter"/>
            </w:pPr>
            <w:r w:rsidRPr="00CD29D0">
              <w:t>Time of administration</w:t>
            </w:r>
          </w:p>
        </w:tc>
      </w:tr>
      <w:tr w:rsidR="00F1271E" w:rsidRPr="00CD29D0" w14:paraId="73E54B11" w14:textId="77777777" w:rsidTr="00820105">
        <w:trPr>
          <w:cnfStyle w:val="000000100000" w:firstRow="0" w:lastRow="0" w:firstColumn="0" w:lastColumn="0" w:oddVBand="0" w:evenVBand="0" w:oddHBand="1" w:evenHBand="0" w:firstRowFirstColumn="0" w:firstRowLastColumn="0" w:lastRowFirstColumn="0" w:lastRowLastColumn="0"/>
        </w:trPr>
        <w:tc>
          <w:tcPr>
            <w:tcW w:w="5486" w:type="dxa"/>
          </w:tcPr>
          <w:p w14:paraId="5CE68AA3" w14:textId="3F8F46C0" w:rsidR="00D36742" w:rsidRPr="00E04522" w:rsidRDefault="001514E4" w:rsidP="00820105">
            <w:pPr>
              <w:pStyle w:val="TableSubheading"/>
              <w:rPr>
                <w:rFonts w:asciiTheme="minorHAnsi" w:hAnsiTheme="minorHAnsi"/>
              </w:rPr>
            </w:pPr>
            <w:r w:rsidRPr="00E04522">
              <w:rPr>
                <w:rFonts w:asciiTheme="minorHAnsi" w:hAnsiTheme="minorHAnsi"/>
              </w:rPr>
              <w:t xml:space="preserve">Star </w:t>
            </w:r>
            <w:r w:rsidR="00EC5474" w:rsidRPr="00E04522">
              <w:rPr>
                <w:rFonts w:asciiTheme="minorHAnsi" w:hAnsiTheme="minorHAnsi"/>
              </w:rPr>
              <w:t>Early Literacy</w:t>
            </w:r>
          </w:p>
        </w:tc>
        <w:tc>
          <w:tcPr>
            <w:tcW w:w="928" w:type="dxa"/>
          </w:tcPr>
          <w:p w14:paraId="13616D07" w14:textId="72D7CC24" w:rsidR="00D36742" w:rsidRPr="00CD29D0" w:rsidRDefault="00EC5474" w:rsidP="00820105">
            <w:pPr>
              <w:pStyle w:val="TableTextCentered"/>
            </w:pPr>
            <w:r w:rsidRPr="00CD29D0">
              <w:t>K</w:t>
            </w:r>
          </w:p>
        </w:tc>
        <w:tc>
          <w:tcPr>
            <w:tcW w:w="2930" w:type="dxa"/>
          </w:tcPr>
          <w:p w14:paraId="1BA068E8" w14:textId="133B9989" w:rsidR="00D36742" w:rsidRPr="00CD29D0" w:rsidRDefault="00EC5474" w:rsidP="00820105">
            <w:pPr>
              <w:pStyle w:val="TableText"/>
            </w:pPr>
            <w:r w:rsidRPr="00CD29D0">
              <w:t>September, February, May</w:t>
            </w:r>
          </w:p>
        </w:tc>
      </w:tr>
      <w:tr w:rsidR="00F1271E" w:rsidRPr="00CD29D0" w14:paraId="5B89DCB0" w14:textId="77777777" w:rsidTr="00820105">
        <w:tc>
          <w:tcPr>
            <w:tcW w:w="5486" w:type="dxa"/>
          </w:tcPr>
          <w:p w14:paraId="3E7DD39F" w14:textId="769A0BCA" w:rsidR="00D36742" w:rsidRPr="00E04522" w:rsidRDefault="001514E4" w:rsidP="00820105">
            <w:pPr>
              <w:pStyle w:val="TableSubheading"/>
              <w:rPr>
                <w:rFonts w:asciiTheme="minorHAnsi" w:hAnsiTheme="minorHAnsi"/>
              </w:rPr>
            </w:pPr>
            <w:r w:rsidRPr="00E04522">
              <w:rPr>
                <w:rFonts w:asciiTheme="minorHAnsi" w:hAnsiTheme="minorHAnsi"/>
              </w:rPr>
              <w:t xml:space="preserve">Star </w:t>
            </w:r>
            <w:r w:rsidR="00EC5474" w:rsidRPr="00E04522">
              <w:rPr>
                <w:rFonts w:asciiTheme="minorHAnsi" w:hAnsiTheme="minorHAnsi"/>
              </w:rPr>
              <w:t>Reading</w:t>
            </w:r>
          </w:p>
        </w:tc>
        <w:tc>
          <w:tcPr>
            <w:tcW w:w="928" w:type="dxa"/>
          </w:tcPr>
          <w:p w14:paraId="7C2C4BC1" w14:textId="36532B47" w:rsidR="00D36742" w:rsidRPr="00CD29D0" w:rsidRDefault="00EC5474" w:rsidP="00820105">
            <w:pPr>
              <w:pStyle w:val="TableTextCentered"/>
            </w:pPr>
            <w:r w:rsidRPr="00CD29D0">
              <w:t>1-10</w:t>
            </w:r>
          </w:p>
        </w:tc>
        <w:tc>
          <w:tcPr>
            <w:tcW w:w="2930" w:type="dxa"/>
          </w:tcPr>
          <w:p w14:paraId="4A6338E1" w14:textId="707DCAC6" w:rsidR="00D36742" w:rsidRPr="00CD29D0" w:rsidRDefault="00EC5474" w:rsidP="00820105">
            <w:pPr>
              <w:pStyle w:val="TableText"/>
            </w:pPr>
            <w:r w:rsidRPr="00CD29D0">
              <w:t>September, February, May</w:t>
            </w:r>
          </w:p>
        </w:tc>
      </w:tr>
      <w:tr w:rsidR="001561D8" w:rsidRPr="00CD29D0" w14:paraId="73AB6E80" w14:textId="77777777" w:rsidTr="1A3BE43D">
        <w:trPr>
          <w:cnfStyle w:val="000000100000" w:firstRow="0" w:lastRow="0" w:firstColumn="0" w:lastColumn="0" w:oddVBand="0" w:evenVBand="0" w:oddHBand="1" w:evenHBand="0" w:firstRowFirstColumn="0" w:firstRowLastColumn="0" w:lastRowFirstColumn="0" w:lastRowLastColumn="0"/>
          <w:trHeight w:val="300"/>
        </w:trPr>
        <w:tc>
          <w:tcPr>
            <w:tcW w:w="5486" w:type="dxa"/>
          </w:tcPr>
          <w:p w14:paraId="63ECF942" w14:textId="16979742" w:rsidR="001561D8" w:rsidRPr="00E04522" w:rsidRDefault="001561D8" w:rsidP="00820105">
            <w:pPr>
              <w:pStyle w:val="TableSubheading"/>
              <w:rPr>
                <w:rFonts w:asciiTheme="minorHAnsi" w:eastAsiaTheme="minorEastAsia" w:hAnsiTheme="minorHAnsi"/>
              </w:rPr>
            </w:pPr>
            <w:r w:rsidRPr="1A3BE43D">
              <w:rPr>
                <w:rFonts w:asciiTheme="minorHAnsi" w:eastAsiaTheme="minorEastAsia" w:hAnsiTheme="minorHAnsi"/>
              </w:rPr>
              <w:t>Star Math</w:t>
            </w:r>
          </w:p>
        </w:tc>
        <w:tc>
          <w:tcPr>
            <w:tcW w:w="928" w:type="dxa"/>
          </w:tcPr>
          <w:p w14:paraId="15233691" w14:textId="66000EEB" w:rsidR="001561D8" w:rsidRPr="00CD29D0" w:rsidRDefault="001561D8" w:rsidP="00820105">
            <w:pPr>
              <w:pStyle w:val="TableTextCentered"/>
            </w:pPr>
            <w:r>
              <w:t>K-10</w:t>
            </w:r>
          </w:p>
        </w:tc>
        <w:tc>
          <w:tcPr>
            <w:tcW w:w="2930" w:type="dxa"/>
          </w:tcPr>
          <w:p w14:paraId="02F10723" w14:textId="105C9B64" w:rsidR="001561D8" w:rsidRPr="00CD29D0" w:rsidRDefault="032522C7" w:rsidP="00820105">
            <w:pPr>
              <w:pStyle w:val="TableText"/>
            </w:pPr>
            <w:r>
              <w:t>September, February, May</w:t>
            </w:r>
          </w:p>
        </w:tc>
      </w:tr>
      <w:tr w:rsidR="00F1271E" w:rsidRPr="00CD29D0" w14:paraId="4155D90F" w14:textId="77777777" w:rsidTr="00820105">
        <w:tc>
          <w:tcPr>
            <w:tcW w:w="5486" w:type="dxa"/>
          </w:tcPr>
          <w:p w14:paraId="52E43AAE" w14:textId="0EC32EA2" w:rsidR="00D36742" w:rsidRPr="00E04522" w:rsidRDefault="006A2A33" w:rsidP="00820105">
            <w:pPr>
              <w:pStyle w:val="TableSubheading"/>
              <w:rPr>
                <w:rFonts w:asciiTheme="minorHAnsi" w:hAnsiTheme="minorHAnsi"/>
              </w:rPr>
            </w:pPr>
            <w:r w:rsidRPr="00E04522">
              <w:rPr>
                <w:rFonts w:asciiTheme="minorHAnsi" w:eastAsiaTheme="minorHAnsi" w:hAnsiTheme="minorHAnsi"/>
              </w:rPr>
              <w:t xml:space="preserve">Star </w:t>
            </w:r>
            <w:r w:rsidR="001514E4" w:rsidRPr="00E04522">
              <w:rPr>
                <w:rFonts w:asciiTheme="minorHAnsi" w:hAnsiTheme="minorHAnsi"/>
              </w:rPr>
              <w:t>Curriculum- Based Measures</w:t>
            </w:r>
            <w:r w:rsidRPr="00E04522">
              <w:rPr>
                <w:rFonts w:asciiTheme="minorHAnsi" w:eastAsiaTheme="minorHAnsi" w:hAnsiTheme="minorHAnsi"/>
              </w:rPr>
              <w:t xml:space="preserve"> ELA and Math</w:t>
            </w:r>
          </w:p>
        </w:tc>
        <w:tc>
          <w:tcPr>
            <w:tcW w:w="928" w:type="dxa"/>
          </w:tcPr>
          <w:p w14:paraId="18AC10E3" w14:textId="1A01AF6E" w:rsidR="00D36742" w:rsidRPr="00CD29D0" w:rsidRDefault="00EE3E19" w:rsidP="00820105">
            <w:pPr>
              <w:pStyle w:val="TableTextCentered"/>
            </w:pPr>
            <w:r w:rsidRPr="00CD29D0">
              <w:t>K-5</w:t>
            </w:r>
          </w:p>
        </w:tc>
        <w:tc>
          <w:tcPr>
            <w:tcW w:w="2930" w:type="dxa"/>
          </w:tcPr>
          <w:p w14:paraId="1C10889E" w14:textId="298E9DD4" w:rsidR="00D36742" w:rsidRPr="00CD29D0" w:rsidRDefault="00EE3E19" w:rsidP="00820105">
            <w:pPr>
              <w:pStyle w:val="TableText"/>
            </w:pPr>
            <w:r w:rsidRPr="00CD29D0">
              <w:t>Targeted</w:t>
            </w:r>
          </w:p>
        </w:tc>
      </w:tr>
      <w:tr w:rsidR="00F1271E" w:rsidRPr="00CD29D0" w14:paraId="1EE52547" w14:textId="77777777" w:rsidTr="00820105">
        <w:trPr>
          <w:cnfStyle w:val="000000100000" w:firstRow="0" w:lastRow="0" w:firstColumn="0" w:lastColumn="0" w:oddVBand="0" w:evenVBand="0" w:oddHBand="1" w:evenHBand="0" w:firstRowFirstColumn="0" w:firstRowLastColumn="0" w:lastRowFirstColumn="0" w:lastRowLastColumn="0"/>
        </w:trPr>
        <w:tc>
          <w:tcPr>
            <w:tcW w:w="5486" w:type="dxa"/>
          </w:tcPr>
          <w:p w14:paraId="1574EF1E" w14:textId="70E0C634" w:rsidR="00D36742" w:rsidRPr="00E04522" w:rsidRDefault="001514E4" w:rsidP="00820105">
            <w:pPr>
              <w:pStyle w:val="TableSubheading"/>
              <w:rPr>
                <w:rFonts w:asciiTheme="minorHAnsi" w:hAnsiTheme="minorHAnsi"/>
              </w:rPr>
            </w:pPr>
            <w:r w:rsidRPr="00E04522">
              <w:rPr>
                <w:rFonts w:asciiTheme="minorHAnsi" w:hAnsiTheme="minorHAnsi"/>
              </w:rPr>
              <w:t>Curriculum- Based Measures</w:t>
            </w:r>
            <w:r w:rsidR="004B17FC" w:rsidRPr="00E04522">
              <w:rPr>
                <w:rFonts w:asciiTheme="minorHAnsi" w:hAnsiTheme="minorHAnsi"/>
              </w:rPr>
              <w:t xml:space="preserve"> ELA and Math</w:t>
            </w:r>
          </w:p>
        </w:tc>
        <w:tc>
          <w:tcPr>
            <w:tcW w:w="928" w:type="dxa"/>
          </w:tcPr>
          <w:p w14:paraId="4205FD22" w14:textId="6EEEEF8A" w:rsidR="00D36742" w:rsidRPr="00CD29D0" w:rsidRDefault="004B17FC" w:rsidP="00820105">
            <w:pPr>
              <w:pStyle w:val="TableTextCentered"/>
            </w:pPr>
            <w:r w:rsidRPr="00CD29D0">
              <w:t>K-5</w:t>
            </w:r>
          </w:p>
        </w:tc>
        <w:tc>
          <w:tcPr>
            <w:tcW w:w="2930" w:type="dxa"/>
          </w:tcPr>
          <w:p w14:paraId="7ACCD3C5" w14:textId="7A20B26C" w:rsidR="00D36742" w:rsidRPr="00CD29D0" w:rsidRDefault="004B17FC" w:rsidP="00820105">
            <w:pPr>
              <w:pStyle w:val="TableText"/>
            </w:pPr>
            <w:r w:rsidRPr="00CD29D0">
              <w:t xml:space="preserve">Every </w:t>
            </w:r>
            <w:r w:rsidR="001514E4" w:rsidRPr="00CD29D0">
              <w:t xml:space="preserve">two </w:t>
            </w:r>
            <w:r w:rsidRPr="00CD29D0">
              <w:t>weeks</w:t>
            </w:r>
          </w:p>
        </w:tc>
      </w:tr>
      <w:tr w:rsidR="00260EC5" w:rsidRPr="00CD29D0" w14:paraId="173749AC" w14:textId="77777777" w:rsidTr="1A3BE43D">
        <w:trPr>
          <w:trHeight w:val="300"/>
        </w:trPr>
        <w:tc>
          <w:tcPr>
            <w:tcW w:w="5486" w:type="dxa"/>
          </w:tcPr>
          <w:p w14:paraId="7A1284CF" w14:textId="7C056368" w:rsidR="00260EC5" w:rsidRPr="00E04522" w:rsidRDefault="00260EC5" w:rsidP="00820105">
            <w:pPr>
              <w:pStyle w:val="TableSubheading"/>
              <w:rPr>
                <w:rFonts w:asciiTheme="minorHAnsi" w:hAnsiTheme="minorHAnsi"/>
              </w:rPr>
            </w:pPr>
            <w:r>
              <w:rPr>
                <w:rFonts w:asciiTheme="minorHAnsi" w:hAnsiTheme="minorHAnsi"/>
              </w:rPr>
              <w:t>Common assessments</w:t>
            </w:r>
          </w:p>
        </w:tc>
        <w:tc>
          <w:tcPr>
            <w:tcW w:w="928" w:type="dxa"/>
          </w:tcPr>
          <w:p w14:paraId="337DE8EB" w14:textId="64938BA3" w:rsidR="00260EC5" w:rsidRPr="00CD29D0" w:rsidRDefault="00260EC5" w:rsidP="00820105">
            <w:pPr>
              <w:pStyle w:val="TableTextCentered"/>
            </w:pPr>
            <w:r>
              <w:t>9-12</w:t>
            </w:r>
          </w:p>
        </w:tc>
        <w:tc>
          <w:tcPr>
            <w:tcW w:w="2930" w:type="dxa"/>
          </w:tcPr>
          <w:p w14:paraId="005D529F" w14:textId="514CB543" w:rsidR="00260EC5" w:rsidRPr="00CD29D0" w:rsidRDefault="001561D8" w:rsidP="00820105">
            <w:pPr>
              <w:pStyle w:val="TableText"/>
            </w:pPr>
            <w:r>
              <w:t xml:space="preserve">End of </w:t>
            </w:r>
            <w:r w:rsidR="12F1EE4B">
              <w:t>each unit</w:t>
            </w:r>
          </w:p>
        </w:tc>
      </w:tr>
    </w:tbl>
    <w:p w14:paraId="333FBB57" w14:textId="4A732106" w:rsidR="004E4722" w:rsidRPr="00CD29D0" w:rsidRDefault="004E4722" w:rsidP="00CF2062">
      <w:pPr>
        <w:pStyle w:val="BodyText"/>
      </w:pPr>
      <w:r w:rsidRPr="00CD29D0">
        <w:t>District and school leaders</w:t>
      </w:r>
      <w:r w:rsidR="00505A10" w:rsidRPr="00CD29D0">
        <w:t xml:space="preserve"> </w:t>
      </w:r>
      <w:r w:rsidRPr="00CD29D0">
        <w:t>identif</w:t>
      </w:r>
      <w:r w:rsidR="00505A10" w:rsidRPr="00CD29D0">
        <w:t>ied School-Wide Information System</w:t>
      </w:r>
      <w:r w:rsidR="7A249BB1">
        <w:t xml:space="preserve"> </w:t>
      </w:r>
      <w:r w:rsidR="00505A10" w:rsidRPr="00CD29D0">
        <w:t>(</w:t>
      </w:r>
      <w:r w:rsidRPr="00CD29D0">
        <w:t>SWIS</w:t>
      </w:r>
      <w:r w:rsidR="00505A10" w:rsidRPr="00CD29D0">
        <w:t>)</w:t>
      </w:r>
      <w:r w:rsidRPr="00CD29D0">
        <w:t xml:space="preserve"> behavior data, attendance, and Panorama</w:t>
      </w:r>
      <w:r w:rsidR="00505A10" w:rsidRPr="00CD29D0">
        <w:t>-</w:t>
      </w:r>
      <w:r w:rsidRPr="00CD29D0">
        <w:t>hosted information as key components of the district’s data system. Principals describe</w:t>
      </w:r>
      <w:r w:rsidR="00505A10" w:rsidRPr="00CD29D0">
        <w:t>d</w:t>
      </w:r>
      <w:r w:rsidRPr="00CD29D0">
        <w:t xml:space="preserve"> using SWIS to analyze discipline patterns by </w:t>
      </w:r>
      <w:r w:rsidR="00505A10" w:rsidRPr="00CD29D0">
        <w:t xml:space="preserve">teacher </w:t>
      </w:r>
      <w:r w:rsidRPr="00CD29D0">
        <w:t xml:space="preserve">team, </w:t>
      </w:r>
      <w:r w:rsidR="00505A10" w:rsidRPr="00CD29D0">
        <w:t xml:space="preserve">student </w:t>
      </w:r>
      <w:r w:rsidRPr="00CD29D0">
        <w:t>gender, and type of incident at the middle school</w:t>
      </w:r>
      <w:r w:rsidR="00B54BFF" w:rsidRPr="00CD29D0">
        <w:t>. Leaders</w:t>
      </w:r>
      <w:r w:rsidRPr="00CD29D0">
        <w:t xml:space="preserve"> report</w:t>
      </w:r>
      <w:r w:rsidR="00B54BFF" w:rsidRPr="00CD29D0">
        <w:t>ed</w:t>
      </w:r>
      <w:r w:rsidRPr="00CD29D0">
        <w:t xml:space="preserve"> that all five buildings use SWIS to</w:t>
      </w:r>
      <w:r w:rsidR="00505A10" w:rsidRPr="00CD29D0">
        <w:t xml:space="preserve"> </w:t>
      </w:r>
      <w:r w:rsidRPr="00CD29D0">
        <w:t>monitor</w:t>
      </w:r>
      <w:r w:rsidR="00505A10" w:rsidRPr="00CD29D0">
        <w:t xml:space="preserve"> </w:t>
      </w:r>
      <w:r w:rsidRPr="00CD29D0">
        <w:t xml:space="preserve">behavior in support of </w:t>
      </w:r>
      <w:r w:rsidR="00265632" w:rsidRPr="00CD29D0">
        <w:t>Positive Behavioral Interventions and Supports (</w:t>
      </w:r>
      <w:r w:rsidRPr="00CD29D0">
        <w:t>PBIS</w:t>
      </w:r>
      <w:r w:rsidR="00265632" w:rsidRPr="00CD29D0">
        <w:t>)</w:t>
      </w:r>
      <w:r w:rsidRPr="00CD29D0">
        <w:t>.</w:t>
      </w:r>
      <w:r w:rsidR="00505A10" w:rsidRPr="00CD29D0">
        <w:t xml:space="preserve"> </w:t>
      </w:r>
      <w:r w:rsidR="00B54BFF" w:rsidRPr="00CD29D0">
        <w:t>Student a</w:t>
      </w:r>
      <w:r w:rsidRPr="00CD29D0">
        <w:t>ttendance</w:t>
      </w:r>
      <w:r w:rsidR="00B54BFF" w:rsidRPr="00CD29D0">
        <w:t>, particularly for chronic absenteeism,</w:t>
      </w:r>
      <w:r w:rsidRPr="00CD29D0">
        <w:t xml:space="preserve"> is tracked through PowerSchool and</w:t>
      </w:r>
      <w:r w:rsidR="00505A10" w:rsidRPr="00CD29D0">
        <w:t xml:space="preserve"> </w:t>
      </w:r>
      <w:r w:rsidRPr="00CD29D0">
        <w:t>monitored</w:t>
      </w:r>
      <w:r w:rsidR="00505A10" w:rsidRPr="00CD29D0">
        <w:t xml:space="preserve"> </w:t>
      </w:r>
      <w:r w:rsidRPr="00CD29D0">
        <w:t xml:space="preserve">in </w:t>
      </w:r>
      <w:r w:rsidR="00B54BFF" w:rsidRPr="00CD29D0">
        <w:t>student support team (</w:t>
      </w:r>
      <w:r w:rsidRPr="00CD29D0">
        <w:t>SST</w:t>
      </w:r>
      <w:r w:rsidR="00B54BFF" w:rsidRPr="00CD29D0">
        <w:t>)</w:t>
      </w:r>
      <w:r w:rsidRPr="00CD29D0">
        <w:t>/IMTSS and attendance team meetings.</w:t>
      </w:r>
      <w:r w:rsidR="00505A10" w:rsidRPr="00CD29D0">
        <w:t xml:space="preserve"> </w:t>
      </w:r>
      <w:r w:rsidRPr="00CD29D0">
        <w:t xml:space="preserve">Panorama functions as an integration platform drawing together MCAS, </w:t>
      </w:r>
      <w:r w:rsidR="00371935" w:rsidRPr="00CD29D0">
        <w:t>Star</w:t>
      </w:r>
      <w:r w:rsidRPr="00CD29D0">
        <w:t>, grades, attendance, and behavior</w:t>
      </w:r>
      <w:r w:rsidR="00B54BFF" w:rsidRPr="00CD29D0">
        <w:t>al</w:t>
      </w:r>
      <w:r w:rsidRPr="00CD29D0">
        <w:t xml:space="preserve"> data</w:t>
      </w:r>
      <w:r w:rsidR="00B54BFF" w:rsidRPr="00CD29D0">
        <w:t>. L</w:t>
      </w:r>
      <w:r w:rsidRPr="00CD29D0">
        <w:t>eaders report</w:t>
      </w:r>
      <w:r w:rsidR="00B54BFF" w:rsidRPr="00CD29D0">
        <w:t>ed</w:t>
      </w:r>
      <w:r w:rsidRPr="00CD29D0">
        <w:t xml:space="preserve"> that middle and high school staff use Panorama regularly, while elementary teachers are beginning to use it more for SST documentation and MCAS access.</w:t>
      </w:r>
      <w:r w:rsidR="001C5789" w:rsidRPr="00CD29D0">
        <w:t xml:space="preserve"> District leaders emphasize</w:t>
      </w:r>
      <w:r w:rsidR="00B54BFF" w:rsidRPr="00CD29D0">
        <w:t>d</w:t>
      </w:r>
      <w:r w:rsidR="001C5789" w:rsidRPr="00CD29D0">
        <w:t xml:space="preserve"> that IMTSS, SST, and specialized programs (e.g., language-based classrooms</w:t>
      </w:r>
      <w:r w:rsidR="002A26F5">
        <w:t xml:space="preserve"> and</w:t>
      </w:r>
      <w:r w:rsidR="001C5789" w:rsidRPr="00CD29D0">
        <w:t xml:space="preserve"> GRIT) are designed to keep students in</w:t>
      </w:r>
      <w:r w:rsidR="00B54BFF" w:rsidRPr="00CD29D0">
        <w:t xml:space="preserve"> the</w:t>
      </w:r>
      <w:r w:rsidR="001C5789" w:rsidRPr="00CD29D0">
        <w:t xml:space="preserve"> district</w:t>
      </w:r>
      <w:r w:rsidR="01116BD7" w:rsidRPr="00CD29D0">
        <w:t>,</w:t>
      </w:r>
      <w:r w:rsidR="001C5789" w:rsidRPr="00CD29D0">
        <w:t xml:space="preserve"> and that Panorama and SWIS support identification across multiple domains.</w:t>
      </w:r>
    </w:p>
    <w:p w14:paraId="29EF3CE7" w14:textId="13B223D3" w:rsidR="009458E7" w:rsidRPr="00CD29D0" w:rsidRDefault="009458E7" w:rsidP="00CF2062">
      <w:pPr>
        <w:pStyle w:val="BodyText"/>
      </w:pPr>
      <w:r w:rsidRPr="00CD29D0">
        <w:t>District leaders and principals explain</w:t>
      </w:r>
      <w:r w:rsidR="00D022E5" w:rsidRPr="00CD29D0">
        <w:t>ed</w:t>
      </w:r>
      <w:r w:rsidRPr="00CD29D0">
        <w:t xml:space="preserve"> that data review is integrated into existing collaborative structures rather than handled through separate, standalone meetings. Grade</w:t>
      </w:r>
      <w:r w:rsidR="00D022E5" w:rsidRPr="00CD29D0">
        <w:t>-</w:t>
      </w:r>
      <w:r w:rsidRPr="00CD29D0">
        <w:t>level PLCs (weekly or three times per month at elementary)</w:t>
      </w:r>
      <w:r w:rsidR="006C4FA7" w:rsidRPr="00CD29D0">
        <w:t xml:space="preserve">, </w:t>
      </w:r>
      <w:r w:rsidRPr="00CD29D0">
        <w:t>team-based</w:t>
      </w:r>
      <w:r w:rsidR="00D022E5" w:rsidRPr="00CD29D0">
        <w:t xml:space="preserve"> </w:t>
      </w:r>
      <w:r w:rsidRPr="00CD29D0">
        <w:t>PLCs at the middle school</w:t>
      </w:r>
      <w:r w:rsidR="007E0C7C" w:rsidRPr="00CD29D0">
        <w:t>, and department</w:t>
      </w:r>
      <w:r w:rsidR="006C4FA7" w:rsidRPr="00CD29D0">
        <w:t>-level</w:t>
      </w:r>
      <w:r w:rsidR="007E0C7C" w:rsidRPr="00CD29D0">
        <w:t xml:space="preserve"> and cross</w:t>
      </w:r>
      <w:r w:rsidR="006C4FA7" w:rsidRPr="00CD29D0">
        <w:t>-</w:t>
      </w:r>
      <w:r w:rsidR="007E0C7C" w:rsidRPr="00CD29D0">
        <w:t>disciplinary PLCs at the high school</w:t>
      </w:r>
      <w:r w:rsidRPr="00CD29D0">
        <w:t xml:space="preserve"> are used to review assessment data,</w:t>
      </w:r>
      <w:r w:rsidR="00D022E5" w:rsidRPr="00CD29D0">
        <w:t xml:space="preserve"> </w:t>
      </w:r>
      <w:r w:rsidRPr="00CD29D0">
        <w:t>identify</w:t>
      </w:r>
      <w:r w:rsidR="00D022E5" w:rsidRPr="00CD29D0">
        <w:t xml:space="preserve"> </w:t>
      </w:r>
      <w:r w:rsidRPr="00CD29D0">
        <w:t>students for intervention or enrichment, and adjust instruction.</w:t>
      </w:r>
      <w:r w:rsidR="00D022E5" w:rsidRPr="00CD29D0">
        <w:t xml:space="preserve"> </w:t>
      </w:r>
      <w:r w:rsidRPr="00CD29D0">
        <w:t xml:space="preserve">SST/IMTSS meetings at each school use </w:t>
      </w:r>
      <w:r w:rsidR="006C4FA7" w:rsidRPr="00CD29D0">
        <w:t>Star</w:t>
      </w:r>
      <w:r w:rsidRPr="00CD29D0">
        <w:t>, CBM, classroom assessments, attendance, and behavior</w:t>
      </w:r>
      <w:r w:rsidR="006C4FA7" w:rsidRPr="00CD29D0">
        <w:t>al</w:t>
      </w:r>
      <w:r w:rsidRPr="00CD29D0">
        <w:t xml:space="preserve"> data (via Panorama and SWIS) to make student</w:t>
      </w:r>
      <w:r w:rsidR="006C4FA7" w:rsidRPr="00CD29D0">
        <w:t>-</w:t>
      </w:r>
      <w:r w:rsidRPr="00CD29D0">
        <w:t xml:space="preserve">level decisions, with more complex cases escalating to a </w:t>
      </w:r>
      <w:r w:rsidR="00962324" w:rsidRPr="00CD29D0">
        <w:t>c</w:t>
      </w:r>
      <w:r w:rsidRPr="00CD29D0">
        <w:t xml:space="preserve">linical </w:t>
      </w:r>
      <w:r w:rsidR="00962324" w:rsidRPr="00CD29D0">
        <w:t>c</w:t>
      </w:r>
      <w:r w:rsidRPr="00CD29D0">
        <w:t xml:space="preserve">onsultation </w:t>
      </w:r>
      <w:r w:rsidR="00962324" w:rsidRPr="00CD29D0">
        <w:t>t</w:t>
      </w:r>
      <w:r w:rsidRPr="00CD29D0">
        <w:t>eam at the district level.</w:t>
      </w:r>
      <w:r w:rsidR="00D022E5" w:rsidRPr="00CD29D0">
        <w:t xml:space="preserve"> </w:t>
      </w:r>
      <w:r w:rsidRPr="00CD29D0">
        <w:t xml:space="preserve">The </w:t>
      </w:r>
      <w:r w:rsidR="003C1C44" w:rsidRPr="00CD29D0">
        <w:t>De</w:t>
      </w:r>
      <w:r w:rsidRPr="00CD29D0">
        <w:t xml:space="preserve">partmental </w:t>
      </w:r>
      <w:r w:rsidR="003C1C44" w:rsidRPr="00CD29D0">
        <w:t>C</w:t>
      </w:r>
      <w:r w:rsidRPr="00CD29D0">
        <w:t xml:space="preserve">ommon </w:t>
      </w:r>
      <w:r w:rsidR="003C1C44" w:rsidRPr="00CD29D0">
        <w:t>A</w:t>
      </w:r>
      <w:r w:rsidRPr="00CD29D0">
        <w:t xml:space="preserve">ssessment </w:t>
      </w:r>
      <w:r w:rsidR="003C1C44" w:rsidRPr="00CD29D0">
        <w:t>I</w:t>
      </w:r>
      <w:r w:rsidRPr="00CD29D0">
        <w:t>nventory shows that high school departments have developed assessment calendars and rubrics, and that data sets are expected to be organized “vertically and alphabetically by student” to align with Panorama exports</w:t>
      </w:r>
      <w:r w:rsidR="00FD0DC2" w:rsidRPr="00CD29D0">
        <w:t xml:space="preserve"> and </w:t>
      </w:r>
      <w:r w:rsidRPr="00CD29D0">
        <w:t>support department</w:t>
      </w:r>
      <w:r w:rsidR="00FD0DC2" w:rsidRPr="00CD29D0">
        <w:noBreakHyphen/>
      </w:r>
      <w:r w:rsidRPr="00CD29D0">
        <w:t>level data cycles.</w:t>
      </w:r>
      <w:r w:rsidR="00D022E5" w:rsidRPr="00CD29D0">
        <w:t xml:space="preserve"> </w:t>
      </w:r>
      <w:r w:rsidRPr="00CD29D0">
        <w:t>District teaching and learning leaders</w:t>
      </w:r>
      <w:r w:rsidR="00D022E5" w:rsidRPr="00CD29D0">
        <w:t xml:space="preserve"> </w:t>
      </w:r>
      <w:r w:rsidRPr="00CD29D0">
        <w:t>indicate</w:t>
      </w:r>
      <w:r w:rsidR="00FD0DC2" w:rsidRPr="00CD29D0">
        <w:t>d</w:t>
      </w:r>
      <w:r w:rsidR="00D022E5" w:rsidRPr="00CD29D0">
        <w:t xml:space="preserve"> </w:t>
      </w:r>
      <w:r w:rsidRPr="00CD29D0">
        <w:t xml:space="preserve">that </w:t>
      </w:r>
      <w:r w:rsidR="00FD0DC2" w:rsidRPr="00CD29D0">
        <w:t>Star</w:t>
      </w:r>
      <w:r w:rsidRPr="00CD29D0">
        <w:t>, MCAS, and common assessment data inform curriculum</w:t>
      </w:r>
      <w:r w:rsidR="004F7C38" w:rsidRPr="00CD29D0">
        <w:t>-</w:t>
      </w:r>
      <w:r w:rsidRPr="00CD29D0">
        <w:t xml:space="preserve">mapping, </w:t>
      </w:r>
      <w:r w:rsidR="00FD0DC2" w:rsidRPr="00CD29D0">
        <w:t xml:space="preserve">professional development </w:t>
      </w:r>
      <w:r w:rsidRPr="00CD29D0">
        <w:t>topics (e.g., high</w:t>
      </w:r>
      <w:r w:rsidR="00CF2062" w:rsidRPr="00CD29D0">
        <w:noBreakHyphen/>
      </w:r>
      <w:r w:rsidRPr="00CD29D0">
        <w:t>impact teacher teams, data literacy), and intervention tool</w:t>
      </w:r>
      <w:r w:rsidR="00D022E5" w:rsidRPr="00CD29D0">
        <w:t xml:space="preserve"> </w:t>
      </w:r>
      <w:r w:rsidRPr="00CD29D0">
        <w:t>selection.</w:t>
      </w:r>
      <w:r w:rsidR="00B2603F" w:rsidRPr="00CD29D0">
        <w:t xml:space="preserve"> </w:t>
      </w:r>
      <w:r w:rsidR="1FB02D24">
        <w:t xml:space="preserve">Additionally, school committee minutes show that the district presented results from Star at a recent meeting. </w:t>
      </w:r>
      <w:r w:rsidR="00443862" w:rsidRPr="00195780">
        <w:t xml:space="preserve">An </w:t>
      </w:r>
      <w:r w:rsidR="0077741D" w:rsidRPr="00195780">
        <w:t xml:space="preserve">assessment strategy that </w:t>
      </w:r>
      <w:r w:rsidR="00443862" w:rsidRPr="00195780">
        <w:t xml:space="preserve">consistently </w:t>
      </w:r>
      <w:r w:rsidR="0077741D" w:rsidRPr="00195780">
        <w:t>leverages multiple academic and nonacademic data sources to inform instructional and programmatic decisions</w:t>
      </w:r>
      <w:r w:rsidR="002624E1" w:rsidRPr="00195780">
        <w:t xml:space="preserve"> is a strength of the district</w:t>
      </w:r>
      <w:r w:rsidR="0077741D" w:rsidRPr="00195780">
        <w:t>.</w:t>
      </w:r>
    </w:p>
    <w:p w14:paraId="0E4E29B0" w14:textId="6BA84C29" w:rsidR="008E0EE8" w:rsidRPr="00CD29D0" w:rsidRDefault="00473308" w:rsidP="00CF2062">
      <w:pPr>
        <w:pStyle w:val="Heading3"/>
      </w:pPr>
      <w:bookmarkStart w:id="40" w:name="_Data_Use"/>
      <w:bookmarkStart w:id="41" w:name="_Data_Use_and"/>
      <w:bookmarkEnd w:id="40"/>
      <w:bookmarkEnd w:id="41"/>
      <w:r w:rsidRPr="00CD29D0">
        <w:lastRenderedPageBreak/>
        <w:t>Data Use</w:t>
      </w:r>
      <w:r w:rsidR="008E0EE8" w:rsidRPr="00CD29D0">
        <w:t xml:space="preserve"> and Culture</w:t>
      </w:r>
    </w:p>
    <w:p w14:paraId="6B039E2D" w14:textId="66125130" w:rsidR="002F380A" w:rsidRPr="00CD29D0" w:rsidRDefault="00D513B4" w:rsidP="00CF2062">
      <w:pPr>
        <w:pStyle w:val="BodyTextposthead"/>
      </w:pPr>
      <w:r w:rsidRPr="00CD29D0">
        <w:t>District and school staff alike describe</w:t>
      </w:r>
      <w:r w:rsidR="0018761B" w:rsidRPr="00CD29D0">
        <w:t>d</w:t>
      </w:r>
      <w:r w:rsidR="006B2188" w:rsidRPr="00CD29D0">
        <w:t xml:space="preserve"> </w:t>
      </w:r>
      <w:r w:rsidRPr="00CD29D0">
        <w:t>a consistent message that data is used to drive instructional</w:t>
      </w:r>
      <w:r w:rsidR="006B2188" w:rsidRPr="00CD29D0">
        <w:t xml:space="preserve"> </w:t>
      </w:r>
      <w:r w:rsidRPr="00CD29D0">
        <w:t>decision making</w:t>
      </w:r>
      <w:r w:rsidR="006B2188" w:rsidRPr="00CD29D0">
        <w:t xml:space="preserve"> </w:t>
      </w:r>
      <w:r w:rsidRPr="00CD29D0">
        <w:t xml:space="preserve">and support a collaborative culture centered on student needs. </w:t>
      </w:r>
      <w:r w:rsidR="0018761B" w:rsidRPr="00CD29D0">
        <w:t>P</w:t>
      </w:r>
      <w:r w:rsidRPr="00CD29D0">
        <w:t>rincipals report</w:t>
      </w:r>
      <w:r w:rsidR="0018761B" w:rsidRPr="00CD29D0">
        <w:t>ed</w:t>
      </w:r>
      <w:r w:rsidRPr="00CD29D0">
        <w:t xml:space="preserve"> that twice</w:t>
      </w:r>
      <w:r w:rsidR="0018761B" w:rsidRPr="00CD29D0">
        <w:t>-</w:t>
      </w:r>
      <w:r w:rsidRPr="00CD29D0">
        <w:t xml:space="preserve">monthly </w:t>
      </w:r>
      <w:r w:rsidR="0018761B" w:rsidRPr="00CD29D0">
        <w:t xml:space="preserve">leadership meetings </w:t>
      </w:r>
      <w:r w:rsidRPr="00CD29D0">
        <w:t>regularly address district initiatives, strategic planning, and</w:t>
      </w:r>
      <w:r w:rsidR="00C64F08" w:rsidRPr="00CD29D0">
        <w:t xml:space="preserve"> I</w:t>
      </w:r>
      <w:r w:rsidRPr="00CD29D0">
        <w:t>MTSS implementation,</w:t>
      </w:r>
      <w:r w:rsidR="0018761B" w:rsidRPr="00CD29D0">
        <w:t xml:space="preserve"> which </w:t>
      </w:r>
      <w:r w:rsidRPr="00CD29D0">
        <w:t>demonstrat</w:t>
      </w:r>
      <w:r w:rsidR="0018761B" w:rsidRPr="00CD29D0">
        <w:t>es</w:t>
      </w:r>
      <w:r w:rsidR="006B2188" w:rsidRPr="00CD29D0">
        <w:t xml:space="preserve"> </w:t>
      </w:r>
      <w:r w:rsidRPr="00CD29D0">
        <w:t>alignment between data use and district strategic priorities.</w:t>
      </w:r>
      <w:r w:rsidR="006B2188" w:rsidRPr="00CD29D0">
        <w:t xml:space="preserve"> </w:t>
      </w:r>
      <w:r w:rsidRPr="00CD29D0">
        <w:t>Teachers reinforce</w:t>
      </w:r>
      <w:r w:rsidR="0018761B" w:rsidRPr="00CD29D0">
        <w:t>d</w:t>
      </w:r>
      <w:r w:rsidRPr="00CD29D0">
        <w:t xml:space="preserve"> that classroom practices reflect a shared data vision</w:t>
      </w:r>
      <w:r w:rsidR="00B80EC2" w:rsidRPr="00CD29D0">
        <w:t xml:space="preserve"> to guide instruction</w:t>
      </w:r>
      <w:r w:rsidRPr="00CD29D0">
        <w:t xml:space="preserve">, including consistent use of formative assessments, </w:t>
      </w:r>
      <w:r w:rsidR="0018761B" w:rsidRPr="00CD29D0">
        <w:t xml:space="preserve">Star </w:t>
      </w:r>
      <w:r w:rsidRPr="00CD29D0">
        <w:t>benchmarks, CBMs, and technology-based data sources (e.g., S</w:t>
      </w:r>
      <w:r w:rsidR="008D0AD4" w:rsidRPr="00CD29D0">
        <w:t>T</w:t>
      </w:r>
      <w:r w:rsidRPr="00CD29D0">
        <w:t xml:space="preserve"> Math dashboards, IXL). Agreement is strong across stakeholder groups that data informs decision</w:t>
      </w:r>
      <w:r w:rsidR="006D2FD4" w:rsidRPr="00CD29D0">
        <w:t xml:space="preserve"> </w:t>
      </w:r>
      <w:r w:rsidRPr="00CD29D0">
        <w:t>making at all levels.</w:t>
      </w:r>
    </w:p>
    <w:p w14:paraId="7C22FA82" w14:textId="67658022" w:rsidR="00D513B4" w:rsidRPr="00CD29D0" w:rsidRDefault="00D513B4" w:rsidP="00CF2062">
      <w:pPr>
        <w:pStyle w:val="BodyText"/>
      </w:pPr>
      <w:r w:rsidRPr="00CD29D0">
        <w:t>District leaders describe</w:t>
      </w:r>
      <w:r w:rsidR="006D2FD4" w:rsidRPr="00CD29D0">
        <w:t>d</w:t>
      </w:r>
      <w:r w:rsidR="006B2188" w:rsidRPr="00CD29D0">
        <w:t xml:space="preserve"> </w:t>
      </w:r>
      <w:r w:rsidR="006D2FD4" w:rsidRPr="00CD29D0">
        <w:t xml:space="preserve">holding </w:t>
      </w:r>
      <w:r w:rsidRPr="00CD29D0">
        <w:t>regular meetings with building</w:t>
      </w:r>
      <w:r w:rsidR="006D2FD4" w:rsidRPr="00CD29D0">
        <w:t xml:space="preserve"> </w:t>
      </w:r>
      <w:r w:rsidRPr="00CD29D0">
        <w:t>principals</w:t>
      </w:r>
      <w:r w:rsidR="006D2FD4" w:rsidRPr="00CD29D0">
        <w:t xml:space="preserve"> and </w:t>
      </w:r>
      <w:r w:rsidRPr="00CD29D0">
        <w:t xml:space="preserve">using MCAS results, accountability targets, </w:t>
      </w:r>
      <w:r w:rsidR="006D2FD4" w:rsidRPr="00CD29D0">
        <w:t>Star</w:t>
      </w:r>
      <w:r w:rsidRPr="00CD29D0">
        <w:t xml:space="preserve"> benchmarks,</w:t>
      </w:r>
      <w:r w:rsidR="006D2FD4" w:rsidRPr="00CD29D0">
        <w:t xml:space="preserve"> </w:t>
      </w:r>
      <w:r w:rsidRPr="00CD29D0">
        <w:t>CBMs, and local assessments for</w:t>
      </w:r>
      <w:r w:rsidR="006D2FD4" w:rsidRPr="00CD29D0">
        <w:t xml:space="preserve"> </w:t>
      </w:r>
      <w:r w:rsidRPr="00CD29D0">
        <w:t>district</w:t>
      </w:r>
      <w:r w:rsidR="006D2FD4" w:rsidRPr="00CD29D0">
        <w:t>-</w:t>
      </w:r>
      <w:r w:rsidRPr="00CD29D0">
        <w:t>level</w:t>
      </w:r>
      <w:r w:rsidR="006B2188" w:rsidRPr="00CD29D0">
        <w:t xml:space="preserve"> </w:t>
      </w:r>
      <w:r w:rsidRPr="00CD29D0">
        <w:t>planning and monitoring.</w:t>
      </w:r>
      <w:r w:rsidR="006B2188" w:rsidRPr="00CD29D0">
        <w:t xml:space="preserve"> </w:t>
      </w:r>
      <w:r w:rsidRPr="00CD29D0">
        <w:t>School leaders confirm</w:t>
      </w:r>
      <w:r w:rsidR="006D2FD4" w:rsidRPr="00CD29D0">
        <w:t>ed</w:t>
      </w:r>
      <w:r w:rsidRPr="00CD29D0">
        <w:t xml:space="preserve"> that district leadership meetings incorporate strategic planning, IMTSS implementation, and </w:t>
      </w:r>
      <w:r w:rsidR="00962324" w:rsidRPr="00CD29D0">
        <w:t>SIPs;</w:t>
      </w:r>
      <w:r w:rsidR="006D2FD4" w:rsidRPr="00CD29D0">
        <w:t xml:space="preserve"> and include student </w:t>
      </w:r>
      <w:r w:rsidRPr="00CD29D0">
        <w:t xml:space="preserve">representatives from </w:t>
      </w:r>
      <w:r w:rsidR="006D2FD4" w:rsidRPr="00CD29D0">
        <w:t xml:space="preserve">grades </w:t>
      </w:r>
      <w:r w:rsidRPr="00CD29D0">
        <w:t>PK–12.</w:t>
      </w:r>
    </w:p>
    <w:p w14:paraId="073A2143" w14:textId="39492CE1" w:rsidR="00A45A08" w:rsidRPr="00CD29D0" w:rsidRDefault="00D513B4" w:rsidP="00CF2062">
      <w:pPr>
        <w:pStyle w:val="BodyText"/>
      </w:pPr>
      <w:r w:rsidRPr="00CD29D0">
        <w:t>School leaders and staff</w:t>
      </w:r>
      <w:r w:rsidR="006B2188" w:rsidRPr="00CD29D0">
        <w:t xml:space="preserve"> </w:t>
      </w:r>
      <w:r w:rsidRPr="00CD29D0">
        <w:t>frequently</w:t>
      </w:r>
      <w:r w:rsidR="006B2188" w:rsidRPr="00CD29D0">
        <w:t xml:space="preserve"> </w:t>
      </w:r>
      <w:r w:rsidRPr="00CD29D0">
        <w:t>reference</w:t>
      </w:r>
      <w:r w:rsidR="00C57BE9" w:rsidRPr="00CD29D0">
        <w:t>d</w:t>
      </w:r>
      <w:r w:rsidRPr="00CD29D0">
        <w:t xml:space="preserve"> reviewing disaggregated behavioral data via SWIS</w:t>
      </w:r>
      <w:r w:rsidR="00EB27B0" w:rsidRPr="00CD29D0">
        <w:t>, including during PBIS meetings,</w:t>
      </w:r>
      <w:r w:rsidRPr="00CD29D0">
        <w:t xml:space="preserve"> and using </w:t>
      </w:r>
      <w:r w:rsidR="00C57BE9" w:rsidRPr="00CD29D0">
        <w:t>Star</w:t>
      </w:r>
      <w:r w:rsidRPr="00CD29D0">
        <w:t>/CBM data to form intervention groups.</w:t>
      </w:r>
      <w:r w:rsidR="00C57BE9" w:rsidRPr="00CD29D0">
        <w:t xml:space="preserve"> </w:t>
      </w:r>
      <w:r w:rsidRPr="00CD29D0">
        <w:t>Teachers also emphasize</w:t>
      </w:r>
      <w:r w:rsidR="00C57BE9" w:rsidRPr="00CD29D0">
        <w:t>d</w:t>
      </w:r>
      <w:r w:rsidRPr="00CD29D0">
        <w:t xml:space="preserve"> analyzing curriculum</w:t>
      </w:r>
      <w:r w:rsidR="004F7C38" w:rsidRPr="00CD29D0">
        <w:t>-</w:t>
      </w:r>
      <w:r w:rsidRPr="00CD29D0">
        <w:t xml:space="preserve">pacing and assessment results within PLC structures, noting </w:t>
      </w:r>
      <w:r w:rsidR="00C57BE9" w:rsidRPr="00CD29D0">
        <w:t xml:space="preserve">they make </w:t>
      </w:r>
      <w:r w:rsidRPr="00CD29D0">
        <w:t>ongoing adjustments to instruction and intervention</w:t>
      </w:r>
      <w:r w:rsidR="00C57BE9" w:rsidRPr="00CD29D0">
        <w:t xml:space="preserve"> as needed</w:t>
      </w:r>
      <w:r w:rsidR="00A45A08" w:rsidRPr="00CD29D0">
        <w:t>.</w:t>
      </w:r>
    </w:p>
    <w:p w14:paraId="5B3B8208" w14:textId="440E1ED2" w:rsidR="00A45A08" w:rsidRPr="00CD29D0" w:rsidRDefault="00D513B4" w:rsidP="00CF2062">
      <w:pPr>
        <w:pStyle w:val="BodyText"/>
      </w:pPr>
      <w:r w:rsidRPr="00CD29D0">
        <w:t>District leaders and teachers consistently describe</w:t>
      </w:r>
      <w:r w:rsidR="00265632" w:rsidRPr="00CD29D0">
        <w:t>d</w:t>
      </w:r>
      <w:r w:rsidRPr="00CD29D0">
        <w:t xml:space="preserve"> clear distinctions between benchmark assessments (</w:t>
      </w:r>
      <w:r w:rsidR="00265632" w:rsidRPr="00CD29D0">
        <w:t>Star</w:t>
      </w:r>
      <w:r w:rsidRPr="00CD29D0">
        <w:t>), progress monitoring tools (</w:t>
      </w:r>
      <w:r w:rsidR="00265632" w:rsidRPr="00CD29D0">
        <w:t>Star</w:t>
      </w:r>
      <w:r w:rsidRPr="00CD29D0">
        <w:t xml:space="preserve"> CBM),</w:t>
      </w:r>
      <w:r w:rsidR="006B2188" w:rsidRPr="00CD29D0">
        <w:t xml:space="preserve"> </w:t>
      </w:r>
      <w:r w:rsidRPr="00CD29D0">
        <w:t>curriculum</w:t>
      </w:r>
      <w:r w:rsidR="00265632" w:rsidRPr="00CD29D0">
        <w:t>-</w:t>
      </w:r>
      <w:r w:rsidRPr="00CD29D0">
        <w:t>embedded</w:t>
      </w:r>
      <w:r w:rsidR="006B2188" w:rsidRPr="00CD29D0">
        <w:t xml:space="preserve"> </w:t>
      </w:r>
      <w:r w:rsidRPr="00CD29D0">
        <w:t>assessments (Into Reading,</w:t>
      </w:r>
      <w:r w:rsidR="006B2188" w:rsidRPr="00CD29D0">
        <w:t xml:space="preserve"> </w:t>
      </w:r>
      <w:r w:rsidRPr="00CD29D0">
        <w:t xml:space="preserve">Stepping Stones, Mystery Science), and formative checks. The </w:t>
      </w:r>
      <w:r w:rsidR="00625E4B" w:rsidRPr="00CD29D0">
        <w:t>assistant superintendent</w:t>
      </w:r>
      <w:r w:rsidRPr="00CD29D0">
        <w:t xml:space="preserve"> clarified that </w:t>
      </w:r>
      <w:r w:rsidR="00265632" w:rsidRPr="00CD29D0">
        <w:t xml:space="preserve">Star </w:t>
      </w:r>
      <w:r w:rsidRPr="00CD29D0">
        <w:t xml:space="preserve">CBMs are targeted </w:t>
      </w:r>
      <w:r w:rsidR="00625E4B" w:rsidRPr="00CD29D0">
        <w:t>at</w:t>
      </w:r>
      <w:r w:rsidRPr="00CD29D0">
        <w:t xml:space="preserve"> students below the 40th percentile, not universally administered</w:t>
      </w:r>
      <w:r w:rsidR="00625E4B" w:rsidRPr="00CD29D0">
        <w:t>.</w:t>
      </w:r>
      <w:r w:rsidRPr="00CD29D0">
        <w:t xml:space="preserve"> Teachers at multiple grade levels report</w:t>
      </w:r>
      <w:r w:rsidR="00265632" w:rsidRPr="00CD29D0">
        <w:t>ed</w:t>
      </w:r>
      <w:r w:rsidRPr="00CD29D0">
        <w:t xml:space="preserve"> using these definitions accurately when making instructional and intervention decisions.</w:t>
      </w:r>
      <w:r w:rsidR="004E63D6" w:rsidRPr="00CD29D0">
        <w:t xml:space="preserve"> </w:t>
      </w:r>
      <w:r w:rsidRPr="00CD29D0">
        <w:t xml:space="preserve">Panorama </w:t>
      </w:r>
      <w:r w:rsidR="00265632" w:rsidRPr="00CD29D0">
        <w:t>was</w:t>
      </w:r>
      <w:r w:rsidRPr="00CD29D0">
        <w:t xml:space="preserve"> described by principals and district leaders as a districtwide platform integrating academic (</w:t>
      </w:r>
      <w:r w:rsidR="00265632" w:rsidRPr="00CD29D0">
        <w:t>Star</w:t>
      </w:r>
      <w:r w:rsidRPr="00CD29D0">
        <w:t>, MCAS), behavioral (SWIS), and attendance data</w:t>
      </w:r>
      <w:r w:rsidR="00265632" w:rsidRPr="00CD29D0">
        <w:t xml:space="preserve"> that is</w:t>
      </w:r>
      <w:r w:rsidRPr="00CD29D0">
        <w:t xml:space="preserve"> accessible to staff across all buildings</w:t>
      </w:r>
      <w:r w:rsidR="00A45A08" w:rsidRPr="00CD29D0">
        <w:t>.</w:t>
      </w:r>
    </w:p>
    <w:p w14:paraId="7A6365BA" w14:textId="3C6839F0" w:rsidR="002F380A" w:rsidRPr="00CD29D0" w:rsidRDefault="00161B6C" w:rsidP="00CF2062">
      <w:pPr>
        <w:pStyle w:val="BodyText"/>
      </w:pPr>
      <w:r w:rsidRPr="00CD29D0">
        <w:t>Teachers report</w:t>
      </w:r>
      <w:r w:rsidR="00731A39" w:rsidRPr="00CD29D0">
        <w:t>ed</w:t>
      </w:r>
      <w:r w:rsidRPr="00CD29D0">
        <w:t xml:space="preserve"> using </w:t>
      </w:r>
      <w:r w:rsidR="00731A39" w:rsidRPr="00CD29D0">
        <w:t>Star</w:t>
      </w:r>
      <w:r w:rsidRPr="00CD29D0">
        <w:t>, CBM, formative assessments, IXL, and ST Math data to adjust lesson pacing, form small groups, plan interventions, and differentiate instruction. Curriculum leaders note</w:t>
      </w:r>
      <w:r w:rsidR="00731A39" w:rsidRPr="00CD29D0">
        <w:t>d</w:t>
      </w:r>
      <w:r w:rsidRPr="00CD29D0">
        <w:t xml:space="preserve"> that PLC discussions routinely integrate</w:t>
      </w:r>
      <w:r w:rsidR="00731A39" w:rsidRPr="00CD29D0">
        <w:t>d</w:t>
      </w:r>
      <w:r w:rsidRPr="00CD29D0">
        <w:t xml:space="preserve"> data with curriculum</w:t>
      </w:r>
      <w:r w:rsidR="00731A39" w:rsidRPr="00CD29D0">
        <w:t>-</w:t>
      </w:r>
      <w:r w:rsidRPr="00CD29D0">
        <w:t>pacing decisions. Middle school teachers describe</w:t>
      </w:r>
      <w:r w:rsidR="00731A39" w:rsidRPr="00CD29D0">
        <w:t>d</w:t>
      </w:r>
      <w:r w:rsidRPr="00CD29D0">
        <w:t xml:space="preserve"> using weekly team meetings to</w:t>
      </w:r>
      <w:r w:rsidR="006B2188" w:rsidRPr="00CD29D0">
        <w:t xml:space="preserve"> </w:t>
      </w:r>
      <w:r w:rsidRPr="00CD29D0">
        <w:t>modify</w:t>
      </w:r>
      <w:r w:rsidR="006B2188" w:rsidRPr="00CD29D0">
        <w:t xml:space="preserve"> </w:t>
      </w:r>
      <w:r w:rsidRPr="00CD29D0">
        <w:t>instruction based on student performance.</w:t>
      </w:r>
      <w:r w:rsidR="006B2188" w:rsidRPr="00CD29D0">
        <w:t xml:space="preserve"> </w:t>
      </w:r>
      <w:r w:rsidRPr="00CD29D0">
        <w:t xml:space="preserve">Principals </w:t>
      </w:r>
      <w:r w:rsidR="00731A39" w:rsidRPr="00CD29D0">
        <w:t xml:space="preserve">confirmed </w:t>
      </w:r>
      <w:r w:rsidRPr="00CD29D0">
        <w:t>consistent use of SWIS for behavioral data and Panorama for integrating</w:t>
      </w:r>
      <w:r w:rsidR="00731A39" w:rsidRPr="00CD29D0">
        <w:t xml:space="preserve"> related</w:t>
      </w:r>
      <w:r w:rsidRPr="00CD29D0">
        <w:t xml:space="preserve"> academics, attendance, behavior, and </w:t>
      </w:r>
      <w:r w:rsidR="00731A39" w:rsidRPr="00CD29D0">
        <w:t>social-emotional learning</w:t>
      </w:r>
      <w:r w:rsidRPr="00CD29D0">
        <w:t xml:space="preserve"> information to support SST/IMTSS referrals. Teachers </w:t>
      </w:r>
      <w:r w:rsidR="00BD2121" w:rsidRPr="00CD29D0">
        <w:t>describe</w:t>
      </w:r>
      <w:r w:rsidRPr="00CD29D0">
        <w:t xml:space="preserve"> systematically using </w:t>
      </w:r>
      <w:r w:rsidR="00731A39" w:rsidRPr="00CD29D0">
        <w:t>Star</w:t>
      </w:r>
      <w:r w:rsidRPr="00CD29D0">
        <w:t>/CBM and behavioral data to</w:t>
      </w:r>
      <w:r w:rsidR="006B2188" w:rsidRPr="00CD29D0">
        <w:t xml:space="preserve"> </w:t>
      </w:r>
      <w:r w:rsidRPr="00CD29D0">
        <w:t>identify</w:t>
      </w:r>
      <w:r w:rsidR="006B2188" w:rsidRPr="00CD29D0">
        <w:t xml:space="preserve"> </w:t>
      </w:r>
      <w:r w:rsidRPr="00CD29D0">
        <w:t xml:space="preserve">students </w:t>
      </w:r>
      <w:r w:rsidR="00731A39" w:rsidRPr="00CD29D0">
        <w:t>who need</w:t>
      </w:r>
      <w:r w:rsidRPr="00CD29D0">
        <w:t xml:space="preserve"> interventions and</w:t>
      </w:r>
      <w:r w:rsidR="006B2188" w:rsidRPr="00CD29D0">
        <w:t xml:space="preserve"> </w:t>
      </w:r>
      <w:r w:rsidR="00731A39" w:rsidRPr="00CD29D0">
        <w:t xml:space="preserve">to </w:t>
      </w:r>
      <w:r w:rsidRPr="00CD29D0">
        <w:t>monitor</w:t>
      </w:r>
      <w:r w:rsidR="006B2188" w:rsidRPr="00CD29D0">
        <w:t xml:space="preserve"> </w:t>
      </w:r>
      <w:r w:rsidRPr="00CD29D0">
        <w:t>progress.</w:t>
      </w:r>
    </w:p>
    <w:p w14:paraId="2065D794" w14:textId="04AC3478" w:rsidR="002F380A" w:rsidRPr="00195780" w:rsidRDefault="00D513B4" w:rsidP="00CF2062">
      <w:pPr>
        <w:pStyle w:val="BodyText"/>
      </w:pPr>
      <w:r w:rsidRPr="00CD29D0">
        <w:t>Teachers and leaders consistently reference</w:t>
      </w:r>
      <w:r w:rsidR="00F43826" w:rsidRPr="00CD29D0">
        <w:t>d</w:t>
      </w:r>
      <w:r w:rsidRPr="00CD29D0">
        <w:t xml:space="preserve"> frequent PLC meetings (</w:t>
      </w:r>
      <w:r w:rsidR="00F43826" w:rsidRPr="00CD29D0">
        <w:t xml:space="preserve">i.e., </w:t>
      </w:r>
      <w:r w:rsidRPr="00CD29D0">
        <w:t>weekly or three times per month at</w:t>
      </w:r>
      <w:r w:rsidR="00CC5320">
        <w:t xml:space="preserve"> the</w:t>
      </w:r>
      <w:r w:rsidRPr="00CD29D0">
        <w:t xml:space="preserve"> elementary</w:t>
      </w:r>
      <w:r w:rsidR="00CC5320">
        <w:t xml:space="preserve"> level</w:t>
      </w:r>
      <w:r w:rsidRPr="00CD29D0">
        <w:t>; daily rotating PLC blocks at</w:t>
      </w:r>
      <w:r w:rsidR="005A3270">
        <w:t xml:space="preserve"> the</w:t>
      </w:r>
      <w:r w:rsidRPr="00CD29D0">
        <w:t xml:space="preserve"> high school; </w:t>
      </w:r>
      <w:r w:rsidR="005A3270">
        <w:t xml:space="preserve">and </w:t>
      </w:r>
      <w:r w:rsidRPr="00CD29D0">
        <w:t xml:space="preserve">weekly team-based PLCs in middle school) </w:t>
      </w:r>
      <w:r w:rsidR="00F43826" w:rsidRPr="00CD29D0">
        <w:t xml:space="preserve">during which </w:t>
      </w:r>
      <w:r w:rsidRPr="00CD29D0">
        <w:t>data analysis is a routine part of</w:t>
      </w:r>
      <w:r w:rsidR="006B2188" w:rsidRPr="00CD29D0">
        <w:t xml:space="preserve"> </w:t>
      </w:r>
      <w:r w:rsidRPr="00CD29D0">
        <w:t>collaboration.</w:t>
      </w:r>
      <w:r w:rsidR="006B2188" w:rsidRPr="00CD29D0">
        <w:t xml:space="preserve"> </w:t>
      </w:r>
      <w:r w:rsidRPr="00CD29D0">
        <w:t>District-provided professional development</w:t>
      </w:r>
      <w:r w:rsidR="0001539B" w:rsidRPr="00CD29D0">
        <w:t xml:space="preserve">, </w:t>
      </w:r>
      <w:r w:rsidRPr="00CD29D0">
        <w:t>including High</w:t>
      </w:r>
      <w:r w:rsidR="00383364" w:rsidRPr="00CD29D0">
        <w:t>-</w:t>
      </w:r>
      <w:r w:rsidRPr="00CD29D0">
        <w:t xml:space="preserve">Impact Teacher Teams </w:t>
      </w:r>
      <w:r w:rsidR="00E72FCD" w:rsidRPr="00CD29D0">
        <w:t xml:space="preserve">from </w:t>
      </w:r>
      <w:r w:rsidR="005B1C44" w:rsidRPr="00CD29D0">
        <w:t>RBT</w:t>
      </w:r>
      <w:r w:rsidRPr="00CD29D0">
        <w:t>, EL</w:t>
      </w:r>
      <w:r w:rsidR="00CF2062" w:rsidRPr="00CD29D0">
        <w:noBreakHyphen/>
      </w:r>
      <w:r w:rsidRPr="00CD29D0">
        <w:t>focused workshops, and curriculum</w:t>
      </w:r>
      <w:r w:rsidR="00F43826" w:rsidRPr="00CD29D0">
        <w:t>-</w:t>
      </w:r>
      <w:r w:rsidRPr="00CD29D0">
        <w:t>mapping</w:t>
      </w:r>
      <w:r w:rsidR="006B2188" w:rsidRPr="00CD29D0">
        <w:t xml:space="preserve"> </w:t>
      </w:r>
      <w:r w:rsidRPr="00CD29D0">
        <w:t>training</w:t>
      </w:r>
      <w:r w:rsidR="00385EFE" w:rsidRPr="00CD29D0">
        <w:t xml:space="preserve">, </w:t>
      </w:r>
      <w:r w:rsidRPr="00CD29D0">
        <w:t>was explicitly designed to strengthen data literacy and application.</w:t>
      </w:r>
      <w:r w:rsidR="006B2188" w:rsidRPr="00CD29D0">
        <w:t xml:space="preserve"> </w:t>
      </w:r>
      <w:r w:rsidR="00F43826" w:rsidRPr="00CD29D0">
        <w:t>T</w:t>
      </w:r>
      <w:r w:rsidRPr="00CD29D0">
        <w:t>eachers report</w:t>
      </w:r>
      <w:r w:rsidR="00F43826" w:rsidRPr="00CD29D0">
        <w:t>ed</w:t>
      </w:r>
      <w:r w:rsidRPr="00CD29D0">
        <w:t xml:space="preserve"> that </w:t>
      </w:r>
      <w:r w:rsidR="00F43826" w:rsidRPr="00CD29D0">
        <w:t>professional development</w:t>
      </w:r>
      <w:r w:rsidRPr="00CD29D0">
        <w:t xml:space="preserve"> has become increasingly responsive to staff needs and includes dedicated time </w:t>
      </w:r>
      <w:r w:rsidR="0001539B" w:rsidRPr="00CD29D0">
        <w:t xml:space="preserve">to train staff on how to </w:t>
      </w:r>
      <w:r w:rsidR="00924BC3" w:rsidRPr="00CD29D0">
        <w:t>reflect on and use data in their classrooms</w:t>
      </w:r>
      <w:r w:rsidRPr="00CD29D0">
        <w:t>.</w:t>
      </w:r>
      <w:r w:rsidR="00F43826" w:rsidRPr="00CD29D0">
        <w:t xml:space="preserve"> </w:t>
      </w:r>
      <w:r w:rsidRPr="00CD29D0">
        <w:lastRenderedPageBreak/>
        <w:t>Clear evidence shows that all schools provide structured, recurring time for data review</w:t>
      </w:r>
      <w:r w:rsidR="00281EBD" w:rsidRPr="00CD29D0">
        <w:t xml:space="preserve">. </w:t>
      </w:r>
      <w:r w:rsidRPr="00CD29D0">
        <w:t xml:space="preserve">The </w:t>
      </w:r>
      <w:r w:rsidR="00281EBD" w:rsidRPr="00CD29D0">
        <w:t xml:space="preserve">assistant superintendent </w:t>
      </w:r>
      <w:r w:rsidRPr="00CD29D0">
        <w:t xml:space="preserve">reported that a recent </w:t>
      </w:r>
      <w:r w:rsidR="00F43826" w:rsidRPr="00CD29D0">
        <w:t>professional development</w:t>
      </w:r>
      <w:r w:rsidRPr="00CD29D0">
        <w:t xml:space="preserve"> </w:t>
      </w:r>
      <w:r w:rsidR="00281EBD" w:rsidRPr="00CD29D0">
        <w:t>day</w:t>
      </w:r>
      <w:r w:rsidRPr="00CD29D0">
        <w:t xml:space="preserve"> was entirely </w:t>
      </w:r>
      <w:r w:rsidR="00F43826" w:rsidRPr="00CD29D0">
        <w:t xml:space="preserve">devoted </w:t>
      </w:r>
      <w:r w:rsidRPr="00CD29D0">
        <w:t>to data meetings</w:t>
      </w:r>
      <w:r w:rsidR="00F43826" w:rsidRPr="00CD29D0">
        <w:t>,</w:t>
      </w:r>
      <w:r w:rsidRPr="00CD29D0">
        <w:t xml:space="preserve"> in which all staff</w:t>
      </w:r>
      <w:r w:rsidR="00F43826" w:rsidRPr="00CD29D0">
        <w:t xml:space="preserve"> </w:t>
      </w:r>
      <w:r w:rsidRPr="00CD29D0">
        <w:t>participated</w:t>
      </w:r>
      <w:r w:rsidR="00F43826" w:rsidRPr="00CD29D0">
        <w:t xml:space="preserve"> by</w:t>
      </w:r>
      <w:r w:rsidRPr="00CD29D0">
        <w:t xml:space="preserve"> reviewing assessment results and forming intervention groups. Principals confirm</w:t>
      </w:r>
      <w:r w:rsidR="00F43826" w:rsidRPr="00CD29D0">
        <w:t>ed that there are</w:t>
      </w:r>
      <w:r w:rsidRPr="00CD29D0">
        <w:t xml:space="preserve"> consistent weekly PLCs across elementary </w:t>
      </w:r>
      <w:r w:rsidRPr="00195780">
        <w:t>schools and daily PLC blocks at the high school.</w:t>
      </w:r>
      <w:r w:rsidR="00F43826" w:rsidRPr="00195780">
        <w:t xml:space="preserve"> </w:t>
      </w:r>
      <w:r w:rsidR="00443862" w:rsidRPr="00195780">
        <w:t>Providing dedicated t</w:t>
      </w:r>
      <w:r w:rsidR="00281EBD" w:rsidRPr="00195780">
        <w:t>ime</w:t>
      </w:r>
      <w:r w:rsidR="00281EBD" w:rsidRPr="00195780" w:rsidDel="00443862">
        <w:t xml:space="preserve"> </w:t>
      </w:r>
      <w:r w:rsidR="00281EBD" w:rsidRPr="00195780">
        <w:t xml:space="preserve">for </w:t>
      </w:r>
      <w:r w:rsidR="00AC4285" w:rsidRPr="00195780">
        <w:t>building</w:t>
      </w:r>
      <w:r w:rsidR="00CF2062" w:rsidRPr="00195780">
        <w:noBreakHyphen/>
      </w:r>
      <w:r w:rsidR="00AC4285" w:rsidRPr="00195780">
        <w:t xml:space="preserve">level staff to analyze and use student data to </w:t>
      </w:r>
      <w:r w:rsidR="00C348B0" w:rsidRPr="00195780">
        <w:t xml:space="preserve">target academic </w:t>
      </w:r>
      <w:r w:rsidR="00CC1983" w:rsidRPr="00195780">
        <w:t>needs</w:t>
      </w:r>
      <w:r w:rsidR="00443862" w:rsidRPr="00195780">
        <w:t>, along with training to support data use,</w:t>
      </w:r>
      <w:r w:rsidR="00CC1983" w:rsidRPr="00195780">
        <w:t xml:space="preserve"> is a strength</w:t>
      </w:r>
      <w:r w:rsidR="00F43826" w:rsidRPr="00195780">
        <w:t xml:space="preserve"> of the district</w:t>
      </w:r>
      <w:r w:rsidR="00CC1983" w:rsidRPr="00195780">
        <w:t>.</w:t>
      </w:r>
    </w:p>
    <w:p w14:paraId="7250EEAD" w14:textId="50C7718E" w:rsidR="1A3BE43D" w:rsidRPr="00195780" w:rsidRDefault="72B52AF4" w:rsidP="1A3BE43D">
      <w:pPr>
        <w:pStyle w:val="BodyText"/>
      </w:pPr>
      <w:bookmarkStart w:id="42" w:name="_Sharing_Results"/>
      <w:bookmarkStart w:id="43" w:name="_Sharing_Data"/>
      <w:bookmarkEnd w:id="42"/>
      <w:bookmarkEnd w:id="43"/>
      <w:r w:rsidRPr="00195780">
        <w:t>Despite these strengths,</w:t>
      </w:r>
      <w:r w:rsidR="2E0ECE64" w:rsidRPr="00195780">
        <w:t xml:space="preserve"> l</w:t>
      </w:r>
      <w:r w:rsidRPr="00195780">
        <w:t>eaders also acknowledge that they may be collecting “too much data” without using it effectively</w:t>
      </w:r>
      <w:r w:rsidR="10F73F7B" w:rsidRPr="00195780">
        <w:t>. District leaders agree that</w:t>
      </w:r>
      <w:r w:rsidR="0E7F49AE" w:rsidRPr="00195780">
        <w:t xml:space="preserve"> </w:t>
      </w:r>
      <w:r w:rsidRPr="00195780">
        <w:t xml:space="preserve">data </w:t>
      </w:r>
      <w:bookmarkStart w:id="44" w:name="_Int_3c8UJ2J1"/>
      <w:r w:rsidRPr="00195780">
        <w:t>are</w:t>
      </w:r>
      <w:bookmarkEnd w:id="44"/>
      <w:r w:rsidRPr="00195780">
        <w:t xml:space="preserve"> spread across multiple platforms, making it difficult to access and synthesize information. Additionally, gaps remain in disaggregating data to address equity issues, supporting English learners within assessment practices, and ensuring consistent grading and assessment expectations across classrooms.</w:t>
      </w:r>
      <w:r w:rsidR="1AB5CB62" w:rsidRPr="00195780">
        <w:t xml:space="preserve"> The district recognizes that it does not yet consistently disaggregate data to identify and address achievement gaps among key student groups (e.g., students with disabilities, English learners, low-income students). At the same time, </w:t>
      </w:r>
      <w:r w:rsidR="4F393C53" w:rsidRPr="00195780">
        <w:t xml:space="preserve">leaders explain that </w:t>
      </w:r>
      <w:r w:rsidR="1AB5CB62" w:rsidRPr="00195780">
        <w:t xml:space="preserve">supports for English learners are still developing, and WIDA standards are not yet fully integrated into curriculum or assessment systems. </w:t>
      </w:r>
      <w:r w:rsidR="00F121CC">
        <w:t>Establishing</w:t>
      </w:r>
      <w:r w:rsidR="00F121CC" w:rsidRPr="00195780">
        <w:t xml:space="preserve"> </w:t>
      </w:r>
      <w:r w:rsidR="2D729CF8" w:rsidRPr="00195780">
        <w:t>norms at the district level related to disaggregation of assessment data</w:t>
      </w:r>
      <w:r w:rsidR="3A30B111" w:rsidRPr="00195780">
        <w:t>, specifically for English Learners, is an area for growth.</w:t>
      </w:r>
    </w:p>
    <w:p w14:paraId="1136DCC5" w14:textId="4541D009" w:rsidR="00473308" w:rsidRPr="00CD29D0" w:rsidRDefault="00473308" w:rsidP="00CF2062">
      <w:pPr>
        <w:pStyle w:val="Heading3"/>
      </w:pPr>
      <w:r w:rsidRPr="00CD29D0">
        <w:t xml:space="preserve">Sharing </w:t>
      </w:r>
      <w:r w:rsidR="008E0EE8" w:rsidRPr="00CD29D0">
        <w:t>Data</w:t>
      </w:r>
    </w:p>
    <w:p w14:paraId="62776B3F" w14:textId="7B331092" w:rsidR="00A45A08" w:rsidRPr="00CD29D0" w:rsidRDefault="00225348" w:rsidP="00CF2062">
      <w:pPr>
        <w:pStyle w:val="BodyTextposthead"/>
      </w:pPr>
      <w:r w:rsidRPr="00CD29D0">
        <w:t>School staff confirm</w:t>
      </w:r>
      <w:r w:rsidR="00F43826" w:rsidRPr="00CD29D0">
        <w:t>ed</w:t>
      </w:r>
      <w:r w:rsidRPr="00CD29D0">
        <w:t xml:space="preserve"> that</w:t>
      </w:r>
      <w:r w:rsidR="00F43826" w:rsidRPr="00CD29D0">
        <w:t xml:space="preserve"> </w:t>
      </w:r>
      <w:r w:rsidRPr="00CD29D0">
        <w:t>students regularly interact with their own data in math and ELA. Teachers describe</w:t>
      </w:r>
      <w:r w:rsidR="00F43826" w:rsidRPr="00CD29D0">
        <w:t>d</w:t>
      </w:r>
      <w:r w:rsidRPr="00CD29D0">
        <w:t xml:space="preserve"> systematic use of S</w:t>
      </w:r>
      <w:r w:rsidR="003A34D3" w:rsidRPr="00CD29D0">
        <w:t>T</w:t>
      </w:r>
      <w:r w:rsidRPr="00CD29D0">
        <w:t xml:space="preserve"> Math, </w:t>
      </w:r>
      <w:r w:rsidR="00F43826" w:rsidRPr="00CD29D0">
        <w:t xml:space="preserve">in which </w:t>
      </w:r>
      <w:r w:rsidRPr="00CD29D0">
        <w:t>students monitor weekly “puzzle goals” (target of 60</w:t>
      </w:r>
      <w:r w:rsidR="00CF2062" w:rsidRPr="00CD29D0">
        <w:t> </w:t>
      </w:r>
      <w:r w:rsidRPr="00CD29D0">
        <w:t>puzzles per week) and journey</w:t>
      </w:r>
      <w:r w:rsidR="00F43826" w:rsidRPr="00CD29D0">
        <w:t xml:space="preserve"> </w:t>
      </w:r>
      <w:r w:rsidRPr="00CD29D0">
        <w:t>progress benchmarks displayed on dashboards</w:t>
      </w:r>
      <w:r w:rsidR="00F43826" w:rsidRPr="00CD29D0">
        <w:t>. S</w:t>
      </w:r>
      <w:r w:rsidRPr="00CD29D0">
        <w:t xml:space="preserve">tudents are expected to check whether they are “keeping up with Gigi” (the program character) and </w:t>
      </w:r>
      <w:r w:rsidR="00F43826" w:rsidRPr="00CD29D0">
        <w:t xml:space="preserve">to </w:t>
      </w:r>
      <w:r w:rsidRPr="00CD29D0">
        <w:t>identify if they need to catch up</w:t>
      </w:r>
      <w:r w:rsidR="00F43826" w:rsidRPr="00CD29D0">
        <w:t>;</w:t>
      </w:r>
      <w:r w:rsidRPr="00CD29D0">
        <w:t xml:space="preserve"> teachers use </w:t>
      </w:r>
      <w:r w:rsidR="00F43826" w:rsidRPr="00CD29D0">
        <w:t>this data to</w:t>
      </w:r>
      <w:r w:rsidRPr="00CD29D0">
        <w:t xml:space="preserve"> identify </w:t>
      </w:r>
      <w:r w:rsidR="00F43826" w:rsidRPr="00CD29D0">
        <w:t xml:space="preserve">students who </w:t>
      </w:r>
      <w:r w:rsidRPr="00CD29D0">
        <w:t xml:space="preserve">need support. </w:t>
      </w:r>
      <w:r w:rsidR="00F43826" w:rsidRPr="00CD29D0">
        <w:t>T</w:t>
      </w:r>
      <w:r w:rsidRPr="00CD29D0">
        <w:t xml:space="preserve">eachers </w:t>
      </w:r>
      <w:r w:rsidR="00F43826" w:rsidRPr="00CD29D0">
        <w:t xml:space="preserve">also </w:t>
      </w:r>
      <w:r w:rsidRPr="00CD29D0">
        <w:t>report</w:t>
      </w:r>
      <w:r w:rsidR="00F43826" w:rsidRPr="00CD29D0">
        <w:t>ed</w:t>
      </w:r>
      <w:r w:rsidRPr="00CD29D0">
        <w:t xml:space="preserve"> frequent</w:t>
      </w:r>
      <w:r w:rsidR="00F43826" w:rsidRPr="00CD29D0">
        <w:t>ly</w:t>
      </w:r>
      <w:r w:rsidRPr="00CD29D0">
        <w:t xml:space="preserve"> us</w:t>
      </w:r>
      <w:r w:rsidR="00F43826" w:rsidRPr="00CD29D0">
        <w:t>ing</w:t>
      </w:r>
      <w:r w:rsidRPr="00CD29D0">
        <w:t xml:space="preserve"> formative assessment</w:t>
      </w:r>
      <w:r w:rsidR="00F43826" w:rsidRPr="00CD29D0">
        <w:t>s</w:t>
      </w:r>
      <w:r w:rsidRPr="00CD29D0">
        <w:t xml:space="preserve"> throughout the day (e.g., quick inventories, weekly checks from </w:t>
      </w:r>
      <w:r w:rsidR="00F43826" w:rsidRPr="00CD29D0">
        <w:t xml:space="preserve">HMH </w:t>
      </w:r>
      <w:r w:rsidRPr="00CD29D0">
        <w:t>Into Reading, observation</w:t>
      </w:r>
      <w:r w:rsidR="00F43826" w:rsidRPr="00CD29D0">
        <w:t>s</w:t>
      </w:r>
      <w:r w:rsidRPr="00CD29D0">
        <w:t xml:space="preserve"> of S</w:t>
      </w:r>
      <w:r w:rsidR="003A34D3" w:rsidRPr="00CD29D0">
        <w:t>T</w:t>
      </w:r>
      <w:r w:rsidRPr="00CD29D0">
        <w:t xml:space="preserve"> Math and IXL data) and note</w:t>
      </w:r>
      <w:r w:rsidR="00F43826" w:rsidRPr="00CD29D0">
        <w:t>d</w:t>
      </w:r>
      <w:r w:rsidRPr="00CD29D0">
        <w:t xml:space="preserve"> that students are involved in understanding their own progress toward these goals</w:t>
      </w:r>
      <w:r w:rsidR="00A45A08" w:rsidRPr="00CD29D0">
        <w:t>.</w:t>
      </w:r>
    </w:p>
    <w:p w14:paraId="7B163CB1" w14:textId="08071549" w:rsidR="00A45A08" w:rsidRPr="00CD29D0" w:rsidRDefault="00AD0F64" w:rsidP="00CF2062">
      <w:pPr>
        <w:pStyle w:val="BodyText"/>
      </w:pPr>
      <w:r w:rsidRPr="00CD29D0">
        <w:t>Elementary staff explain</w:t>
      </w:r>
      <w:r w:rsidR="00F43826" w:rsidRPr="00CD29D0">
        <w:t>ed</w:t>
      </w:r>
      <w:r w:rsidRPr="00CD29D0">
        <w:t xml:space="preserve"> that </w:t>
      </w:r>
      <w:r w:rsidR="00225348" w:rsidRPr="00CD29D0">
        <w:t>schools hold an open house at the beginning of the</w:t>
      </w:r>
      <w:r w:rsidR="00F43826" w:rsidRPr="00CD29D0">
        <w:t xml:space="preserve"> school</w:t>
      </w:r>
      <w:r w:rsidR="00225348" w:rsidRPr="00CD29D0">
        <w:t xml:space="preserve"> year and </w:t>
      </w:r>
      <w:r w:rsidR="00F43826" w:rsidRPr="00CD29D0">
        <w:t xml:space="preserve">then </w:t>
      </w:r>
      <w:r w:rsidR="0021356C" w:rsidRPr="00CD29D0">
        <w:t>throughout the year</w:t>
      </w:r>
      <w:r w:rsidR="00F43826" w:rsidRPr="00CD29D0">
        <w:t>. T</w:t>
      </w:r>
      <w:r w:rsidR="0021356C" w:rsidRPr="00CD29D0">
        <w:t>here are</w:t>
      </w:r>
      <w:r w:rsidR="00F43826" w:rsidRPr="00CD29D0">
        <w:t xml:space="preserve"> also</w:t>
      </w:r>
      <w:r w:rsidR="0021356C" w:rsidRPr="00CD29D0">
        <w:t xml:space="preserve"> </w:t>
      </w:r>
      <w:r w:rsidR="00225348" w:rsidRPr="00CD29D0">
        <w:t>two scheduled parent</w:t>
      </w:r>
      <w:r w:rsidR="00216FD2" w:rsidRPr="00CD29D0">
        <w:t xml:space="preserve"> </w:t>
      </w:r>
      <w:r w:rsidR="00225348" w:rsidRPr="00CD29D0">
        <w:t>teacher conference windows</w:t>
      </w:r>
      <w:r w:rsidR="00F43826" w:rsidRPr="00CD29D0">
        <w:t>. T</w:t>
      </w:r>
      <w:r w:rsidR="00225348" w:rsidRPr="00CD29D0">
        <w:t>eachers report</w:t>
      </w:r>
      <w:r w:rsidR="00F43826" w:rsidRPr="00CD29D0">
        <w:t>ed</w:t>
      </w:r>
      <w:r w:rsidR="00225348" w:rsidRPr="00CD29D0">
        <w:t xml:space="preserve"> that parents attend these conferences at high rates. Teachers also describe</w:t>
      </w:r>
      <w:r w:rsidR="00F43826" w:rsidRPr="00CD29D0">
        <w:t>d</w:t>
      </w:r>
      <w:r w:rsidR="00225348" w:rsidRPr="00CD29D0">
        <w:t xml:space="preserve"> frequent informal communication using</w:t>
      </w:r>
      <w:r w:rsidR="00F43826" w:rsidRPr="00CD29D0">
        <w:t xml:space="preserve"> </w:t>
      </w:r>
      <w:r w:rsidR="00225348" w:rsidRPr="00CD29D0">
        <w:t>ParentSquare</w:t>
      </w:r>
      <w:r w:rsidR="00F43826" w:rsidRPr="00CD29D0">
        <w:t xml:space="preserve"> </w:t>
      </w:r>
      <w:r w:rsidR="00225348" w:rsidRPr="00CD29D0">
        <w:t>(which can send emails or text messages), email, and phone calls</w:t>
      </w:r>
      <w:r w:rsidR="000658D8" w:rsidRPr="00CD29D0">
        <w:t>. One teacher noted</w:t>
      </w:r>
      <w:r w:rsidR="00225348" w:rsidRPr="00CD29D0">
        <w:t xml:space="preserve"> that communication occurs “constantly” </w:t>
      </w:r>
      <w:r w:rsidR="001B5D9B" w:rsidRPr="00CD29D0">
        <w:t>to communicate both successes and challenges.</w:t>
      </w:r>
      <w:r w:rsidR="00225348" w:rsidRPr="00CD29D0">
        <w:t xml:space="preserve"> In addition, </w:t>
      </w:r>
      <w:r w:rsidR="000658D8" w:rsidRPr="00CD29D0">
        <w:t xml:space="preserve">a </w:t>
      </w:r>
      <w:r w:rsidR="00225348" w:rsidRPr="00CD29D0">
        <w:t>teacher mention</w:t>
      </w:r>
      <w:r w:rsidR="000658D8" w:rsidRPr="00CD29D0">
        <w:t>ed</w:t>
      </w:r>
      <w:r w:rsidR="00225348" w:rsidRPr="00CD29D0">
        <w:t xml:space="preserve"> “good</w:t>
      </w:r>
      <w:r w:rsidR="000658D8" w:rsidRPr="00CD29D0">
        <w:t>-</w:t>
      </w:r>
      <w:r w:rsidR="00225348" w:rsidRPr="00CD29D0">
        <w:t>news phone calls</w:t>
      </w:r>
      <w:r w:rsidR="000658D8" w:rsidRPr="00CD29D0">
        <w:t>,</w:t>
      </w:r>
      <w:r w:rsidR="00225348" w:rsidRPr="00CD29D0">
        <w:t xml:space="preserve">” </w:t>
      </w:r>
      <w:r w:rsidR="000658D8" w:rsidRPr="00CD29D0">
        <w:t xml:space="preserve">which are </w:t>
      </w:r>
      <w:r w:rsidR="00225348" w:rsidRPr="00CD29D0">
        <w:t xml:space="preserve">made by classroom teachers </w:t>
      </w:r>
      <w:r w:rsidR="000658D8" w:rsidRPr="00CD29D0">
        <w:t xml:space="preserve">or </w:t>
      </w:r>
      <w:r w:rsidR="00225348" w:rsidRPr="00CD29D0">
        <w:t>principals, sometimes with the child present</w:t>
      </w:r>
      <w:r w:rsidR="000658D8" w:rsidRPr="00CD29D0">
        <w:t>. P</w:t>
      </w:r>
      <w:r w:rsidR="00225348" w:rsidRPr="00CD29D0">
        <w:t xml:space="preserve">rincipals </w:t>
      </w:r>
      <w:r w:rsidR="000658D8" w:rsidRPr="00CD29D0">
        <w:t xml:space="preserve">use the </w:t>
      </w:r>
      <w:r w:rsidR="00225348" w:rsidRPr="00CD29D0">
        <w:t>school</w:t>
      </w:r>
      <w:r w:rsidR="000658D8" w:rsidRPr="00CD29D0">
        <w:t>s’</w:t>
      </w:r>
      <w:r w:rsidR="00225348" w:rsidRPr="00CD29D0">
        <w:t xml:space="preserve"> Instagram accounts to highlight positive events and student succes</w:t>
      </w:r>
      <w:r w:rsidR="00D71349" w:rsidRPr="00CD29D0">
        <w:t>s</w:t>
      </w:r>
      <w:r w:rsidR="00A45A08" w:rsidRPr="00CD29D0">
        <w:t>.</w:t>
      </w:r>
    </w:p>
    <w:p w14:paraId="51F1358D" w14:textId="036C6C40" w:rsidR="0021356C" w:rsidRPr="00CD29D0" w:rsidRDefault="00225348" w:rsidP="00CF2062">
      <w:pPr>
        <w:pStyle w:val="BodyText"/>
      </w:pPr>
      <w:r w:rsidRPr="00CD29D0">
        <w:t>Teachers describe</w:t>
      </w:r>
      <w:r w:rsidR="00D22525" w:rsidRPr="00CD29D0">
        <w:t>d the</w:t>
      </w:r>
      <w:r w:rsidRPr="00CD29D0">
        <w:t xml:space="preserve"> multiple ways </w:t>
      </w:r>
      <w:r w:rsidR="00D22525" w:rsidRPr="00CD29D0">
        <w:t xml:space="preserve">in which </w:t>
      </w:r>
      <w:r w:rsidRPr="00CD29D0">
        <w:t>they respond to family concerns (e.g., replying to messages about a child</w:t>
      </w:r>
      <w:r w:rsidR="00D22525" w:rsidRPr="00CD29D0">
        <w:t>’</w:t>
      </w:r>
      <w:r w:rsidRPr="00CD29D0">
        <w:t>s transition back to school</w:t>
      </w:r>
      <w:r w:rsidR="00D22525" w:rsidRPr="00CD29D0">
        <w:t xml:space="preserve">, </w:t>
      </w:r>
      <w:r w:rsidRPr="00CD29D0">
        <w:t>providing reassurance about behavior) and</w:t>
      </w:r>
      <w:r w:rsidR="00FC1A81" w:rsidRPr="00CD29D0">
        <w:t xml:space="preserve"> </w:t>
      </w:r>
      <w:r w:rsidRPr="00CD29D0">
        <w:t>indicate</w:t>
      </w:r>
      <w:r w:rsidR="00D22525" w:rsidRPr="00CD29D0">
        <w:t>d</w:t>
      </w:r>
      <w:r w:rsidR="00FC1A81" w:rsidRPr="00CD29D0">
        <w:t xml:space="preserve"> </w:t>
      </w:r>
      <w:r w:rsidRPr="00CD29D0">
        <w:t xml:space="preserve">that </w:t>
      </w:r>
      <w:r w:rsidR="00D22525" w:rsidRPr="00CD29D0">
        <w:t xml:space="preserve">they </w:t>
      </w:r>
      <w:r w:rsidRPr="00CD29D0">
        <w:t xml:space="preserve">choose </w:t>
      </w:r>
      <w:r w:rsidR="00D22525" w:rsidRPr="00CD29D0">
        <w:t xml:space="preserve">the </w:t>
      </w:r>
      <w:r w:rsidRPr="00CD29D0">
        <w:t>communication mode (phone, email,</w:t>
      </w:r>
      <w:r w:rsidR="003D59A5" w:rsidRPr="00CD29D0">
        <w:t xml:space="preserve"> </w:t>
      </w:r>
      <w:r w:rsidRPr="00CD29D0">
        <w:t>ParentSquare) based on context and parent preference. Families report</w:t>
      </w:r>
      <w:r w:rsidR="00D22525" w:rsidRPr="00CD29D0">
        <w:t>ed</w:t>
      </w:r>
      <w:r w:rsidRPr="00CD29D0">
        <w:t xml:space="preserve"> that teachers and schools are</w:t>
      </w:r>
      <w:r w:rsidR="00D22525" w:rsidRPr="00CD29D0">
        <w:t xml:space="preserve"> </w:t>
      </w:r>
      <w:r w:rsidRPr="00CD29D0">
        <w:t xml:space="preserve">generally responsive; one parent </w:t>
      </w:r>
      <w:r w:rsidR="00D23541" w:rsidRPr="00CD29D0">
        <w:t>appreciated the</w:t>
      </w:r>
      <w:r w:rsidRPr="00CD29D0">
        <w:t xml:space="preserve"> “proactive outreach” and ongoing communication from special education staff and classroom teachers</w:t>
      </w:r>
      <w:r w:rsidR="00D23541" w:rsidRPr="00CD29D0">
        <w:t xml:space="preserve"> to set up a 504 plan for </w:t>
      </w:r>
      <w:r w:rsidR="00D22525" w:rsidRPr="00CD29D0">
        <w:t xml:space="preserve">their </w:t>
      </w:r>
      <w:r w:rsidR="00D23541" w:rsidRPr="00CD29D0">
        <w:t>student</w:t>
      </w:r>
      <w:r w:rsidRPr="00CD29D0">
        <w:t xml:space="preserve">. </w:t>
      </w:r>
      <w:r w:rsidR="00D22525" w:rsidRPr="00CD29D0">
        <w:t>E</w:t>
      </w:r>
      <w:r w:rsidRPr="00CD29D0">
        <w:t>lementary teachers</w:t>
      </w:r>
      <w:r w:rsidR="00FC1A81" w:rsidRPr="00CD29D0">
        <w:t xml:space="preserve"> </w:t>
      </w:r>
      <w:r w:rsidRPr="00CD29D0">
        <w:t>state</w:t>
      </w:r>
      <w:r w:rsidR="00D22525" w:rsidRPr="00CD29D0">
        <w:t>d</w:t>
      </w:r>
      <w:r w:rsidR="00FC1A81" w:rsidRPr="00CD29D0">
        <w:t xml:space="preserve"> </w:t>
      </w:r>
      <w:r w:rsidRPr="00CD29D0">
        <w:t xml:space="preserve">that </w:t>
      </w:r>
      <w:r w:rsidR="00D22525" w:rsidRPr="00CD29D0">
        <w:lastRenderedPageBreak/>
        <w:t xml:space="preserve">Star </w:t>
      </w:r>
      <w:r w:rsidRPr="00CD29D0">
        <w:t xml:space="preserve">generates a family report that is sent home with report cards, </w:t>
      </w:r>
      <w:r w:rsidR="00D22525" w:rsidRPr="00CD29D0">
        <w:t xml:space="preserve">which </w:t>
      </w:r>
      <w:r w:rsidRPr="00CD29D0">
        <w:t>provid</w:t>
      </w:r>
      <w:r w:rsidR="00D22525" w:rsidRPr="00CD29D0">
        <w:t>es</w:t>
      </w:r>
      <w:r w:rsidRPr="00CD29D0">
        <w:t xml:space="preserve"> standardized assessment information directly to </w:t>
      </w:r>
      <w:r w:rsidR="00D22525" w:rsidRPr="00CD29D0">
        <w:t>parents</w:t>
      </w:r>
      <w:r w:rsidRPr="00CD29D0">
        <w:t>.</w:t>
      </w:r>
      <w:r w:rsidR="003D59A5" w:rsidRPr="00CD29D0">
        <w:t xml:space="preserve"> </w:t>
      </w:r>
      <w:r w:rsidR="00A70631" w:rsidRPr="00195780">
        <w:t>Schools provid</w:t>
      </w:r>
      <w:r w:rsidR="00D22525" w:rsidRPr="00195780">
        <w:t>ed</w:t>
      </w:r>
      <w:r w:rsidR="00A70631" w:rsidRPr="00195780">
        <w:t xml:space="preserve"> many opportunities for families to receive updates on how their child is progressing</w:t>
      </w:r>
      <w:r w:rsidR="00D22525" w:rsidRPr="00195780">
        <w:t>, which</w:t>
      </w:r>
      <w:r w:rsidR="00A70631" w:rsidRPr="00195780">
        <w:t xml:space="preserve"> is a strength</w:t>
      </w:r>
      <w:r w:rsidR="00D22525" w:rsidRPr="00195780">
        <w:t xml:space="preserve"> of the district</w:t>
      </w:r>
      <w:r w:rsidR="00A70631" w:rsidRPr="00195780">
        <w:t>.</w:t>
      </w:r>
    </w:p>
    <w:p w14:paraId="2024B181" w14:textId="3D899C53" w:rsidR="00225348" w:rsidRPr="00CD29D0" w:rsidRDefault="00225348" w:rsidP="00CF2062">
      <w:pPr>
        <w:pStyle w:val="BodyText"/>
      </w:pPr>
      <w:r w:rsidRPr="00CD29D0">
        <w:t>At</w:t>
      </w:r>
      <w:r w:rsidR="00100F4A" w:rsidRPr="00CD29D0">
        <w:t xml:space="preserve"> </w:t>
      </w:r>
      <w:r w:rsidRPr="00CD29D0">
        <w:t>the elementary level, teachers report</w:t>
      </w:r>
      <w:r w:rsidR="00100F4A" w:rsidRPr="00CD29D0">
        <w:t>ed</w:t>
      </w:r>
      <w:r w:rsidRPr="00CD29D0">
        <w:t xml:space="preserve"> that the district uses</w:t>
      </w:r>
      <w:r w:rsidR="00100F4A" w:rsidRPr="00CD29D0">
        <w:t xml:space="preserve"> </w:t>
      </w:r>
      <w:r w:rsidRPr="00CD29D0">
        <w:t>standards-based</w:t>
      </w:r>
      <w:r w:rsidR="00100F4A" w:rsidRPr="00CD29D0">
        <w:t xml:space="preserve"> </w:t>
      </w:r>
      <w:r w:rsidRPr="00CD29D0">
        <w:t>report cards</w:t>
      </w:r>
      <w:r w:rsidR="00100F4A" w:rsidRPr="00CD29D0">
        <w:t>;</w:t>
      </w:r>
      <w:r w:rsidRPr="00CD29D0">
        <w:t xml:space="preserve"> </w:t>
      </w:r>
      <w:r w:rsidR="00100F4A" w:rsidRPr="00CD29D0">
        <w:t xml:space="preserve">they </w:t>
      </w:r>
      <w:r w:rsidRPr="00CD29D0">
        <w:t>note</w:t>
      </w:r>
      <w:r w:rsidR="00100F4A" w:rsidRPr="00CD29D0">
        <w:t>d</w:t>
      </w:r>
      <w:r w:rsidRPr="00CD29D0">
        <w:t xml:space="preserve"> that</w:t>
      </w:r>
      <w:r w:rsidR="00100F4A" w:rsidRPr="00CD29D0">
        <w:t>, while</w:t>
      </w:r>
      <w:r w:rsidRPr="00CD29D0">
        <w:t xml:space="preserve"> these have been in place for several years</w:t>
      </w:r>
      <w:r w:rsidR="00100F4A" w:rsidRPr="00CD29D0">
        <w:t>,</w:t>
      </w:r>
      <w:r w:rsidRPr="00CD29D0">
        <w:t xml:space="preserve"> </w:t>
      </w:r>
      <w:r w:rsidR="00100F4A" w:rsidRPr="00CD29D0">
        <w:t>the report cards</w:t>
      </w:r>
      <w:r w:rsidRPr="00CD29D0">
        <w:t xml:space="preserve"> were recently revamped. Teachers emphasize</w:t>
      </w:r>
      <w:r w:rsidR="00FF235D" w:rsidRPr="00CD29D0">
        <w:t>d</w:t>
      </w:r>
      <w:r w:rsidRPr="00CD29D0">
        <w:t xml:space="preserve"> that grading is based on </w:t>
      </w:r>
      <w:r w:rsidR="00FF235D" w:rsidRPr="00CD29D0">
        <w:t xml:space="preserve">each </w:t>
      </w:r>
      <w:r w:rsidRPr="00CD29D0">
        <w:t>student</w:t>
      </w:r>
      <w:r w:rsidR="00FF235D" w:rsidRPr="00CD29D0">
        <w:t>’</w:t>
      </w:r>
      <w:r w:rsidRPr="00CD29D0">
        <w:t>s current level of mastery</w:t>
      </w:r>
      <w:r w:rsidR="00FF235D" w:rsidRPr="00CD29D0">
        <w:t>, or as one teach</w:t>
      </w:r>
      <w:r w:rsidR="00110644">
        <w:t>er</w:t>
      </w:r>
      <w:r w:rsidR="00FF235D" w:rsidRPr="00CD29D0">
        <w:t xml:space="preserve"> said,</w:t>
      </w:r>
      <w:r w:rsidRPr="00CD29D0">
        <w:t xml:space="preserve"> “assessing them where they’re at in that moment</w:t>
      </w:r>
      <w:r w:rsidR="00FF235D" w:rsidRPr="00CD29D0">
        <w:t>,</w:t>
      </w:r>
      <w:r w:rsidRPr="00CD29D0">
        <w:t>” rather than averaging assignment scores</w:t>
      </w:r>
      <w:r w:rsidR="00FF235D" w:rsidRPr="00CD29D0">
        <w:t xml:space="preserve">. </w:t>
      </w:r>
      <w:r w:rsidR="00F9668D" w:rsidRPr="00CD29D0">
        <w:t>One teacher noted that t</w:t>
      </w:r>
      <w:r w:rsidR="00FF235D" w:rsidRPr="00CD29D0">
        <w:t>he</w:t>
      </w:r>
      <w:r w:rsidRPr="00CD29D0">
        <w:t xml:space="preserve"> data from district assessments (e.g., </w:t>
      </w:r>
      <w:r w:rsidR="00FF235D" w:rsidRPr="00CD29D0">
        <w:t>Star</w:t>
      </w:r>
      <w:r w:rsidRPr="00CD29D0">
        <w:t>,</w:t>
      </w:r>
      <w:r w:rsidR="00FF235D" w:rsidRPr="00CD29D0">
        <w:t xml:space="preserve"> </w:t>
      </w:r>
      <w:r w:rsidRPr="00CD29D0">
        <w:t>curriculum</w:t>
      </w:r>
      <w:r w:rsidR="004F7C38" w:rsidRPr="00CD29D0">
        <w:t>-</w:t>
      </w:r>
      <w:r w:rsidRPr="00CD29D0">
        <w:t>embedded</w:t>
      </w:r>
      <w:r w:rsidR="00100F4A" w:rsidRPr="00CD29D0">
        <w:t xml:space="preserve"> </w:t>
      </w:r>
      <w:r w:rsidRPr="00CD29D0">
        <w:t>assessments) support and “back up everything that we do on a reporting mechanism like a report card.” Curriculum leaders also describe</w:t>
      </w:r>
      <w:r w:rsidR="003555C3" w:rsidRPr="00CD29D0">
        <w:t>d</w:t>
      </w:r>
      <w:r w:rsidRPr="00CD29D0">
        <w:t xml:space="preserve"> close coordination across elementary schools</w:t>
      </w:r>
      <w:r w:rsidR="003555C3" w:rsidRPr="00CD29D0">
        <w:t xml:space="preserve"> in </w:t>
      </w:r>
      <w:r w:rsidRPr="00CD29D0">
        <w:t>reviewing assessments and expectations together—sometimes even outside school hours—to ensure consistency in how standards are assessed and reported per grade level.</w:t>
      </w:r>
    </w:p>
    <w:p w14:paraId="1C71AEE7" w14:textId="012320A3" w:rsidR="00EA33AE" w:rsidRPr="00CD29D0" w:rsidRDefault="00225348" w:rsidP="00CF2062">
      <w:pPr>
        <w:pStyle w:val="BodyText"/>
      </w:pPr>
      <w:r w:rsidRPr="00CD29D0">
        <w:t>Family focus group participants corroborate</w:t>
      </w:r>
      <w:r w:rsidR="00935D27" w:rsidRPr="00CD29D0">
        <w:t>d</w:t>
      </w:r>
      <w:r w:rsidRPr="00CD29D0">
        <w:t xml:space="preserve"> this at the classroom level. One </w:t>
      </w:r>
      <w:r w:rsidR="00CE58BA" w:rsidRPr="00CD29D0">
        <w:t xml:space="preserve">parent </w:t>
      </w:r>
      <w:r w:rsidRPr="00CD29D0">
        <w:t>explain</w:t>
      </w:r>
      <w:r w:rsidR="00935D27" w:rsidRPr="00CD29D0">
        <w:t>ed</w:t>
      </w:r>
      <w:r w:rsidRPr="00CD29D0">
        <w:t xml:space="preserve"> that grading is focused on competency rather than numerical scores</w:t>
      </w:r>
      <w:r w:rsidR="00935D27" w:rsidRPr="00CD29D0">
        <w:t>,</w:t>
      </w:r>
      <w:r w:rsidRPr="00CD29D0">
        <w:t xml:space="preserve"> and that parent</w:t>
      </w:r>
      <w:r w:rsidR="00216FD2" w:rsidRPr="00CD29D0">
        <w:t xml:space="preserve"> </w:t>
      </w:r>
      <w:r w:rsidRPr="00CD29D0">
        <w:t>teacher conferences emphasize understanding of standards instead of raw grades</w:t>
      </w:r>
      <w:r w:rsidR="00935D27" w:rsidRPr="00CD29D0">
        <w:t>. Parents</w:t>
      </w:r>
      <w:r w:rsidRPr="00CD29D0">
        <w:t xml:space="preserve"> report</w:t>
      </w:r>
      <w:r w:rsidR="00935D27" w:rsidRPr="00CD29D0">
        <w:t>ed</w:t>
      </w:r>
      <w:r w:rsidRPr="00CD29D0">
        <w:t xml:space="preserve"> </w:t>
      </w:r>
      <w:r w:rsidR="00935D27" w:rsidRPr="00CD29D0">
        <w:t xml:space="preserve">that </w:t>
      </w:r>
      <w:r w:rsidRPr="00CD29D0">
        <w:t xml:space="preserve">grading philosophy </w:t>
      </w:r>
      <w:r w:rsidR="00935D27" w:rsidRPr="00CD29D0">
        <w:t xml:space="preserve">is </w:t>
      </w:r>
      <w:r w:rsidRPr="00CD29D0">
        <w:t>consistent across grade levels</w:t>
      </w:r>
      <w:r w:rsidR="00935D27" w:rsidRPr="00CD29D0">
        <w:t xml:space="preserve">. </w:t>
      </w:r>
      <w:r w:rsidRPr="00CD29D0">
        <w:t>At the secondary level, the high school principal confirm</w:t>
      </w:r>
      <w:r w:rsidR="00935D27" w:rsidRPr="00CD29D0">
        <w:t>ed</w:t>
      </w:r>
      <w:r w:rsidRPr="00CD29D0">
        <w:t xml:space="preserve"> that PowerSchool is used as the student information system</w:t>
      </w:r>
      <w:r w:rsidR="00935D27" w:rsidRPr="00CD29D0">
        <w:t>,</w:t>
      </w:r>
      <w:r w:rsidRPr="00CD29D0">
        <w:t xml:space="preserve"> and that “students and parents have access” to grades and attendance through the platform. </w:t>
      </w:r>
      <w:r w:rsidR="00935D27" w:rsidRPr="00CD29D0">
        <w:t>F</w:t>
      </w:r>
      <w:r w:rsidRPr="00CD29D0">
        <w:t>amilies confirm</w:t>
      </w:r>
      <w:r w:rsidR="00935D27" w:rsidRPr="00CD29D0">
        <w:t>ed</w:t>
      </w:r>
      <w:r w:rsidRPr="00CD29D0">
        <w:t xml:space="preserve"> that they can see</w:t>
      </w:r>
      <w:r w:rsidR="00935D27" w:rsidRPr="00CD29D0">
        <w:t xml:space="preserve"> their students’</w:t>
      </w:r>
      <w:r w:rsidRPr="00CD29D0">
        <w:t xml:space="preserve"> grades and </w:t>
      </w:r>
      <w:r w:rsidR="00935D27" w:rsidRPr="00CD29D0">
        <w:t xml:space="preserve">any </w:t>
      </w:r>
      <w:r w:rsidRPr="00CD29D0">
        <w:t>missing work</w:t>
      </w:r>
      <w:r w:rsidR="00935D27" w:rsidRPr="00CD29D0">
        <w:t>,</w:t>
      </w:r>
      <w:r w:rsidRPr="00CD29D0">
        <w:t xml:space="preserve"> either through PowerSchool or combined use of Google Classroom and PowerSchool</w:t>
      </w:r>
      <w:r w:rsidR="00935D27" w:rsidRPr="00CD29D0">
        <w:t>. This</w:t>
      </w:r>
      <w:r w:rsidRPr="00CD29D0">
        <w:t xml:space="preserve"> access allows </w:t>
      </w:r>
      <w:r w:rsidR="00F47441" w:rsidRPr="00CD29D0">
        <w:t xml:space="preserve">a </w:t>
      </w:r>
      <w:r w:rsidR="00935D27" w:rsidRPr="00CD29D0">
        <w:t>famil</w:t>
      </w:r>
      <w:r w:rsidR="00F47441" w:rsidRPr="00CD29D0">
        <w:t>y</w:t>
      </w:r>
      <w:r w:rsidR="00935D27" w:rsidRPr="00CD29D0">
        <w:t xml:space="preserve"> </w:t>
      </w:r>
      <w:r w:rsidRPr="00CD29D0">
        <w:t>to</w:t>
      </w:r>
      <w:r w:rsidR="00935D27" w:rsidRPr="00CD29D0">
        <w:t xml:space="preserve"> </w:t>
      </w:r>
      <w:r w:rsidRPr="00CD29D0">
        <w:t>monitor</w:t>
      </w:r>
      <w:r w:rsidR="00935D27" w:rsidRPr="00CD29D0">
        <w:t xml:space="preserve"> their own child’s </w:t>
      </w:r>
      <w:r w:rsidRPr="00CD29D0">
        <w:t>progress and</w:t>
      </w:r>
      <w:r w:rsidR="00935D27" w:rsidRPr="00CD29D0">
        <w:t xml:space="preserve"> </w:t>
      </w:r>
      <w:r w:rsidRPr="00CD29D0">
        <w:t>identify</w:t>
      </w:r>
      <w:r w:rsidR="00935D27" w:rsidRPr="00CD29D0">
        <w:t xml:space="preserve"> </w:t>
      </w:r>
      <w:r w:rsidR="00F47441" w:rsidRPr="00CD29D0">
        <w:t xml:space="preserve">any </w:t>
      </w:r>
      <w:r w:rsidRPr="00CD29D0">
        <w:t>issues.</w:t>
      </w:r>
      <w:r w:rsidR="00AF1289" w:rsidRPr="00CD29D0">
        <w:t xml:space="preserve"> Students, however, reported that inconsistent grade-entry practices in PowerSchool and Google Classroom can cause confusion, and stress, when families see zeros or missing scores that are not updated promptly.</w:t>
      </w:r>
    </w:p>
    <w:p w14:paraId="567B90CC" w14:textId="3BA7B84D" w:rsidR="6610A74E" w:rsidRDefault="6610A74E" w:rsidP="1A3BE43D">
      <w:pPr>
        <w:pStyle w:val="BodyText"/>
      </w:pPr>
      <w:r>
        <w:t xml:space="preserve">While the elementary school relies on standards based report cards, the middle and high school use traditional grading systems. According to district leaders, this can sometimes creates a disconnect in how student performance is communicated and understood across the system. Even within grade levels, grading practices lead heavily on individual or team-level calibration rather than districtwide expectations. Although teachers do work in PLCs to align grading and use common assessments, leaders acknowledge that consistency depends on local collaboration rather than a unified framework, which can lead to variability in how similar student work is evaluated. Additionally. the district faces challenges in aligning grading practices with assessment and instructional priorities. While there is strong movement toward evidence-based curriculum and assessment systems, grading practices appear less tightly integrated with these shifts. The reliance on teacher discretion creates variability in how student performance is interpreted. Although there have been some efforts (e.g., book studies on grading, PLC discussions, and revision of report cards at the elementary level), these efforts are still emerging and not yet part of a cohesive, districtwide strategy. As a result, grading may not consistently reflect mastery of standards or align with the district’s broader goals around equitable and meaningful assessment. </w:t>
      </w:r>
      <w:r w:rsidRPr="00195780">
        <w:t xml:space="preserve">The </w:t>
      </w:r>
      <w:r w:rsidR="00650473">
        <w:t xml:space="preserve">lack of </w:t>
      </w:r>
      <w:r w:rsidRPr="00195780">
        <w:t xml:space="preserve">coherence and consistency </w:t>
      </w:r>
      <w:r w:rsidR="00650473">
        <w:t>in</w:t>
      </w:r>
      <w:r w:rsidR="00650473" w:rsidRPr="00195780">
        <w:t xml:space="preserve"> </w:t>
      </w:r>
      <w:r w:rsidRPr="00195780">
        <w:t>grading practices at the middle and high school levels is an area for growth in Norton.</w:t>
      </w:r>
    </w:p>
    <w:p w14:paraId="18115117" w14:textId="164C2B45" w:rsidR="002B4CEF" w:rsidRPr="00CD29D0" w:rsidRDefault="002B4CEF" w:rsidP="00CF2062">
      <w:pPr>
        <w:pStyle w:val="Heading3"/>
      </w:pPr>
      <w:r w:rsidRPr="00CD29D0">
        <w:lastRenderedPageBreak/>
        <w:t>Recommendations</w:t>
      </w:r>
    </w:p>
    <w:p w14:paraId="6B609048" w14:textId="2C562676" w:rsidR="002B4CEF" w:rsidRPr="00651C25" w:rsidRDefault="003459AB" w:rsidP="00CF2062">
      <w:pPr>
        <w:pStyle w:val="Bullet1"/>
        <w:rPr>
          <w:i/>
          <w:iCs/>
        </w:rPr>
      </w:pPr>
      <w:r w:rsidRPr="00651C25">
        <w:rPr>
          <w:i/>
          <w:iCs/>
        </w:rPr>
        <w:t xml:space="preserve">The district should develop a system for data review </w:t>
      </w:r>
      <w:r w:rsidR="00AD3340" w:rsidRPr="00651C25">
        <w:rPr>
          <w:i/>
          <w:iCs/>
        </w:rPr>
        <w:t xml:space="preserve">that includes norms around consistently disaggregating data to monitor the progress of specific student groups, particularly English Learners. </w:t>
      </w:r>
    </w:p>
    <w:p w14:paraId="77817F66" w14:textId="212204AD" w:rsidR="002D6FDD" w:rsidRPr="00651C25" w:rsidRDefault="002D6FDD" w:rsidP="00CF2062">
      <w:pPr>
        <w:pStyle w:val="Bullet1"/>
        <w:rPr>
          <w:i/>
          <w:iCs/>
        </w:rPr>
      </w:pPr>
      <w:r w:rsidRPr="00651C25">
        <w:rPr>
          <w:i/>
          <w:iCs/>
        </w:rPr>
        <w:t>The district should develop a comprehensive strategy for</w:t>
      </w:r>
      <w:r w:rsidR="00E32476" w:rsidRPr="00651C25">
        <w:rPr>
          <w:i/>
          <w:iCs/>
        </w:rPr>
        <w:t xml:space="preserve"> establishing consistent grading practices at the middle and high school level that align with </w:t>
      </w:r>
      <w:r w:rsidR="00206AE2" w:rsidRPr="00651C25">
        <w:rPr>
          <w:i/>
          <w:iCs/>
        </w:rPr>
        <w:t xml:space="preserve">the district’s broader goals around equitable and meaningful assessment. </w:t>
      </w:r>
    </w:p>
    <w:p w14:paraId="109F7EF0" w14:textId="4BEEA06C" w:rsidR="000604FE" w:rsidRPr="00CD29D0" w:rsidRDefault="000604FE" w:rsidP="00CF2062">
      <w:pPr>
        <w:pStyle w:val="BodyText"/>
      </w:pPr>
      <w:bookmarkStart w:id="45" w:name="_Human_Resources_and"/>
      <w:bookmarkStart w:id="46" w:name="_Toc101446230"/>
      <w:bookmarkEnd w:id="45"/>
      <w:r w:rsidRPr="00CD29D0">
        <w:rPr>
          <w:bCs/>
        </w:rPr>
        <w:br w:type="page"/>
      </w:r>
    </w:p>
    <w:p w14:paraId="0B4FDEA8" w14:textId="77777777" w:rsidR="008D6102" w:rsidRPr="00CD29D0" w:rsidRDefault="008D6102" w:rsidP="00CF2062">
      <w:pPr>
        <w:pStyle w:val="Heading2"/>
      </w:pPr>
      <w:bookmarkStart w:id="47" w:name="_Toc227589895"/>
      <w:r w:rsidRPr="00CD29D0">
        <w:lastRenderedPageBreak/>
        <w:t>Human Resources and Professional Development</w:t>
      </w:r>
      <w:bookmarkEnd w:id="46"/>
      <w:bookmarkEnd w:id="47"/>
    </w:p>
    <w:p w14:paraId="4B6AABB6" w14:textId="4CD517AC" w:rsidR="00F751ED" w:rsidRPr="00CD29D0" w:rsidRDefault="00F751ED" w:rsidP="00CF2062">
      <w:pPr>
        <w:pStyle w:val="BodyTextposthead"/>
      </w:pPr>
      <w:r w:rsidRPr="00CD29D0">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rsidRPr="00CD29D0">
        <w:t xml:space="preserve">the district </w:t>
      </w:r>
      <w:r w:rsidR="002A2B60" w:rsidRPr="00CD29D0">
        <w:t xml:space="preserve">uses to </w:t>
      </w:r>
      <w:r w:rsidRPr="00CD29D0">
        <w:t>provide all educators with ongoing access to high-quality professional learning and actionable feedback, and establishes a culture that fosters collaboration, retention, recognition, and advancement.</w:t>
      </w:r>
    </w:p>
    <w:p w14:paraId="7136409B" w14:textId="6C66D464" w:rsidR="002C6E1C" w:rsidRPr="00CD29D0" w:rsidRDefault="002C6E1C" w:rsidP="00CF2062">
      <w:pPr>
        <w:pStyle w:val="BodyText"/>
        <w:rPr>
          <w:highlight w:val="green"/>
        </w:rPr>
      </w:pPr>
      <w:r w:rsidRPr="00CD29D0">
        <w:t xml:space="preserve">Table </w:t>
      </w:r>
      <w:r w:rsidR="00AB2DAC" w:rsidRPr="00CD29D0">
        <w:t xml:space="preserve">7 </w:t>
      </w:r>
      <w:r w:rsidRPr="00CD29D0">
        <w:t>summarizes key strengths and areas for growth in human resources</w:t>
      </w:r>
      <w:r w:rsidR="00AB2DAC" w:rsidRPr="00CD29D0">
        <w:t xml:space="preserve"> (HR)</w:t>
      </w:r>
      <w:r w:rsidRPr="00CD29D0">
        <w:t xml:space="preserve"> and professional development</w:t>
      </w:r>
      <w:r w:rsidR="00250663" w:rsidRPr="00CD29D0">
        <w:t xml:space="preserve"> in </w:t>
      </w:r>
      <w:r w:rsidR="00814AA6" w:rsidRPr="00CD29D0">
        <w:t>Norton</w:t>
      </w:r>
      <w:r w:rsidRPr="00CD29D0">
        <w:t>.</w:t>
      </w:r>
    </w:p>
    <w:p w14:paraId="2BF170C5" w14:textId="3FEF010E" w:rsidR="00795B63" w:rsidRPr="00CD29D0" w:rsidRDefault="00795B63" w:rsidP="00CF2062">
      <w:pPr>
        <w:pStyle w:val="TableTitle0"/>
      </w:pPr>
      <w:r w:rsidRPr="00CD29D0">
        <w:t xml:space="preserve">Table </w:t>
      </w:r>
      <w:r w:rsidR="00AB2DAC" w:rsidRPr="00CD29D0">
        <w:t>7</w:t>
      </w:r>
      <w:r w:rsidRPr="00CD29D0">
        <w:t xml:space="preserve">. Summary of Key Strengths and Areas for Growth: </w:t>
      </w:r>
      <w:r w:rsidR="004C7FAA" w:rsidRPr="00CD29D0">
        <w:t xml:space="preserve">Human Resources and Professional Development </w:t>
      </w:r>
      <w:r w:rsidRPr="00CD29D0">
        <w:t>Standard</w:t>
      </w:r>
    </w:p>
    <w:tbl>
      <w:tblPr>
        <w:tblStyle w:val="MSVTable1"/>
        <w:tblW w:w="5000" w:type="pct"/>
        <w:tblLook w:val="04A0" w:firstRow="1" w:lastRow="0" w:firstColumn="1" w:lastColumn="0" w:noHBand="0" w:noVBand="1"/>
        <w:tblCaption w:val="Table 7. Summary of Key Strengths and Areas for Growth: Human Resources and Professional Development Standard"/>
        <w:tblDescription w:val="Summary of Key Strengths and Areas for Growth: Human Resources and Professional Development Standard"/>
      </w:tblPr>
      <w:tblGrid>
        <w:gridCol w:w="1973"/>
        <w:gridCol w:w="3686"/>
        <w:gridCol w:w="3685"/>
      </w:tblGrid>
      <w:tr w:rsidR="003B4D00" w:rsidRPr="00CD29D0" w14:paraId="5AF94F4A" w14:textId="77777777" w:rsidTr="00CF2062">
        <w:trPr>
          <w:cnfStyle w:val="100000000000" w:firstRow="1" w:lastRow="0" w:firstColumn="0" w:lastColumn="0" w:oddVBand="0" w:evenVBand="0" w:oddHBand="0" w:evenHBand="0" w:firstRowFirstColumn="0" w:firstRowLastColumn="0" w:lastRowFirstColumn="0" w:lastRowLastColumn="0"/>
          <w:tblHeader/>
        </w:trPr>
        <w:tc>
          <w:tcPr>
            <w:tcW w:w="1055" w:type="pct"/>
          </w:tcPr>
          <w:p w14:paraId="2AD0DE9D" w14:textId="77777777" w:rsidR="00B827DE" w:rsidRPr="00D732FB" w:rsidRDefault="00B827DE" w:rsidP="00CF2062">
            <w:pPr>
              <w:pStyle w:val="TableColHeadingCenter"/>
            </w:pPr>
            <w:r w:rsidRPr="00D732FB">
              <w:t>Indicator</w:t>
            </w:r>
          </w:p>
        </w:tc>
        <w:tc>
          <w:tcPr>
            <w:tcW w:w="1972" w:type="pct"/>
          </w:tcPr>
          <w:p w14:paraId="29F8FCE9" w14:textId="77777777" w:rsidR="00B827DE" w:rsidRPr="00CD29D0" w:rsidRDefault="00B827DE" w:rsidP="00CF2062">
            <w:pPr>
              <w:pStyle w:val="TableColHeadingCenter"/>
            </w:pPr>
            <w:r w:rsidRPr="00CD29D0">
              <w:t>Strengths</w:t>
            </w:r>
          </w:p>
        </w:tc>
        <w:tc>
          <w:tcPr>
            <w:tcW w:w="1972" w:type="pct"/>
          </w:tcPr>
          <w:p w14:paraId="500B423F" w14:textId="6D40DEB3" w:rsidR="00B827DE" w:rsidRPr="00CD29D0" w:rsidRDefault="00B827DE" w:rsidP="00CF2062">
            <w:pPr>
              <w:pStyle w:val="TableColHeadingCenter"/>
            </w:pPr>
            <w:r w:rsidRPr="00CD29D0">
              <w:t xml:space="preserve">Areas for </w:t>
            </w:r>
            <w:r w:rsidR="002C6E1C" w:rsidRPr="00CD29D0">
              <w:t>growth</w:t>
            </w:r>
          </w:p>
        </w:tc>
      </w:tr>
      <w:tr w:rsidR="003B4D00" w:rsidRPr="00CD29D0" w14:paraId="3B52DFA7" w14:textId="77777777" w:rsidTr="00CF2062">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CD29D0" w:rsidRDefault="00444346" w:rsidP="00CF2062">
            <w:pPr>
              <w:pStyle w:val="TableSubheading"/>
            </w:pPr>
            <w:hyperlink w:anchor="_Human_Resources_Infrastructure," w:history="1">
              <w:r w:rsidRPr="00CD29D0">
                <w:rPr>
                  <w:rStyle w:val="Hyperlink"/>
                  <w:color w:val="auto"/>
                  <w:u w:val="none"/>
                </w:rPr>
                <w:t>Human Resources I</w:t>
              </w:r>
              <w:r w:rsidR="00B827DE" w:rsidRPr="00CD29D0">
                <w:rPr>
                  <w:rStyle w:val="Hyperlink"/>
                  <w:color w:val="auto"/>
                  <w:u w:val="none"/>
                </w:rPr>
                <w:t>nfrastructure</w:t>
              </w:r>
              <w:r w:rsidRPr="00CD29D0">
                <w:rPr>
                  <w:rStyle w:val="Hyperlink"/>
                  <w:color w:val="auto"/>
                  <w:u w:val="none"/>
                </w:rPr>
                <w:t>, Policies, and Practices</w:t>
              </w:r>
            </w:hyperlink>
          </w:p>
        </w:tc>
        <w:tc>
          <w:tcPr>
            <w:tcW w:w="1972" w:type="pct"/>
          </w:tcPr>
          <w:p w14:paraId="70D7277E" w14:textId="39CCF32D" w:rsidR="00B827DE" w:rsidRPr="00CD29D0" w:rsidRDefault="00195780" w:rsidP="00CF2062">
            <w:pPr>
              <w:pStyle w:val="TableBullet1"/>
            </w:pPr>
            <w:r>
              <w:t>N/A</w:t>
            </w:r>
          </w:p>
        </w:tc>
        <w:tc>
          <w:tcPr>
            <w:tcW w:w="1972" w:type="pct"/>
          </w:tcPr>
          <w:p w14:paraId="09130FD4" w14:textId="0CD08073" w:rsidR="00B827DE" w:rsidRPr="00CD29D0" w:rsidRDefault="00195780" w:rsidP="00CF2062">
            <w:pPr>
              <w:pStyle w:val="TableBullet1"/>
            </w:pPr>
            <w:r>
              <w:t>N/A</w:t>
            </w:r>
          </w:p>
        </w:tc>
      </w:tr>
      <w:tr w:rsidR="003B4D00" w:rsidRPr="00CD29D0" w14:paraId="53443622" w14:textId="77777777" w:rsidTr="00CF2062">
        <w:tc>
          <w:tcPr>
            <w:tcW w:w="1055" w:type="pct"/>
          </w:tcPr>
          <w:p w14:paraId="755AE6E0" w14:textId="094B8324" w:rsidR="00B827DE" w:rsidRPr="00CD29D0" w:rsidRDefault="00444346" w:rsidP="00CF2062">
            <w:pPr>
              <w:pStyle w:val="TableSubheading"/>
            </w:pPr>
            <w:hyperlink w:anchor="_Staffing" w:history="1">
              <w:r w:rsidRPr="00CD29D0">
                <w:rPr>
                  <w:rStyle w:val="Hyperlink"/>
                  <w:color w:val="auto"/>
                  <w:u w:val="none"/>
                </w:rPr>
                <w:t>Staffing</w:t>
              </w:r>
            </w:hyperlink>
          </w:p>
        </w:tc>
        <w:tc>
          <w:tcPr>
            <w:tcW w:w="1972" w:type="pct"/>
          </w:tcPr>
          <w:p w14:paraId="3B581E14" w14:textId="32FFBAC3" w:rsidR="00B827DE" w:rsidRPr="00CD29D0" w:rsidRDefault="00195780" w:rsidP="00CF2062">
            <w:pPr>
              <w:pStyle w:val="TableBullet1"/>
            </w:pPr>
            <w:r>
              <w:t>N/A</w:t>
            </w:r>
          </w:p>
        </w:tc>
        <w:tc>
          <w:tcPr>
            <w:tcW w:w="1972" w:type="pct"/>
          </w:tcPr>
          <w:p w14:paraId="25F346B1" w14:textId="35DC7E77" w:rsidR="0018069E" w:rsidRPr="0018069E" w:rsidRDefault="2E191835" w:rsidP="0018069E">
            <w:pPr>
              <w:pStyle w:val="TableBullet1"/>
            </w:pPr>
            <w:r>
              <w:t>Diversifying the teaching staff to better reflect the student population</w:t>
            </w:r>
          </w:p>
          <w:p w14:paraId="3E86C519" w14:textId="66EC6808" w:rsidR="00B827DE" w:rsidRPr="00CD29D0" w:rsidRDefault="2E191835" w:rsidP="00CF2062">
            <w:pPr>
              <w:pStyle w:val="TableBullet1"/>
            </w:pPr>
            <w:r>
              <w:t>Ensuring teacher evaluations include constructive, actionable feedback</w:t>
            </w:r>
          </w:p>
        </w:tc>
      </w:tr>
      <w:tr w:rsidR="003B4D00" w:rsidRPr="00CD29D0" w14:paraId="05C4AE65" w14:textId="77777777" w:rsidTr="00CF2062">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342CF7E2" w:rsidR="00B827DE" w:rsidRPr="00CD29D0" w:rsidRDefault="00444346" w:rsidP="00CF2062">
            <w:pPr>
              <w:pStyle w:val="TableSubheading"/>
            </w:pPr>
            <w:hyperlink w:anchor="_Professional_Learning" w:history="1">
              <w:r w:rsidRPr="00CD29D0">
                <w:rPr>
                  <w:rStyle w:val="Hyperlink"/>
                  <w:color w:val="auto"/>
                  <w:u w:val="none"/>
                </w:rPr>
                <w:t>Professional Learning</w:t>
              </w:r>
            </w:hyperlink>
          </w:p>
        </w:tc>
        <w:tc>
          <w:tcPr>
            <w:tcW w:w="1972" w:type="pct"/>
          </w:tcPr>
          <w:p w14:paraId="59710DAD" w14:textId="77777777" w:rsidR="00CE0E91" w:rsidRDefault="6809E406" w:rsidP="00CE0E91">
            <w:pPr>
              <w:pStyle w:val="TableBullet1"/>
            </w:pPr>
            <w:r>
              <w:t>The district implements a multileveled mentoring program that supports new teachers’ onboarding and professional growth.</w:t>
            </w:r>
          </w:p>
          <w:p w14:paraId="6E5D7E42" w14:textId="4319D5D8" w:rsidR="00B827DE" w:rsidRPr="00CD29D0" w:rsidRDefault="58115F94" w:rsidP="00CF2062">
            <w:pPr>
              <w:pStyle w:val="TableBullet1"/>
            </w:pPr>
            <w:r>
              <w:t>Teachers participate in regular collaborative planning time that supports ongoing professional learning and collaboration.</w:t>
            </w:r>
          </w:p>
        </w:tc>
        <w:tc>
          <w:tcPr>
            <w:tcW w:w="1972" w:type="pct"/>
          </w:tcPr>
          <w:p w14:paraId="13C19D85" w14:textId="2C3911AC" w:rsidR="00B827DE" w:rsidRPr="00CD29D0" w:rsidRDefault="00195780" w:rsidP="00CF2062">
            <w:pPr>
              <w:pStyle w:val="TableBullet1"/>
            </w:pPr>
            <w:r>
              <w:t>N/A</w:t>
            </w:r>
          </w:p>
        </w:tc>
      </w:tr>
    </w:tbl>
    <w:p w14:paraId="5601B273" w14:textId="2C15F887" w:rsidR="00B827DE" w:rsidRPr="00CD29D0" w:rsidRDefault="00444346" w:rsidP="00CF2062">
      <w:pPr>
        <w:pStyle w:val="Heading3"/>
      </w:pPr>
      <w:bookmarkStart w:id="48" w:name="_Infrastructure"/>
      <w:bookmarkStart w:id="49" w:name="_Human_Resources_Infrastructure,"/>
      <w:bookmarkEnd w:id="48"/>
      <w:bookmarkEnd w:id="49"/>
      <w:r w:rsidRPr="00CD29D0">
        <w:t xml:space="preserve">Human Resources </w:t>
      </w:r>
      <w:r w:rsidR="00B827DE" w:rsidRPr="00CD29D0">
        <w:t>Infrastructure</w:t>
      </w:r>
      <w:r w:rsidRPr="00CD29D0">
        <w:t>, Policies, and Practices</w:t>
      </w:r>
    </w:p>
    <w:p w14:paraId="6D654410" w14:textId="28899104" w:rsidR="00A45A08" w:rsidRPr="00CD29D0" w:rsidRDefault="009C1FF1" w:rsidP="00CF2062">
      <w:pPr>
        <w:pStyle w:val="BodyTextposthead"/>
      </w:pPr>
      <w:r w:rsidRPr="00CD29D0">
        <w:t>The district</w:t>
      </w:r>
      <w:r w:rsidR="00AB2DAC" w:rsidRPr="00CD29D0">
        <w:t>’</w:t>
      </w:r>
      <w:r w:rsidRPr="00CD29D0">
        <w:t xml:space="preserve">s </w:t>
      </w:r>
      <w:r w:rsidR="00AB2DAC" w:rsidRPr="00CD29D0">
        <w:t>HR</w:t>
      </w:r>
      <w:r w:rsidRPr="00CD29D0">
        <w:t xml:space="preserve"> responsibilities are primarily shared between the human resources coordinator and the executive assistant to the superintendent. The </w:t>
      </w:r>
      <w:r w:rsidR="00AB2DAC" w:rsidRPr="00CD29D0">
        <w:t>HR</w:t>
      </w:r>
      <w:r w:rsidRPr="00CD29D0">
        <w:t xml:space="preserve"> coordinator manages employee attendance, substitute adjustments, </w:t>
      </w:r>
      <w:r w:rsidR="00AB2DAC" w:rsidRPr="00CD29D0">
        <w:t xml:space="preserve">and </w:t>
      </w:r>
      <w:r w:rsidRPr="00CD29D0">
        <w:t xml:space="preserve">payroll processing, and coordinates with the town’s benefits office. The executive assistant provides administrative support, including personnel data management and </w:t>
      </w:r>
      <w:r w:rsidR="00AB2DAC" w:rsidRPr="00CD29D0">
        <w:t>HR</w:t>
      </w:r>
      <w:r w:rsidR="00CF2062" w:rsidRPr="00CD29D0">
        <w:noBreakHyphen/>
      </w:r>
      <w:r w:rsidRPr="00CD29D0">
        <w:t>related communication</w:t>
      </w:r>
      <w:r w:rsidR="00A45A08" w:rsidRPr="00CD29D0">
        <w:t>.</w:t>
      </w:r>
    </w:p>
    <w:p w14:paraId="19B54063" w14:textId="16599218" w:rsidR="003431F6" w:rsidRPr="00CD29D0" w:rsidRDefault="003431F6" w:rsidP="00CF2062">
      <w:pPr>
        <w:pStyle w:val="BodyText"/>
        <w:rPr>
          <w:color w:val="EE0000"/>
        </w:rPr>
      </w:pPr>
      <w:r w:rsidRPr="00CD29D0">
        <w:t>Currently</w:t>
      </w:r>
      <w:r w:rsidR="00D24FEF" w:rsidRPr="00CD29D0">
        <w:t>,</w:t>
      </w:r>
      <w:r w:rsidRPr="00CD29D0">
        <w:t xml:space="preserve"> Norton</w:t>
      </w:r>
      <w:r w:rsidR="00F42842" w:rsidRPr="00CD29D0">
        <w:t xml:space="preserve"> uses paper files </w:t>
      </w:r>
      <w:r w:rsidR="00D464D0" w:rsidRPr="00CD29D0">
        <w:t>for most employee records</w:t>
      </w:r>
      <w:r w:rsidR="006B564E" w:rsidRPr="00CD29D0">
        <w:t>,</w:t>
      </w:r>
      <w:r w:rsidR="00D464D0" w:rsidRPr="00CD29D0">
        <w:t xml:space="preserve"> which are stored securely at </w:t>
      </w:r>
      <w:r w:rsidR="00E95AE9" w:rsidRPr="00CD29D0">
        <w:t>Norton</w:t>
      </w:r>
      <w:r w:rsidR="006B564E" w:rsidRPr="00CD29D0">
        <w:t>’s</w:t>
      </w:r>
      <w:r w:rsidR="00D464D0" w:rsidRPr="00CD29D0">
        <w:t xml:space="preserve"> central office. District leaders report</w:t>
      </w:r>
      <w:r w:rsidR="006B564E" w:rsidRPr="00CD29D0">
        <w:t>ed</w:t>
      </w:r>
      <w:r w:rsidR="00D464D0" w:rsidRPr="00CD29D0">
        <w:t xml:space="preserve"> that there is no plan </w:t>
      </w:r>
      <w:r w:rsidR="00EC04E9" w:rsidRPr="00CD29D0">
        <w:t xml:space="preserve">to move toward </w:t>
      </w:r>
      <w:r w:rsidR="00E95AE9" w:rsidRPr="00CD29D0">
        <w:t xml:space="preserve">digitization of these paper records, </w:t>
      </w:r>
      <w:r w:rsidR="00B72DC9" w:rsidRPr="00CD29D0">
        <w:t>and</w:t>
      </w:r>
      <w:r w:rsidR="00E95AE9" w:rsidRPr="00CD29D0">
        <w:t xml:space="preserve"> they note</w:t>
      </w:r>
      <w:r w:rsidR="006B564E" w:rsidRPr="00CD29D0">
        <w:t>d</w:t>
      </w:r>
      <w:r w:rsidR="00E95AE9" w:rsidRPr="00CD29D0">
        <w:t xml:space="preserve"> that this system is well organized a</w:t>
      </w:r>
      <w:r w:rsidR="002B0B03" w:rsidRPr="00CD29D0">
        <w:t>nd do not see a need to change it.</w:t>
      </w:r>
    </w:p>
    <w:p w14:paraId="49039DAD" w14:textId="7AF1729A" w:rsidR="00A36E2F" w:rsidRPr="00CD29D0" w:rsidRDefault="009C1FF1" w:rsidP="00CF2062">
      <w:pPr>
        <w:pStyle w:val="BodyText"/>
      </w:pPr>
      <w:r w:rsidRPr="00CD29D0">
        <w:t xml:space="preserve">The </w:t>
      </w:r>
      <w:r w:rsidRPr="00CD29D0">
        <w:rPr>
          <w:i/>
        </w:rPr>
        <w:t>Norton Public Schols Employee Handbook</w:t>
      </w:r>
      <w:r w:rsidRPr="00CD29D0">
        <w:t xml:space="preserve"> lays out clear </w:t>
      </w:r>
      <w:r w:rsidR="0043539C" w:rsidRPr="00CD29D0">
        <w:t>HR</w:t>
      </w:r>
      <w:r w:rsidRPr="00CD29D0">
        <w:t xml:space="preserve"> policies and procedure</w:t>
      </w:r>
      <w:r w:rsidR="00514767">
        <w:t>s</w:t>
      </w:r>
      <w:r w:rsidRPr="00CD29D0">
        <w:t>, as well as how staff can access necessary employment information</w:t>
      </w:r>
      <w:r w:rsidR="0043539C" w:rsidRPr="00CD29D0">
        <w:t>,</w:t>
      </w:r>
      <w:r w:rsidRPr="00CD29D0">
        <w:t xml:space="preserve"> such as payroll, benefits, and guidance for </w:t>
      </w:r>
      <w:r w:rsidRPr="00CD29D0">
        <w:lastRenderedPageBreak/>
        <w:t xml:space="preserve">time off. </w:t>
      </w:r>
      <w:r w:rsidR="0F360B56">
        <w:t xml:space="preserve">Teachers can </w:t>
      </w:r>
      <w:r w:rsidR="4289099C">
        <w:t xml:space="preserve">access some </w:t>
      </w:r>
      <w:r w:rsidR="607CE968">
        <w:t>personnel</w:t>
      </w:r>
      <w:r w:rsidR="4289099C">
        <w:t xml:space="preserve"> information</w:t>
      </w:r>
      <w:r w:rsidR="7F2AC6D2">
        <w:t xml:space="preserve"> such as demographics</w:t>
      </w:r>
      <w:r w:rsidR="11372895">
        <w:t xml:space="preserve"> through PowerSchool</w:t>
      </w:r>
      <w:r w:rsidR="7F2AC6D2">
        <w:t xml:space="preserve">, but more detailed records such as credentials and contracts need to be requested </w:t>
      </w:r>
      <w:r w:rsidR="469BBC93">
        <w:t xml:space="preserve">through the HR coordinator. </w:t>
      </w:r>
      <w:r w:rsidR="4289099C">
        <w:t>Additionally, d</w:t>
      </w:r>
      <w:r w:rsidR="0A39E1D1">
        <w:t>istrict</w:t>
      </w:r>
      <w:r w:rsidRPr="00CD29D0">
        <w:t xml:space="preserve"> leaders describe</w:t>
      </w:r>
      <w:r w:rsidR="0043539C" w:rsidRPr="00CD29D0">
        <w:t>d that there is</w:t>
      </w:r>
      <w:r w:rsidRPr="00CD29D0">
        <w:t xml:space="preserve"> a formal grievance pathway detailed in their bylaws and collective bargaining agreement.</w:t>
      </w:r>
    </w:p>
    <w:p w14:paraId="486FA845" w14:textId="55A26910" w:rsidR="00B827DE" w:rsidRPr="00CD29D0" w:rsidRDefault="00444346" w:rsidP="00CF2062">
      <w:pPr>
        <w:pStyle w:val="Heading3"/>
      </w:pPr>
      <w:bookmarkStart w:id="50" w:name="_Staffing"/>
      <w:bookmarkEnd w:id="50"/>
      <w:r w:rsidRPr="00CD29D0">
        <w:t>Staffing</w:t>
      </w:r>
    </w:p>
    <w:p w14:paraId="2558345F" w14:textId="30A6E998" w:rsidR="00A45A08" w:rsidRPr="00CD29D0" w:rsidRDefault="00A9127A" w:rsidP="00CF2062">
      <w:pPr>
        <w:pStyle w:val="BodyTextposthead"/>
      </w:pPr>
      <w:r w:rsidRPr="00CD29D0">
        <w:t xml:space="preserve">According to district leaders, the district primarily uses evaluation data and trends, class size, student IEP data, and </w:t>
      </w:r>
      <w:r w:rsidR="00D76B3B" w:rsidRPr="00CD29D0">
        <w:t xml:space="preserve">EL </w:t>
      </w:r>
      <w:r w:rsidRPr="00CD29D0">
        <w:t>data to assess staffing needs across schools.</w:t>
      </w:r>
      <w:r w:rsidR="00D76B3B" w:rsidRPr="00CD29D0">
        <w:t xml:space="preserve"> S</w:t>
      </w:r>
      <w:r w:rsidRPr="00CD29D0">
        <w:t>earch</w:t>
      </w:r>
      <w:r w:rsidR="00D76B3B" w:rsidRPr="00CD29D0">
        <w:t>es</w:t>
      </w:r>
      <w:r w:rsidRPr="00CD29D0">
        <w:t xml:space="preserve"> to fill staffing positions</w:t>
      </w:r>
      <w:r w:rsidR="00D76B3B" w:rsidRPr="00CD29D0">
        <w:t xml:space="preserve"> include </w:t>
      </w:r>
      <w:r w:rsidRPr="00CD29D0">
        <w:t xml:space="preserve">recruitment strategies </w:t>
      </w:r>
      <w:r w:rsidR="00D76B3B" w:rsidRPr="00CD29D0">
        <w:t xml:space="preserve">(e.g., </w:t>
      </w:r>
      <w:r w:rsidRPr="00CD29D0">
        <w:t>SchoolSpring postings, Handshake posting</w:t>
      </w:r>
      <w:r w:rsidR="00D76B3B" w:rsidRPr="00CD29D0">
        <w:t>s</w:t>
      </w:r>
      <w:r w:rsidRPr="00CD29D0">
        <w:t>, in</w:t>
      </w:r>
      <w:r w:rsidR="00D76B3B" w:rsidRPr="00CD29D0">
        <w:t>-</w:t>
      </w:r>
      <w:r w:rsidRPr="00CD29D0">
        <w:t>person attendance at job fairs</w:t>
      </w:r>
      <w:r w:rsidR="00D76B3B" w:rsidRPr="00CD29D0">
        <w:t>)</w:t>
      </w:r>
      <w:r w:rsidRPr="00CD29D0">
        <w:t>. HR staff describe</w:t>
      </w:r>
      <w:r w:rsidR="00D76B3B" w:rsidRPr="00CD29D0">
        <w:t>d attending</w:t>
      </w:r>
      <w:r w:rsidRPr="00CD29D0">
        <w:t xml:space="preserve"> job fairs at colleges such as Bridgewater State University and Wheaton College</w:t>
      </w:r>
      <w:r w:rsidR="00A45A08" w:rsidRPr="00CD29D0">
        <w:t>.</w:t>
      </w:r>
      <w:r w:rsidR="00F07A9F">
        <w:t xml:space="preserve"> </w:t>
      </w:r>
      <w:r w:rsidR="00F07A9F" w:rsidRPr="00195780">
        <w:t>Still</w:t>
      </w:r>
      <w:r w:rsidR="00537096" w:rsidRPr="00195780">
        <w:t>, teachers are predominantly White</w:t>
      </w:r>
      <w:r w:rsidR="00075F9F">
        <w:t xml:space="preserve"> </w:t>
      </w:r>
      <w:r w:rsidR="00D345F6">
        <w:t>–</w:t>
      </w:r>
      <w:r w:rsidR="00075F9F">
        <w:t xml:space="preserve"> </w:t>
      </w:r>
      <w:r w:rsidR="00D345F6">
        <w:t xml:space="preserve">in </w:t>
      </w:r>
      <w:r w:rsidR="003F3DEB">
        <w:t xml:space="preserve">school year </w:t>
      </w:r>
      <w:r w:rsidR="00D345F6">
        <w:t xml:space="preserve">2025-2026, only 3.0 full-time equivalent staff out of the 347.4 FTE </w:t>
      </w:r>
      <w:r w:rsidR="003F3DEB">
        <w:t xml:space="preserve">did not identify as white. Therefore, </w:t>
      </w:r>
      <w:r w:rsidR="00537096" w:rsidRPr="00195780">
        <w:t xml:space="preserve">diversifying the teaching staff to better mirror the student population is an area of growth for the </w:t>
      </w:r>
      <w:r w:rsidR="23B98F97" w:rsidRPr="00195780">
        <w:t>district</w:t>
      </w:r>
      <w:r w:rsidR="00537096" w:rsidRPr="00195780">
        <w:t>.</w:t>
      </w:r>
    </w:p>
    <w:p w14:paraId="59B3D96B" w14:textId="1A9515B3" w:rsidR="00A9127A" w:rsidRPr="00CD29D0" w:rsidRDefault="00A9127A" w:rsidP="00CF2062">
      <w:pPr>
        <w:pStyle w:val="BodyText"/>
      </w:pPr>
      <w:r w:rsidRPr="00CD29D0">
        <w:t>Multiple sources indicate</w:t>
      </w:r>
      <w:r w:rsidR="00816070" w:rsidRPr="00CD29D0">
        <w:t>d</w:t>
      </w:r>
      <w:r w:rsidRPr="00CD29D0">
        <w:t xml:space="preserve"> that the district follows a clearly documented, multistep hiring process. </w:t>
      </w:r>
      <w:r w:rsidRPr="00CD29D0">
        <w:rPr>
          <w:i/>
          <w:iCs/>
        </w:rPr>
        <w:t>The Norton Public Schools Hiring Process</w:t>
      </w:r>
      <w:r w:rsidRPr="00CD29D0">
        <w:t xml:space="preserve"> document outlines the full sequence</w:t>
      </w:r>
      <w:r w:rsidR="00816070" w:rsidRPr="00CD29D0">
        <w:t xml:space="preserve"> before an offer is made</w:t>
      </w:r>
      <w:r w:rsidRPr="00CD29D0">
        <w:t>: identify vacancies, form hiring committees, updat</w:t>
      </w:r>
      <w:r w:rsidR="00816070" w:rsidRPr="00CD29D0">
        <w:t>e</w:t>
      </w:r>
      <w:r w:rsidRPr="00CD29D0">
        <w:t xml:space="preserve"> interview questions, review applications, conduct panel interviews, debrief to select finalists, recommend candidate to the superintendent, and determin</w:t>
      </w:r>
      <w:r w:rsidR="00816070" w:rsidRPr="00CD29D0">
        <w:t>e</w:t>
      </w:r>
      <w:r w:rsidRPr="00CD29D0">
        <w:t xml:space="preserve"> salary placement</w:t>
      </w:r>
      <w:r w:rsidR="00204D18" w:rsidRPr="00CD29D0">
        <w:t>. T</w:t>
      </w:r>
      <w:r w:rsidR="00A37B0A" w:rsidRPr="00CD29D0">
        <w:t xml:space="preserve">here </w:t>
      </w:r>
      <w:r w:rsidR="00251EE6" w:rsidRPr="00CD29D0">
        <w:t xml:space="preserve">have been efforts to increase teacher salaries in Norton </w:t>
      </w:r>
      <w:r w:rsidR="008F7BAA" w:rsidRPr="00CD29D0">
        <w:t xml:space="preserve">to </w:t>
      </w:r>
      <w:r w:rsidR="0091215B" w:rsidRPr="00CD29D0">
        <w:t>improve re</w:t>
      </w:r>
      <w:r w:rsidR="00292AF7" w:rsidRPr="00CD29D0">
        <w:t>cruitment</w:t>
      </w:r>
      <w:r w:rsidR="00204D18" w:rsidRPr="00CD29D0">
        <w:t xml:space="preserve"> (see District Culture)</w:t>
      </w:r>
      <w:r w:rsidR="00802B5B" w:rsidRPr="00CD29D0">
        <w:t xml:space="preserve">. </w:t>
      </w:r>
      <w:r w:rsidRPr="00CD29D0">
        <w:t xml:space="preserve">Both district and school staff </w:t>
      </w:r>
      <w:r w:rsidR="00F867E4" w:rsidRPr="00CD29D0">
        <w:t xml:space="preserve">confirmed </w:t>
      </w:r>
      <w:r w:rsidRPr="00CD29D0">
        <w:t>that internal postings occur for about five days</w:t>
      </w:r>
      <w:r w:rsidR="00F867E4" w:rsidRPr="00CD29D0">
        <w:t xml:space="preserve"> before public postings</w:t>
      </w:r>
      <w:r w:rsidRPr="00CD29D0">
        <w:t xml:space="preserve"> and that educato</w:t>
      </w:r>
      <w:r w:rsidR="00F867E4" w:rsidRPr="00CD29D0">
        <w:t>r-</w:t>
      </w:r>
      <w:r w:rsidRPr="00CD29D0">
        <w:t>staffed hiring committees are standard across buildings.</w:t>
      </w:r>
    </w:p>
    <w:p w14:paraId="5BBC05DB" w14:textId="25CA804D" w:rsidR="00A9127A" w:rsidRPr="00CD29D0" w:rsidRDefault="00F867E4" w:rsidP="00CF2062">
      <w:pPr>
        <w:pStyle w:val="BodyText"/>
      </w:pPr>
      <w:r w:rsidRPr="00CD29D0">
        <w:t>D</w:t>
      </w:r>
      <w:r w:rsidR="00A9127A" w:rsidRPr="00CD29D0">
        <w:t xml:space="preserve">istrict staff </w:t>
      </w:r>
      <w:r w:rsidRPr="00CD29D0">
        <w:t xml:space="preserve">described onboarding </w:t>
      </w:r>
      <w:r w:rsidR="00A9127A" w:rsidRPr="00CD29D0">
        <w:t xml:space="preserve">as highly structured. After a candidate accepts an offer, the </w:t>
      </w:r>
      <w:r w:rsidR="00292AF7" w:rsidRPr="00CD29D0">
        <w:t>district collects</w:t>
      </w:r>
      <w:r w:rsidR="00A9127A" w:rsidRPr="00CD29D0">
        <w:t xml:space="preserve"> all required forms (</w:t>
      </w:r>
      <w:r w:rsidR="007E33DF" w:rsidRPr="00CD29D0">
        <w:t xml:space="preserve">i.e., </w:t>
      </w:r>
      <w:r w:rsidR="00A9127A" w:rsidRPr="00CD29D0">
        <w:t>personnel documents, payroll paperwork, retirement enrollment, employee handbook acknowledgment, and policy signatures) and alerts relevant departments to prepare accounts and records. District staff confirm</w:t>
      </w:r>
      <w:r w:rsidR="007E33DF" w:rsidRPr="00CD29D0">
        <w:t>ed</w:t>
      </w:r>
      <w:r w:rsidR="00A9127A" w:rsidRPr="00CD29D0">
        <w:t xml:space="preserve"> this process and note</w:t>
      </w:r>
      <w:r w:rsidR="007E33DF" w:rsidRPr="00CD29D0">
        <w:t>d</w:t>
      </w:r>
      <w:r w:rsidR="00A9127A" w:rsidRPr="00CD29D0">
        <w:t xml:space="preserve"> that </w:t>
      </w:r>
      <w:r w:rsidR="007E33DF" w:rsidRPr="00CD29D0">
        <w:t xml:space="preserve">after </w:t>
      </w:r>
      <w:r w:rsidR="00A9127A" w:rsidRPr="00CD29D0">
        <w:t>the personnel file is created, payroll calculations are completed and communication with the business manager and town benefits office begins. Licensure verification, along with CORI/SORI/SAFIS fingerprint checks, are required before a hire is finalized</w:t>
      </w:r>
      <w:r w:rsidR="007E33DF" w:rsidRPr="00CD29D0">
        <w:t>. T</w:t>
      </w:r>
      <w:r w:rsidR="00A9127A" w:rsidRPr="00CD29D0">
        <w:t xml:space="preserve">hese steps are explicitly listed in the written process. </w:t>
      </w:r>
      <w:r w:rsidR="00AB11AA" w:rsidRPr="00CD29D0">
        <w:t>Principals describe</w:t>
      </w:r>
      <w:r w:rsidR="00EE337D" w:rsidRPr="00CD29D0">
        <w:t>d</w:t>
      </w:r>
      <w:r w:rsidR="00AB11AA" w:rsidRPr="00CD29D0">
        <w:t xml:space="preserve"> a hiring process that begins with screening </w:t>
      </w:r>
      <w:r w:rsidR="00EE337D" w:rsidRPr="00CD29D0">
        <w:t>applicants who</w:t>
      </w:r>
      <w:r w:rsidR="00C638C0" w:rsidRPr="00CD29D0">
        <w:t xml:space="preserve"> apply through School Spring. </w:t>
      </w:r>
      <w:r w:rsidR="00EE337D" w:rsidRPr="00CD29D0">
        <w:t>Principals t</w:t>
      </w:r>
      <w:r w:rsidR="00C638C0" w:rsidRPr="00CD29D0">
        <w:t>hen form</w:t>
      </w:r>
      <w:r w:rsidR="00AB11AA" w:rsidRPr="00CD29D0">
        <w:t xml:space="preserve"> a hiring committee tailored to the position, such as </w:t>
      </w:r>
      <w:r w:rsidR="001C0031" w:rsidRPr="00CD29D0">
        <w:t xml:space="preserve">comprising </w:t>
      </w:r>
      <w:r w:rsidR="00AB11AA" w:rsidRPr="00CD29D0">
        <w:t>academic coordinators, subject</w:t>
      </w:r>
      <w:r w:rsidR="000D1C8F" w:rsidRPr="00CD29D0">
        <w:rPr>
          <w:rFonts w:ascii="Cambria Math" w:hAnsi="Cambria Math" w:cs="Cambria Math"/>
        </w:rPr>
        <w:t xml:space="preserve"> </w:t>
      </w:r>
      <w:r w:rsidR="00AB11AA" w:rsidRPr="00CD29D0">
        <w:t>area teachers, or other administrator</w:t>
      </w:r>
      <w:r w:rsidR="001C0031" w:rsidRPr="00CD29D0">
        <w:t>s</w:t>
      </w:r>
      <w:r w:rsidR="00AB11AA" w:rsidRPr="00CD29D0">
        <w:t>. They select candidates to interview, assemble a hiring committee, and then recommend</w:t>
      </w:r>
      <w:r w:rsidR="0068533F" w:rsidRPr="00CD29D0">
        <w:t xml:space="preserve"> </w:t>
      </w:r>
      <w:r w:rsidR="00AB11AA" w:rsidRPr="00CD29D0">
        <w:t>a finalist</w:t>
      </w:r>
      <w:r w:rsidR="00C04EED" w:rsidRPr="00CD29D0">
        <w:t>.</w:t>
      </w:r>
      <w:r w:rsidR="00AB11AA" w:rsidRPr="00CD29D0">
        <w:t xml:space="preserve"> </w:t>
      </w:r>
      <w:r w:rsidR="00EA5696" w:rsidRPr="00CD29D0">
        <w:t>P</w:t>
      </w:r>
      <w:r w:rsidR="00AB11AA" w:rsidRPr="00CD29D0">
        <w:t>rincipals may ask candidates to teach a demo lesson or present model teaching</w:t>
      </w:r>
      <w:r w:rsidR="00EA5696" w:rsidRPr="00CD29D0">
        <w:t xml:space="preserve"> during the school year, although</w:t>
      </w:r>
      <w:r w:rsidR="00AB11AA" w:rsidRPr="00CD29D0">
        <w:t xml:space="preserve"> this is </w:t>
      </w:r>
      <w:r w:rsidR="00413050" w:rsidRPr="00CD29D0">
        <w:t>not possible</w:t>
      </w:r>
      <w:r w:rsidR="00AB11AA" w:rsidRPr="00CD29D0">
        <w:t xml:space="preserve"> in summer when most hiring occurs.</w:t>
      </w:r>
      <w:r w:rsidR="009D49F3" w:rsidRPr="009D49F3">
        <w:t xml:space="preserve"> </w:t>
      </w:r>
      <w:r w:rsidR="009D49F3" w:rsidRPr="00CD29D0">
        <w:t>The Norton Public Schols Employee Handbook includes mandating notification of mentor coordinators upon creation of the personnel file.</w:t>
      </w:r>
    </w:p>
    <w:p w14:paraId="573985D6" w14:textId="5E463553" w:rsidR="002C003E" w:rsidRPr="00CD29D0" w:rsidRDefault="00A9127A" w:rsidP="00CF2062">
      <w:pPr>
        <w:pStyle w:val="BodyText"/>
      </w:pPr>
      <w:r w:rsidRPr="00CD29D0">
        <w:t xml:space="preserve">Norton asks all </w:t>
      </w:r>
      <w:r w:rsidR="00265609" w:rsidRPr="00CD29D0">
        <w:t xml:space="preserve">departing </w:t>
      </w:r>
      <w:r w:rsidRPr="00CD29D0">
        <w:t xml:space="preserve">staff to participate in an exit survey and interview </w:t>
      </w:r>
      <w:r w:rsidR="00265609" w:rsidRPr="00CD29D0">
        <w:t xml:space="preserve">that </w:t>
      </w:r>
      <w:r w:rsidRPr="00CD29D0">
        <w:t>provides the district with reasons related to staff leaving Norton Public Schools. While district leaders agree</w:t>
      </w:r>
      <w:r w:rsidR="00D42ACD" w:rsidRPr="00CD29D0">
        <w:t>d</w:t>
      </w:r>
      <w:r w:rsidRPr="00CD29D0">
        <w:t xml:space="preserve"> that retention is typically high</w:t>
      </w:r>
      <w:r w:rsidR="00C02B40" w:rsidRPr="00CD29D0">
        <w:t xml:space="preserve"> (91</w:t>
      </w:r>
      <w:r w:rsidR="00D42ACD" w:rsidRPr="00CD29D0">
        <w:t xml:space="preserve"> percent </w:t>
      </w:r>
      <w:r w:rsidR="00767714" w:rsidRPr="00CD29D0">
        <w:t>according to 2026 statewide data)</w:t>
      </w:r>
      <w:r w:rsidRPr="00CD29D0">
        <w:t>, the district faces significant staffing</w:t>
      </w:r>
      <w:r w:rsidR="00D42ACD" w:rsidRPr="00CD29D0">
        <w:t xml:space="preserve"> shortages</w:t>
      </w:r>
      <w:r w:rsidRPr="00CD29D0">
        <w:t xml:space="preserve"> linked to finances. District leaders explain</w:t>
      </w:r>
      <w:r w:rsidR="00D42ACD" w:rsidRPr="00CD29D0">
        <w:t>ed</w:t>
      </w:r>
      <w:r w:rsidRPr="00CD29D0">
        <w:t xml:space="preserve"> that the previous $3.4 million budget deficit resulted in 29 layoffs during the </w:t>
      </w:r>
      <w:r>
        <w:t>202</w:t>
      </w:r>
      <w:r w:rsidR="05A294B4">
        <w:t>3</w:t>
      </w:r>
      <w:r w:rsidR="00D42ACD">
        <w:t>-</w:t>
      </w:r>
      <w:r w:rsidRPr="00CD29D0">
        <w:t>2024 school year. Teachers note</w:t>
      </w:r>
      <w:r w:rsidR="00D42ACD" w:rsidRPr="00CD29D0">
        <w:t>d</w:t>
      </w:r>
      <w:r w:rsidRPr="00CD29D0">
        <w:t xml:space="preserve"> the loss of </w:t>
      </w:r>
      <w:r w:rsidRPr="00CD29D0">
        <w:lastRenderedPageBreak/>
        <w:t xml:space="preserve">specialized roles, including </w:t>
      </w:r>
      <w:r w:rsidR="00D42ACD" w:rsidRPr="00CD29D0">
        <w:t xml:space="preserve">STEAM </w:t>
      </w:r>
      <w:r w:rsidRPr="00CD29D0">
        <w:t>positions and academic interventionists,</w:t>
      </w:r>
      <w:r w:rsidR="005D21B7" w:rsidRPr="00CD29D0">
        <w:t xml:space="preserve"> which has made</w:t>
      </w:r>
      <w:r w:rsidR="00D42ACD" w:rsidRPr="00CD29D0">
        <w:t xml:space="preserve"> it challenging to</w:t>
      </w:r>
      <w:r w:rsidR="005D21B7" w:rsidRPr="00CD29D0">
        <w:t xml:space="preserve"> provid</w:t>
      </w:r>
      <w:r w:rsidR="00D42ACD" w:rsidRPr="00CD29D0">
        <w:t>e</w:t>
      </w:r>
      <w:r w:rsidR="005D21B7" w:rsidRPr="00CD29D0">
        <w:t xml:space="preserve"> all students with the academic support they require.</w:t>
      </w:r>
    </w:p>
    <w:p w14:paraId="4DF5F219" w14:textId="01A69D43" w:rsidR="009C1FF1" w:rsidRPr="00CD29D0" w:rsidRDefault="00A9127A" w:rsidP="00CF2062">
      <w:pPr>
        <w:pStyle w:val="BodyText"/>
      </w:pPr>
      <w:r w:rsidRPr="00CD29D0">
        <w:t xml:space="preserve">The district uses Vector Solutions as its evaluation platform for all employee groups, including teachers, paraprofessionals, administrative assistants, building administrators, and central office staff. </w:t>
      </w:r>
      <w:r w:rsidR="002C2178" w:rsidRPr="00CD29D0">
        <w:t xml:space="preserve">A district evaluation committee, </w:t>
      </w:r>
      <w:r w:rsidR="008173F1" w:rsidRPr="00CD29D0">
        <w:t>comprising</w:t>
      </w:r>
      <w:r w:rsidR="002C2178" w:rsidRPr="00CD29D0">
        <w:t xml:space="preserve"> district leaders and teacher association representatives, met monthly for two years to streamline forms, reduce duplication, and clarify expectations</w:t>
      </w:r>
      <w:r w:rsidR="008173F1" w:rsidRPr="00CD29D0">
        <w:t>. It</w:t>
      </w:r>
      <w:r w:rsidR="002C2178" w:rsidRPr="00CD29D0">
        <w:t xml:space="preserve"> now convenes only as needed</w:t>
      </w:r>
      <w:r w:rsidRPr="00CD29D0">
        <w:t>. Teacher Association representatives corroborate</w:t>
      </w:r>
      <w:r w:rsidR="008173F1" w:rsidRPr="00CD29D0">
        <w:t>d</w:t>
      </w:r>
      <w:r w:rsidRPr="00CD29D0">
        <w:t xml:space="preserve"> </w:t>
      </w:r>
      <w:r w:rsidR="008173F1" w:rsidRPr="00CD29D0">
        <w:t xml:space="preserve">their </w:t>
      </w:r>
      <w:r w:rsidRPr="00CD29D0">
        <w:t>involvement in evaluation system revisions and note</w:t>
      </w:r>
      <w:r w:rsidR="008173F1" w:rsidRPr="00CD29D0">
        <w:t>d</w:t>
      </w:r>
      <w:r w:rsidRPr="00CD29D0">
        <w:t xml:space="preserve"> that </w:t>
      </w:r>
      <w:r w:rsidR="008173F1" w:rsidRPr="00CD29D0">
        <w:t xml:space="preserve">they </w:t>
      </w:r>
      <w:r w:rsidRPr="00CD29D0">
        <w:t>routinely administer</w:t>
      </w:r>
      <w:r w:rsidR="008173F1" w:rsidRPr="00CD29D0">
        <w:t xml:space="preserve"> surveys</w:t>
      </w:r>
      <w:r w:rsidRPr="00CD29D0">
        <w:t xml:space="preserve"> to gather member feedback</w:t>
      </w:r>
      <w:r w:rsidR="008173F1" w:rsidRPr="00CD29D0">
        <w:t xml:space="preserve"> on </w:t>
      </w:r>
      <w:r w:rsidRPr="00CD29D0">
        <w:t>evaluation workloads and deadlines</w:t>
      </w:r>
      <w:r w:rsidR="008173F1" w:rsidRPr="00CD29D0">
        <w:t>;</w:t>
      </w:r>
      <w:r w:rsidRPr="00CD29D0">
        <w:t xml:space="preserve"> they </w:t>
      </w:r>
      <w:r w:rsidR="008173F1" w:rsidRPr="00CD29D0">
        <w:t>present these results</w:t>
      </w:r>
      <w:r w:rsidRPr="00CD29D0">
        <w:t xml:space="preserve"> </w:t>
      </w:r>
      <w:r w:rsidR="008173F1" w:rsidRPr="00CD29D0">
        <w:t xml:space="preserve">during </w:t>
      </w:r>
      <w:r w:rsidRPr="00CD29D0">
        <w:t>committee-level discussions. Educators further describe</w:t>
      </w:r>
      <w:r w:rsidR="00562BF5" w:rsidRPr="00CD29D0">
        <w:t>d</w:t>
      </w:r>
      <w:r w:rsidRPr="00CD29D0">
        <w:t xml:space="preserve"> </w:t>
      </w:r>
      <w:r w:rsidR="00562BF5" w:rsidRPr="00CD29D0">
        <w:t xml:space="preserve">receiving </w:t>
      </w:r>
      <w:r w:rsidRPr="00CD29D0">
        <w:t>feedback during evaluations and learning walks that consistently reinforce districtwide instructional expectations, such as clarity of learning objectives, student engagement, and use of formative assessment.</w:t>
      </w:r>
    </w:p>
    <w:p w14:paraId="011F4B8D" w14:textId="6C59A9C8" w:rsidR="00FC53F4" w:rsidRPr="00CD29D0" w:rsidRDefault="008C45A3" w:rsidP="00CF2062">
      <w:pPr>
        <w:pStyle w:val="BodyText"/>
      </w:pPr>
      <w:r w:rsidRPr="00CD29D0">
        <w:t xml:space="preserve">District records suggest that teacher evaluations are consistently uploaded </w:t>
      </w:r>
      <w:r w:rsidR="00262005" w:rsidRPr="003848AF">
        <w:t xml:space="preserve">using </w:t>
      </w:r>
      <w:r w:rsidR="00262005">
        <w:t>Vector Solutions</w:t>
      </w:r>
      <w:r w:rsidRPr="00CD29D0">
        <w:t xml:space="preserve">, and administrator records are preserved </w:t>
      </w:r>
      <w:r w:rsidR="00733180" w:rsidRPr="00CD29D0">
        <w:t>in hard copy</w:t>
      </w:r>
      <w:r w:rsidRPr="00CD29D0">
        <w:t xml:space="preserve">. </w:t>
      </w:r>
      <w:r w:rsidR="00D015AA" w:rsidRPr="00CD29D0">
        <w:t xml:space="preserve">Table </w:t>
      </w:r>
      <w:r w:rsidR="00733180" w:rsidRPr="00CD29D0">
        <w:t xml:space="preserve">8 </w:t>
      </w:r>
      <w:r w:rsidR="00D015AA" w:rsidRPr="00CD29D0">
        <w:t xml:space="preserve">shows findings from a </w:t>
      </w:r>
      <w:r w:rsidRPr="00CD29D0">
        <w:t>review of these records</w:t>
      </w:r>
      <w:r w:rsidR="00D015AA" w:rsidRPr="00CD29D0">
        <w:t>.</w:t>
      </w:r>
    </w:p>
    <w:p w14:paraId="66642AC5" w14:textId="24CAB412" w:rsidR="004C7FAA" w:rsidRPr="00CD29D0" w:rsidRDefault="004C7FAA" w:rsidP="00CF2062">
      <w:pPr>
        <w:pStyle w:val="TableTitle0"/>
      </w:pPr>
      <w:r w:rsidRPr="00CD29D0">
        <w:t xml:space="preserve">Table </w:t>
      </w:r>
      <w:r w:rsidR="00733180" w:rsidRPr="00CD29D0">
        <w:t>8</w:t>
      </w:r>
      <w:r w:rsidRPr="00CD29D0">
        <w:t xml:space="preserve">. </w:t>
      </w:r>
      <w:r w:rsidR="00FC53F4" w:rsidRPr="00CD29D0">
        <w:t>Summary of Educator Evaluati</w:t>
      </w:r>
      <w:r w:rsidR="001A3A00" w:rsidRPr="00CD29D0">
        <w:t>on Records Review</w:t>
      </w:r>
    </w:p>
    <w:tbl>
      <w:tblPr>
        <w:tblStyle w:val="MSVTable1"/>
        <w:tblW w:w="5000" w:type="pct"/>
        <w:tblLayout w:type="fixed"/>
        <w:tblLook w:val="06A0" w:firstRow="1" w:lastRow="0" w:firstColumn="1" w:lastColumn="0" w:noHBand="1" w:noVBand="1"/>
        <w:tblCaption w:val="Table 8. Summary of Educator Evaluation Records Review"/>
        <w:tblDescription w:val="Summary of Educator Evaluation Records Review"/>
      </w:tblPr>
      <w:tblGrid>
        <w:gridCol w:w="1414"/>
        <w:gridCol w:w="5058"/>
        <w:gridCol w:w="1436"/>
        <w:gridCol w:w="1436"/>
      </w:tblGrid>
      <w:tr w:rsidR="00017288" w:rsidRPr="00CD29D0" w14:paraId="66472DBA" w14:textId="77777777" w:rsidTr="00B72D0C">
        <w:trPr>
          <w:cnfStyle w:val="100000000000" w:firstRow="1" w:lastRow="0" w:firstColumn="0" w:lastColumn="0" w:oddVBand="0" w:evenVBand="0" w:oddHBand="0" w:evenHBand="0" w:firstRowFirstColumn="0" w:firstRowLastColumn="0" w:lastRowFirstColumn="0" w:lastRowLastColumn="0"/>
          <w:tblHeader/>
        </w:trPr>
        <w:tc>
          <w:tcPr>
            <w:tcW w:w="1414" w:type="dxa"/>
          </w:tcPr>
          <w:p w14:paraId="34886999" w14:textId="5BB9623B" w:rsidR="00017288" w:rsidRPr="00CD29D0" w:rsidRDefault="00FE5F17" w:rsidP="003A5D77">
            <w:pPr>
              <w:pStyle w:val="TableColHeadingCenter"/>
            </w:pPr>
            <w:r w:rsidRPr="00CD29D0">
              <w:t>Category</w:t>
            </w:r>
          </w:p>
        </w:tc>
        <w:tc>
          <w:tcPr>
            <w:tcW w:w="5058" w:type="dxa"/>
          </w:tcPr>
          <w:p w14:paraId="2A143CDC" w14:textId="5548D712" w:rsidR="00017288" w:rsidRPr="00CD29D0" w:rsidRDefault="00FE5F17" w:rsidP="003A5D77">
            <w:pPr>
              <w:pStyle w:val="TableColHeadingCenter"/>
            </w:pPr>
            <w:bookmarkStart w:id="51" w:name="_Hlk212471550"/>
            <w:r w:rsidRPr="00CD29D0">
              <w:t>Component</w:t>
            </w:r>
          </w:p>
        </w:tc>
        <w:tc>
          <w:tcPr>
            <w:tcW w:w="1436" w:type="dxa"/>
          </w:tcPr>
          <w:p w14:paraId="656F7BAB" w14:textId="77777777" w:rsidR="00017288" w:rsidRPr="00CD29D0" w:rsidRDefault="00017288" w:rsidP="003A5D77">
            <w:pPr>
              <w:pStyle w:val="TableColHeadingCenter"/>
            </w:pPr>
            <w:r w:rsidRPr="00CD29D0">
              <w:t>Teachers</w:t>
            </w:r>
          </w:p>
        </w:tc>
        <w:tc>
          <w:tcPr>
            <w:tcW w:w="1436" w:type="dxa"/>
          </w:tcPr>
          <w:p w14:paraId="00E82E5C" w14:textId="77777777" w:rsidR="00017288" w:rsidRPr="00CD29D0" w:rsidRDefault="00017288" w:rsidP="003A5D77">
            <w:pPr>
              <w:pStyle w:val="TableColHeadingCenter"/>
            </w:pPr>
            <w:r w:rsidRPr="00CD29D0">
              <w:t>Administrators</w:t>
            </w:r>
          </w:p>
        </w:tc>
      </w:tr>
      <w:tr w:rsidR="00347830" w:rsidRPr="00CD29D0" w14:paraId="446AA348" w14:textId="77777777" w:rsidTr="00B72D0C">
        <w:tc>
          <w:tcPr>
            <w:tcW w:w="1414" w:type="dxa"/>
          </w:tcPr>
          <w:p w14:paraId="33EFE2BE" w14:textId="33E6A154" w:rsidR="00347830" w:rsidRPr="00CD29D0" w:rsidRDefault="00347830" w:rsidP="003A5D77">
            <w:pPr>
              <w:pStyle w:val="TableSubheading"/>
            </w:pPr>
            <w:r w:rsidRPr="00CD29D0">
              <w:t>General</w:t>
            </w:r>
          </w:p>
        </w:tc>
        <w:tc>
          <w:tcPr>
            <w:tcW w:w="5058" w:type="dxa"/>
          </w:tcPr>
          <w:p w14:paraId="53B21C26" w14:textId="599E9611" w:rsidR="00347830" w:rsidRPr="00CD29D0" w:rsidRDefault="00347830" w:rsidP="003A5D77">
            <w:pPr>
              <w:pStyle w:val="TableText"/>
            </w:pPr>
            <w:r w:rsidRPr="00CD29D0">
              <w:t>Number of Evaluations Selected for Review</w:t>
            </w:r>
          </w:p>
        </w:tc>
        <w:tc>
          <w:tcPr>
            <w:tcW w:w="1436" w:type="dxa"/>
          </w:tcPr>
          <w:p w14:paraId="72EED277" w14:textId="75BA78F5" w:rsidR="00347830" w:rsidRPr="00BF36F6" w:rsidRDefault="00724499" w:rsidP="003A5D77">
            <w:pPr>
              <w:pStyle w:val="TableTextCentered"/>
            </w:pPr>
            <w:r>
              <w:t>11</w:t>
            </w:r>
          </w:p>
        </w:tc>
        <w:tc>
          <w:tcPr>
            <w:tcW w:w="1436" w:type="dxa"/>
          </w:tcPr>
          <w:p w14:paraId="4F0D1850" w14:textId="0DBF3A3B" w:rsidR="00347830" w:rsidRPr="008040FA" w:rsidRDefault="00724499" w:rsidP="003A5D77">
            <w:pPr>
              <w:pStyle w:val="TableTextCentered"/>
            </w:pPr>
            <w:r>
              <w:t>7</w:t>
            </w:r>
          </w:p>
        </w:tc>
      </w:tr>
      <w:tr w:rsidR="00347830" w:rsidRPr="00CD29D0" w14:paraId="5E16BEA7" w14:textId="77777777" w:rsidTr="00B72D0C">
        <w:tc>
          <w:tcPr>
            <w:tcW w:w="1414" w:type="dxa"/>
          </w:tcPr>
          <w:p w14:paraId="7DBCC4B0" w14:textId="31C7E7A9" w:rsidR="00347830" w:rsidRPr="00CD29D0" w:rsidRDefault="00347830" w:rsidP="003A5D77">
            <w:pPr>
              <w:pStyle w:val="TableSubheading"/>
            </w:pPr>
            <w:r w:rsidRPr="00CD29D0">
              <w:t>General</w:t>
            </w:r>
          </w:p>
        </w:tc>
        <w:tc>
          <w:tcPr>
            <w:tcW w:w="5058" w:type="dxa"/>
          </w:tcPr>
          <w:p w14:paraId="4A06E26A" w14:textId="2B3A7C3C" w:rsidR="00347830" w:rsidRPr="00CD29D0" w:rsidRDefault="00347830" w:rsidP="003A5D77">
            <w:pPr>
              <w:pStyle w:val="TableText"/>
            </w:pPr>
            <w:r w:rsidRPr="00CD29D0">
              <w:t>Summative Evaluation Available</w:t>
            </w:r>
          </w:p>
        </w:tc>
        <w:tc>
          <w:tcPr>
            <w:tcW w:w="1436" w:type="dxa"/>
          </w:tcPr>
          <w:p w14:paraId="0528CD82" w14:textId="7077AF42" w:rsidR="00347830" w:rsidRPr="00BF36F6" w:rsidRDefault="00BF36F6" w:rsidP="003A5D77">
            <w:pPr>
              <w:pStyle w:val="TableTextCentered"/>
            </w:pPr>
            <w:r>
              <w:t>11/11</w:t>
            </w:r>
          </w:p>
        </w:tc>
        <w:tc>
          <w:tcPr>
            <w:tcW w:w="1436" w:type="dxa"/>
          </w:tcPr>
          <w:p w14:paraId="0960B545" w14:textId="19F36CF3" w:rsidR="00347830" w:rsidRPr="008040FA" w:rsidRDefault="008040FA" w:rsidP="003A5D77">
            <w:pPr>
              <w:pStyle w:val="TableTextCentered"/>
            </w:pPr>
            <w:r>
              <w:t>7/7</w:t>
            </w:r>
          </w:p>
        </w:tc>
      </w:tr>
      <w:tr w:rsidR="00347830" w:rsidRPr="00CD29D0" w14:paraId="1006A99E" w14:textId="77777777" w:rsidTr="00B72D0C">
        <w:tc>
          <w:tcPr>
            <w:tcW w:w="1414" w:type="dxa"/>
          </w:tcPr>
          <w:p w14:paraId="6FC87B96" w14:textId="4BA38A31" w:rsidR="00347830" w:rsidRPr="00CD29D0" w:rsidRDefault="00347830" w:rsidP="003A5D77">
            <w:pPr>
              <w:pStyle w:val="TableSubheading"/>
            </w:pPr>
            <w:r w:rsidRPr="00CD29D0">
              <w:t>SMART Goals</w:t>
            </w:r>
          </w:p>
        </w:tc>
        <w:tc>
          <w:tcPr>
            <w:tcW w:w="5058" w:type="dxa"/>
          </w:tcPr>
          <w:p w14:paraId="34B584C8" w14:textId="42429B8E" w:rsidR="00347830" w:rsidRPr="00CD29D0" w:rsidRDefault="00347830" w:rsidP="003A5D77">
            <w:pPr>
              <w:pStyle w:val="TableText"/>
            </w:pPr>
            <w:r w:rsidRPr="00CD29D0">
              <w:t>Included Student Learning SMART Goal</w:t>
            </w:r>
          </w:p>
        </w:tc>
        <w:tc>
          <w:tcPr>
            <w:tcW w:w="1436" w:type="dxa"/>
          </w:tcPr>
          <w:p w14:paraId="32B3BE41" w14:textId="3A8B6246" w:rsidR="00347830" w:rsidRPr="00BF36F6" w:rsidRDefault="00BF36F6" w:rsidP="003A5D77">
            <w:pPr>
              <w:pStyle w:val="TableTextCentered"/>
            </w:pPr>
            <w:r>
              <w:t>11/11</w:t>
            </w:r>
          </w:p>
        </w:tc>
        <w:tc>
          <w:tcPr>
            <w:tcW w:w="1436" w:type="dxa"/>
          </w:tcPr>
          <w:p w14:paraId="34969609" w14:textId="2AA769CA" w:rsidR="00347830" w:rsidRPr="008040FA" w:rsidRDefault="008040FA" w:rsidP="003A5D77">
            <w:pPr>
              <w:pStyle w:val="TableTextCentered"/>
            </w:pPr>
            <w:r>
              <w:t>7/7</w:t>
            </w:r>
          </w:p>
        </w:tc>
      </w:tr>
      <w:tr w:rsidR="00347830" w:rsidRPr="00CD29D0" w14:paraId="21B909A9" w14:textId="77777777" w:rsidTr="00B72D0C">
        <w:tc>
          <w:tcPr>
            <w:tcW w:w="1414" w:type="dxa"/>
          </w:tcPr>
          <w:p w14:paraId="4550B9C6" w14:textId="4CC03495" w:rsidR="00347830" w:rsidRPr="00CD29D0" w:rsidRDefault="00347830" w:rsidP="003A5D77">
            <w:pPr>
              <w:pStyle w:val="TableSubheading"/>
            </w:pPr>
            <w:r w:rsidRPr="00CD29D0">
              <w:t>SMART Goals</w:t>
            </w:r>
          </w:p>
        </w:tc>
        <w:tc>
          <w:tcPr>
            <w:tcW w:w="5058" w:type="dxa"/>
          </w:tcPr>
          <w:p w14:paraId="6AA5DDC6" w14:textId="6E36BF2B" w:rsidR="00347830" w:rsidRPr="00CD29D0" w:rsidRDefault="00347830" w:rsidP="003A5D77">
            <w:pPr>
              <w:pStyle w:val="TableText"/>
            </w:pPr>
            <w:r w:rsidRPr="00CD29D0">
              <w:t>Progress Toward Student Learning SMART Goal Evaluated</w:t>
            </w:r>
          </w:p>
        </w:tc>
        <w:tc>
          <w:tcPr>
            <w:tcW w:w="1436" w:type="dxa"/>
          </w:tcPr>
          <w:p w14:paraId="7839EACA" w14:textId="1045F578" w:rsidR="00347830" w:rsidRPr="00BF36F6" w:rsidRDefault="00BF36F6" w:rsidP="003A5D77">
            <w:pPr>
              <w:pStyle w:val="TableTextCentered"/>
            </w:pPr>
            <w:r>
              <w:t>11/11</w:t>
            </w:r>
          </w:p>
        </w:tc>
        <w:tc>
          <w:tcPr>
            <w:tcW w:w="1436" w:type="dxa"/>
          </w:tcPr>
          <w:p w14:paraId="60F13CDE" w14:textId="7392371B" w:rsidR="00347830" w:rsidRPr="008040FA" w:rsidRDefault="008040FA" w:rsidP="003A5D77">
            <w:pPr>
              <w:pStyle w:val="TableTextCentered"/>
            </w:pPr>
            <w:r>
              <w:t>7/7</w:t>
            </w:r>
          </w:p>
        </w:tc>
      </w:tr>
      <w:tr w:rsidR="00347830" w:rsidRPr="00CD29D0" w14:paraId="1A220341" w14:textId="77777777" w:rsidTr="00B72D0C">
        <w:tc>
          <w:tcPr>
            <w:tcW w:w="1414" w:type="dxa"/>
          </w:tcPr>
          <w:p w14:paraId="369BE029" w14:textId="04AE223B" w:rsidR="00347830" w:rsidRPr="00CD29D0" w:rsidRDefault="00347830" w:rsidP="003A5D77">
            <w:pPr>
              <w:pStyle w:val="TableSubheading"/>
            </w:pPr>
            <w:r w:rsidRPr="00CD29D0">
              <w:t>SMART Goals</w:t>
            </w:r>
          </w:p>
        </w:tc>
        <w:tc>
          <w:tcPr>
            <w:tcW w:w="5058" w:type="dxa"/>
          </w:tcPr>
          <w:p w14:paraId="52B45948" w14:textId="5ADEF64D" w:rsidR="00347830" w:rsidRPr="00CD29D0" w:rsidRDefault="00347830" w:rsidP="003A5D77">
            <w:pPr>
              <w:pStyle w:val="TableText"/>
            </w:pPr>
            <w:r w:rsidRPr="00CD29D0">
              <w:t>Included Professional Practice SMART Goal</w:t>
            </w:r>
          </w:p>
        </w:tc>
        <w:tc>
          <w:tcPr>
            <w:tcW w:w="1436" w:type="dxa"/>
          </w:tcPr>
          <w:p w14:paraId="6BD20488" w14:textId="66E6AE7E" w:rsidR="00347830" w:rsidRPr="00BF36F6" w:rsidRDefault="00BF36F6" w:rsidP="003A5D77">
            <w:pPr>
              <w:pStyle w:val="TableTextCentered"/>
            </w:pPr>
            <w:r>
              <w:t>11/11</w:t>
            </w:r>
          </w:p>
        </w:tc>
        <w:tc>
          <w:tcPr>
            <w:tcW w:w="1436" w:type="dxa"/>
          </w:tcPr>
          <w:p w14:paraId="7304CC64" w14:textId="3898A0D9" w:rsidR="00347830" w:rsidRPr="008040FA" w:rsidRDefault="00867697" w:rsidP="003A5D77">
            <w:pPr>
              <w:pStyle w:val="TableTextCentered"/>
            </w:pPr>
            <w:r>
              <w:t>7/7</w:t>
            </w:r>
          </w:p>
        </w:tc>
      </w:tr>
      <w:tr w:rsidR="00347830" w:rsidRPr="00CD29D0" w14:paraId="6BE67122" w14:textId="77777777" w:rsidTr="00B72D0C">
        <w:tc>
          <w:tcPr>
            <w:tcW w:w="1414" w:type="dxa"/>
          </w:tcPr>
          <w:p w14:paraId="7EECF1F3" w14:textId="2763ECB4" w:rsidR="00347830" w:rsidRPr="00CD29D0" w:rsidRDefault="00347830" w:rsidP="003A5D77">
            <w:pPr>
              <w:pStyle w:val="TableSubheading"/>
            </w:pPr>
            <w:r w:rsidRPr="00CD29D0">
              <w:t>SMART Goals</w:t>
            </w:r>
          </w:p>
        </w:tc>
        <w:tc>
          <w:tcPr>
            <w:tcW w:w="5058" w:type="dxa"/>
          </w:tcPr>
          <w:p w14:paraId="25E38FE2" w14:textId="4CCD66C8" w:rsidR="00347830" w:rsidRPr="00CD29D0" w:rsidRDefault="00347830" w:rsidP="003A5D77">
            <w:pPr>
              <w:pStyle w:val="TableText"/>
            </w:pPr>
            <w:r w:rsidRPr="00CD29D0">
              <w:t>Progress Toward Professional Practice SMART Goal Evaluated</w:t>
            </w:r>
          </w:p>
        </w:tc>
        <w:tc>
          <w:tcPr>
            <w:tcW w:w="1436" w:type="dxa"/>
          </w:tcPr>
          <w:p w14:paraId="26139E94" w14:textId="3AC116ED" w:rsidR="00347830" w:rsidRPr="00BF36F6" w:rsidRDefault="00BF36F6" w:rsidP="003A5D77">
            <w:pPr>
              <w:pStyle w:val="TableTextCentered"/>
            </w:pPr>
            <w:r>
              <w:t>11/11</w:t>
            </w:r>
          </w:p>
        </w:tc>
        <w:tc>
          <w:tcPr>
            <w:tcW w:w="1436" w:type="dxa"/>
          </w:tcPr>
          <w:p w14:paraId="59B7668F" w14:textId="12E7DB04" w:rsidR="00347830" w:rsidRPr="008040FA" w:rsidRDefault="005E346E" w:rsidP="003A5D77">
            <w:pPr>
              <w:pStyle w:val="TableTextCentered"/>
            </w:pPr>
            <w:r>
              <w:t>7/7</w:t>
            </w:r>
          </w:p>
        </w:tc>
      </w:tr>
      <w:tr w:rsidR="00347830" w:rsidRPr="00CD29D0" w14:paraId="53BE3130" w14:textId="77777777" w:rsidTr="00B72D0C">
        <w:tc>
          <w:tcPr>
            <w:tcW w:w="1414" w:type="dxa"/>
          </w:tcPr>
          <w:p w14:paraId="3C151E40" w14:textId="3F7C82DE" w:rsidR="00347830" w:rsidRPr="00CD29D0" w:rsidRDefault="00347830" w:rsidP="003A5D77">
            <w:pPr>
              <w:pStyle w:val="TableSubheading"/>
            </w:pPr>
            <w:r w:rsidRPr="00CD29D0">
              <w:t>SMART Goals</w:t>
            </w:r>
          </w:p>
        </w:tc>
        <w:tc>
          <w:tcPr>
            <w:tcW w:w="5058" w:type="dxa"/>
          </w:tcPr>
          <w:p w14:paraId="028F28DB" w14:textId="5D55B532" w:rsidR="00347830" w:rsidRPr="00CD29D0" w:rsidRDefault="00347830" w:rsidP="003A5D77">
            <w:pPr>
              <w:pStyle w:val="TableText"/>
            </w:pPr>
            <w:r w:rsidRPr="00CD29D0">
              <w:t>2-4 School or District Improvement SMART Goals (admin only)</w:t>
            </w:r>
          </w:p>
        </w:tc>
        <w:tc>
          <w:tcPr>
            <w:tcW w:w="1436" w:type="dxa"/>
          </w:tcPr>
          <w:p w14:paraId="491F04A4" w14:textId="77777777" w:rsidR="00347830" w:rsidRPr="00BF36F6" w:rsidRDefault="00347830" w:rsidP="003A5D77">
            <w:pPr>
              <w:pStyle w:val="TableTextCentered"/>
            </w:pPr>
            <w:r w:rsidRPr="00BF36F6">
              <w:t>N/A</w:t>
            </w:r>
          </w:p>
        </w:tc>
        <w:tc>
          <w:tcPr>
            <w:tcW w:w="1436" w:type="dxa"/>
          </w:tcPr>
          <w:p w14:paraId="4601F26E" w14:textId="1AB74EE3" w:rsidR="00347830" w:rsidRPr="008040FA" w:rsidRDefault="00320084" w:rsidP="003A5D77">
            <w:pPr>
              <w:pStyle w:val="TableTextCentered"/>
            </w:pPr>
            <w:r>
              <w:t>0/7</w:t>
            </w:r>
          </w:p>
        </w:tc>
      </w:tr>
      <w:tr w:rsidR="00347830" w:rsidRPr="00CD29D0" w14:paraId="15EDD31C" w14:textId="77777777" w:rsidTr="00B72D0C">
        <w:tc>
          <w:tcPr>
            <w:tcW w:w="1414" w:type="dxa"/>
          </w:tcPr>
          <w:p w14:paraId="33380358" w14:textId="26B55172" w:rsidR="00347830" w:rsidRPr="00CD29D0" w:rsidRDefault="00347830" w:rsidP="003A5D77">
            <w:pPr>
              <w:pStyle w:val="TableSubheading"/>
            </w:pPr>
            <w:r w:rsidRPr="00CD29D0">
              <w:t>SMART Goals</w:t>
            </w:r>
          </w:p>
        </w:tc>
        <w:tc>
          <w:tcPr>
            <w:tcW w:w="5058" w:type="dxa"/>
          </w:tcPr>
          <w:p w14:paraId="4271E65D" w14:textId="0CD06ED1" w:rsidR="00347830" w:rsidRPr="00CD29D0" w:rsidRDefault="00347830" w:rsidP="003A5D77">
            <w:pPr>
              <w:pStyle w:val="TableText"/>
            </w:pPr>
            <w:r w:rsidRPr="00CD29D0">
              <w:t>Progress Toward School Improvement SMART Goals Evaluated</w:t>
            </w:r>
          </w:p>
        </w:tc>
        <w:tc>
          <w:tcPr>
            <w:tcW w:w="1436" w:type="dxa"/>
          </w:tcPr>
          <w:p w14:paraId="269F5527" w14:textId="77777777" w:rsidR="00347830" w:rsidRPr="00BF36F6" w:rsidRDefault="00347830" w:rsidP="003A5D77">
            <w:pPr>
              <w:pStyle w:val="TableTextCentered"/>
            </w:pPr>
            <w:r w:rsidRPr="00BF36F6">
              <w:t>N/A</w:t>
            </w:r>
          </w:p>
        </w:tc>
        <w:tc>
          <w:tcPr>
            <w:tcW w:w="1436" w:type="dxa"/>
          </w:tcPr>
          <w:p w14:paraId="49928B10" w14:textId="4527DC4E" w:rsidR="00347830" w:rsidRPr="008040FA" w:rsidRDefault="003F5555" w:rsidP="003A5D77">
            <w:pPr>
              <w:pStyle w:val="TableTextCentered"/>
            </w:pPr>
            <w:r>
              <w:t>7/7</w:t>
            </w:r>
          </w:p>
        </w:tc>
      </w:tr>
      <w:tr w:rsidR="00347830" w:rsidRPr="00CD29D0" w14:paraId="4D926200" w14:textId="77777777" w:rsidTr="00B72D0C">
        <w:tc>
          <w:tcPr>
            <w:tcW w:w="1414" w:type="dxa"/>
          </w:tcPr>
          <w:p w14:paraId="4837A8DD" w14:textId="1502513E" w:rsidR="00347830" w:rsidRPr="00CD29D0" w:rsidRDefault="00347830" w:rsidP="003A5D77">
            <w:pPr>
              <w:pStyle w:val="TableSubheading"/>
            </w:pPr>
            <w:r w:rsidRPr="00CD29D0">
              <w:t>Evidence</w:t>
            </w:r>
          </w:p>
        </w:tc>
        <w:tc>
          <w:tcPr>
            <w:tcW w:w="5058" w:type="dxa"/>
          </w:tcPr>
          <w:p w14:paraId="74077311" w14:textId="09637978" w:rsidR="00347830" w:rsidRPr="00CD29D0" w:rsidRDefault="00347830" w:rsidP="003A5D77">
            <w:pPr>
              <w:pStyle w:val="TableText"/>
            </w:pPr>
            <w:r w:rsidRPr="00CD29D0">
              <w:t>Included Multiple Sources of Evidence for Each Standard</w:t>
            </w:r>
          </w:p>
        </w:tc>
        <w:tc>
          <w:tcPr>
            <w:tcW w:w="1436" w:type="dxa"/>
          </w:tcPr>
          <w:p w14:paraId="5CD640B8" w14:textId="1C99654E" w:rsidR="00347830" w:rsidRPr="00BF36F6" w:rsidRDefault="00BF36F6" w:rsidP="003A5D77">
            <w:pPr>
              <w:pStyle w:val="TableTextCentered"/>
            </w:pPr>
            <w:r>
              <w:t>11/11</w:t>
            </w:r>
          </w:p>
        </w:tc>
        <w:tc>
          <w:tcPr>
            <w:tcW w:w="1436" w:type="dxa"/>
          </w:tcPr>
          <w:p w14:paraId="227DC244" w14:textId="7ED79273" w:rsidR="00347830" w:rsidRPr="008040FA" w:rsidRDefault="00EA6B83" w:rsidP="003A5D77">
            <w:pPr>
              <w:pStyle w:val="TableTextCentered"/>
            </w:pPr>
            <w:r>
              <w:t>6/7</w:t>
            </w:r>
          </w:p>
        </w:tc>
      </w:tr>
      <w:tr w:rsidR="00347830" w:rsidRPr="00CD29D0" w14:paraId="67AF6E69" w14:textId="77777777" w:rsidTr="00B72D0C">
        <w:tc>
          <w:tcPr>
            <w:tcW w:w="1414" w:type="dxa"/>
          </w:tcPr>
          <w:p w14:paraId="1AF396CF" w14:textId="14F36E4D" w:rsidR="00347830" w:rsidRPr="00CD29D0" w:rsidRDefault="00347830" w:rsidP="003A5D77">
            <w:pPr>
              <w:pStyle w:val="TableSubheading"/>
            </w:pPr>
            <w:r w:rsidRPr="00CD29D0">
              <w:t>Ratings</w:t>
            </w:r>
          </w:p>
        </w:tc>
        <w:tc>
          <w:tcPr>
            <w:tcW w:w="5058" w:type="dxa"/>
          </w:tcPr>
          <w:p w14:paraId="48AD21B1" w14:textId="1056609F" w:rsidR="00347830" w:rsidRPr="00CD29D0" w:rsidRDefault="00347830" w:rsidP="003A5D77">
            <w:pPr>
              <w:pStyle w:val="TableText"/>
            </w:pPr>
            <w:r w:rsidRPr="00CD29D0">
              <w:t>Included Ratings for Each Standard</w:t>
            </w:r>
          </w:p>
        </w:tc>
        <w:tc>
          <w:tcPr>
            <w:tcW w:w="1436" w:type="dxa"/>
          </w:tcPr>
          <w:p w14:paraId="34F24C82" w14:textId="43D027B2" w:rsidR="00347830" w:rsidRPr="00BF36F6" w:rsidRDefault="00BF36F6" w:rsidP="003A5D77">
            <w:pPr>
              <w:pStyle w:val="TableTextCentered"/>
            </w:pPr>
            <w:r>
              <w:t>11/11</w:t>
            </w:r>
          </w:p>
        </w:tc>
        <w:tc>
          <w:tcPr>
            <w:tcW w:w="1436" w:type="dxa"/>
          </w:tcPr>
          <w:p w14:paraId="4E6DDC76" w14:textId="2942FDDC" w:rsidR="00347830" w:rsidRPr="008040FA" w:rsidRDefault="00EA6B83" w:rsidP="003A5D77">
            <w:pPr>
              <w:pStyle w:val="TableTextCentered"/>
            </w:pPr>
            <w:r>
              <w:t>7/7</w:t>
            </w:r>
          </w:p>
        </w:tc>
      </w:tr>
      <w:tr w:rsidR="00347830" w:rsidRPr="00CD29D0" w14:paraId="1AE0BE79" w14:textId="77777777" w:rsidTr="00B72D0C">
        <w:tc>
          <w:tcPr>
            <w:tcW w:w="1414" w:type="dxa"/>
          </w:tcPr>
          <w:p w14:paraId="30C7FDEC" w14:textId="59DB2AFB" w:rsidR="00347830" w:rsidRPr="00CD29D0" w:rsidRDefault="00347830" w:rsidP="003A5D77">
            <w:pPr>
              <w:pStyle w:val="TableSubheading"/>
            </w:pPr>
            <w:r w:rsidRPr="00CD29D0">
              <w:t>Ratings</w:t>
            </w:r>
          </w:p>
        </w:tc>
        <w:tc>
          <w:tcPr>
            <w:tcW w:w="5058" w:type="dxa"/>
          </w:tcPr>
          <w:p w14:paraId="502BA04A" w14:textId="0E5A1443" w:rsidR="00347830" w:rsidRPr="00CD29D0" w:rsidRDefault="00347830" w:rsidP="003A5D77">
            <w:pPr>
              <w:pStyle w:val="TableText"/>
            </w:pPr>
            <w:r w:rsidRPr="00CD29D0">
              <w:t>Included Overall Rating</w:t>
            </w:r>
          </w:p>
        </w:tc>
        <w:tc>
          <w:tcPr>
            <w:tcW w:w="1436" w:type="dxa"/>
          </w:tcPr>
          <w:p w14:paraId="34B1112C" w14:textId="238FA0A5" w:rsidR="00347830" w:rsidRPr="00BF36F6" w:rsidRDefault="00BF36F6" w:rsidP="003A5D77">
            <w:pPr>
              <w:pStyle w:val="TableTextCentered"/>
            </w:pPr>
            <w:r>
              <w:t>11/11</w:t>
            </w:r>
          </w:p>
        </w:tc>
        <w:tc>
          <w:tcPr>
            <w:tcW w:w="1436" w:type="dxa"/>
          </w:tcPr>
          <w:p w14:paraId="07EC9A1B" w14:textId="7CB2E023" w:rsidR="00347830" w:rsidRPr="008040FA" w:rsidRDefault="00FD1207" w:rsidP="003A5D77">
            <w:pPr>
              <w:pStyle w:val="TableTextCentered"/>
            </w:pPr>
            <w:r>
              <w:t>7/7</w:t>
            </w:r>
          </w:p>
        </w:tc>
      </w:tr>
      <w:tr w:rsidR="00347830" w:rsidRPr="00CD29D0" w14:paraId="242ED7C1" w14:textId="77777777" w:rsidTr="00B72D0C">
        <w:tc>
          <w:tcPr>
            <w:tcW w:w="1414" w:type="dxa"/>
          </w:tcPr>
          <w:p w14:paraId="5B26A1C3" w14:textId="480CC310" w:rsidR="00347830" w:rsidRPr="00CD29D0" w:rsidRDefault="00347830" w:rsidP="003A5D77">
            <w:pPr>
              <w:pStyle w:val="TableSubheading"/>
            </w:pPr>
            <w:r w:rsidRPr="00CD29D0">
              <w:t>Feedback</w:t>
            </w:r>
          </w:p>
        </w:tc>
        <w:tc>
          <w:tcPr>
            <w:tcW w:w="5058" w:type="dxa"/>
          </w:tcPr>
          <w:p w14:paraId="107DB120" w14:textId="5CC5698F" w:rsidR="00347830" w:rsidRPr="00CD29D0" w:rsidRDefault="00347830" w:rsidP="003A5D77">
            <w:pPr>
              <w:pStyle w:val="TableText"/>
            </w:pPr>
            <w:r w:rsidRPr="00CD29D0">
              <w:t>Contained Feedback on Each Standard</w:t>
            </w:r>
          </w:p>
        </w:tc>
        <w:tc>
          <w:tcPr>
            <w:tcW w:w="1436" w:type="dxa"/>
          </w:tcPr>
          <w:p w14:paraId="4100C38F" w14:textId="5812B0A2" w:rsidR="00347830" w:rsidRPr="00BF36F6" w:rsidRDefault="00BF36F6" w:rsidP="003A5D77">
            <w:pPr>
              <w:pStyle w:val="TableTextCentered"/>
            </w:pPr>
            <w:r>
              <w:t>11/11</w:t>
            </w:r>
          </w:p>
        </w:tc>
        <w:tc>
          <w:tcPr>
            <w:tcW w:w="1436" w:type="dxa"/>
          </w:tcPr>
          <w:p w14:paraId="555B21DC" w14:textId="7541CEAD" w:rsidR="00347830" w:rsidRPr="008040FA" w:rsidRDefault="002D3C7D" w:rsidP="003A5D77">
            <w:pPr>
              <w:pStyle w:val="TableTextCentered"/>
            </w:pPr>
            <w:r>
              <w:t>6/7</w:t>
            </w:r>
          </w:p>
        </w:tc>
      </w:tr>
      <w:tr w:rsidR="00347830" w:rsidRPr="00CD29D0" w14:paraId="1D00852E" w14:textId="77777777" w:rsidTr="00B72D0C">
        <w:tc>
          <w:tcPr>
            <w:tcW w:w="1414" w:type="dxa"/>
          </w:tcPr>
          <w:p w14:paraId="1DA85C79" w14:textId="2CA41B86" w:rsidR="00347830" w:rsidRPr="00CD29D0" w:rsidRDefault="00347830" w:rsidP="003A5D77">
            <w:pPr>
              <w:pStyle w:val="TableSubheading"/>
            </w:pPr>
            <w:r w:rsidRPr="00CD29D0">
              <w:t>Feedback</w:t>
            </w:r>
          </w:p>
        </w:tc>
        <w:tc>
          <w:tcPr>
            <w:tcW w:w="5058" w:type="dxa"/>
          </w:tcPr>
          <w:p w14:paraId="3417D0FE" w14:textId="09F52C12" w:rsidR="00347830" w:rsidRPr="00CD29D0" w:rsidRDefault="00347830" w:rsidP="003A5D77">
            <w:pPr>
              <w:pStyle w:val="TableText"/>
            </w:pPr>
            <w:r w:rsidRPr="00CD29D0">
              <w:t>Contained Positive Feedback</w:t>
            </w:r>
          </w:p>
        </w:tc>
        <w:tc>
          <w:tcPr>
            <w:tcW w:w="1436" w:type="dxa"/>
          </w:tcPr>
          <w:p w14:paraId="10B97DDD" w14:textId="42DF88F4" w:rsidR="00347830" w:rsidRPr="00BF36F6" w:rsidRDefault="00D87976" w:rsidP="003A5D77">
            <w:pPr>
              <w:pStyle w:val="TableTextCentered"/>
            </w:pPr>
            <w:r>
              <w:t>11/11</w:t>
            </w:r>
          </w:p>
        </w:tc>
        <w:tc>
          <w:tcPr>
            <w:tcW w:w="1436" w:type="dxa"/>
          </w:tcPr>
          <w:p w14:paraId="371E35BE" w14:textId="1B94EEFE" w:rsidR="00347830" w:rsidRPr="008040FA" w:rsidRDefault="002D3C7D" w:rsidP="003A5D77">
            <w:pPr>
              <w:pStyle w:val="TableTextCentered"/>
            </w:pPr>
            <w:r>
              <w:t>6/7</w:t>
            </w:r>
          </w:p>
        </w:tc>
      </w:tr>
      <w:tr w:rsidR="00347830" w:rsidRPr="00CD29D0" w14:paraId="18460CCE" w14:textId="77777777" w:rsidTr="00B72D0C">
        <w:tc>
          <w:tcPr>
            <w:tcW w:w="1414" w:type="dxa"/>
          </w:tcPr>
          <w:p w14:paraId="4E3DAEA8" w14:textId="2EC0ADEF" w:rsidR="00347830" w:rsidRPr="00CD29D0" w:rsidRDefault="00347830" w:rsidP="003A5D77">
            <w:pPr>
              <w:pStyle w:val="TableSubheading"/>
            </w:pPr>
            <w:r w:rsidRPr="00CD29D0">
              <w:t>Feedback</w:t>
            </w:r>
          </w:p>
        </w:tc>
        <w:tc>
          <w:tcPr>
            <w:tcW w:w="5058" w:type="dxa"/>
          </w:tcPr>
          <w:p w14:paraId="3801F04E" w14:textId="7C4716AC" w:rsidR="00347830" w:rsidRPr="00CD29D0" w:rsidRDefault="00347830" w:rsidP="003A5D77">
            <w:pPr>
              <w:pStyle w:val="TableText"/>
            </w:pPr>
            <w:r w:rsidRPr="00CD29D0">
              <w:t>Contained Constructive Feedback</w:t>
            </w:r>
          </w:p>
        </w:tc>
        <w:tc>
          <w:tcPr>
            <w:tcW w:w="1436" w:type="dxa"/>
          </w:tcPr>
          <w:p w14:paraId="3D6CBBD3" w14:textId="4D18CD1C" w:rsidR="00347830" w:rsidRPr="00BF36F6" w:rsidRDefault="00D87976" w:rsidP="003A5D77">
            <w:pPr>
              <w:pStyle w:val="TableTextCentered"/>
            </w:pPr>
            <w:r>
              <w:t>4/11</w:t>
            </w:r>
          </w:p>
        </w:tc>
        <w:tc>
          <w:tcPr>
            <w:tcW w:w="1436" w:type="dxa"/>
          </w:tcPr>
          <w:p w14:paraId="0F6E5F2D" w14:textId="735AE851" w:rsidR="00347830" w:rsidRPr="008040FA" w:rsidRDefault="002D3C7D" w:rsidP="003A5D77">
            <w:pPr>
              <w:pStyle w:val="TableTextCentered"/>
            </w:pPr>
            <w:r>
              <w:t>6/7</w:t>
            </w:r>
          </w:p>
        </w:tc>
      </w:tr>
    </w:tbl>
    <w:bookmarkEnd w:id="51"/>
    <w:p w14:paraId="772E6862" w14:textId="3E00237D" w:rsidR="00D56030" w:rsidRPr="00CD29D0" w:rsidRDefault="00D56030" w:rsidP="003A5D77">
      <w:pPr>
        <w:pStyle w:val="TableNote"/>
      </w:pPr>
      <w:r w:rsidRPr="00CD29D0">
        <w:rPr>
          <w:i/>
          <w:iCs/>
        </w:rPr>
        <w:t>Note</w:t>
      </w:r>
      <w:r w:rsidRPr="00CD29D0">
        <w:t xml:space="preserve">: SMART = specific, measurable, achievable, </w:t>
      </w:r>
      <w:r w:rsidR="00C03693" w:rsidRPr="00CD29D0">
        <w:t>realistic,</w:t>
      </w:r>
      <w:r w:rsidRPr="00CD29D0">
        <w:t xml:space="preserve"> and timely.</w:t>
      </w:r>
    </w:p>
    <w:p w14:paraId="604C1965" w14:textId="77777777" w:rsidR="000F3AA5" w:rsidRDefault="000F3AA5" w:rsidP="000F3AA5"/>
    <w:p w14:paraId="3D012A00" w14:textId="058F2A08" w:rsidR="000F3AA5" w:rsidRDefault="000F3AA5" w:rsidP="000F3AA5">
      <w:r w:rsidRPr="003848AF">
        <w:t xml:space="preserve">District records indicate that teacher evaluations are consistently completed using </w:t>
      </w:r>
      <w:r>
        <w:t xml:space="preserve">Vector Solutions. </w:t>
      </w:r>
      <w:r w:rsidRPr="003848AF">
        <w:t xml:space="preserve">AIR used simple random sampling to select </w:t>
      </w:r>
      <w:r>
        <w:t>11</w:t>
      </w:r>
      <w:r w:rsidRPr="003848AF">
        <w:t xml:space="preserve"> teachers due for summative evaluation</w:t>
      </w:r>
      <w:r>
        <w:t>s</w:t>
      </w:r>
      <w:r w:rsidRPr="003848AF">
        <w:t xml:space="preserve">. Of the </w:t>
      </w:r>
      <w:r>
        <w:t>11</w:t>
      </w:r>
      <w:r w:rsidRPr="003848AF">
        <w:t xml:space="preserve"> teacher evaluations selected for review, </w:t>
      </w:r>
      <w:r>
        <w:t>all (11)</w:t>
      </w:r>
      <w:r w:rsidRPr="003848AF">
        <w:t xml:space="preserve"> had a summative evaluation available for review.</w:t>
      </w:r>
      <w:r>
        <w:t xml:space="preserve"> </w:t>
      </w:r>
      <w:r w:rsidRPr="003848AF">
        <w:t xml:space="preserve">Of </w:t>
      </w:r>
      <w:r w:rsidRPr="003848AF">
        <w:lastRenderedPageBreak/>
        <w:t xml:space="preserve">the </w:t>
      </w:r>
      <w:r>
        <w:t xml:space="preserve">11 </w:t>
      </w:r>
      <w:r w:rsidRPr="003848AF">
        <w:t>available evaluations, all (</w:t>
      </w:r>
      <w:r>
        <w:t>11</w:t>
      </w:r>
      <w:r w:rsidRPr="003848AF">
        <w:t xml:space="preserve">) were complete and included all required components, such as a rating for each standard or an overall rating. </w:t>
      </w:r>
      <w:r>
        <w:t>All (11)</w:t>
      </w:r>
      <w:r w:rsidRPr="003848AF">
        <w:t xml:space="preserve"> reviewed evaluation documents included a student learning SMART goal and a professional practice SMART goal, and all </w:t>
      </w:r>
      <w:r>
        <w:t xml:space="preserve">(11) </w:t>
      </w:r>
      <w:r w:rsidRPr="003848AF">
        <w:t>teachers’ progress toward their student learning and professional SMART goals were evaluated.</w:t>
      </w:r>
    </w:p>
    <w:p w14:paraId="70B50908" w14:textId="77777777" w:rsidR="000F3AA5" w:rsidRDefault="000F3AA5" w:rsidP="000F3AA5"/>
    <w:p w14:paraId="6C28593C" w14:textId="77777777" w:rsidR="000F3AA5" w:rsidRDefault="000F3AA5" w:rsidP="000F3AA5">
      <w:r>
        <w:t>A</w:t>
      </w:r>
      <w:r w:rsidRPr="003848AF">
        <w:t xml:space="preserve">ll evaluations reviewed included multiple sources of evidence, such as observations, student work samples, or other evidence supporting progress toward student learning goals, professional learning goals, standards, and indicators. </w:t>
      </w:r>
      <w:r>
        <w:t>A</w:t>
      </w:r>
      <w:r w:rsidRPr="003848AF">
        <w:t xml:space="preserve">ll </w:t>
      </w:r>
      <w:r>
        <w:t>(11)</w:t>
      </w:r>
      <w:r w:rsidRPr="003848AF">
        <w:t xml:space="preserve"> summative evaluations included feedback for each standard and </w:t>
      </w:r>
      <w:r>
        <w:t xml:space="preserve">all evaluations included </w:t>
      </w:r>
      <w:r w:rsidRPr="003848AF">
        <w:t>overall feedback related to the teacher’s overall rating.</w:t>
      </w:r>
      <w:r>
        <w:t xml:space="preserve"> Additionally, all</w:t>
      </w:r>
      <w:r w:rsidRPr="003848AF">
        <w:t xml:space="preserve"> (100 percen</w:t>
      </w:r>
      <w:r>
        <w:t xml:space="preserve">t) teacher evaluations contained </w:t>
      </w:r>
      <w:r w:rsidRPr="003848AF">
        <w:t xml:space="preserve">positive </w:t>
      </w:r>
      <w:r>
        <w:t xml:space="preserve">written </w:t>
      </w:r>
      <w:r w:rsidRPr="003848AF">
        <w:t>feedback</w:t>
      </w:r>
      <w:r>
        <w:t xml:space="preserve">, while </w:t>
      </w:r>
      <w:r w:rsidRPr="003848AF">
        <w:t xml:space="preserve">only </w:t>
      </w:r>
      <w:r>
        <w:t xml:space="preserve">4 </w:t>
      </w:r>
      <w:r w:rsidRPr="003848AF">
        <w:t xml:space="preserve">out of </w:t>
      </w:r>
      <w:r>
        <w:t>11</w:t>
      </w:r>
      <w:r w:rsidRPr="003848AF">
        <w:t xml:space="preserve"> (</w:t>
      </w:r>
      <w:r>
        <w:t>36</w:t>
      </w:r>
      <w:r w:rsidRPr="003848AF">
        <w:t xml:space="preserve"> percent) contained constructive feedback</w:t>
      </w:r>
      <w:r>
        <w:t>.</w:t>
      </w:r>
    </w:p>
    <w:p w14:paraId="62F45133" w14:textId="77777777" w:rsidR="000F3AA5" w:rsidRDefault="000F3AA5" w:rsidP="000F3AA5">
      <w:r>
        <w:t xml:space="preserve"> </w:t>
      </w:r>
    </w:p>
    <w:p w14:paraId="51DBFBDA" w14:textId="46F3FA5D" w:rsidR="000F3AA5" w:rsidRDefault="000F3AA5" w:rsidP="000F3AA5">
      <w:r w:rsidRPr="003848AF">
        <w:t xml:space="preserve">District records also show administration evaluations </w:t>
      </w:r>
      <w:r>
        <w:t>are completed using Vector Solutions apart from the superintendent’s summative evaluation. The district provided</w:t>
      </w:r>
      <w:r w:rsidRPr="003848AF">
        <w:t xml:space="preserve"> </w:t>
      </w:r>
      <w:r>
        <w:t xml:space="preserve">7 </w:t>
      </w:r>
      <w:r w:rsidRPr="003848AF">
        <w:t>administrative district staff who were due for a summative evaluation for the 202</w:t>
      </w:r>
      <w:r>
        <w:t>4</w:t>
      </w:r>
      <w:r w:rsidRPr="003848AF">
        <w:t>-202</w:t>
      </w:r>
      <w:r>
        <w:t>5</w:t>
      </w:r>
      <w:r w:rsidRPr="003848AF">
        <w:t xml:space="preserve"> school year. </w:t>
      </w:r>
      <w:r>
        <w:t>All (7)</w:t>
      </w:r>
      <w:r w:rsidRPr="003848AF">
        <w:t xml:space="preserve"> summative evaluations included student learning</w:t>
      </w:r>
      <w:r>
        <w:t xml:space="preserve"> and</w:t>
      </w:r>
      <w:r w:rsidRPr="003848AF">
        <w:t xml:space="preserve"> professional practice</w:t>
      </w:r>
      <w:r>
        <w:t>. Nearly all (6) of administrative evaluations included one school improvement goal</w:t>
      </w:r>
      <w:r w:rsidR="00145872">
        <w:t>, but none included at least two</w:t>
      </w:r>
      <w:r>
        <w:t xml:space="preserve">. </w:t>
      </w:r>
      <w:r w:rsidR="00171DEE">
        <w:t xml:space="preserve">Although six of the evaluations explicitly included a school improvement goal, the seventh evaluation indicated progress toward a </w:t>
      </w:r>
      <w:r w:rsidR="00FC0F5E">
        <w:t>school improvement</w:t>
      </w:r>
      <w:r w:rsidR="00171DEE">
        <w:t xml:space="preserve"> goal that was not included on the summative evaluation or the goalsetting form.</w:t>
      </w:r>
      <w:r w:rsidR="00BD3571">
        <w:t xml:space="preserve"> </w:t>
      </w:r>
      <w:r>
        <w:t>In terms of written</w:t>
      </w:r>
      <w:r w:rsidR="005822D5">
        <w:t xml:space="preserve"> feedback</w:t>
      </w:r>
      <w:r>
        <w:t xml:space="preserve">, nearly all (6) evaluations included positive feedback identifying the administrator’s strengths and areas for improvement for each administrator. </w:t>
      </w:r>
    </w:p>
    <w:p w14:paraId="7F59AA5D" w14:textId="77777777" w:rsidR="000F3AA5" w:rsidRDefault="000F3AA5" w:rsidP="000F3AA5"/>
    <w:p w14:paraId="2DE9BFA0" w14:textId="01922747" w:rsidR="000F3AA5" w:rsidRDefault="000F3AA5" w:rsidP="000F3AA5">
      <w:bookmarkStart w:id="52" w:name="_Professional_Learning"/>
      <w:bookmarkEnd w:id="52"/>
      <w:r w:rsidRPr="003848AF">
        <w:t xml:space="preserve">In summary, teacher </w:t>
      </w:r>
      <w:r>
        <w:t xml:space="preserve">and administrator </w:t>
      </w:r>
      <w:r w:rsidRPr="003848AF">
        <w:t xml:space="preserve">evaluations included </w:t>
      </w:r>
      <w:r w:rsidR="005822D5">
        <w:t xml:space="preserve">nearly </w:t>
      </w:r>
      <w:r w:rsidRPr="003848AF">
        <w:t>all the required components, including performance ratings</w:t>
      </w:r>
      <w:r>
        <w:t xml:space="preserve">, </w:t>
      </w:r>
      <w:r w:rsidRPr="003848AF">
        <w:t>progress toward SMART goals</w:t>
      </w:r>
      <w:r>
        <w:t>, and written feedback for each standard</w:t>
      </w:r>
      <w:r w:rsidRPr="003848AF">
        <w:t>. Teacher</w:t>
      </w:r>
      <w:r>
        <w:t xml:space="preserve"> and administrator</w:t>
      </w:r>
      <w:r w:rsidRPr="003848AF">
        <w:t xml:space="preserve"> evaluations</w:t>
      </w:r>
      <w:r>
        <w:t xml:space="preserve"> also </w:t>
      </w:r>
      <w:r w:rsidRPr="003848AF">
        <w:t>consistently include</w:t>
      </w:r>
      <w:r>
        <w:t>d positive feedback (practices teachers should continue)</w:t>
      </w:r>
      <w:r w:rsidR="00F50CBA">
        <w:t xml:space="preserve">; </w:t>
      </w:r>
      <w:r>
        <w:t>however, teacher evaluations infrequently provided staff with areas of</w:t>
      </w:r>
      <w:r w:rsidRPr="003848AF">
        <w:t xml:space="preserve"> improvement or growt</w:t>
      </w:r>
      <w:r>
        <w:t>h.</w:t>
      </w:r>
      <w:r w:rsidR="00632E64">
        <w:t xml:space="preserve"> Ensuring that teacher evaluations include </w:t>
      </w:r>
      <w:r w:rsidR="00187FE2">
        <w:t>constructive, actionable feedback is an area of growth for the district.</w:t>
      </w:r>
    </w:p>
    <w:p w14:paraId="33F03CA2" w14:textId="01E546C6" w:rsidR="00444346" w:rsidRPr="00CD29D0" w:rsidRDefault="00444346" w:rsidP="006A2A76">
      <w:pPr>
        <w:pStyle w:val="Heading3"/>
      </w:pPr>
      <w:r w:rsidRPr="00CD29D0">
        <w:t>Professional Learning</w:t>
      </w:r>
    </w:p>
    <w:p w14:paraId="63AD5886" w14:textId="075769FF" w:rsidR="00E809CA" w:rsidRPr="00CD29D0" w:rsidRDefault="00E809CA" w:rsidP="003A5D77">
      <w:pPr>
        <w:pStyle w:val="BodyTextposthead"/>
      </w:pPr>
      <w:r w:rsidRPr="00CD29D0">
        <w:t>District and school leaders describe</w:t>
      </w:r>
      <w:r w:rsidR="00A807AF" w:rsidRPr="00CD29D0">
        <w:t>d</w:t>
      </w:r>
      <w:r w:rsidRPr="00CD29D0">
        <w:t xml:space="preserve"> a </w:t>
      </w:r>
      <w:r w:rsidR="7466F00E" w:rsidRPr="00CD29D0">
        <w:t>multiyear</w:t>
      </w:r>
      <w:r w:rsidRPr="00CD29D0">
        <w:t>, coherent professional learning system built around IMTSS, data literacy, and high</w:t>
      </w:r>
      <w:r w:rsidR="00A807AF" w:rsidRPr="00CD29D0">
        <w:t>-</w:t>
      </w:r>
      <w:r w:rsidRPr="00CD29D0">
        <w:t xml:space="preserve">impact teacher teaming. </w:t>
      </w:r>
      <w:r w:rsidR="00A807AF" w:rsidRPr="00CD29D0">
        <w:t>S</w:t>
      </w:r>
      <w:r w:rsidRPr="00CD29D0">
        <w:t xml:space="preserve">uperintendent </w:t>
      </w:r>
      <w:r w:rsidR="00A807AF" w:rsidRPr="00CD29D0">
        <w:t xml:space="preserve">O’Neill </w:t>
      </w:r>
      <w:r w:rsidRPr="00CD29D0">
        <w:t>explain</w:t>
      </w:r>
      <w:r w:rsidR="00A807AF" w:rsidRPr="00CD29D0">
        <w:t>ed</w:t>
      </w:r>
      <w:r w:rsidRPr="00CD29D0">
        <w:t xml:space="preserve"> that the district has invested in multiyear professional development partnerships with the University of Missouri and conducted districtwide summer training with RBT on high</w:t>
      </w:r>
      <w:r w:rsidR="00A807AF" w:rsidRPr="00CD29D0">
        <w:t>-</w:t>
      </w:r>
      <w:r w:rsidRPr="00CD29D0">
        <w:t>impact teacher teams. The assistant superintendent report</w:t>
      </w:r>
      <w:r w:rsidR="00A807AF" w:rsidRPr="00CD29D0">
        <w:t>ed</w:t>
      </w:r>
      <w:r w:rsidRPr="00CD29D0">
        <w:t xml:space="preserve"> overseeing curriculum</w:t>
      </w:r>
      <w:r w:rsidR="00A807AF" w:rsidRPr="00CD29D0">
        <w:t xml:space="preserve"> and</w:t>
      </w:r>
      <w:r w:rsidRPr="00CD29D0">
        <w:t xml:space="preserve"> grant</w:t>
      </w:r>
      <w:r w:rsidR="00A807AF" w:rsidRPr="00CD29D0">
        <w:t>-</w:t>
      </w:r>
      <w:r w:rsidRPr="00CD29D0">
        <w:t>funded professional development, including grants used to embed WIDA standards into curriculum maps.</w:t>
      </w:r>
    </w:p>
    <w:p w14:paraId="7CFC3D44" w14:textId="65FBFFCE" w:rsidR="00A45A08" w:rsidRPr="00CD29D0" w:rsidRDefault="005B1C44" w:rsidP="003A5D77">
      <w:pPr>
        <w:pStyle w:val="BodyText"/>
      </w:pPr>
      <w:r w:rsidRPr="00CD29D0">
        <w:t>Teachers confirm</w:t>
      </w:r>
      <w:r w:rsidR="00D54CFD" w:rsidRPr="00CD29D0">
        <w:t>ed</w:t>
      </w:r>
      <w:r w:rsidRPr="00CD29D0">
        <w:t xml:space="preserve"> participation in research</w:t>
      </w:r>
      <w:r w:rsidR="00D54CFD" w:rsidRPr="00CD29D0">
        <w:t>-</w:t>
      </w:r>
      <w:r w:rsidRPr="00CD29D0">
        <w:t>based professional development, including the RBT summer institute, ongoing IMTSS training, and curriculum</w:t>
      </w:r>
      <w:r w:rsidR="00D54CFD" w:rsidRPr="00CD29D0">
        <w:t>-</w:t>
      </w:r>
      <w:r w:rsidRPr="00CD29D0">
        <w:t>aligned professional development in ELA, math, and science. High school teachers describe</w:t>
      </w:r>
      <w:r w:rsidR="00D54CFD" w:rsidRPr="00CD29D0">
        <w:t>d</w:t>
      </w:r>
      <w:r w:rsidRPr="00CD29D0">
        <w:t xml:space="preserve"> professional development on systems </w:t>
      </w:r>
      <w:r w:rsidR="00D54CFD" w:rsidRPr="00CD29D0">
        <w:t xml:space="preserve">(e.g., </w:t>
      </w:r>
      <w:r w:rsidRPr="00CD29D0">
        <w:t>MyFlex, SWIS, AI</w:t>
      </w:r>
      <w:r w:rsidR="5F61D182" w:rsidRPr="00CD29D0">
        <w:t>-r</w:t>
      </w:r>
      <w:r w:rsidRPr="00CD29D0">
        <w:t>elated initiatives</w:t>
      </w:r>
      <w:r w:rsidR="00D54CFD" w:rsidRPr="00CD29D0">
        <w:t>)</w:t>
      </w:r>
      <w:r w:rsidR="00E99FFA" w:rsidRPr="00CD29D0">
        <w:t xml:space="preserve">. </w:t>
      </w:r>
      <w:r w:rsidR="15F091F3" w:rsidRPr="00CD29D0">
        <w:t>Through</w:t>
      </w:r>
      <w:r w:rsidR="00E99FFA" w:rsidRPr="00CD29D0">
        <w:t xml:space="preserve"> the MassCue PEAK partnership, Norton was selected </w:t>
      </w:r>
      <w:r w:rsidR="42F21FFC" w:rsidRPr="00CD29D0">
        <w:t xml:space="preserve">as part of the first cohort of </w:t>
      </w:r>
      <w:r w:rsidR="1280346B" w:rsidRPr="00CD29D0">
        <w:t>districts</w:t>
      </w:r>
      <w:r w:rsidR="42F21FFC" w:rsidRPr="00CD29D0">
        <w:t xml:space="preserve"> to </w:t>
      </w:r>
      <w:r w:rsidR="6C5CB1E9" w:rsidRPr="00CD29D0">
        <w:t>receive</w:t>
      </w:r>
      <w:r w:rsidR="42F21FFC" w:rsidRPr="00CD29D0">
        <w:t xml:space="preserve"> this type of </w:t>
      </w:r>
      <w:r w:rsidR="00D54CFD" w:rsidRPr="00CD29D0">
        <w:t xml:space="preserve">professional development </w:t>
      </w:r>
      <w:r w:rsidR="42F21FFC" w:rsidRPr="00CD29D0">
        <w:t>training.</w:t>
      </w:r>
      <w:r w:rsidRPr="00CD29D0">
        <w:t xml:space="preserve"> </w:t>
      </w:r>
      <w:r w:rsidR="00D54CFD" w:rsidRPr="00CD29D0">
        <w:t>T</w:t>
      </w:r>
      <w:r w:rsidRPr="00CD29D0">
        <w:t xml:space="preserve">eachers </w:t>
      </w:r>
      <w:r w:rsidRPr="00CD29D0">
        <w:lastRenderedPageBreak/>
        <w:t>at all levels report</w:t>
      </w:r>
      <w:r w:rsidR="00D54CFD" w:rsidRPr="00CD29D0">
        <w:t>ed</w:t>
      </w:r>
      <w:r w:rsidRPr="00CD29D0">
        <w:t xml:space="preserve"> clear structures for collaboration (see Effective Instruction and Curricular Implementation for more information on collaborative planning structures)</w:t>
      </w:r>
      <w:r w:rsidR="00A45A08" w:rsidRPr="00CD29D0">
        <w:t>.</w:t>
      </w:r>
    </w:p>
    <w:p w14:paraId="6A10619E" w14:textId="11F8176F" w:rsidR="00A45A08" w:rsidRPr="00CD29D0" w:rsidRDefault="009F4A0A" w:rsidP="003A5D77">
      <w:pPr>
        <w:pStyle w:val="BodyText"/>
      </w:pPr>
      <w:r w:rsidRPr="00CD29D0">
        <w:t>District and school leaders alike demonstrate</w:t>
      </w:r>
      <w:r w:rsidR="00950C3D" w:rsidRPr="00CD29D0">
        <w:t>d</w:t>
      </w:r>
      <w:r w:rsidRPr="00CD29D0">
        <w:t xml:space="preserve"> a structured, districtwide system for observation and feedback. </w:t>
      </w:r>
      <w:r w:rsidR="00950C3D" w:rsidRPr="00CD29D0">
        <w:t>S</w:t>
      </w:r>
      <w:r w:rsidRPr="00CD29D0">
        <w:t xml:space="preserve">uperintendent </w:t>
      </w:r>
      <w:r w:rsidR="00950C3D" w:rsidRPr="00CD29D0">
        <w:t xml:space="preserve">O’Neill </w:t>
      </w:r>
      <w:r w:rsidRPr="00CD29D0">
        <w:t>report</w:t>
      </w:r>
      <w:r w:rsidR="00950C3D" w:rsidRPr="00CD29D0">
        <w:t>ed</w:t>
      </w:r>
      <w:r w:rsidRPr="00CD29D0">
        <w:t xml:space="preserve"> conducting regular learning walks with principals approximately every other month in each building, focusing on district professional learning priorities </w:t>
      </w:r>
      <w:r w:rsidR="00950C3D" w:rsidRPr="00CD29D0">
        <w:t>(e.g.,</w:t>
      </w:r>
      <w:r w:rsidRPr="00CD29D0">
        <w:t xml:space="preserve"> learning objectives, student engagement, use of formative assessment</w:t>
      </w:r>
      <w:r w:rsidR="00950C3D" w:rsidRPr="00CD29D0">
        <w:t>)</w:t>
      </w:r>
      <w:r w:rsidRPr="00CD29D0">
        <w:t>. Teachers describe</w:t>
      </w:r>
      <w:r w:rsidR="00950C3D" w:rsidRPr="00CD29D0">
        <w:t>d</w:t>
      </w:r>
      <w:r w:rsidRPr="00CD29D0">
        <w:t xml:space="preserve"> that principals use these focused “look</w:t>
      </w:r>
      <w:r w:rsidRPr="00CD29D0">
        <w:noBreakHyphen/>
        <w:t>fors” during walkthroughs, which are later discussed with staff in feedback conversations or follow</w:t>
      </w:r>
      <w:r w:rsidR="00950C3D" w:rsidRPr="00CD29D0">
        <w:t>-</w:t>
      </w:r>
      <w:r w:rsidRPr="00CD29D0">
        <w:t>up emails. District leaders conduct monthly full</w:t>
      </w:r>
      <w:r w:rsidR="00950C3D" w:rsidRPr="00CD29D0">
        <w:t>-</w:t>
      </w:r>
      <w:r w:rsidRPr="00CD29D0">
        <w:t>team instructional walks across schools</w:t>
      </w:r>
      <w:r w:rsidR="00950C3D" w:rsidRPr="00CD29D0">
        <w:t xml:space="preserve"> to</w:t>
      </w:r>
      <w:r w:rsidRPr="00CD29D0">
        <w:t xml:space="preserve"> calibrate expectations and horizontal alignment across school</w:t>
      </w:r>
      <w:r w:rsidR="00CB554D" w:rsidRPr="00CD29D0">
        <w:t>s</w:t>
      </w:r>
      <w:r w:rsidRPr="00CD29D0">
        <w:t>. Teachers report</w:t>
      </w:r>
      <w:r w:rsidR="00CB554D" w:rsidRPr="00CD29D0">
        <w:t>ed</w:t>
      </w:r>
      <w:r w:rsidRPr="00CD29D0">
        <w:t xml:space="preserve"> receiving feedback aligned to instructional priorities </w:t>
      </w:r>
      <w:r w:rsidR="00CB554D" w:rsidRPr="00CD29D0">
        <w:t>(e.g.,</w:t>
      </w:r>
      <w:r w:rsidRPr="00CD29D0">
        <w:t xml:space="preserve"> data use and engagement</w:t>
      </w:r>
      <w:r w:rsidR="00CB554D" w:rsidRPr="00CD29D0">
        <w:t>)</w:t>
      </w:r>
      <w:r w:rsidRPr="00CD29D0">
        <w:t xml:space="preserve"> </w:t>
      </w:r>
      <w:r w:rsidR="00CB554D" w:rsidRPr="00CD29D0">
        <w:t xml:space="preserve">after </w:t>
      </w:r>
      <w:r w:rsidRPr="00CD29D0">
        <w:t>coordinator</w:t>
      </w:r>
      <w:r w:rsidR="00CB554D" w:rsidRPr="00CD29D0">
        <w:t>-</w:t>
      </w:r>
      <w:r w:rsidRPr="00CD29D0">
        <w:t>led walkthroughs</w:t>
      </w:r>
      <w:r w:rsidR="00A45A08" w:rsidRPr="00CD29D0">
        <w:t>.</w:t>
      </w:r>
    </w:p>
    <w:p w14:paraId="5FAB8664" w14:textId="097FAAF4" w:rsidR="009F4A0A" w:rsidRPr="009B574C" w:rsidRDefault="00666295" w:rsidP="003A5D77">
      <w:pPr>
        <w:pStyle w:val="BodyText"/>
      </w:pPr>
      <w:r>
        <w:t>The</w:t>
      </w:r>
      <w:r w:rsidRPr="00CD29D0">
        <w:t xml:space="preserve"> district maintains a structured, multiyear induction and mentoring program, and it is a district expectation to ensure all new teachers are paired with a mentor. </w:t>
      </w:r>
      <w:r w:rsidR="00826ED3" w:rsidRPr="00CD29D0">
        <w:t>One teacher serving as the building-based mentor leader described a two</w:t>
      </w:r>
      <w:r w:rsidR="00826ED3" w:rsidRPr="00CD29D0">
        <w:noBreakHyphen/>
        <w:t>year program in which mentors apply, are selected by cohort leaders, and are matched to mentees based on assignment and needs. The assistant superintendent of teacher and learning is the district-level mentor and coordinates the program and oversees the syllabus and Google classroom discussion board.</w:t>
      </w:r>
      <w:r w:rsidR="008B6169">
        <w:t xml:space="preserve"> </w:t>
      </w:r>
      <w:r w:rsidR="00214DA4" w:rsidRPr="00CD29D0">
        <w:t>Professional</w:t>
      </w:r>
      <w:r w:rsidR="003655D1" w:rsidRPr="00CD29D0">
        <w:t>-</w:t>
      </w:r>
      <w:r w:rsidR="00214DA4" w:rsidRPr="00CD29D0">
        <w:t>status teachers are only required to participate in one year of the mentoring program</w:t>
      </w:r>
      <w:r w:rsidR="003655D1" w:rsidRPr="00CD29D0">
        <w:t xml:space="preserve">; </w:t>
      </w:r>
      <w:r w:rsidR="00214DA4" w:rsidRPr="00CD29D0">
        <w:t xml:space="preserve">all </w:t>
      </w:r>
      <w:r w:rsidR="003655D1" w:rsidRPr="00CD29D0">
        <w:t xml:space="preserve">new </w:t>
      </w:r>
      <w:r w:rsidR="00214DA4" w:rsidRPr="00CD29D0">
        <w:t xml:space="preserve">teachers stay in the program for two years. </w:t>
      </w:r>
      <w:r w:rsidR="00E66854" w:rsidRPr="00CD29D0">
        <w:t>Teachers describe</w:t>
      </w:r>
      <w:r w:rsidR="00953C24" w:rsidRPr="00CD29D0">
        <w:t>d</w:t>
      </w:r>
      <w:r w:rsidR="00E66854" w:rsidRPr="00CD29D0">
        <w:t xml:space="preserve"> the mentoring </w:t>
      </w:r>
      <w:r w:rsidR="009C2C77" w:rsidRPr="00CD29D0">
        <w:t>program</w:t>
      </w:r>
      <w:r w:rsidR="00E66854" w:rsidRPr="00CD29D0">
        <w:t xml:space="preserve"> as </w:t>
      </w:r>
      <w:r w:rsidR="0010788F" w:rsidRPr="00CD29D0">
        <w:t>strong and</w:t>
      </w:r>
      <w:r w:rsidR="009C2C77" w:rsidRPr="00CD29D0">
        <w:t xml:space="preserve"> note</w:t>
      </w:r>
      <w:r w:rsidR="00953C24" w:rsidRPr="00CD29D0">
        <w:t>d</w:t>
      </w:r>
      <w:r w:rsidR="00E66854" w:rsidRPr="00CD29D0">
        <w:t xml:space="preserve"> that there is a reliable group of staff who serve as mentors every year. </w:t>
      </w:r>
      <w:r w:rsidR="009C2C77" w:rsidRPr="00CD29D0">
        <w:t>Teachers are paired with a</w:t>
      </w:r>
      <w:r w:rsidR="00120EC3" w:rsidRPr="00CD29D0">
        <w:t xml:space="preserve"> mentor in their building that best fits with their current role,</w:t>
      </w:r>
      <w:r w:rsidR="00A65514" w:rsidRPr="00CD29D0">
        <w:t xml:space="preserve"> and they serve as a support system for </w:t>
      </w:r>
      <w:r w:rsidR="00FA74D9" w:rsidRPr="00CD29D0">
        <w:t xml:space="preserve">new </w:t>
      </w:r>
      <w:r w:rsidR="00A61A4C" w:rsidRPr="00CD29D0">
        <w:t xml:space="preserve">teachers within their buildings. </w:t>
      </w:r>
      <w:r w:rsidR="00A40B07" w:rsidRPr="00CD29D0">
        <w:t xml:space="preserve">Building cohorts meet </w:t>
      </w:r>
      <w:r w:rsidR="006C1899" w:rsidRPr="00CD29D0">
        <w:t>regularly</w:t>
      </w:r>
      <w:r w:rsidR="00F41E2B" w:rsidRPr="00CD29D0">
        <w:t xml:space="preserve"> once every </w:t>
      </w:r>
      <w:r w:rsidR="00953C24" w:rsidRPr="00CD29D0">
        <w:t xml:space="preserve">one to two </w:t>
      </w:r>
      <w:r w:rsidR="00F41E2B" w:rsidRPr="00CD29D0">
        <w:t>months to discuss</w:t>
      </w:r>
      <w:r w:rsidR="00A265AB" w:rsidRPr="00CD29D0">
        <w:t xml:space="preserve"> school-specific problems of practice or</w:t>
      </w:r>
      <w:r w:rsidR="004A042C" w:rsidRPr="00CD29D0">
        <w:t xml:space="preserve"> </w:t>
      </w:r>
      <w:r w:rsidR="000F5309" w:rsidRPr="00CD29D0">
        <w:t xml:space="preserve">current events related to </w:t>
      </w:r>
      <w:r w:rsidR="00FB28F2" w:rsidRPr="00CD29D0">
        <w:t>the school’s context</w:t>
      </w:r>
      <w:r w:rsidR="00CB2641" w:rsidRPr="00CD29D0">
        <w:t xml:space="preserve">. </w:t>
      </w:r>
      <w:r w:rsidR="00953C24" w:rsidRPr="00CD29D0">
        <w:t>T</w:t>
      </w:r>
      <w:r w:rsidR="00A61A4C" w:rsidRPr="00CD29D0">
        <w:t xml:space="preserve">he district </w:t>
      </w:r>
      <w:r w:rsidR="00953C24" w:rsidRPr="00CD29D0">
        <w:t xml:space="preserve">also </w:t>
      </w:r>
      <w:r w:rsidR="00A61A4C" w:rsidRPr="00CD29D0">
        <w:t xml:space="preserve">holds quarterly meetings </w:t>
      </w:r>
      <w:r w:rsidR="00A158F5" w:rsidRPr="00CD29D0">
        <w:t>with building cohort</w:t>
      </w:r>
      <w:r w:rsidR="0091294D" w:rsidRPr="00CD29D0">
        <w:t xml:space="preserve">s to discuss larger topics, such as </w:t>
      </w:r>
      <w:r w:rsidR="00340D20" w:rsidRPr="00CD29D0">
        <w:t>helping teachers understand and navigate the evaluation system</w:t>
      </w:r>
      <w:r w:rsidR="00A40B07" w:rsidRPr="00CD29D0">
        <w:t>.</w:t>
      </w:r>
      <w:r w:rsidR="00FB28F2" w:rsidRPr="00CD29D0">
        <w:t xml:space="preserve"> </w:t>
      </w:r>
      <w:r w:rsidR="00FB28F2" w:rsidRPr="009B574C">
        <w:t xml:space="preserve">This multileveled approach to </w:t>
      </w:r>
      <w:r w:rsidR="002B3ED0" w:rsidRPr="009B574C">
        <w:t>m</w:t>
      </w:r>
      <w:r w:rsidR="00B37EEC" w:rsidRPr="009B574C">
        <w:t xml:space="preserve">entoring new teachers </w:t>
      </w:r>
      <w:r w:rsidR="002B3ED0" w:rsidRPr="009B574C">
        <w:t>is a strength in Norton.</w:t>
      </w:r>
    </w:p>
    <w:p w14:paraId="2765331D" w14:textId="7D4EAC9D" w:rsidR="00206513" w:rsidRPr="00CD29D0" w:rsidRDefault="00206513" w:rsidP="003A5D77">
      <w:pPr>
        <w:pStyle w:val="BodyText"/>
      </w:pPr>
      <w:r w:rsidRPr="009B574C">
        <w:rPr>
          <w:rFonts w:ascii="Franklin Gothic Book" w:eastAsia="Franklin Gothic Book" w:hAnsi="Franklin Gothic Book" w:cs="Franklin Gothic Book"/>
        </w:rPr>
        <w:t>Across all schools, teachers participate in approximately weekly collaborative planning time, a strength of the district.</w:t>
      </w:r>
      <w:r w:rsidRPr="009B574C">
        <w:t xml:space="preserve"> </w:t>
      </w:r>
      <w:r w:rsidRPr="00CD29D0">
        <w:t>At the elementary schools, teachers participate in weekly professional learning communities (PLCs) for about thirty minutes three out of every four weeks, typically in grade</w:t>
      </w:r>
      <w:r w:rsidRPr="00CD29D0">
        <w:noBreakHyphen/>
        <w:t>level teams and focused on reviewing student data, discussing student needs, and planning instruction, with the fourth week reserved for faculty meetings. At the middle school, interdisciplinary PLCs meet once during every eight</w:t>
      </w:r>
      <w:r w:rsidRPr="00CD29D0">
        <w:noBreakHyphen/>
        <w:t>day cycle to discuss interventions and student support; there is also a content</w:t>
      </w:r>
      <w:r w:rsidRPr="00CD29D0">
        <w:noBreakHyphen/>
        <w:t>area meeting each cycle during the ICE intervention block. At the high school, teachers participate in cross</w:t>
      </w:r>
      <w:r w:rsidRPr="00CD29D0">
        <w:noBreakHyphen/>
        <w:t>disciplinary PLCs once during every seven</w:t>
      </w:r>
      <w:r w:rsidRPr="00CD29D0">
        <w:noBreakHyphen/>
        <w:t>day cycle; teachers also meet weekly by department during the Lancer Learning Block, which serves as the school’s intervention period. All schools also have a monthly faculty meeting.</w:t>
      </w:r>
    </w:p>
    <w:p w14:paraId="010626EC" w14:textId="30A49835" w:rsidR="002B4CEF" w:rsidRPr="00CD29D0" w:rsidRDefault="002B4CEF" w:rsidP="003A5D77">
      <w:pPr>
        <w:pStyle w:val="Heading3"/>
      </w:pPr>
      <w:r w:rsidRPr="00CD29D0">
        <w:t>Recommendations</w:t>
      </w:r>
    </w:p>
    <w:p w14:paraId="640FE2CE" w14:textId="3D35FC90" w:rsidR="002B4CEF" w:rsidRPr="00651C25" w:rsidRDefault="00C51C5A" w:rsidP="003A5D77">
      <w:pPr>
        <w:pStyle w:val="Bullet1"/>
        <w:rPr>
          <w:i/>
          <w:iCs/>
        </w:rPr>
      </w:pPr>
      <w:r w:rsidRPr="00651C25">
        <w:rPr>
          <w:i/>
          <w:iCs/>
        </w:rPr>
        <w:t xml:space="preserve">The district should expand its </w:t>
      </w:r>
      <w:r w:rsidR="00063836" w:rsidRPr="00651C25">
        <w:rPr>
          <w:i/>
          <w:iCs/>
        </w:rPr>
        <w:t xml:space="preserve">educator recruitment efforts to include a particular focus on </w:t>
      </w:r>
      <w:r w:rsidR="006E10C5" w:rsidRPr="00651C25">
        <w:rPr>
          <w:i/>
          <w:iCs/>
        </w:rPr>
        <w:t>hiring and retaining</w:t>
      </w:r>
      <w:r w:rsidR="004D7D3E" w:rsidRPr="00651C25">
        <w:rPr>
          <w:i/>
          <w:iCs/>
        </w:rPr>
        <w:t xml:space="preserve"> diverse staff. </w:t>
      </w:r>
    </w:p>
    <w:p w14:paraId="309BD02E" w14:textId="2B05BCFE" w:rsidR="00651C25" w:rsidRPr="00206AE2" w:rsidRDefault="00651C25" w:rsidP="003A5D77">
      <w:pPr>
        <w:pStyle w:val="Bullet1"/>
        <w:rPr>
          <w:bCs/>
        </w:rPr>
      </w:pPr>
      <w:r w:rsidRPr="00651C25">
        <w:rPr>
          <w:i/>
          <w:iCs/>
        </w:rPr>
        <w:t>The district should set expectations around incorporating greater levels of constructive feedback on teacher evaluations.</w:t>
      </w:r>
      <w:r>
        <w:t xml:space="preserve"> </w:t>
      </w:r>
    </w:p>
    <w:p w14:paraId="77600101" w14:textId="5BF5A1A5" w:rsidR="008D6102" w:rsidRPr="00CD29D0" w:rsidRDefault="000604FE" w:rsidP="003A5D77">
      <w:pPr>
        <w:pStyle w:val="BodyText"/>
      </w:pPr>
      <w:r w:rsidRPr="00CD29D0">
        <w:lastRenderedPageBreak/>
        <w:t>For related resources, see Appendix C.</w:t>
      </w:r>
      <w:r w:rsidR="008D6102" w:rsidRPr="00CD29D0">
        <w:rPr>
          <w:bCs/>
        </w:rPr>
        <w:br w:type="page"/>
      </w:r>
    </w:p>
    <w:p w14:paraId="3913897C" w14:textId="77777777" w:rsidR="008D6102" w:rsidRPr="00CD29D0" w:rsidRDefault="008D6102" w:rsidP="00066B18">
      <w:pPr>
        <w:pStyle w:val="Heading2"/>
      </w:pPr>
      <w:bookmarkStart w:id="53" w:name="_Student_Support"/>
      <w:bookmarkStart w:id="54" w:name="_Toc101446231"/>
      <w:bookmarkStart w:id="55" w:name="_Toc227589896"/>
      <w:bookmarkEnd w:id="53"/>
      <w:r w:rsidRPr="00CD29D0">
        <w:lastRenderedPageBreak/>
        <w:t>Student Support</w:t>
      </w:r>
      <w:bookmarkEnd w:id="54"/>
      <w:bookmarkEnd w:id="55"/>
    </w:p>
    <w:p w14:paraId="4675061C" w14:textId="33A4315F" w:rsidR="00E341DA" w:rsidRPr="00CD29D0" w:rsidRDefault="00E341DA" w:rsidP="00066B18">
      <w:pPr>
        <w:pStyle w:val="BodyTextposthead"/>
      </w:pPr>
      <w:bookmarkStart w:id="56" w:name="_Toc101446232"/>
      <w:bookmarkEnd w:id="20"/>
      <w:r w:rsidRPr="00CD29D0">
        <w:t>This section focuses on the extent to which the district supports the whole student by creating safe and supportive environments, meeting students’ health and well</w:t>
      </w:r>
      <w:r w:rsidR="00373DA0" w:rsidRPr="00CD29D0">
        <w:t>-</w:t>
      </w:r>
      <w:r w:rsidRPr="00CD29D0">
        <w:t>being needs, and engaging all families. It also focuses on the extent to which these supports are built on a MTSS that flexibly assesses each student’s academic, social</w:t>
      </w:r>
      <w:r w:rsidR="00373DA0" w:rsidRPr="00CD29D0">
        <w:t>-</w:t>
      </w:r>
      <w:r w:rsidRPr="00CD29D0">
        <w:t>emotional, and behavioral strengths and needs.</w:t>
      </w:r>
    </w:p>
    <w:p w14:paraId="7355BFE9" w14:textId="499244CB" w:rsidR="002C6E1C" w:rsidRPr="00CD29D0" w:rsidRDefault="002C6E1C" w:rsidP="00066B18">
      <w:pPr>
        <w:pStyle w:val="BodyText"/>
      </w:pPr>
      <w:r w:rsidRPr="00CD29D0">
        <w:t xml:space="preserve">Table </w:t>
      </w:r>
      <w:r w:rsidR="00373DA0" w:rsidRPr="00CD29D0">
        <w:t xml:space="preserve">9 </w:t>
      </w:r>
      <w:r w:rsidRPr="00CD29D0">
        <w:t>summarizes key strengths and areas for growth in student support</w:t>
      </w:r>
      <w:r w:rsidR="00250663" w:rsidRPr="00CD29D0">
        <w:t xml:space="preserve"> in </w:t>
      </w:r>
      <w:r w:rsidR="00814AA6" w:rsidRPr="00CD29D0">
        <w:t>Norton</w:t>
      </w:r>
      <w:r w:rsidRPr="00CD29D0">
        <w:t>.</w:t>
      </w:r>
    </w:p>
    <w:p w14:paraId="0EB4E056" w14:textId="0B65FD1C" w:rsidR="00B827DE" w:rsidRPr="00CD29D0" w:rsidRDefault="00B827DE" w:rsidP="00066B18">
      <w:pPr>
        <w:pStyle w:val="TableTitle0"/>
      </w:pPr>
      <w:r w:rsidRPr="00CD29D0">
        <w:t xml:space="preserve">Table </w:t>
      </w:r>
      <w:r w:rsidR="00373DA0" w:rsidRPr="00CD29D0">
        <w:t>9</w:t>
      </w:r>
      <w:r w:rsidRPr="00CD29D0">
        <w:t xml:space="preserve">. Summary of </w:t>
      </w:r>
      <w:r w:rsidR="002C6E1C" w:rsidRPr="00CD29D0">
        <w:t xml:space="preserve">Key Strengths </w:t>
      </w:r>
      <w:r w:rsidRPr="00CD29D0">
        <w:t xml:space="preserve">and </w:t>
      </w:r>
      <w:r w:rsidR="002C6E1C" w:rsidRPr="00CD29D0">
        <w:t xml:space="preserve">Areas </w:t>
      </w:r>
      <w:r w:rsidRPr="00CD29D0">
        <w:t xml:space="preserve">for </w:t>
      </w:r>
      <w:r w:rsidR="002C6E1C" w:rsidRPr="00CD29D0">
        <w:t>Growth:</w:t>
      </w:r>
      <w:r w:rsidRPr="00CD29D0">
        <w:t xml:space="preserve"> Student Support</w:t>
      </w:r>
      <w:r w:rsidR="002C6E1C" w:rsidRPr="00CD29D0">
        <w:t xml:space="preserve"> Standard</w:t>
      </w:r>
    </w:p>
    <w:tbl>
      <w:tblPr>
        <w:tblStyle w:val="MSVTable1"/>
        <w:tblW w:w="5000" w:type="pct"/>
        <w:tblLook w:val="04A0" w:firstRow="1" w:lastRow="0" w:firstColumn="1" w:lastColumn="0" w:noHBand="0" w:noVBand="1"/>
        <w:tblCaption w:val="Table 9. Summary of Key Strengths and Areas for Growth: Student Support Standard"/>
        <w:tblDescription w:val="Summary of Key Strengths and Areas for Growth: Student Support Standard"/>
      </w:tblPr>
      <w:tblGrid>
        <w:gridCol w:w="1974"/>
        <w:gridCol w:w="3685"/>
        <w:gridCol w:w="3685"/>
      </w:tblGrid>
      <w:tr w:rsidR="00A273D2" w:rsidRPr="00CD29D0" w14:paraId="29A087A1" w14:textId="77777777" w:rsidTr="009B574C">
        <w:trPr>
          <w:cnfStyle w:val="100000000000" w:firstRow="1" w:lastRow="0" w:firstColumn="0" w:lastColumn="0" w:oddVBand="0" w:evenVBand="0" w:oddHBand="0" w:evenHBand="0" w:firstRowFirstColumn="0" w:firstRowLastColumn="0" w:lastRowFirstColumn="0" w:lastRowLastColumn="0"/>
          <w:tblHeader/>
        </w:trPr>
        <w:tc>
          <w:tcPr>
            <w:tcW w:w="1056" w:type="pct"/>
          </w:tcPr>
          <w:p w14:paraId="4C0F0075" w14:textId="77777777" w:rsidR="00B827DE" w:rsidRPr="00CD29D0" w:rsidRDefault="00B827DE" w:rsidP="00066B18">
            <w:pPr>
              <w:pStyle w:val="TableColHeadingCenter"/>
            </w:pPr>
            <w:r w:rsidRPr="00CD29D0">
              <w:t>Indicator</w:t>
            </w:r>
          </w:p>
        </w:tc>
        <w:tc>
          <w:tcPr>
            <w:tcW w:w="1972" w:type="pct"/>
          </w:tcPr>
          <w:p w14:paraId="769171B3" w14:textId="77777777" w:rsidR="00B827DE" w:rsidRPr="00CD29D0" w:rsidRDefault="00B827DE" w:rsidP="00066B18">
            <w:pPr>
              <w:pStyle w:val="TableColHeadingCenter"/>
            </w:pPr>
            <w:r w:rsidRPr="00CD29D0">
              <w:t>Strengths</w:t>
            </w:r>
          </w:p>
        </w:tc>
        <w:tc>
          <w:tcPr>
            <w:tcW w:w="1972" w:type="pct"/>
          </w:tcPr>
          <w:p w14:paraId="44C3E121" w14:textId="17C71646" w:rsidR="00B827DE" w:rsidRPr="00CD29D0" w:rsidRDefault="00B827DE" w:rsidP="00066B18">
            <w:pPr>
              <w:pStyle w:val="TableColHeadingCenter"/>
            </w:pPr>
            <w:r w:rsidRPr="00CD29D0">
              <w:t xml:space="preserve">Areas for </w:t>
            </w:r>
            <w:r w:rsidR="002C6E1C" w:rsidRPr="00CD29D0">
              <w:t>growth</w:t>
            </w:r>
          </w:p>
        </w:tc>
      </w:tr>
      <w:tr w:rsidR="00A273D2" w:rsidRPr="00CD29D0" w14:paraId="192A22C5" w14:textId="77777777" w:rsidTr="009B574C">
        <w:trPr>
          <w:cnfStyle w:val="000000100000" w:firstRow="0" w:lastRow="0" w:firstColumn="0" w:lastColumn="0" w:oddVBand="0" w:evenVBand="0" w:oddHBand="1" w:evenHBand="0" w:firstRowFirstColumn="0" w:firstRowLastColumn="0" w:lastRowFirstColumn="0" w:lastRowLastColumn="0"/>
        </w:trPr>
        <w:tc>
          <w:tcPr>
            <w:tcW w:w="1056" w:type="pct"/>
          </w:tcPr>
          <w:p w14:paraId="0E8000C3" w14:textId="45AC57BD" w:rsidR="00B827DE" w:rsidRPr="00CD29D0" w:rsidRDefault="00B827DE" w:rsidP="00066B18">
            <w:pPr>
              <w:pStyle w:val="TableSubheading"/>
            </w:pPr>
            <w:hyperlink w:anchor="_Safe_and_Supportive" w:history="1">
              <w:r w:rsidRPr="00CD29D0">
                <w:rPr>
                  <w:rStyle w:val="Hyperlink"/>
                  <w:color w:val="auto"/>
                  <w:u w:val="none"/>
                </w:rPr>
                <w:t xml:space="preserve">Safe and </w:t>
              </w:r>
              <w:r w:rsidR="008E78FB" w:rsidRPr="00CD29D0">
                <w:rPr>
                  <w:rStyle w:val="Hyperlink"/>
                  <w:color w:val="auto"/>
                  <w:u w:val="none"/>
                </w:rPr>
                <w:t>S</w:t>
              </w:r>
              <w:r w:rsidRPr="00CD29D0">
                <w:rPr>
                  <w:rStyle w:val="Hyperlink"/>
                  <w:color w:val="auto"/>
                  <w:u w:val="none"/>
                </w:rPr>
                <w:t xml:space="preserve">upportive </w:t>
              </w:r>
              <w:r w:rsidR="008E78FB" w:rsidRPr="00CD29D0">
                <w:rPr>
                  <w:rStyle w:val="Hyperlink"/>
                  <w:color w:val="auto"/>
                  <w:u w:val="none"/>
                </w:rPr>
                <w:t>S</w:t>
              </w:r>
              <w:r w:rsidRPr="00CD29D0">
                <w:rPr>
                  <w:rStyle w:val="Hyperlink"/>
                  <w:color w:val="auto"/>
                  <w:u w:val="none"/>
                </w:rPr>
                <w:t xml:space="preserve">chool </w:t>
              </w:r>
              <w:r w:rsidR="008E78FB" w:rsidRPr="00CD29D0">
                <w:rPr>
                  <w:rStyle w:val="Hyperlink"/>
                  <w:color w:val="auto"/>
                  <w:u w:val="none"/>
                </w:rPr>
                <w:t>C</w:t>
              </w:r>
              <w:r w:rsidRPr="00CD29D0">
                <w:rPr>
                  <w:rStyle w:val="Hyperlink"/>
                  <w:color w:val="auto"/>
                  <w:u w:val="none"/>
                </w:rPr>
                <w:t xml:space="preserve">limate and </w:t>
              </w:r>
              <w:r w:rsidR="008E78FB" w:rsidRPr="00CD29D0">
                <w:rPr>
                  <w:rStyle w:val="Hyperlink"/>
                  <w:color w:val="auto"/>
                  <w:u w:val="none"/>
                </w:rPr>
                <w:t>C</w:t>
              </w:r>
              <w:r w:rsidRPr="00CD29D0">
                <w:rPr>
                  <w:rStyle w:val="Hyperlink"/>
                  <w:color w:val="auto"/>
                  <w:u w:val="none"/>
                </w:rPr>
                <w:t>ulture</w:t>
              </w:r>
            </w:hyperlink>
          </w:p>
        </w:tc>
        <w:tc>
          <w:tcPr>
            <w:tcW w:w="1972" w:type="pct"/>
          </w:tcPr>
          <w:p w14:paraId="564E5D1F" w14:textId="77777777" w:rsidR="00061AAD" w:rsidRPr="00061AAD" w:rsidRDefault="779D0BD8" w:rsidP="1A3BE43D">
            <w:pPr>
              <w:pStyle w:val="TableBullet1"/>
              <w:rPr>
                <w:kern w:val="2"/>
                <w14:ligatures w14:val="standardContextual"/>
              </w:rPr>
            </w:pPr>
            <w:r w:rsidRPr="1A3BE43D">
              <w:t>PBIS is well established and consistently implemented at the elementary level.</w:t>
            </w:r>
          </w:p>
          <w:p w14:paraId="132C8480" w14:textId="045CF900" w:rsidR="00B827DE" w:rsidRPr="00CD29D0" w:rsidRDefault="779D0BD8" w:rsidP="00066B18">
            <w:pPr>
              <w:pStyle w:val="TableBullet1"/>
            </w:pPr>
            <w:r w:rsidRPr="1A3BE43D">
              <w:t>Secondary students</w:t>
            </w:r>
            <w:r w:rsidR="1A743481" w:rsidRPr="1A3BE43D">
              <w:t xml:space="preserve"> have </w:t>
            </w:r>
            <w:r w:rsidRPr="1A3BE43D">
              <w:t>many</w:t>
            </w:r>
            <w:r w:rsidR="1A743481" w:rsidRPr="1A3BE43D">
              <w:t xml:space="preserve"> leadership opportunities and activities that promote engagement and voice.</w:t>
            </w:r>
          </w:p>
        </w:tc>
        <w:tc>
          <w:tcPr>
            <w:tcW w:w="1972" w:type="pct"/>
          </w:tcPr>
          <w:p w14:paraId="2DE3D9E0" w14:textId="45AF7A92" w:rsidR="00B827DE" w:rsidRPr="00CD29D0" w:rsidRDefault="6B979FF2" w:rsidP="00A002DA">
            <w:pPr>
              <w:pStyle w:val="TableBullet1"/>
            </w:pPr>
            <w:r>
              <w:t>Strengthening systems and staffing to support social-emotional and behavioral needs at the middle school</w:t>
            </w:r>
          </w:p>
        </w:tc>
      </w:tr>
      <w:tr w:rsidR="009B574C" w:rsidRPr="00CD29D0" w14:paraId="1CE8C21F" w14:textId="77777777" w:rsidTr="009B574C">
        <w:tc>
          <w:tcPr>
            <w:tcW w:w="1056" w:type="pct"/>
          </w:tcPr>
          <w:p w14:paraId="2F6553E8" w14:textId="7600B281" w:rsidR="009B574C" w:rsidRPr="00CD29D0" w:rsidRDefault="009B574C" w:rsidP="009B574C">
            <w:pPr>
              <w:pStyle w:val="TableSubheading"/>
            </w:pPr>
            <w:hyperlink w:anchor="_Tiered_Systems_of" w:history="1">
              <w:r w:rsidRPr="00CD29D0">
                <w:rPr>
                  <w:rStyle w:val="Hyperlink"/>
                  <w:color w:val="auto"/>
                  <w:u w:val="none"/>
                </w:rPr>
                <w:t>Health and Well</w:t>
              </w:r>
              <w:r w:rsidRPr="00CD29D0">
                <w:rPr>
                  <w:rStyle w:val="Hyperlink"/>
                  <w:color w:val="auto"/>
                  <w:u w:val="none"/>
                </w:rPr>
                <w:noBreakHyphen/>
                <w:t>Being</w:t>
              </w:r>
            </w:hyperlink>
          </w:p>
        </w:tc>
        <w:tc>
          <w:tcPr>
            <w:tcW w:w="1972" w:type="pct"/>
          </w:tcPr>
          <w:p w14:paraId="5D50A4F9" w14:textId="7E08D0EF" w:rsidR="009B574C" w:rsidRPr="00CD29D0" w:rsidRDefault="009B574C" w:rsidP="009B574C">
            <w:pPr>
              <w:pStyle w:val="TableBullet1"/>
            </w:pPr>
            <w:r w:rsidRPr="1A3BE43D">
              <w:t>All schools are designated unified schools, promoting inclusive athletics and extracurriculars for students with and without disabilities.</w:t>
            </w:r>
          </w:p>
        </w:tc>
        <w:tc>
          <w:tcPr>
            <w:tcW w:w="1972" w:type="pct"/>
          </w:tcPr>
          <w:p w14:paraId="79D5DF69" w14:textId="19743C1B" w:rsidR="009B574C" w:rsidRPr="00CD29D0" w:rsidRDefault="009B574C" w:rsidP="009B574C">
            <w:pPr>
              <w:pStyle w:val="TableBullet1"/>
            </w:pPr>
            <w:r>
              <w:t>N/A</w:t>
            </w:r>
          </w:p>
        </w:tc>
      </w:tr>
      <w:tr w:rsidR="009B574C" w:rsidRPr="00CD29D0" w14:paraId="56DC2E99" w14:textId="77777777" w:rsidTr="009B574C">
        <w:trPr>
          <w:cnfStyle w:val="000000100000" w:firstRow="0" w:lastRow="0" w:firstColumn="0" w:lastColumn="0" w:oddVBand="0" w:evenVBand="0" w:oddHBand="1" w:evenHBand="0" w:firstRowFirstColumn="0" w:firstRowLastColumn="0" w:lastRowFirstColumn="0" w:lastRowLastColumn="0"/>
        </w:trPr>
        <w:tc>
          <w:tcPr>
            <w:tcW w:w="1056" w:type="pct"/>
          </w:tcPr>
          <w:p w14:paraId="3DCA32C2" w14:textId="54CAAD15" w:rsidR="009B574C" w:rsidRPr="00CD29D0" w:rsidRDefault="009B574C" w:rsidP="009B574C">
            <w:pPr>
              <w:pStyle w:val="TableSubheading"/>
            </w:pPr>
            <w:hyperlink w:anchor="_Family_and_Community" w:history="1">
              <w:r w:rsidRPr="00CD29D0">
                <w:rPr>
                  <w:rStyle w:val="Hyperlink"/>
                  <w:color w:val="auto"/>
                  <w:u w:val="none"/>
                </w:rPr>
                <w:t>Family and Community Partnerships</w:t>
              </w:r>
            </w:hyperlink>
          </w:p>
        </w:tc>
        <w:tc>
          <w:tcPr>
            <w:tcW w:w="1972" w:type="pct"/>
          </w:tcPr>
          <w:p w14:paraId="1E827694" w14:textId="77777777" w:rsidR="009B574C" w:rsidRPr="00061AAD" w:rsidRDefault="009B574C" w:rsidP="009B574C">
            <w:pPr>
              <w:pStyle w:val="TableBullet1"/>
              <w:rPr>
                <w:kern w:val="2"/>
                <w14:ligatures w14:val="standardContextual"/>
              </w:rPr>
            </w:pPr>
            <w:r w:rsidRPr="1A3BE43D">
              <w:t>The district has strong community partnerships that support students’ mental health through coordinated referrals and services.</w:t>
            </w:r>
          </w:p>
          <w:p w14:paraId="110A16EB" w14:textId="304F0364" w:rsidR="009B574C" w:rsidRPr="00CD29D0" w:rsidRDefault="009B574C" w:rsidP="009B574C">
            <w:pPr>
              <w:pStyle w:val="TableBullet1"/>
            </w:pPr>
            <w:r w:rsidRPr="1A3BE43D">
              <w:t>Families have access to expanded partnerships and community-based resources and services.</w:t>
            </w:r>
          </w:p>
        </w:tc>
        <w:tc>
          <w:tcPr>
            <w:tcW w:w="1972" w:type="pct"/>
          </w:tcPr>
          <w:p w14:paraId="4B1DF210" w14:textId="77FDFF63" w:rsidR="009B574C" w:rsidRPr="00CD29D0" w:rsidRDefault="009B574C" w:rsidP="009B574C">
            <w:pPr>
              <w:pStyle w:val="TableBullet1"/>
            </w:pPr>
            <w:r>
              <w:t>Increasing family engagement in leadership and planning, particularly at the high school level</w:t>
            </w:r>
          </w:p>
        </w:tc>
      </w:tr>
      <w:tr w:rsidR="009B574C" w:rsidRPr="00CD29D0" w14:paraId="491E4833" w14:textId="77777777" w:rsidTr="009B574C">
        <w:tc>
          <w:tcPr>
            <w:tcW w:w="1056" w:type="pct"/>
          </w:tcPr>
          <w:p w14:paraId="0084A27B" w14:textId="6FA66273" w:rsidR="009B574C" w:rsidRPr="00CD29D0" w:rsidRDefault="009B574C" w:rsidP="009B574C">
            <w:pPr>
              <w:pStyle w:val="TableSubheading"/>
            </w:pPr>
            <w:hyperlink w:anchor="_Multi-Tiered_Systems_of" w:history="1">
              <w:r w:rsidRPr="00CD29D0">
                <w:rPr>
                  <w:rStyle w:val="Hyperlink"/>
                  <w:color w:val="auto"/>
                  <w:u w:val="none"/>
                </w:rPr>
                <w:t>Multi-Tiered Systems of Support (MTSS)</w:t>
              </w:r>
            </w:hyperlink>
          </w:p>
        </w:tc>
        <w:tc>
          <w:tcPr>
            <w:tcW w:w="1972" w:type="pct"/>
          </w:tcPr>
          <w:p w14:paraId="702D8220" w14:textId="77777777" w:rsidR="009B574C" w:rsidRPr="00061AAD" w:rsidRDefault="009B574C" w:rsidP="009B574C">
            <w:pPr>
              <w:pStyle w:val="TableBullet1"/>
              <w:rPr>
                <w:kern w:val="2"/>
                <w14:ligatures w14:val="standardContextual"/>
              </w:rPr>
            </w:pPr>
            <w:r w:rsidRPr="1A3BE43D">
              <w:t>Elementary IMTSS processes clearly identify students’ needs and assign academic interventions.</w:t>
            </w:r>
          </w:p>
          <w:p w14:paraId="7B5A0406" w14:textId="2971E193" w:rsidR="009B574C" w:rsidRPr="00CD29D0" w:rsidRDefault="009B574C" w:rsidP="009B574C">
            <w:pPr>
              <w:pStyle w:val="TableBullet1"/>
            </w:pPr>
            <w:r w:rsidRPr="1A3BE43D">
              <w:t>District leaders use learning walks to monitor Tier 1 instruction and interventions across schools.</w:t>
            </w:r>
          </w:p>
        </w:tc>
        <w:tc>
          <w:tcPr>
            <w:tcW w:w="1972" w:type="pct"/>
          </w:tcPr>
          <w:p w14:paraId="475954FD" w14:textId="3C38D2CB" w:rsidR="009B574C" w:rsidRPr="00CD29D0" w:rsidRDefault="009B574C" w:rsidP="009B574C">
            <w:pPr>
              <w:pStyle w:val="TableBullet1"/>
            </w:pPr>
            <w:r w:rsidRPr="00A002DA">
              <w:t>Ensuring all schools have both adequate staff and adequate instructional time to support E</w:t>
            </w:r>
            <w:r>
              <w:t>L</w:t>
            </w:r>
            <w:r w:rsidRPr="00A002DA">
              <w:t>s and students with disabilities</w:t>
            </w:r>
          </w:p>
        </w:tc>
      </w:tr>
    </w:tbl>
    <w:p w14:paraId="6FDD5EB4" w14:textId="3A48E896" w:rsidR="00B827DE" w:rsidRPr="00CD29D0" w:rsidRDefault="00B827DE" w:rsidP="00D91783">
      <w:pPr>
        <w:pStyle w:val="Heading3"/>
      </w:pPr>
      <w:bookmarkStart w:id="57" w:name="_Safe_and_Supportive"/>
      <w:bookmarkEnd w:id="57"/>
      <w:r w:rsidRPr="00CD29D0">
        <w:t>Safe and Supportive School Climate and Culture</w:t>
      </w:r>
    </w:p>
    <w:p w14:paraId="1DEC9880" w14:textId="665056E0" w:rsidR="00A45A08" w:rsidRPr="009B574C" w:rsidRDefault="00EF6AA6" w:rsidP="00D91783">
      <w:pPr>
        <w:pStyle w:val="BodyTextposthead"/>
      </w:pPr>
      <w:r w:rsidRPr="00CD29D0">
        <w:t>Elementary and secondary stakeholders consistently describe</w:t>
      </w:r>
      <w:r w:rsidR="00013065" w:rsidRPr="00CD29D0">
        <w:t>d</w:t>
      </w:r>
      <w:r w:rsidRPr="00CD29D0">
        <w:t xml:space="preserve"> welcoming environments with clear expectations and routines that support positive behavior and relationships. Elementary teachers and support staff report</w:t>
      </w:r>
      <w:r w:rsidR="00013065" w:rsidRPr="00CD29D0">
        <w:t>ed</w:t>
      </w:r>
      <w:r w:rsidRPr="00CD29D0">
        <w:t xml:space="preserve"> that classrooms and common areas are organized around explicit expectations</w:t>
      </w:r>
      <w:r w:rsidR="00013065" w:rsidRPr="00CD29D0">
        <w:t>,</w:t>
      </w:r>
      <w:r w:rsidRPr="00CD29D0">
        <w:t xml:space="preserve"> such as “we are kind, safe, respectful</w:t>
      </w:r>
      <w:r w:rsidR="00717D74" w:rsidRPr="00CD29D0">
        <w:t>,</w:t>
      </w:r>
      <w:r w:rsidRPr="00CD29D0">
        <w:t xml:space="preserve"> and responsible,” which are routinely taught, modeled, and reinforced. Families similarly describe</w:t>
      </w:r>
      <w:r w:rsidR="00013065" w:rsidRPr="00CD29D0">
        <w:t>d</w:t>
      </w:r>
      <w:r w:rsidRPr="00CD29D0">
        <w:t xml:space="preserve"> elementary schools as safe and supportive environments </w:t>
      </w:r>
      <w:r w:rsidR="00013065" w:rsidRPr="00CD29D0">
        <w:t xml:space="preserve">in which </w:t>
      </w:r>
      <w:r w:rsidRPr="00CD29D0">
        <w:t xml:space="preserve">staff are caring, know students well, and emphasize respect and kindness. </w:t>
      </w:r>
      <w:r w:rsidR="005E26B3" w:rsidRPr="00CD29D0">
        <w:t>For the elementary schools,</w:t>
      </w:r>
      <w:r w:rsidRPr="00CD29D0">
        <w:t xml:space="preserve"> the </w:t>
      </w:r>
      <w:r w:rsidRPr="00CD29D0">
        <w:rPr>
          <w:i/>
          <w:iCs/>
        </w:rPr>
        <w:t>2023 PBIS Handbook</w:t>
      </w:r>
      <w:r w:rsidRPr="00CD29D0">
        <w:t xml:space="preserve"> and </w:t>
      </w:r>
      <w:r w:rsidR="00501235" w:rsidRPr="00CD29D0">
        <w:rPr>
          <w:i/>
          <w:iCs/>
        </w:rPr>
        <w:t xml:space="preserve">the </w:t>
      </w:r>
      <w:r w:rsidRPr="00CD29D0">
        <w:rPr>
          <w:i/>
          <w:iCs/>
        </w:rPr>
        <w:t xml:space="preserve">LGN </w:t>
      </w:r>
      <w:r w:rsidR="00265667">
        <w:rPr>
          <w:i/>
          <w:iCs/>
        </w:rPr>
        <w:t xml:space="preserve">(L. G. Nourse) </w:t>
      </w:r>
      <w:r w:rsidRPr="00CD29D0">
        <w:rPr>
          <w:i/>
          <w:iCs/>
        </w:rPr>
        <w:t>PBIS Handbook</w:t>
      </w:r>
      <w:r w:rsidRPr="00CD29D0">
        <w:t xml:space="preserve"> </w:t>
      </w:r>
      <w:r w:rsidR="005E26B3" w:rsidRPr="00CD29D0">
        <w:lastRenderedPageBreak/>
        <w:t xml:space="preserve">documents </w:t>
      </w:r>
      <w:r w:rsidRPr="00CD29D0">
        <w:t xml:space="preserve">schoolwide matrices </w:t>
      </w:r>
      <w:r w:rsidR="00013065" w:rsidRPr="00CD29D0">
        <w:t xml:space="preserve">that </w:t>
      </w:r>
      <w:r w:rsidR="00FF207D" w:rsidRPr="00CD29D0">
        <w:t xml:space="preserve">define what </w:t>
      </w:r>
      <w:r w:rsidR="00883F6A" w:rsidRPr="00CD29D0">
        <w:t>each behavior (e.g.</w:t>
      </w:r>
      <w:r w:rsidR="00013065" w:rsidRPr="00CD29D0">
        <w:t>,</w:t>
      </w:r>
      <w:r w:rsidR="00883F6A" w:rsidRPr="00CD29D0">
        <w:t xml:space="preserve"> kind, safe, respectful, responsible) </w:t>
      </w:r>
      <w:r w:rsidR="00A53217" w:rsidRPr="00CD29D0">
        <w:t>looks like</w:t>
      </w:r>
      <w:r w:rsidRPr="00CD29D0" w:rsidDel="00A53217">
        <w:t xml:space="preserve"> </w:t>
      </w:r>
      <w:r w:rsidR="00A53217" w:rsidRPr="00CD29D0">
        <w:t xml:space="preserve">across </w:t>
      </w:r>
      <w:r w:rsidRPr="00CD29D0">
        <w:t xml:space="preserve">all </w:t>
      </w:r>
      <w:r w:rsidR="00A53217" w:rsidRPr="00CD29D0">
        <w:t xml:space="preserve">school </w:t>
      </w:r>
      <w:r w:rsidRPr="00CD29D0">
        <w:t xml:space="preserve">settings, </w:t>
      </w:r>
      <w:r w:rsidR="00A53217" w:rsidRPr="00CD29D0">
        <w:t xml:space="preserve">and include specific </w:t>
      </w:r>
      <w:r w:rsidRPr="00CD29D0">
        <w:t>lesson plans</w:t>
      </w:r>
      <w:r w:rsidR="00A53217" w:rsidRPr="00CD29D0">
        <w:t xml:space="preserve"> developed</w:t>
      </w:r>
      <w:r w:rsidRPr="00CD29D0">
        <w:t xml:space="preserve"> to teach </w:t>
      </w:r>
      <w:r w:rsidR="00A53217" w:rsidRPr="00CD29D0">
        <w:t xml:space="preserve">schoolwide </w:t>
      </w:r>
      <w:r w:rsidRPr="00CD29D0">
        <w:t>expectations</w:t>
      </w:r>
      <w:r w:rsidR="00A53217" w:rsidRPr="00CD29D0">
        <w:t>. The documents describe</w:t>
      </w:r>
      <w:r w:rsidR="00F356D4" w:rsidRPr="00CD29D0">
        <w:t>d</w:t>
      </w:r>
      <w:r w:rsidRPr="00CD29D0">
        <w:t xml:space="preserve"> recognition systems (hashtags, Purple Hearts) to ackn</w:t>
      </w:r>
      <w:r w:rsidRPr="009B574C">
        <w:t xml:space="preserve">owledge positive behavior, as well as </w:t>
      </w:r>
      <w:r w:rsidR="00A53217" w:rsidRPr="009B574C">
        <w:t xml:space="preserve">the use of </w:t>
      </w:r>
      <w:r w:rsidRPr="009B574C">
        <w:t xml:space="preserve">a </w:t>
      </w:r>
      <w:r w:rsidR="00C8652C" w:rsidRPr="009B574C">
        <w:t>SWIS</w:t>
      </w:r>
      <w:r w:rsidR="00F356D4" w:rsidRPr="009B574C">
        <w:t>-</w:t>
      </w:r>
      <w:r w:rsidRPr="009B574C">
        <w:t>based referral system to track incidents. There is broad agreement across teachers, student support staff, and families that PBIS is well</w:t>
      </w:r>
      <w:r w:rsidR="00887EDD" w:rsidRPr="009B574C">
        <w:t xml:space="preserve"> </w:t>
      </w:r>
      <w:r w:rsidRPr="009B574C">
        <w:t xml:space="preserve">established and central to elementary school climate, </w:t>
      </w:r>
      <w:r w:rsidR="000F0187" w:rsidRPr="009B574C">
        <w:t xml:space="preserve">and a strength of the district. Still, some </w:t>
      </w:r>
      <w:r w:rsidRPr="009B574C">
        <w:t>staff note some variation by building and principal in how consistently particular strategies (e.g., incentives) are emphasized</w:t>
      </w:r>
      <w:r w:rsidR="00A45A08" w:rsidRPr="009B574C">
        <w:t>.</w:t>
      </w:r>
    </w:p>
    <w:p w14:paraId="6136ED1D" w14:textId="2848E0E7" w:rsidR="00A45A08" w:rsidRPr="009B574C" w:rsidRDefault="00EF6AA6" w:rsidP="00DD5716">
      <w:pPr>
        <w:pStyle w:val="BodyText"/>
      </w:pPr>
      <w:r w:rsidRPr="009B574C">
        <w:t>At the secondary level, staff and students describe</w:t>
      </w:r>
      <w:r w:rsidR="006208C5" w:rsidRPr="009B574C">
        <w:t>d</w:t>
      </w:r>
      <w:r w:rsidRPr="009B574C">
        <w:t xml:space="preserve"> multiple structures aimed at promoting supportive environments. High school teachers report</w:t>
      </w:r>
      <w:r w:rsidR="006208C5" w:rsidRPr="009B574C">
        <w:t>ed</w:t>
      </w:r>
      <w:r w:rsidRPr="009B574C">
        <w:t xml:space="preserve"> that LLB/advisory period</w:t>
      </w:r>
      <w:r w:rsidR="006208C5" w:rsidRPr="009B574C">
        <w:t>s</w:t>
      </w:r>
      <w:r w:rsidRPr="009B574C">
        <w:t xml:space="preserve"> </w:t>
      </w:r>
      <w:r w:rsidR="006208C5" w:rsidRPr="009B574C">
        <w:t>are</w:t>
      </w:r>
      <w:r w:rsidRPr="009B574C">
        <w:t xml:space="preserve"> used for check-ins, academic help, and guidance presentations (including mental health </w:t>
      </w:r>
      <w:r w:rsidR="00C379FE" w:rsidRPr="009B574C">
        <w:t xml:space="preserve">curricula </w:t>
      </w:r>
      <w:r w:rsidRPr="009B574C">
        <w:t xml:space="preserve">such as SOS </w:t>
      </w:r>
      <w:r w:rsidR="006208C5" w:rsidRPr="009B574C">
        <w:t>[</w:t>
      </w:r>
      <w:r w:rsidRPr="009B574C">
        <w:t>Signs of Suicide</w:t>
      </w:r>
      <w:r w:rsidR="006208C5" w:rsidRPr="009B574C">
        <w:t>]</w:t>
      </w:r>
      <w:r w:rsidRPr="009B574C">
        <w:t>)</w:t>
      </w:r>
      <w:r w:rsidR="00477D51" w:rsidRPr="009B574C">
        <w:t>.</w:t>
      </w:r>
      <w:r w:rsidRPr="009B574C">
        <w:t xml:space="preserve"> </w:t>
      </w:r>
      <w:r w:rsidR="00477D51" w:rsidRPr="009B574C">
        <w:t>T</w:t>
      </w:r>
      <w:r w:rsidRPr="009B574C">
        <w:t>hey credit revised behavior</w:t>
      </w:r>
      <w:r w:rsidR="00477D51" w:rsidRPr="009B574C">
        <w:t>al</w:t>
      </w:r>
      <w:r w:rsidRPr="009B574C">
        <w:t xml:space="preserve"> expectations (e.g., cellphone policies) and clearer enforcement </w:t>
      </w:r>
      <w:r w:rsidR="00151312" w:rsidRPr="009B574C">
        <w:t xml:space="preserve">by teachers </w:t>
      </w:r>
      <w:r w:rsidRPr="009B574C">
        <w:t>with improv</w:t>
      </w:r>
      <w:r w:rsidR="00477D51" w:rsidRPr="009B574C">
        <w:t>ing student</w:t>
      </w:r>
      <w:r w:rsidRPr="009B574C">
        <w:t xml:space="preserve"> classroom focus and </w:t>
      </w:r>
      <w:r w:rsidR="00477D51" w:rsidRPr="009B574C">
        <w:t xml:space="preserve">decreasing </w:t>
      </w:r>
      <w:r w:rsidRPr="009B574C">
        <w:t>disruptions. High school students describe</w:t>
      </w:r>
      <w:r w:rsidR="00477D51" w:rsidRPr="009B574C">
        <w:t>d</w:t>
      </w:r>
      <w:r w:rsidRPr="009B574C">
        <w:t xml:space="preserve"> </w:t>
      </w:r>
      <w:r w:rsidR="00E14E51" w:rsidRPr="009B574C">
        <w:t xml:space="preserve">especially positive </w:t>
      </w:r>
      <w:r w:rsidRPr="009B574C">
        <w:t xml:space="preserve">classes </w:t>
      </w:r>
      <w:r w:rsidR="00477D51" w:rsidRPr="009B574C">
        <w:t xml:space="preserve">in which </w:t>
      </w:r>
      <w:r w:rsidRPr="009B574C">
        <w:t xml:space="preserve">teachers are approachable and supportive, </w:t>
      </w:r>
      <w:r w:rsidR="00E14E51" w:rsidRPr="009B574C">
        <w:t>al</w:t>
      </w:r>
      <w:r w:rsidRPr="009B574C">
        <w:t>though they also report</w:t>
      </w:r>
      <w:r w:rsidR="00E14E51" w:rsidRPr="009B574C">
        <w:t>ed</w:t>
      </w:r>
      <w:r w:rsidRPr="009B574C">
        <w:t xml:space="preserve"> variability in instructional methods and relationship quality across teachers. The Norton High School PBIS Expectations Matrix formalizes a three-pillar framework (</w:t>
      </w:r>
      <w:r w:rsidR="00E14E51" w:rsidRPr="009B574C">
        <w:t xml:space="preserve">i.e., </w:t>
      </w:r>
      <w:r w:rsidRPr="009B574C">
        <w:t xml:space="preserve">“be respectful, be responsible, be connected”) for schoolwide behavior. There are also </w:t>
      </w:r>
      <w:r w:rsidR="00E14E51" w:rsidRPr="009B574C">
        <w:t xml:space="preserve">student </w:t>
      </w:r>
      <w:r w:rsidRPr="009B574C">
        <w:t>expectations</w:t>
      </w:r>
      <w:r w:rsidR="00BE4CE1" w:rsidRPr="009B574C">
        <w:t>,</w:t>
      </w:r>
      <w:r w:rsidRPr="009B574C">
        <w:t xml:space="preserve"> such as </w:t>
      </w:r>
      <w:r w:rsidR="00E14E51" w:rsidRPr="009B574C">
        <w:t xml:space="preserve">using </w:t>
      </w:r>
      <w:r w:rsidRPr="009B574C">
        <w:t xml:space="preserve">appropriate language, </w:t>
      </w:r>
      <w:r w:rsidR="00E14E51" w:rsidRPr="009B574C">
        <w:t>using</w:t>
      </w:r>
      <w:r w:rsidRPr="009B574C">
        <w:t xml:space="preserve"> technology, and consider</w:t>
      </w:r>
      <w:r w:rsidR="00E14E51" w:rsidRPr="009B574C">
        <w:t>ing</w:t>
      </w:r>
      <w:r w:rsidRPr="009B574C">
        <w:t xml:space="preserve"> other</w:t>
      </w:r>
      <w:r w:rsidR="00A6744A" w:rsidRPr="009B574C">
        <w:t xml:space="preserve"> students’</w:t>
      </w:r>
      <w:r w:rsidRPr="009B574C">
        <w:t xml:space="preserve"> space, indicating a structured Tier 1 behavior</w:t>
      </w:r>
      <w:r w:rsidR="00A6744A" w:rsidRPr="009B574C">
        <w:t>al</w:t>
      </w:r>
      <w:r w:rsidRPr="009B574C">
        <w:t xml:space="preserve"> system at the high school. At the middle school, teachers and students emphasize</w:t>
      </w:r>
      <w:r w:rsidR="00A6744A" w:rsidRPr="009B574C">
        <w:t>d</w:t>
      </w:r>
      <w:r w:rsidRPr="009B574C">
        <w:t xml:space="preserve"> the ICE block for support and accountability but </w:t>
      </w:r>
      <w:r w:rsidR="00A6744A" w:rsidRPr="009B574C">
        <w:t xml:space="preserve">did </w:t>
      </w:r>
      <w:r w:rsidRPr="009B574C">
        <w:t xml:space="preserve">not reference a visible </w:t>
      </w:r>
      <w:r w:rsidR="00A375A2" w:rsidRPr="009B574C">
        <w:t>building-wide</w:t>
      </w:r>
      <w:r w:rsidRPr="009B574C">
        <w:t xml:space="preserve"> PBIS framework to the same extent</w:t>
      </w:r>
      <w:r w:rsidR="00A6744A" w:rsidRPr="009B574C">
        <w:t xml:space="preserve"> as high school students. T</w:t>
      </w:r>
      <w:r w:rsidRPr="009B574C">
        <w:t>eachers describe</w:t>
      </w:r>
      <w:r w:rsidR="00A6744A" w:rsidRPr="009B574C">
        <w:t>d</w:t>
      </w:r>
      <w:r w:rsidRPr="009B574C">
        <w:t xml:space="preserve"> behavior management as more classroom</w:t>
      </w:r>
      <w:r w:rsidR="00A6744A" w:rsidRPr="009B574C">
        <w:t>-</w:t>
      </w:r>
      <w:r w:rsidRPr="009B574C">
        <w:t xml:space="preserve"> and team</w:t>
      </w:r>
      <w:r w:rsidR="00DD5716" w:rsidRPr="009B574C">
        <w:noBreakHyphen/>
      </w:r>
      <w:r w:rsidRPr="009B574C">
        <w:t>based, and note</w:t>
      </w:r>
      <w:r w:rsidR="00A6744A" w:rsidRPr="009B574C">
        <w:t>d</w:t>
      </w:r>
      <w:r w:rsidRPr="009B574C">
        <w:t xml:space="preserve"> scheduling and resource challenges (e.g., loss of interventionists) that limit consistent Tier 2</w:t>
      </w:r>
      <w:r w:rsidR="00A6744A" w:rsidRPr="009B574C">
        <w:t xml:space="preserve"> and Tier </w:t>
      </w:r>
      <w:r w:rsidRPr="009B574C">
        <w:t>3 supports, especially in grade 8</w:t>
      </w:r>
      <w:r w:rsidR="00A45A08" w:rsidRPr="009B574C">
        <w:t>.</w:t>
      </w:r>
    </w:p>
    <w:p w14:paraId="4CA88D75" w14:textId="65C8A16F" w:rsidR="00EF6AA6" w:rsidRPr="009B574C" w:rsidRDefault="00EF6AA6" w:rsidP="00DD5716">
      <w:pPr>
        <w:pStyle w:val="BodyText"/>
      </w:pPr>
      <w:r w:rsidRPr="009B574C">
        <w:t>District leaders and school staff describe</w:t>
      </w:r>
      <w:r w:rsidR="007353FC" w:rsidRPr="009B574C">
        <w:t>d</w:t>
      </w:r>
      <w:r w:rsidRPr="009B574C">
        <w:t xml:space="preserve"> an integrated system of support that explicitly includes social</w:t>
      </w:r>
      <w:r w:rsidR="007353FC" w:rsidRPr="009B574C">
        <w:t>-</w:t>
      </w:r>
      <w:r w:rsidRPr="009B574C">
        <w:t xml:space="preserve">emotional supports. Superintendent </w:t>
      </w:r>
      <w:r w:rsidR="007353FC" w:rsidRPr="009B574C">
        <w:t xml:space="preserve">O’Neill </w:t>
      </w:r>
      <w:r w:rsidRPr="009B574C">
        <w:t>report</w:t>
      </w:r>
      <w:r w:rsidR="007353FC" w:rsidRPr="009B574C">
        <w:t>ed</w:t>
      </w:r>
      <w:r w:rsidRPr="009B574C">
        <w:t xml:space="preserve"> multiyear work with external partners and restructuring of central office roles to create a </w:t>
      </w:r>
      <w:r w:rsidR="007353FC" w:rsidRPr="009B574C">
        <w:t>d</w:t>
      </w:r>
      <w:r w:rsidRPr="009B574C">
        <w:t xml:space="preserve">irector of </w:t>
      </w:r>
      <w:r w:rsidR="007353FC" w:rsidRPr="009B574C">
        <w:t>c</w:t>
      </w:r>
      <w:r w:rsidRPr="009B574C">
        <w:t xml:space="preserve">ounseling and </w:t>
      </w:r>
      <w:r w:rsidR="007353FC" w:rsidRPr="009B574C">
        <w:t>t</w:t>
      </w:r>
      <w:r w:rsidRPr="009B574C">
        <w:t xml:space="preserve">herapeutic </w:t>
      </w:r>
      <w:r w:rsidR="007353FC" w:rsidRPr="009B574C">
        <w:t>s</w:t>
      </w:r>
      <w:r w:rsidRPr="009B574C">
        <w:t xml:space="preserve">ervices and to clarify responsibilities for </w:t>
      </w:r>
      <w:r w:rsidR="007353FC" w:rsidRPr="009B574C">
        <w:t xml:space="preserve">social-emotional learning </w:t>
      </w:r>
      <w:r w:rsidRPr="009B574C">
        <w:t>and counseling. District</w:t>
      </w:r>
      <w:r w:rsidR="007353FC" w:rsidRPr="009B574C">
        <w:t>-</w:t>
      </w:r>
      <w:r w:rsidRPr="009B574C">
        <w:t>level student support staff describe</w:t>
      </w:r>
      <w:r w:rsidR="00204FFA" w:rsidRPr="009B574C">
        <w:t>d</w:t>
      </w:r>
      <w:r w:rsidRPr="009B574C">
        <w:t xml:space="preserve"> building</w:t>
      </w:r>
      <w:r w:rsidR="00204FFA" w:rsidRPr="009B574C">
        <w:t>-</w:t>
      </w:r>
      <w:r w:rsidRPr="009B574C">
        <w:t xml:space="preserve">based SSTs, a </w:t>
      </w:r>
      <w:r w:rsidR="00204FFA" w:rsidRPr="009B574C">
        <w:t>c</w:t>
      </w:r>
      <w:r w:rsidRPr="009B574C">
        <w:t xml:space="preserve">linical </w:t>
      </w:r>
      <w:r w:rsidR="00204FFA" w:rsidRPr="009B574C">
        <w:t>c</w:t>
      </w:r>
      <w:r w:rsidRPr="009B574C">
        <w:t xml:space="preserve">onsultation </w:t>
      </w:r>
      <w:r w:rsidR="00204FFA" w:rsidRPr="009B574C">
        <w:t>t</w:t>
      </w:r>
      <w:r w:rsidRPr="009B574C">
        <w:t>eam for complex cases, and strong partnerships with community mental health</w:t>
      </w:r>
      <w:r w:rsidR="00F374A7" w:rsidRPr="009B574C">
        <w:t xml:space="preserve"> providers</w:t>
      </w:r>
      <w:r w:rsidRPr="009B574C">
        <w:t>. While elementary</w:t>
      </w:r>
      <w:r w:rsidR="004F7C38" w:rsidRPr="009B574C">
        <w:t>-</w:t>
      </w:r>
      <w:r w:rsidRPr="009B574C">
        <w:t xml:space="preserve"> and district</w:t>
      </w:r>
      <w:r w:rsidR="004F7C38" w:rsidRPr="009B574C">
        <w:t>-</w:t>
      </w:r>
      <w:r w:rsidRPr="009B574C">
        <w:t>level staff perceive</w:t>
      </w:r>
      <w:r w:rsidR="00204FFA" w:rsidRPr="009B574C">
        <w:t>d</w:t>
      </w:r>
      <w:r w:rsidRPr="009B574C">
        <w:t xml:space="preserve"> these systems as increasingly coherent and robust, some secondary special education teachers express</w:t>
      </w:r>
      <w:r w:rsidR="00204FFA" w:rsidRPr="009B574C">
        <w:t>ed</w:t>
      </w:r>
      <w:r w:rsidRPr="009B574C">
        <w:t xml:space="preserve"> concern that </w:t>
      </w:r>
      <w:r w:rsidR="00B76A89" w:rsidRPr="009B574C">
        <w:t>t</w:t>
      </w:r>
      <w:r w:rsidRPr="009B574C">
        <w:t>he middle school lacks a clear coordinator</w:t>
      </w:r>
      <w:r w:rsidR="00B76A89" w:rsidRPr="009B574C">
        <w:t xml:space="preserve"> for these supports</w:t>
      </w:r>
      <w:r w:rsidRPr="009B574C">
        <w:t>, leading to repeated interventions without sufficient progress for some students.</w:t>
      </w:r>
      <w:r w:rsidR="00413327" w:rsidRPr="009B574C">
        <w:t xml:space="preserve"> Bolstering the</w:t>
      </w:r>
      <w:r w:rsidR="00641D70" w:rsidRPr="009B574C">
        <w:t xml:space="preserve"> systems and staff to support social-emotional and behavioral needs at the middle school level is an area of growth for the district.</w:t>
      </w:r>
    </w:p>
    <w:p w14:paraId="78E2D4EA" w14:textId="616F32E2" w:rsidR="00A45A08" w:rsidRPr="009B574C" w:rsidRDefault="00EF6AA6" w:rsidP="00DD5716">
      <w:pPr>
        <w:pStyle w:val="BodyText"/>
      </w:pPr>
      <w:r w:rsidRPr="009B574C">
        <w:t xml:space="preserve">The district’s formal bullying prevention </w:t>
      </w:r>
      <w:r w:rsidR="00323858" w:rsidRPr="009B574C">
        <w:t xml:space="preserve">plan </w:t>
      </w:r>
      <w:r w:rsidRPr="009B574C">
        <w:t>is updated annually, and intervention infrastructure is well</w:t>
      </w:r>
      <w:r w:rsidR="00DD5716" w:rsidRPr="009B574C">
        <w:noBreakHyphen/>
      </w:r>
      <w:r w:rsidRPr="009B574C">
        <w:t xml:space="preserve">documented. The </w:t>
      </w:r>
      <w:r w:rsidRPr="009B574C">
        <w:rPr>
          <w:i/>
          <w:iCs/>
        </w:rPr>
        <w:t>Norton Public Schools Bullying Prevention Intervention Plan</w:t>
      </w:r>
      <w:r w:rsidRPr="009B574C">
        <w:t xml:space="preserve"> documents districtwide use of PBIS, SOS screening, trauma</w:t>
      </w:r>
      <w:r w:rsidR="00202EA7" w:rsidRPr="009B574C">
        <w:t>-</w:t>
      </w:r>
      <w:r w:rsidRPr="009B574C">
        <w:t>sensitive practices, Panorama surveys, and an extensive therapeutic resource list for referrals. The plan describes alignment with Massachusetts law, clearly defining bullying, cyberbullying, hostile environment, and retaliation, and outlines reporting mechanisms (including anonymous reports), investigation procedures, and protection for targets and witnesses</w:t>
      </w:r>
      <w:r w:rsidR="00A45A08" w:rsidRPr="009B574C">
        <w:t>.</w:t>
      </w:r>
    </w:p>
    <w:p w14:paraId="297A79DF" w14:textId="5913A313" w:rsidR="00A45A08" w:rsidRPr="009B574C" w:rsidRDefault="00EF6AA6" w:rsidP="00DD5716">
      <w:pPr>
        <w:pStyle w:val="BodyText"/>
      </w:pPr>
      <w:r w:rsidRPr="009B574C">
        <w:lastRenderedPageBreak/>
        <w:t>District and school leaders describe</w:t>
      </w:r>
      <w:r w:rsidR="00C17325" w:rsidRPr="009B574C">
        <w:t>d</w:t>
      </w:r>
      <w:r w:rsidRPr="009B574C">
        <w:t xml:space="preserve"> data</w:t>
      </w:r>
      <w:r w:rsidR="00C17325" w:rsidRPr="009B574C">
        <w:t>-</w:t>
      </w:r>
      <w:r w:rsidRPr="009B574C">
        <w:t xml:space="preserve">informed approaches to </w:t>
      </w:r>
      <w:r w:rsidR="00C17325" w:rsidRPr="009B574C">
        <w:t xml:space="preserve">social-emotional learning </w:t>
      </w:r>
      <w:r w:rsidRPr="009B574C">
        <w:t xml:space="preserve">and climate. </w:t>
      </w:r>
      <w:r w:rsidR="00C17325" w:rsidRPr="009B574C">
        <w:t>S</w:t>
      </w:r>
      <w:r w:rsidRPr="009B574C">
        <w:t xml:space="preserve">uperintendent </w:t>
      </w:r>
      <w:r w:rsidR="00C17325" w:rsidRPr="009B574C">
        <w:t xml:space="preserve">O’Neill </w:t>
      </w:r>
      <w:r w:rsidRPr="009B574C">
        <w:t>report</w:t>
      </w:r>
      <w:r w:rsidR="00C17325" w:rsidRPr="009B574C">
        <w:t>ed</w:t>
      </w:r>
      <w:r w:rsidRPr="009B574C">
        <w:t xml:space="preserve"> a focus on data literacy and on using both summative and formative data, including Panorama climate/</w:t>
      </w:r>
      <w:r w:rsidR="00C17325" w:rsidRPr="009B574C">
        <w:t>social-emotional learning</w:t>
      </w:r>
      <w:r w:rsidRPr="009B574C">
        <w:t xml:space="preserve"> measures. District</w:t>
      </w:r>
      <w:r w:rsidR="00C17325" w:rsidRPr="009B574C">
        <w:t>-</w:t>
      </w:r>
      <w:r w:rsidRPr="009B574C">
        <w:t>level staff describe</w:t>
      </w:r>
      <w:r w:rsidR="001B3BC4" w:rsidRPr="009B574C">
        <w:t>d</w:t>
      </w:r>
      <w:r w:rsidRPr="009B574C">
        <w:t xml:space="preserve"> Panorama as a one stop system that integrates attendance, behavior</w:t>
      </w:r>
      <w:r w:rsidR="001B3BC4" w:rsidRPr="009B574C">
        <w:t>al</w:t>
      </w:r>
      <w:r w:rsidRPr="009B574C">
        <w:t xml:space="preserve">, and benchmark data for IMTSS and SST work. The </w:t>
      </w:r>
      <w:r w:rsidR="00223BAA" w:rsidRPr="009B574C">
        <w:t xml:space="preserve">district’s </w:t>
      </w:r>
      <w:r w:rsidRPr="009B574C">
        <w:t xml:space="preserve">bullying plan describes using SWIS and Panorama student surveys each fall and spring to monitor climate and </w:t>
      </w:r>
      <w:r w:rsidR="00223BAA" w:rsidRPr="009B574C">
        <w:t>social-emotional learning</w:t>
      </w:r>
      <w:r w:rsidRPr="009B574C">
        <w:t xml:space="preserve"> and to target supports, particularly for vulnerable student populations. </w:t>
      </w:r>
      <w:r w:rsidR="00223BAA" w:rsidRPr="009B574C">
        <w:t>The p</w:t>
      </w:r>
      <w:r w:rsidRPr="009B574C">
        <w:t>rofessional learning for leaders and teacher leaders on IMTSS, data use, and high</w:t>
      </w:r>
      <w:r w:rsidR="00223BAA" w:rsidRPr="009B574C">
        <w:t>-</w:t>
      </w:r>
      <w:r w:rsidRPr="009B574C">
        <w:t>impact teacher teams is ongoing, with broad participation of principals, assistant principals, and curriculum leaders. Teachers and support staff confirm</w:t>
      </w:r>
      <w:r w:rsidR="00223BAA" w:rsidRPr="009B574C">
        <w:t xml:space="preserve">ed that during </w:t>
      </w:r>
      <w:r w:rsidRPr="009B574C">
        <w:t>elementary</w:t>
      </w:r>
      <w:r w:rsidR="00223BAA" w:rsidRPr="009B574C">
        <w:t>-</w:t>
      </w:r>
      <w:r w:rsidRPr="009B574C">
        <w:t xml:space="preserve">level </w:t>
      </w:r>
      <w:r w:rsidR="00223BAA" w:rsidRPr="009B574C">
        <w:t xml:space="preserve">weekly PLCs and SST/IST meetings, members </w:t>
      </w:r>
      <w:r w:rsidRPr="009B574C">
        <w:t xml:space="preserve">review academic, behavioral, and </w:t>
      </w:r>
      <w:r w:rsidR="00223BAA" w:rsidRPr="009B574C">
        <w:t>social-emotional learning</w:t>
      </w:r>
      <w:r w:rsidRPr="009B574C">
        <w:t xml:space="preserve"> data (e.g., </w:t>
      </w:r>
      <w:r w:rsidR="00371935" w:rsidRPr="009B574C">
        <w:t>Star</w:t>
      </w:r>
      <w:r w:rsidRPr="009B574C">
        <w:t>, CBMs, referrals, teacher concerns) and to plan interventions</w:t>
      </w:r>
      <w:r w:rsidR="00223BAA" w:rsidRPr="009B574C">
        <w:t>. T</w:t>
      </w:r>
      <w:r w:rsidRPr="009B574C">
        <w:t>hey describe</w:t>
      </w:r>
      <w:r w:rsidR="00223BAA" w:rsidRPr="009B574C">
        <w:t>d</w:t>
      </w:r>
      <w:r w:rsidRPr="009B574C">
        <w:t xml:space="preserve"> a culture of collaborative</w:t>
      </w:r>
      <w:r w:rsidR="00850527" w:rsidRPr="009B574C">
        <w:t xml:space="preserve"> and</w:t>
      </w:r>
      <w:r w:rsidRPr="009B574C">
        <w:t xml:space="preserve"> cross</w:t>
      </w:r>
      <w:r w:rsidR="00850527" w:rsidRPr="009B574C">
        <w:t>-</w:t>
      </w:r>
      <w:r w:rsidRPr="009B574C">
        <w:t>disciplinary problem</w:t>
      </w:r>
      <w:r w:rsidR="00850527" w:rsidRPr="009B574C">
        <w:t xml:space="preserve"> </w:t>
      </w:r>
      <w:r w:rsidRPr="009B574C">
        <w:t>solving. At the same time, some secondary staff express</w:t>
      </w:r>
      <w:r w:rsidR="003B4CCC" w:rsidRPr="009B574C">
        <w:t>ed</w:t>
      </w:r>
      <w:r w:rsidRPr="009B574C">
        <w:t xml:space="preserve"> concern that IMTSS processes for nonacademic supports (</w:t>
      </w:r>
      <w:r w:rsidR="003B4CCC" w:rsidRPr="009B574C">
        <w:t xml:space="preserve">e.g., </w:t>
      </w:r>
      <w:r w:rsidRPr="009B574C">
        <w:t>behavior</w:t>
      </w:r>
      <w:r w:rsidR="003B4CCC" w:rsidRPr="009B574C">
        <w:t>al, social-emotional learning</w:t>
      </w:r>
      <w:r w:rsidRPr="009B574C">
        <w:t>) are less clearly structured and coordinated at the middle school</w:t>
      </w:r>
      <w:r w:rsidR="00A45A08" w:rsidRPr="009B574C">
        <w:t>.</w:t>
      </w:r>
    </w:p>
    <w:p w14:paraId="1106F6FF" w14:textId="5279D841" w:rsidR="00406177" w:rsidRPr="009B574C" w:rsidRDefault="00EF6AA6" w:rsidP="00DD5716">
      <w:pPr>
        <w:pStyle w:val="BodyText"/>
      </w:pPr>
      <w:r w:rsidRPr="009B574C">
        <w:t xml:space="preserve">District and school leaders, </w:t>
      </w:r>
      <w:r w:rsidR="001123E3" w:rsidRPr="009B574C">
        <w:t>as well as</w:t>
      </w:r>
      <w:r w:rsidRPr="009B574C">
        <w:t xml:space="preserve"> elementary support staff, describe</w:t>
      </w:r>
      <w:r w:rsidR="001123E3" w:rsidRPr="009B574C">
        <w:t>d</w:t>
      </w:r>
      <w:r w:rsidRPr="009B574C">
        <w:t xml:space="preserve"> attendance as integrated into broader IMTSS/SST work, with an emphasis on understanding and addressing underlying causes rather than relying solely on punitive measures. Student support staff at the elementary level report</w:t>
      </w:r>
      <w:r w:rsidR="001123E3" w:rsidRPr="009B574C">
        <w:t>ed they use</w:t>
      </w:r>
      <w:r w:rsidRPr="009B574C">
        <w:t xml:space="preserve"> case</w:t>
      </w:r>
      <w:r w:rsidR="001123E3" w:rsidRPr="009B574C">
        <w:t>-</w:t>
      </w:r>
      <w:r w:rsidRPr="009B574C">
        <w:t>by</w:t>
      </w:r>
      <w:r w:rsidR="001123E3" w:rsidRPr="009B574C">
        <w:t>-</w:t>
      </w:r>
      <w:r w:rsidRPr="009B574C">
        <w:t>case responses to address anxiety, transportation, or family-related barriers</w:t>
      </w:r>
      <w:r w:rsidR="001123E3" w:rsidRPr="009B574C">
        <w:t>. These include</w:t>
      </w:r>
      <w:r w:rsidRPr="009B574C">
        <w:t xml:space="preserve"> staff meeting students at the door, walking them into classrooms, coordinating with external clinicians, and engaging families. These practices are consistent with the IMTSS and bullying plan emphasis on collaborative, supportive responses to student needs. At the secondary level, teachers report</w:t>
      </w:r>
      <w:r w:rsidR="001123E3" w:rsidRPr="009B574C">
        <w:t>ed</w:t>
      </w:r>
      <w:r w:rsidRPr="009B574C">
        <w:t xml:space="preserve"> that the LLB/advisory block (high school) and ICE block (middle school) provide structured time for students to catch up on missed work, meet with teachers, and reengage after absences. Staff note</w:t>
      </w:r>
      <w:r w:rsidR="001123E3" w:rsidRPr="009B574C">
        <w:t>d</w:t>
      </w:r>
      <w:r w:rsidRPr="009B574C">
        <w:t xml:space="preserve"> that the timing of these blocks has been adjusted to support attendance monitoring and intervention (e.g., moving LLB to a different time to improve check-ins)</w:t>
      </w:r>
      <w:r w:rsidR="001123E3" w:rsidRPr="009B574C">
        <w:t>.</w:t>
      </w:r>
      <w:r w:rsidRPr="009B574C">
        <w:t xml:space="preserve"> </w:t>
      </w:r>
      <w:r w:rsidR="001123E3" w:rsidRPr="009B574C">
        <w:t>S</w:t>
      </w:r>
      <w:r w:rsidRPr="009B574C">
        <w:t>tudents confirm</w:t>
      </w:r>
      <w:r w:rsidR="001123E3" w:rsidRPr="009B574C">
        <w:t>ed</w:t>
      </w:r>
      <w:r w:rsidRPr="009B574C">
        <w:t xml:space="preserve"> using these periods to complete assignments and connect with staff after being out. Families describe</w:t>
      </w:r>
      <w:r w:rsidR="001123E3" w:rsidRPr="009B574C">
        <w:t>d</w:t>
      </w:r>
      <w:r w:rsidRPr="009B574C">
        <w:t xml:space="preserve"> robust and generally accessible communication about student progress and attendance. At the secondary level, parents report</w:t>
      </w:r>
      <w:r w:rsidR="001123E3" w:rsidRPr="009B574C">
        <w:t>ed</w:t>
      </w:r>
      <w:r w:rsidRPr="009B574C">
        <w:t xml:space="preserve"> using PowerSchool and Google Classroom to monitor </w:t>
      </w:r>
      <w:r w:rsidR="001123E3" w:rsidRPr="009B574C">
        <w:t xml:space="preserve">their child’s </w:t>
      </w:r>
      <w:r w:rsidRPr="009B574C">
        <w:t>attendance and assignments and</w:t>
      </w:r>
      <w:r w:rsidR="001123E3" w:rsidRPr="009B574C">
        <w:t xml:space="preserve"> to</w:t>
      </w:r>
      <w:r w:rsidRPr="009B574C">
        <w:t xml:space="preserve"> receive communication from teachers </w:t>
      </w:r>
      <w:r w:rsidR="001123E3" w:rsidRPr="009B574C">
        <w:t xml:space="preserve">via ParentSquare </w:t>
      </w:r>
      <w:r w:rsidRPr="009B574C">
        <w:t>when work is missed.</w:t>
      </w:r>
    </w:p>
    <w:p w14:paraId="0E166B25" w14:textId="459A2A53" w:rsidR="00A45A08" w:rsidRPr="009B574C" w:rsidRDefault="00EF6AA6" w:rsidP="00DD5716">
      <w:pPr>
        <w:pStyle w:val="BodyText"/>
      </w:pPr>
      <w:r w:rsidRPr="009B574C">
        <w:t>District</w:t>
      </w:r>
      <w:r w:rsidR="006403D6" w:rsidRPr="009B574C">
        <w:t>-</w:t>
      </w:r>
      <w:r w:rsidRPr="009B574C">
        <w:t>level staff indicate</w:t>
      </w:r>
      <w:r w:rsidR="006403D6" w:rsidRPr="009B574C">
        <w:t>d</w:t>
      </w:r>
      <w:r w:rsidRPr="009B574C">
        <w:t xml:space="preserve"> that student voice is intentionally incorporated into strategic planning and district decision</w:t>
      </w:r>
      <w:r w:rsidR="006403D6" w:rsidRPr="009B574C">
        <w:t xml:space="preserve"> </w:t>
      </w:r>
      <w:r w:rsidRPr="009B574C">
        <w:t>making</w:t>
      </w:r>
      <w:r w:rsidR="002E594B" w:rsidRPr="009B574C">
        <w:t xml:space="preserve"> (see </w:t>
      </w:r>
      <w:r w:rsidR="00F27180" w:rsidRPr="009B574C">
        <w:t>Strategic Planning, Implementation, and Monitoring)</w:t>
      </w:r>
      <w:r w:rsidRPr="009B574C">
        <w:t xml:space="preserve">. </w:t>
      </w:r>
      <w:r w:rsidR="006403D6" w:rsidRPr="009B574C">
        <w:t>S</w:t>
      </w:r>
      <w:r w:rsidRPr="009B574C">
        <w:t>uperintendent</w:t>
      </w:r>
      <w:r w:rsidR="006403D6" w:rsidRPr="009B574C">
        <w:t xml:space="preserve"> O’Neill</w:t>
      </w:r>
      <w:r w:rsidRPr="009B574C">
        <w:t xml:space="preserve"> describe</w:t>
      </w:r>
      <w:r w:rsidR="006403D6" w:rsidRPr="009B574C">
        <w:t>d</w:t>
      </w:r>
      <w:r w:rsidRPr="009B574C">
        <w:t xml:space="preserve"> a yearlong strategic planning process that included student participants and an ongoing </w:t>
      </w:r>
      <w:r w:rsidR="006403D6" w:rsidRPr="009B574C">
        <w:t>s</w:t>
      </w:r>
      <w:r w:rsidRPr="009B574C">
        <w:t>uperintendent</w:t>
      </w:r>
      <w:r w:rsidR="006403D6" w:rsidRPr="009B574C">
        <w:t>-</w:t>
      </w:r>
      <w:r w:rsidRPr="009B574C">
        <w:t xml:space="preserve">student advisory group that meets quarterly to discuss </w:t>
      </w:r>
      <w:r w:rsidR="006403D6" w:rsidRPr="009B574C">
        <w:t xml:space="preserve">Norton’s </w:t>
      </w:r>
      <w:r w:rsidRPr="009B574C">
        <w:t xml:space="preserve">mission/vision, </w:t>
      </w:r>
      <w:r w:rsidR="006403D6" w:rsidRPr="009B574C">
        <w:t>P</w:t>
      </w:r>
      <w:r w:rsidRPr="009B574C">
        <w:t xml:space="preserve">ortrait of a </w:t>
      </w:r>
      <w:r w:rsidR="006403D6" w:rsidRPr="009B574C">
        <w:t>L</w:t>
      </w:r>
      <w:r w:rsidRPr="009B574C">
        <w:t xml:space="preserve">earner, and priorities </w:t>
      </w:r>
      <w:r w:rsidR="006403D6" w:rsidRPr="009B574C">
        <w:t>(e.g.,</w:t>
      </w:r>
      <w:r w:rsidRPr="009B574C">
        <w:t xml:space="preserve"> respect, advocacy, learning from mistakes</w:t>
      </w:r>
      <w:r w:rsidR="006403D6" w:rsidRPr="009B574C">
        <w:t>)</w:t>
      </w:r>
      <w:r w:rsidRPr="009B574C">
        <w:t>. District leaders report</w:t>
      </w:r>
      <w:r w:rsidR="006403D6" w:rsidRPr="009B574C">
        <w:t>ed</w:t>
      </w:r>
      <w:r w:rsidRPr="009B574C">
        <w:t xml:space="preserve"> using student advisory input and survey feedback to refine district priorities and goals and to hold leadership accountable</w:t>
      </w:r>
      <w:r w:rsidR="00A45A08" w:rsidRPr="009B574C">
        <w:t>.</w:t>
      </w:r>
    </w:p>
    <w:p w14:paraId="066BFA48" w14:textId="0EE8CC99" w:rsidR="00A45A08" w:rsidRPr="009B574C" w:rsidRDefault="00EF6AA6" w:rsidP="00DD5716">
      <w:pPr>
        <w:pStyle w:val="BodyText"/>
      </w:pPr>
      <w:r w:rsidRPr="009B574C">
        <w:t>At the high school level, principals and teachers report</w:t>
      </w:r>
      <w:r w:rsidR="00D619CC" w:rsidRPr="009B574C">
        <w:t>ed</w:t>
      </w:r>
      <w:r w:rsidRPr="009B574C">
        <w:t xml:space="preserve"> that school councils include students</w:t>
      </w:r>
      <w:r w:rsidR="00D619CC" w:rsidRPr="009B574C">
        <w:t>,</w:t>
      </w:r>
      <w:r w:rsidRPr="009B574C">
        <w:t xml:space="preserve"> and that </w:t>
      </w:r>
      <w:r w:rsidR="00EC13FE" w:rsidRPr="009B574C">
        <w:t>students are involved</w:t>
      </w:r>
      <w:r w:rsidRPr="009B574C">
        <w:t xml:space="preserve"> in hiring </w:t>
      </w:r>
      <w:r w:rsidR="00D619CC" w:rsidRPr="009B574C">
        <w:t>(</w:t>
      </w:r>
      <w:r w:rsidRPr="009B574C">
        <w:t>and other committees</w:t>
      </w:r>
      <w:r w:rsidR="00D619CC" w:rsidRPr="009B574C">
        <w:t>)</w:t>
      </w:r>
      <w:r w:rsidRPr="009B574C">
        <w:t xml:space="preserve"> </w:t>
      </w:r>
      <w:r w:rsidR="00EC13FE" w:rsidRPr="009B574C">
        <w:t xml:space="preserve">whenever </w:t>
      </w:r>
      <w:r w:rsidRPr="009B574C">
        <w:t>feasible. High school students describe</w:t>
      </w:r>
      <w:r w:rsidR="00D619CC" w:rsidRPr="009B574C">
        <w:t>d</w:t>
      </w:r>
      <w:r w:rsidRPr="009B574C">
        <w:t xml:space="preserve"> a wide array of clubs, activities, and inclusive programs</w:t>
      </w:r>
      <w:r w:rsidR="00D619CC" w:rsidRPr="009B574C">
        <w:t xml:space="preserve"> (e.g.,</w:t>
      </w:r>
      <w:r w:rsidRPr="009B574C">
        <w:t xml:space="preserve"> Best Buddies, multicultural clubs, other cocurricular</w:t>
      </w:r>
      <w:r w:rsidR="00165376" w:rsidRPr="009B574C">
        <w:t xml:space="preserve"> activitie</w:t>
      </w:r>
      <w:r w:rsidR="00FD03E2" w:rsidRPr="009B574C">
        <w:t>s</w:t>
      </w:r>
      <w:r w:rsidR="00077C0A" w:rsidRPr="009B574C">
        <w:t xml:space="preserve">) </w:t>
      </w:r>
      <w:r w:rsidRPr="009B574C">
        <w:t xml:space="preserve">that provide leadership opportunities (e.g., club officers) and </w:t>
      </w:r>
      <w:r w:rsidRPr="009B574C">
        <w:lastRenderedPageBreak/>
        <w:t>influence climate, especially in inclusion</w:t>
      </w:r>
      <w:r w:rsidR="00077C0A" w:rsidRPr="009B574C">
        <w:t>-</w:t>
      </w:r>
      <w:r w:rsidRPr="009B574C">
        <w:t xml:space="preserve">focused programs </w:t>
      </w:r>
      <w:r w:rsidR="00077C0A" w:rsidRPr="009B574C">
        <w:t xml:space="preserve">(e.g., </w:t>
      </w:r>
      <w:r w:rsidRPr="009B574C">
        <w:t>unified sports</w:t>
      </w:r>
      <w:r w:rsidR="00077C0A" w:rsidRPr="009B574C">
        <w:t xml:space="preserve">, </w:t>
      </w:r>
      <w:r w:rsidRPr="009B574C">
        <w:t>Best Buddies</w:t>
      </w:r>
      <w:r w:rsidR="00077C0A" w:rsidRPr="009B574C">
        <w:t>)</w:t>
      </w:r>
      <w:r w:rsidRPr="009B574C">
        <w:t>. Students also report</w:t>
      </w:r>
      <w:r w:rsidR="004D53B9" w:rsidRPr="009B574C">
        <w:t>ed</w:t>
      </w:r>
      <w:r w:rsidRPr="009B574C">
        <w:t xml:space="preserve"> that some classrooms (particularly AP and world language classes) regularly use discussion-based formats and allow</w:t>
      </w:r>
      <w:r w:rsidR="004D53B9" w:rsidRPr="009B574C">
        <w:t xml:space="preserve"> student</w:t>
      </w:r>
      <w:r w:rsidRPr="009B574C">
        <w:t xml:space="preserve"> choice of texts or projects, giving students meaningful agency in their learning. At the same time, secondary students and staff note</w:t>
      </w:r>
      <w:r w:rsidR="004D53B9" w:rsidRPr="009B574C">
        <w:t>d</w:t>
      </w:r>
      <w:r w:rsidRPr="009B574C">
        <w:t xml:space="preserve"> that access to leadership and voice opportunities is uneven. Students indicate</w:t>
      </w:r>
      <w:r w:rsidR="004D53B9" w:rsidRPr="009B574C">
        <w:t>d</w:t>
      </w:r>
      <w:r w:rsidRPr="009B574C">
        <w:t xml:space="preserve"> that involvement in clubs or advisory bodies often depends on individual initiative or teacher encouragement, and some students feel less connected to decision-making processes.</w:t>
      </w:r>
      <w:r w:rsidR="007C429A" w:rsidRPr="009B574C">
        <w:t xml:space="preserve"> </w:t>
      </w:r>
      <w:r w:rsidR="006B578A" w:rsidRPr="009B574C">
        <w:t>The focus on student leadership and wide variety of opportunities</w:t>
      </w:r>
      <w:r w:rsidR="00642061" w:rsidRPr="009B574C">
        <w:t xml:space="preserve"> available to students at the secondary level is a strength</w:t>
      </w:r>
      <w:r w:rsidR="004D53B9" w:rsidRPr="009B574C">
        <w:t xml:space="preserve"> </w:t>
      </w:r>
      <w:r w:rsidR="00430D12" w:rsidRPr="009B574C">
        <w:t xml:space="preserve">in </w:t>
      </w:r>
      <w:r w:rsidR="004D53B9" w:rsidRPr="009B574C">
        <w:t>Norton</w:t>
      </w:r>
      <w:r w:rsidR="00A45A08" w:rsidRPr="009B574C">
        <w:t>.</w:t>
      </w:r>
    </w:p>
    <w:p w14:paraId="2B4225B9" w14:textId="6B33BA26" w:rsidR="00890B24" w:rsidRPr="00CD29D0" w:rsidRDefault="00890B24" w:rsidP="00DD5716">
      <w:pPr>
        <w:pStyle w:val="Heading3"/>
      </w:pPr>
      <w:bookmarkStart w:id="58" w:name="_Tiered_Systems_of"/>
      <w:bookmarkStart w:id="59" w:name="_Health_and_Wellbeing"/>
      <w:bookmarkEnd w:id="58"/>
      <w:bookmarkEnd w:id="59"/>
      <w:r w:rsidRPr="00CD29D0">
        <w:t>Health and Well</w:t>
      </w:r>
      <w:r w:rsidR="004D53B9" w:rsidRPr="00CD29D0">
        <w:t>-B</w:t>
      </w:r>
      <w:r w:rsidRPr="00CD29D0">
        <w:t>eing</w:t>
      </w:r>
    </w:p>
    <w:p w14:paraId="4FA70CBC" w14:textId="3194AFBA" w:rsidR="00895546" w:rsidRPr="00CD29D0" w:rsidRDefault="00895546" w:rsidP="00DD5716">
      <w:pPr>
        <w:pStyle w:val="BodyTextposthead"/>
      </w:pPr>
      <w:r w:rsidRPr="00CD29D0">
        <w:t xml:space="preserve">Across </w:t>
      </w:r>
      <w:r w:rsidR="00466BCC" w:rsidRPr="00CD29D0">
        <w:t xml:space="preserve">school </w:t>
      </w:r>
      <w:r w:rsidRPr="00CD29D0">
        <w:t>levels, students have regular access to physical education</w:t>
      </w:r>
      <w:r w:rsidR="00466BCC" w:rsidRPr="00CD29D0">
        <w:t xml:space="preserve"> (PE)</w:t>
      </w:r>
      <w:r w:rsidRPr="00CD29D0">
        <w:t>, and some health/wellness content is embedded in courses and advisory</w:t>
      </w:r>
      <w:r w:rsidR="00466BCC" w:rsidRPr="00CD29D0">
        <w:t>-</w:t>
      </w:r>
      <w:r w:rsidRPr="00CD29D0">
        <w:t>type structures. Elementary teachers report</w:t>
      </w:r>
      <w:r w:rsidR="00466BCC" w:rsidRPr="00CD29D0">
        <w:t>ed</w:t>
      </w:r>
      <w:r w:rsidRPr="00CD29D0">
        <w:t xml:space="preserve"> that all students participate in scheduled “specials,” including gym/PE, art, music, library/media, and STEAM on a weekly cycle, with gym occurring at least once per week </w:t>
      </w:r>
      <w:r w:rsidR="00466BCC" w:rsidRPr="00CD29D0">
        <w:t>but</w:t>
      </w:r>
      <w:r w:rsidRPr="00CD29D0">
        <w:t xml:space="preserve"> in some cases twice per week depending on grade level. Famil</w:t>
      </w:r>
      <w:r w:rsidR="00FB3EA8" w:rsidRPr="00CD29D0">
        <w:t>ies</w:t>
      </w:r>
      <w:r w:rsidRPr="00CD29D0">
        <w:t xml:space="preserve"> similarly describe</w:t>
      </w:r>
      <w:r w:rsidR="00466BCC" w:rsidRPr="00CD29D0">
        <w:t>d</w:t>
      </w:r>
      <w:r w:rsidRPr="00CD29D0">
        <w:t xml:space="preserve"> a structured rotation of specials at the elementary level (</w:t>
      </w:r>
      <w:r w:rsidR="00466BCC" w:rsidRPr="00CD29D0">
        <w:t xml:space="preserve">e.g., </w:t>
      </w:r>
      <w:r w:rsidRPr="00CD29D0">
        <w:t>STEAM, art, music, gym), suggesting that PE access is routine and predictable for younger students.</w:t>
      </w:r>
    </w:p>
    <w:p w14:paraId="6465DADE" w14:textId="5B555264" w:rsidR="00A45A08" w:rsidRPr="00CD29D0" w:rsidRDefault="00895546" w:rsidP="00DD5716">
      <w:pPr>
        <w:pStyle w:val="BodyText"/>
      </w:pPr>
      <w:r w:rsidRPr="00CD29D0">
        <w:t>At the middle and high school levels, staff describe</w:t>
      </w:r>
      <w:r w:rsidR="00466BCC" w:rsidRPr="00CD29D0">
        <w:t>d</w:t>
      </w:r>
      <w:r w:rsidRPr="00CD29D0">
        <w:t xml:space="preserve"> wellness/PE offerings that include a mix of traditional physical activities and health-oriented content. </w:t>
      </w:r>
      <w:r w:rsidR="00C81ABC" w:rsidRPr="00CD29D0">
        <w:t xml:space="preserve">According to </w:t>
      </w:r>
      <w:r w:rsidR="00466BCC" w:rsidRPr="00CD29D0">
        <w:t xml:space="preserve">the Norton Middle School </w:t>
      </w:r>
      <w:r w:rsidR="002443C6" w:rsidRPr="00CD29D0">
        <w:rPr>
          <w:i/>
          <w:iCs/>
        </w:rPr>
        <w:t>2025-26 Student Handbook</w:t>
      </w:r>
      <w:r w:rsidR="002443C6" w:rsidRPr="00CD29D0">
        <w:t xml:space="preserve">, all students receive </w:t>
      </w:r>
      <w:r w:rsidR="005B24FD" w:rsidRPr="00CD29D0">
        <w:t xml:space="preserve">human sexuality education in grades 5-12; this curriculum was developed by a </w:t>
      </w:r>
      <w:r w:rsidR="00466BCC" w:rsidRPr="00CD29D0">
        <w:t>c</w:t>
      </w:r>
      <w:r w:rsidR="005B24FD" w:rsidRPr="00CD29D0">
        <w:t xml:space="preserve">ommunity </w:t>
      </w:r>
      <w:r w:rsidR="00466BCC" w:rsidRPr="00CD29D0">
        <w:t>h</w:t>
      </w:r>
      <w:r w:rsidR="005B24FD" w:rsidRPr="00CD29D0">
        <w:t xml:space="preserve">ealth </w:t>
      </w:r>
      <w:r w:rsidR="00466BCC" w:rsidRPr="00CD29D0">
        <w:t>a</w:t>
      </w:r>
      <w:r w:rsidR="005B24FD" w:rsidRPr="00CD29D0">
        <w:t xml:space="preserve">dvisory </w:t>
      </w:r>
      <w:r w:rsidR="00466BCC" w:rsidRPr="00CD29D0">
        <w:t>c</w:t>
      </w:r>
      <w:r w:rsidR="005B24FD" w:rsidRPr="00CD29D0">
        <w:t>ommittee and approved by the Norton school committee</w:t>
      </w:r>
      <w:r w:rsidR="00CA780F" w:rsidRPr="00CD29D0">
        <w:t xml:space="preserve">. </w:t>
      </w:r>
      <w:r w:rsidR="00466BCC" w:rsidRPr="00CD29D0">
        <w:t xml:space="preserve">As noted, </w:t>
      </w:r>
      <w:r w:rsidR="00CA780F" w:rsidRPr="00CD29D0">
        <w:t xml:space="preserve">all students take physical education. </w:t>
      </w:r>
      <w:r w:rsidRPr="00CD29D0">
        <w:t xml:space="preserve">Secondary staff </w:t>
      </w:r>
      <w:r w:rsidR="00466BCC" w:rsidRPr="00CD29D0">
        <w:t>described</w:t>
      </w:r>
      <w:r w:rsidRPr="00CD29D0">
        <w:t xml:space="preserve"> that upper grade students can take PE/wellness classes organized into strands</w:t>
      </w:r>
      <w:r w:rsidR="00466BCC" w:rsidRPr="00CD29D0">
        <w:t>,</w:t>
      </w:r>
      <w:r w:rsidRPr="00CD29D0">
        <w:t xml:space="preserve"> such as yoga and mindfulness</w:t>
      </w:r>
      <w:r w:rsidR="00466BCC" w:rsidRPr="00CD29D0">
        <w:t xml:space="preserve"> or </w:t>
      </w:r>
      <w:r w:rsidRPr="00CD29D0">
        <w:t xml:space="preserve">sports and games, indicating exposure to both stress management </w:t>
      </w:r>
      <w:r w:rsidR="00466BCC" w:rsidRPr="00CD29D0">
        <w:t xml:space="preserve">and fitness </w:t>
      </w:r>
      <w:r w:rsidRPr="00CD29D0">
        <w:t>content</w:t>
      </w:r>
      <w:r w:rsidR="00E94BCA" w:rsidRPr="00CD29D0">
        <w:t>.</w:t>
      </w:r>
      <w:r w:rsidR="003D59A5" w:rsidRPr="00CD29D0">
        <w:t xml:space="preserve"> </w:t>
      </w:r>
      <w:r w:rsidRPr="00CD29D0">
        <w:t>Middle school staff also describe</w:t>
      </w:r>
      <w:r w:rsidR="00466BCC" w:rsidRPr="00CD29D0">
        <w:t>d</w:t>
      </w:r>
      <w:r w:rsidRPr="00CD29D0">
        <w:t xml:space="preserve"> </w:t>
      </w:r>
      <w:r>
        <w:t>a</w:t>
      </w:r>
      <w:r w:rsidR="00466BCC">
        <w:t xml:space="preserve"> </w:t>
      </w:r>
      <w:r>
        <w:t>S</w:t>
      </w:r>
      <w:r w:rsidR="00C93B4D">
        <w:t xml:space="preserve">igns of </w:t>
      </w:r>
      <w:r>
        <w:t>S</w:t>
      </w:r>
      <w:r w:rsidR="00C93B4D">
        <w:t>uicide (</w:t>
      </w:r>
      <w:r w:rsidRPr="00CD29D0">
        <w:t>SOS</w:t>
      </w:r>
      <w:r w:rsidR="00C93B4D">
        <w:t>)</w:t>
      </w:r>
      <w:r w:rsidRPr="00CD29D0">
        <w:t xml:space="preserve"> program delivered to all </w:t>
      </w:r>
      <w:r w:rsidR="00466BCC" w:rsidRPr="00CD29D0">
        <w:t xml:space="preserve">grade </w:t>
      </w:r>
      <w:r w:rsidRPr="00CD29D0">
        <w:t>8</w:t>
      </w:r>
      <w:r w:rsidR="00466BCC" w:rsidRPr="00CD29D0">
        <w:t xml:space="preserve"> students</w:t>
      </w:r>
      <w:r w:rsidR="00AE7F4C" w:rsidRPr="00CD29D0">
        <w:t>.</w:t>
      </w:r>
      <w:r w:rsidR="007E58D5" w:rsidRPr="00CD29D0">
        <w:t xml:space="preserve"> </w:t>
      </w:r>
      <w:r w:rsidR="00642061" w:rsidRPr="00CD29D0">
        <w:t>Participants across all focus groups</w:t>
      </w:r>
      <w:r w:rsidRPr="00CD29D0">
        <w:t xml:space="preserve"> generally agree</w:t>
      </w:r>
      <w:r w:rsidR="00466BCC" w:rsidRPr="00CD29D0">
        <w:t>d</w:t>
      </w:r>
      <w:r w:rsidRPr="00CD29D0">
        <w:t xml:space="preserve"> that PE/wellness is consistently scheduled and that students have multiple structured opportunities for movement and health</w:t>
      </w:r>
      <w:r w:rsidR="00466BCC" w:rsidRPr="00CD29D0">
        <w:t>-</w:t>
      </w:r>
      <w:r w:rsidRPr="00CD29D0">
        <w:t>related learning during the school week</w:t>
      </w:r>
      <w:r w:rsidR="00A45A08" w:rsidRPr="00CD29D0">
        <w:t>.</w:t>
      </w:r>
    </w:p>
    <w:p w14:paraId="5FAE0178" w14:textId="14626CD4" w:rsidR="00A45A08" w:rsidRPr="00CD29D0" w:rsidRDefault="00774179" w:rsidP="00DD5716">
      <w:pPr>
        <w:pStyle w:val="BodyText"/>
      </w:pPr>
      <w:r>
        <w:t>M</w:t>
      </w:r>
      <w:r w:rsidR="00E662F5">
        <w:t>ultiple respondent</w:t>
      </w:r>
      <w:r>
        <w:t xml:space="preserve"> groups reported </w:t>
      </w:r>
      <w:r w:rsidR="00895546" w:rsidRPr="00CD29D0">
        <w:t>that the district offers a wide range of physical activity and athletics opportunities, particularly at the middle and high schools. Specifically, middle school students report</w:t>
      </w:r>
      <w:r w:rsidR="00EF324C" w:rsidRPr="00CD29D0">
        <w:t>ed they had</w:t>
      </w:r>
      <w:r w:rsidR="00895546" w:rsidRPr="00CD29D0">
        <w:t xml:space="preserve"> opportunities for sports teams, including basketball, soccer, volleyball, </w:t>
      </w:r>
      <w:r w:rsidR="00EF324C" w:rsidRPr="00CD29D0">
        <w:t xml:space="preserve">among other sports, </w:t>
      </w:r>
      <w:r w:rsidR="00895546" w:rsidRPr="00CD29D0">
        <w:t>and describe</w:t>
      </w:r>
      <w:r w:rsidR="00EF324C" w:rsidRPr="00CD29D0">
        <w:t>d</w:t>
      </w:r>
      <w:r w:rsidR="00895546" w:rsidRPr="00CD29D0">
        <w:t xml:space="preserve"> numerous clubs (</w:t>
      </w:r>
      <w:r w:rsidR="00EF324C" w:rsidRPr="00CD29D0">
        <w:t>discussed earlier</w:t>
      </w:r>
      <w:r w:rsidR="00895546" w:rsidRPr="00CD29D0">
        <w:t xml:space="preserve">) that add to engagement outside of the regular school day. High school students </w:t>
      </w:r>
      <w:r w:rsidR="00EF324C" w:rsidRPr="00CD29D0">
        <w:t xml:space="preserve">also </w:t>
      </w:r>
      <w:r w:rsidR="00895546" w:rsidRPr="00CD29D0">
        <w:t>describe</w:t>
      </w:r>
      <w:r w:rsidR="00EF324C" w:rsidRPr="00CD29D0">
        <w:t>d</w:t>
      </w:r>
      <w:r w:rsidR="00895546" w:rsidRPr="00CD29D0">
        <w:t xml:space="preserve"> extensive participation in sports and activities </w:t>
      </w:r>
      <w:r w:rsidR="00EF324C" w:rsidRPr="00CD29D0">
        <w:t>(e.g.,</w:t>
      </w:r>
      <w:r w:rsidR="00895546" w:rsidRPr="00CD29D0">
        <w:t xml:space="preserve"> volleyball, unified basketball, unified track, other athletic </w:t>
      </w:r>
      <w:r w:rsidR="00EF324C" w:rsidRPr="00CD29D0">
        <w:t xml:space="preserve">or </w:t>
      </w:r>
      <w:r w:rsidR="00895546" w:rsidRPr="00CD29D0">
        <w:t>service clubs</w:t>
      </w:r>
      <w:r w:rsidR="00EF324C" w:rsidRPr="00CD29D0">
        <w:t>)</w:t>
      </w:r>
      <w:r w:rsidR="00895546" w:rsidRPr="00CD29D0">
        <w:t xml:space="preserve">. </w:t>
      </w:r>
      <w:r w:rsidR="00EF324C" w:rsidRPr="00CD29D0">
        <w:t xml:space="preserve">As described earlier, </w:t>
      </w:r>
      <w:r w:rsidR="00895546" w:rsidRPr="00CD29D0">
        <w:t>Best Buddies</w:t>
      </w:r>
      <w:r w:rsidR="0093446D" w:rsidRPr="00CD29D0">
        <w:t xml:space="preserve"> connect</w:t>
      </w:r>
      <w:r w:rsidR="00EF324C" w:rsidRPr="00CD29D0">
        <w:t>s</w:t>
      </w:r>
      <w:r w:rsidR="0093446D" w:rsidRPr="00CD29D0">
        <w:t xml:space="preserve"> students both with and without </w:t>
      </w:r>
      <w:r w:rsidR="000628BD" w:rsidRPr="00CD29D0">
        <w:t>disabilities and</w:t>
      </w:r>
      <w:r w:rsidR="00EF324C" w:rsidRPr="00CD29D0">
        <w:t xml:space="preserve"> </w:t>
      </w:r>
      <w:r w:rsidR="00895546" w:rsidRPr="00CD29D0">
        <w:t>is the largest student group in the school</w:t>
      </w:r>
      <w:r w:rsidR="00A45A08" w:rsidRPr="00CD29D0">
        <w:t>.</w:t>
      </w:r>
    </w:p>
    <w:p w14:paraId="530E9CCF" w14:textId="6D25E191" w:rsidR="005F7A41" w:rsidRPr="00CD29D0" w:rsidRDefault="00895546" w:rsidP="00DD5716">
      <w:pPr>
        <w:pStyle w:val="BodyText"/>
      </w:pPr>
      <w:r w:rsidRPr="00CD29D0">
        <w:t>Staff corroborate</w:t>
      </w:r>
      <w:r w:rsidR="00895C3F" w:rsidRPr="00CD29D0">
        <w:t>d</w:t>
      </w:r>
      <w:r w:rsidRPr="00CD29D0">
        <w:t xml:space="preserve"> that athletics and inclusive extracurriculars are well established</w:t>
      </w:r>
      <w:r w:rsidR="00895C3F" w:rsidRPr="00CD29D0">
        <w:t xml:space="preserve"> in Norton</w:t>
      </w:r>
      <w:r w:rsidRPr="00CD29D0">
        <w:t xml:space="preserve">. </w:t>
      </w:r>
      <w:r w:rsidR="0085516B">
        <w:t>S</w:t>
      </w:r>
      <w:r w:rsidRPr="00CD29D0">
        <w:t xml:space="preserve">pecialist staff </w:t>
      </w:r>
      <w:r w:rsidR="0085516B">
        <w:t>explained</w:t>
      </w:r>
      <w:r w:rsidRPr="00CD29D0">
        <w:t xml:space="preserve"> that there are “a lot of unified sports in the building</w:t>
      </w:r>
      <w:r w:rsidR="00854C5F" w:rsidRPr="00CD29D0">
        <w:t>,</w:t>
      </w:r>
      <w:r w:rsidRPr="00CD29D0">
        <w:t xml:space="preserve">” </w:t>
      </w:r>
      <w:r w:rsidR="00854C5F" w:rsidRPr="00CD29D0">
        <w:t xml:space="preserve">so that </w:t>
      </w:r>
      <w:r w:rsidR="00DA3A22">
        <w:t>all students, including students with disabilities,</w:t>
      </w:r>
      <w:r w:rsidRPr="00CD29D0">
        <w:t xml:space="preserve"> </w:t>
      </w:r>
      <w:r w:rsidR="00854C5F" w:rsidRPr="00CD29D0">
        <w:t xml:space="preserve">can </w:t>
      </w:r>
      <w:r w:rsidRPr="00CD29D0">
        <w:t>participate together in athletics an</w:t>
      </w:r>
      <w:r w:rsidRPr="009B574C">
        <w:t>d clubs</w:t>
      </w:r>
      <w:r w:rsidR="00854C5F" w:rsidRPr="009B574C">
        <w:t>;</w:t>
      </w:r>
      <w:r w:rsidRPr="009B574C">
        <w:t xml:space="preserve"> all schools are now designated unified schools</w:t>
      </w:r>
      <w:r w:rsidR="008B31B4" w:rsidRPr="009B574C">
        <w:t>, which is a strength of the district</w:t>
      </w:r>
      <w:r w:rsidR="00B54550" w:rsidRPr="009B574C">
        <w:t>.</w:t>
      </w:r>
      <w:r w:rsidRPr="009B574C">
        <w:t xml:space="preserve"> Secondary student support staff describe</w:t>
      </w:r>
      <w:r w:rsidR="00854C5F" w:rsidRPr="009B574C">
        <w:t>d</w:t>
      </w:r>
      <w:r w:rsidRPr="009B574C">
        <w:t xml:space="preserve"> Best Buddies, unified sports, and other clubs as intentionally </w:t>
      </w:r>
      <w:r w:rsidR="00854C5F" w:rsidRPr="009B574C">
        <w:t xml:space="preserve">designed </w:t>
      </w:r>
      <w:r w:rsidRPr="009B574C">
        <w:t xml:space="preserve">to connect students with and without disabilities and to promote social inclusion through physical activity. </w:t>
      </w:r>
      <w:r w:rsidRPr="009B574C">
        <w:lastRenderedPageBreak/>
        <w:t>Physical activity beyond formal PE and sports is supported at the elementary level</w:t>
      </w:r>
      <w:r w:rsidR="00854C5F" w:rsidRPr="009B574C">
        <w:t>, with f</w:t>
      </w:r>
      <w:r w:rsidRPr="009B574C">
        <w:t>amilies and staff report</w:t>
      </w:r>
      <w:r w:rsidR="00854C5F" w:rsidRPr="009B574C">
        <w:t>ing that</w:t>
      </w:r>
      <w:r w:rsidRPr="009B574C">
        <w:t xml:space="preserve"> </w:t>
      </w:r>
      <w:r w:rsidR="00854C5F" w:rsidRPr="009B574C">
        <w:t xml:space="preserve">offerings </w:t>
      </w:r>
      <w:r w:rsidRPr="009B574C">
        <w:t xml:space="preserve">before school and after school </w:t>
      </w:r>
      <w:r w:rsidR="00854C5F" w:rsidRPr="009B574C">
        <w:t>include</w:t>
      </w:r>
      <w:r w:rsidRPr="009B574C">
        <w:t xml:space="preserve"> yoga, </w:t>
      </w:r>
      <w:r w:rsidRPr="00CD29D0">
        <w:t>walking club, and intramurals</w:t>
      </w:r>
      <w:r w:rsidR="00854C5F" w:rsidRPr="00CD29D0">
        <w:t>, among other options</w:t>
      </w:r>
      <w:r w:rsidR="00642061" w:rsidRPr="00CD29D0">
        <w:t>.</w:t>
      </w:r>
    </w:p>
    <w:p w14:paraId="7FBD69CC" w14:textId="13564C37" w:rsidR="001F0443" w:rsidRPr="00CD29D0" w:rsidRDefault="001F0443" w:rsidP="00DD5716">
      <w:pPr>
        <w:pStyle w:val="BodyText"/>
      </w:pPr>
      <w:r w:rsidRPr="00CD29D0">
        <w:t>Each school has a nurse</w:t>
      </w:r>
      <w:r w:rsidR="0078639B" w:rsidRPr="00CD29D0">
        <w:t>.</w:t>
      </w:r>
      <w:r w:rsidRPr="00CD29D0">
        <w:t xml:space="preserve"> Elementary staff describe</w:t>
      </w:r>
      <w:r w:rsidR="00187DE5" w:rsidRPr="00CD29D0">
        <w:t>d</w:t>
      </w:r>
      <w:r w:rsidRPr="00CD29D0">
        <w:t xml:space="preserve"> </w:t>
      </w:r>
      <w:r w:rsidR="00187DE5" w:rsidRPr="00CD29D0">
        <w:t xml:space="preserve">that </w:t>
      </w:r>
      <w:r w:rsidRPr="00CD29D0">
        <w:t xml:space="preserve">school nurses manage </w:t>
      </w:r>
      <w:r w:rsidR="00187DE5" w:rsidRPr="00CD29D0">
        <w:t xml:space="preserve">short-term health care needs (e.g., </w:t>
      </w:r>
      <w:r w:rsidRPr="00CD29D0">
        <w:t>daily medications, acute illness</w:t>
      </w:r>
      <w:r w:rsidR="00225089">
        <w:t>,</w:t>
      </w:r>
      <w:r w:rsidRPr="00CD29D0">
        <w:t xml:space="preserve"> and injury</w:t>
      </w:r>
      <w:r w:rsidR="0078639B" w:rsidRPr="00CD29D0">
        <w:t xml:space="preserve">) </w:t>
      </w:r>
      <w:r w:rsidRPr="00CD29D0">
        <w:t>as well as more complex medical needs. In the elementary</w:t>
      </w:r>
      <w:r w:rsidR="0078639B" w:rsidRPr="00CD29D0">
        <w:t xml:space="preserve"> staff</w:t>
      </w:r>
      <w:r w:rsidRPr="00CD29D0">
        <w:t xml:space="preserve"> focus group, the L</w:t>
      </w:r>
      <w:r w:rsidR="00265667">
        <w:t xml:space="preserve">. </w:t>
      </w:r>
      <w:r w:rsidRPr="00CD29D0">
        <w:t>G</w:t>
      </w:r>
      <w:r w:rsidR="00265667">
        <w:t>. Nourse</w:t>
      </w:r>
      <w:r w:rsidRPr="00CD29D0">
        <w:t xml:space="preserve"> nurse report</w:t>
      </w:r>
      <w:r w:rsidR="0078639B" w:rsidRPr="00CD29D0">
        <w:t>ed</w:t>
      </w:r>
      <w:r w:rsidRPr="00CD29D0">
        <w:t xml:space="preserve"> providing medication administration</w:t>
      </w:r>
      <w:r w:rsidR="0078639B" w:rsidRPr="00CD29D0">
        <w:t xml:space="preserve"> </w:t>
      </w:r>
      <w:r w:rsidRPr="00CD29D0">
        <w:t xml:space="preserve">and ongoing care for students with complex conditions, </w:t>
      </w:r>
      <w:r w:rsidR="0078639B" w:rsidRPr="00CD29D0">
        <w:t xml:space="preserve">which is </w:t>
      </w:r>
      <w:r w:rsidRPr="00CD29D0">
        <w:t>consistent with a full</w:t>
      </w:r>
      <w:r w:rsidR="00DD5716" w:rsidRPr="00CD29D0">
        <w:noBreakHyphen/>
      </w:r>
      <w:r w:rsidRPr="00CD29D0">
        <w:t xml:space="preserve">service health office. At the district level, </w:t>
      </w:r>
      <w:r w:rsidR="0078639B" w:rsidRPr="00CD29D0">
        <w:t>S</w:t>
      </w:r>
      <w:r w:rsidRPr="00CD29D0">
        <w:t xml:space="preserve">uperintendent </w:t>
      </w:r>
      <w:r w:rsidR="0078639B" w:rsidRPr="00CD29D0">
        <w:t xml:space="preserve">O’Neill </w:t>
      </w:r>
      <w:r w:rsidRPr="00CD29D0">
        <w:t>explain</w:t>
      </w:r>
      <w:r w:rsidR="0078639B" w:rsidRPr="00CD29D0">
        <w:t>ed</w:t>
      </w:r>
      <w:r w:rsidRPr="00CD29D0">
        <w:t xml:space="preserve"> that the </w:t>
      </w:r>
      <w:r w:rsidR="007E4354" w:rsidRPr="00CD29D0">
        <w:t xml:space="preserve">director of counseling and therapeutic services </w:t>
      </w:r>
      <w:r w:rsidRPr="00CD29D0">
        <w:t xml:space="preserve">oversees </w:t>
      </w:r>
      <w:r w:rsidR="0078639B" w:rsidRPr="00CD29D0">
        <w:t xml:space="preserve">school </w:t>
      </w:r>
      <w:r w:rsidRPr="00CD29D0">
        <w:t>nurses</w:t>
      </w:r>
      <w:r w:rsidR="0078639B" w:rsidRPr="00CD29D0">
        <w:t xml:space="preserve">, </w:t>
      </w:r>
      <w:r w:rsidRPr="00CD29D0">
        <w:t>counselors</w:t>
      </w:r>
      <w:r w:rsidR="0078639B" w:rsidRPr="00CD29D0">
        <w:t>,</w:t>
      </w:r>
      <w:r w:rsidRPr="00CD29D0">
        <w:t xml:space="preserve"> and therapeutic staff</w:t>
      </w:r>
      <w:r w:rsidR="007E4354" w:rsidRPr="00CD29D0">
        <w:t>.</w:t>
      </w:r>
    </w:p>
    <w:p w14:paraId="0466A20F" w14:textId="337200A7" w:rsidR="00A45A08" w:rsidRPr="00CD29D0" w:rsidRDefault="00857568" w:rsidP="00DD5716">
      <w:pPr>
        <w:pStyle w:val="BodyText"/>
      </w:pPr>
      <w:r w:rsidRPr="00CD29D0">
        <w:t>N</w:t>
      </w:r>
      <w:r w:rsidR="001F0443" w:rsidRPr="00CD29D0">
        <w:t xml:space="preserve">urses are integrated into broader student support systems. </w:t>
      </w:r>
      <w:r w:rsidRPr="00CD29D0">
        <w:t>For example, e</w:t>
      </w:r>
      <w:r w:rsidR="001F0443" w:rsidRPr="00CD29D0">
        <w:t>lementary staff note</w:t>
      </w:r>
      <w:r w:rsidRPr="00CD29D0">
        <w:t>d</w:t>
      </w:r>
      <w:r w:rsidR="001F0443" w:rsidRPr="00CD29D0">
        <w:t xml:space="preserve"> that nurses participate in attendance teams and are present at arrival and dismissal</w:t>
      </w:r>
      <w:r w:rsidRPr="00CD29D0">
        <w:t xml:space="preserve"> times to</w:t>
      </w:r>
      <w:r w:rsidR="001F0443" w:rsidRPr="00CD29D0">
        <w:t xml:space="preserve"> provid</w:t>
      </w:r>
      <w:r w:rsidRPr="00CD29D0">
        <w:t>e</w:t>
      </w:r>
      <w:r w:rsidR="001F0443" w:rsidRPr="00CD29D0">
        <w:t xml:space="preserve"> relational support and check-ins. District student support staff reference</w:t>
      </w:r>
      <w:r w:rsidRPr="00CD29D0">
        <w:t>d</w:t>
      </w:r>
      <w:r w:rsidR="001F0443" w:rsidRPr="00CD29D0">
        <w:t xml:space="preserve"> nurses as part of school</w:t>
      </w:r>
      <w:r w:rsidR="00DD5716" w:rsidRPr="00CD29D0">
        <w:noBreakHyphen/>
      </w:r>
      <w:r w:rsidR="001F0443" w:rsidRPr="00CD29D0">
        <w:t>based crisis response and reentry processes</w:t>
      </w:r>
      <w:r w:rsidR="001A158E" w:rsidRPr="00CD29D0">
        <w:t>,</w:t>
      </w:r>
      <w:r w:rsidR="001F0443" w:rsidRPr="00CD29D0">
        <w:t xml:space="preserve"> </w:t>
      </w:r>
      <w:r w:rsidR="001A158E" w:rsidRPr="00CD29D0">
        <w:t xml:space="preserve">helping </w:t>
      </w:r>
      <w:r w:rsidR="001F0443" w:rsidRPr="00CD29D0">
        <w:t xml:space="preserve">students </w:t>
      </w:r>
      <w:r w:rsidR="001A158E" w:rsidRPr="00CD29D0">
        <w:t xml:space="preserve">when they </w:t>
      </w:r>
      <w:r w:rsidR="001F0443" w:rsidRPr="00CD29D0">
        <w:t>return from absences for health or mental health reasons</w:t>
      </w:r>
      <w:r w:rsidR="00A45A08" w:rsidRPr="00CD29D0">
        <w:t>.</w:t>
      </w:r>
    </w:p>
    <w:p w14:paraId="2350D62F" w14:textId="29C75AF2" w:rsidR="00A45A08" w:rsidRPr="00CD29D0" w:rsidRDefault="001F0443" w:rsidP="00DD5716">
      <w:pPr>
        <w:pStyle w:val="BodyText"/>
      </w:pPr>
      <w:r w:rsidRPr="00CD29D0">
        <w:t>The district maintains a comprehensive wellness policy that aligns closely with state and federal requirements</w:t>
      </w:r>
      <w:r w:rsidR="001A158E" w:rsidRPr="00CD29D0">
        <w:t>;</w:t>
      </w:r>
      <w:r w:rsidRPr="00CD29D0">
        <w:t xml:space="preserve"> </w:t>
      </w:r>
      <w:r w:rsidR="001A158E" w:rsidRPr="00CD29D0">
        <w:t xml:space="preserve">it </w:t>
      </w:r>
      <w:r w:rsidRPr="00CD29D0">
        <w:t>outlines a coordinated approach to supporting student health and well</w:t>
      </w:r>
      <w:r w:rsidR="001A158E" w:rsidRPr="00CD29D0">
        <w:t>-</w:t>
      </w:r>
      <w:r w:rsidRPr="00CD29D0">
        <w:t xml:space="preserve">being. The policy establishes a </w:t>
      </w:r>
      <w:r w:rsidR="001A158E" w:rsidRPr="00CD29D0">
        <w:t>d</w:t>
      </w:r>
      <w:r w:rsidRPr="00CD29D0">
        <w:t xml:space="preserve">istrict </w:t>
      </w:r>
      <w:r w:rsidR="001A158E" w:rsidRPr="00CD29D0">
        <w:t>w</w:t>
      </w:r>
      <w:r w:rsidRPr="00CD29D0">
        <w:t xml:space="preserve">ellness </w:t>
      </w:r>
      <w:r w:rsidR="001A158E" w:rsidRPr="00CD29D0">
        <w:t>c</w:t>
      </w:r>
      <w:r w:rsidRPr="00CD29D0">
        <w:t>ommittee that meets multiple times a year</w:t>
      </w:r>
      <w:r w:rsidR="001A158E" w:rsidRPr="00CD29D0">
        <w:t xml:space="preserve">; members are from a </w:t>
      </w:r>
      <w:r w:rsidRPr="00CD29D0">
        <w:t>broad representation</w:t>
      </w:r>
      <w:r w:rsidR="001A158E" w:rsidRPr="00CD29D0">
        <w:t xml:space="preserve"> of</w:t>
      </w:r>
      <w:r w:rsidRPr="00CD29D0">
        <w:t xml:space="preserve"> staff, families, students, and community members, and </w:t>
      </w:r>
      <w:r w:rsidR="00987678" w:rsidRPr="00CD29D0">
        <w:t xml:space="preserve">they </w:t>
      </w:r>
      <w:r w:rsidRPr="00CD29D0">
        <w:t xml:space="preserve">oversee the development, implementation, and revision of wellness initiatives. District leaders </w:t>
      </w:r>
      <w:r w:rsidR="00987678" w:rsidRPr="00CD29D0">
        <w:t xml:space="preserve">also </w:t>
      </w:r>
      <w:r w:rsidRPr="00CD29D0">
        <w:t>describe</w:t>
      </w:r>
      <w:r w:rsidR="00987678" w:rsidRPr="00CD29D0">
        <w:t>d</w:t>
      </w:r>
      <w:r w:rsidRPr="00CD29D0">
        <w:t xml:space="preserve"> wellness, counseling, and </w:t>
      </w:r>
      <w:r w:rsidR="00987678" w:rsidRPr="00CD29D0">
        <w:t>I</w:t>
      </w:r>
      <w:r w:rsidRPr="00CD29D0">
        <w:t>MTSS structures as central priorities, indicating alignment between written policy and district practice</w:t>
      </w:r>
      <w:r w:rsidR="00A45A08" w:rsidRPr="00CD29D0">
        <w:t>.</w:t>
      </w:r>
    </w:p>
    <w:p w14:paraId="6C62D658" w14:textId="1C5939EC" w:rsidR="0018165C" w:rsidRPr="00CD29D0" w:rsidRDefault="001F0443" w:rsidP="00DD5716">
      <w:pPr>
        <w:pStyle w:val="BodyText"/>
      </w:pPr>
      <w:r w:rsidRPr="00CD29D0">
        <w:t xml:space="preserve">At the elementary level, counselors, school psychologists, and districtwide </w:t>
      </w:r>
      <w:r w:rsidR="003F42C3" w:rsidRPr="00CD29D0">
        <w:t>Board-Certified Behavioral Analyst (</w:t>
      </w:r>
      <w:r w:rsidRPr="00CD29D0">
        <w:t>BCBA</w:t>
      </w:r>
      <w:r w:rsidR="003F42C3" w:rsidRPr="00CD29D0">
        <w:t>)</w:t>
      </w:r>
      <w:r w:rsidRPr="00CD29D0">
        <w:t xml:space="preserve"> provide</w:t>
      </w:r>
      <w:r w:rsidR="009D0249" w:rsidRPr="00CD29D0">
        <w:t>rs</w:t>
      </w:r>
      <w:r w:rsidR="009D0249" w:rsidRPr="00CD29D0">
        <w:rPr>
          <w:rFonts w:ascii="Segoe UI" w:hAnsi="Segoe UI" w:cs="Segoe UI"/>
          <w:sz w:val="18"/>
          <w:szCs w:val="18"/>
        </w:rPr>
        <w:t xml:space="preserve"> </w:t>
      </w:r>
      <w:r w:rsidR="009D0249" w:rsidRPr="00CD29D0">
        <w:t>described how their</w:t>
      </w:r>
      <w:r w:rsidRPr="00CD29D0">
        <w:t xml:space="preserve"> services</w:t>
      </w:r>
      <w:r w:rsidR="009D0249" w:rsidRPr="00CD29D0">
        <w:t xml:space="preserve"> fit within a comprehensive system of supports.</w:t>
      </w:r>
      <w:r w:rsidRPr="00CD29D0">
        <w:t xml:space="preserve"> Staff report</w:t>
      </w:r>
      <w:r w:rsidR="009D4FFD" w:rsidRPr="00CD29D0">
        <w:t>ed</w:t>
      </w:r>
      <w:r w:rsidRPr="00CD29D0">
        <w:t xml:space="preserve"> that adjustment counselors run individual and group counseling, coordinate 504</w:t>
      </w:r>
      <w:r w:rsidR="008169CD" w:rsidRPr="00CD29D0">
        <w:t> </w:t>
      </w:r>
      <w:r w:rsidRPr="00CD29D0">
        <w:t>plans, and respond to crises</w:t>
      </w:r>
      <w:r w:rsidR="009D4FFD" w:rsidRPr="00CD29D0">
        <w:t>; mean</w:t>
      </w:r>
      <w:r w:rsidRPr="00CD29D0">
        <w:t>while</w:t>
      </w:r>
      <w:r w:rsidR="009D4FFD" w:rsidRPr="00CD29D0">
        <w:t>,</w:t>
      </w:r>
      <w:r w:rsidRPr="00CD29D0">
        <w:t xml:space="preserve"> school psychologists offer lunch groups and short</w:t>
      </w:r>
      <w:r w:rsidR="008169CD" w:rsidRPr="00CD29D0">
        <w:noBreakHyphen/>
      </w:r>
      <w:r w:rsidRPr="00CD29D0">
        <w:t>term check-ins. The BCBA coordinates PBIS districtwide, attends SST meetings, and reviews behavioral data</w:t>
      </w:r>
      <w:r w:rsidR="00FB4FD1" w:rsidRPr="00CD29D0">
        <w:t>. The</w:t>
      </w:r>
      <w:r w:rsidRPr="00CD29D0">
        <w:t xml:space="preserve"> PBIS and Character Strong </w:t>
      </w:r>
      <w:r w:rsidR="00FB4FD1" w:rsidRPr="00CD29D0">
        <w:t xml:space="preserve">Social-Emotional Learning </w:t>
      </w:r>
      <w:r w:rsidRPr="00CD29D0">
        <w:t>programming reinforce expectations and social</w:t>
      </w:r>
      <w:r w:rsidR="00FB4FD1" w:rsidRPr="00CD29D0">
        <w:t>-</w:t>
      </w:r>
      <w:r w:rsidRPr="00CD29D0">
        <w:t>emotional skills. In the middle school, guidance staff manage 504s</w:t>
      </w:r>
      <w:r w:rsidR="00FB4FD1" w:rsidRPr="00CD29D0">
        <w:t>;</w:t>
      </w:r>
      <w:r w:rsidRPr="00CD29D0">
        <w:t xml:space="preserve"> scheduling</w:t>
      </w:r>
      <w:r w:rsidR="00FB4FD1" w:rsidRPr="00CD29D0">
        <w:t xml:space="preserve">; </w:t>
      </w:r>
      <w:r w:rsidRPr="00CD29D0">
        <w:t>MCAS coordination</w:t>
      </w:r>
      <w:r w:rsidR="00FB4FD1" w:rsidRPr="00CD29D0">
        <w:t xml:space="preserve">; </w:t>
      </w:r>
      <w:r w:rsidRPr="00CD29D0">
        <w:t xml:space="preserve">and </w:t>
      </w:r>
      <w:r w:rsidR="00FB4FD1" w:rsidRPr="00CD29D0">
        <w:t>social-emotional skills</w:t>
      </w:r>
      <w:r w:rsidRPr="00CD29D0">
        <w:t xml:space="preserve"> instruction, including SOS lessons for </w:t>
      </w:r>
      <w:r w:rsidR="00FB4FD1" w:rsidRPr="00CD29D0">
        <w:t xml:space="preserve">eighth </w:t>
      </w:r>
      <w:r w:rsidRPr="00CD29D0">
        <w:t>graders. Staff also describe</w:t>
      </w:r>
      <w:r w:rsidR="00FB4FD1" w:rsidRPr="00CD29D0">
        <w:t>d</w:t>
      </w:r>
      <w:r w:rsidRPr="00CD29D0">
        <w:t xml:space="preserve"> GRIT, a therapeutic program for students with intensive needs, </w:t>
      </w:r>
      <w:r w:rsidR="00FB4FD1" w:rsidRPr="00CD29D0">
        <w:t xml:space="preserve">and the program is </w:t>
      </w:r>
      <w:r w:rsidRPr="00CD29D0">
        <w:t>supported by counseling and small</w:t>
      </w:r>
      <w:r w:rsidR="00FB4FD1" w:rsidRPr="00CD29D0">
        <w:t>-</w:t>
      </w:r>
      <w:r w:rsidRPr="00CD29D0">
        <w:t>group supports. The middle school previously operated a funded Bridge program that staff found effective; they expressed concern about its discontinuation. At the high school, the Bridge classroom serves students returning from hospitalization or extended absences, providing academic and emotional support, IEP/504</w:t>
      </w:r>
      <w:r w:rsidR="008169CD" w:rsidRPr="00CD29D0">
        <w:t> </w:t>
      </w:r>
      <w:r w:rsidRPr="00CD29D0">
        <w:t>coordination, and gradual reintegration into classes. Additional therapeutic programs (GRIT, SAIL) offer small classes, sensory supports, and embedded counseling. Stakeholders broadly agree that the district provides extensive mental health supports and that numerous district programs (</w:t>
      </w:r>
      <w:r w:rsidR="007C6DB7" w:rsidRPr="00CD29D0">
        <w:t xml:space="preserve">i.e., </w:t>
      </w:r>
      <w:r w:rsidRPr="00CD29D0">
        <w:t xml:space="preserve">Bridge, GRIT, SAIL, BEST, STEP) </w:t>
      </w:r>
      <w:r w:rsidR="007C6DB7" w:rsidRPr="00CD29D0">
        <w:t xml:space="preserve">serve </w:t>
      </w:r>
      <w:r w:rsidRPr="00CD29D0">
        <w:t>students locally. However, capacity concerns</w:t>
      </w:r>
      <w:r w:rsidR="009A0C4A" w:rsidRPr="00CD29D0">
        <w:t xml:space="preserve"> are frequently cited</w:t>
      </w:r>
      <w:r w:rsidRPr="00CD29D0">
        <w:t>, including the loss of the middle school Bridge program, heavy counselor caseloads, and limited access to local mental health providers.</w:t>
      </w:r>
    </w:p>
    <w:p w14:paraId="59695C6E" w14:textId="3B0EE62A" w:rsidR="00B827DE" w:rsidRPr="00CD29D0" w:rsidRDefault="00B827DE" w:rsidP="008169CD">
      <w:pPr>
        <w:pStyle w:val="Heading3"/>
      </w:pPr>
      <w:bookmarkStart w:id="60" w:name="_Family_and_Community"/>
      <w:bookmarkEnd w:id="60"/>
      <w:r w:rsidRPr="00CD29D0">
        <w:lastRenderedPageBreak/>
        <w:t>Family and Community Partnerships</w:t>
      </w:r>
    </w:p>
    <w:p w14:paraId="711E171C" w14:textId="0D7C1351" w:rsidR="00A45A08" w:rsidRPr="00CD29D0" w:rsidRDefault="00671188" w:rsidP="008169CD">
      <w:pPr>
        <w:pStyle w:val="BodyTextposthead"/>
      </w:pPr>
      <w:r w:rsidRPr="00CD29D0">
        <w:t>District leaders, staff, and families describe</w:t>
      </w:r>
      <w:r w:rsidR="007528BD" w:rsidRPr="00CD29D0">
        <w:t>d</w:t>
      </w:r>
      <w:r w:rsidRPr="00CD29D0">
        <w:t xml:space="preserve"> a multichannel communication system that operates from elementary through high school. Families report</w:t>
      </w:r>
      <w:r w:rsidR="007528BD" w:rsidRPr="00CD29D0">
        <w:t>ed</w:t>
      </w:r>
      <w:r w:rsidRPr="00CD29D0">
        <w:t xml:space="preserve"> receiving regular </w:t>
      </w:r>
      <w:r w:rsidR="007528BD" w:rsidRPr="00CD29D0">
        <w:t>newsletters from S</w:t>
      </w:r>
      <w:r w:rsidRPr="00CD29D0">
        <w:t xml:space="preserve">uperintendent </w:t>
      </w:r>
      <w:r w:rsidR="007528BD" w:rsidRPr="00CD29D0">
        <w:t xml:space="preserve">O’Neill </w:t>
      </w:r>
      <w:r w:rsidRPr="00CD29D0">
        <w:t>via ParentSquare</w:t>
      </w:r>
      <w:r w:rsidR="007528BD" w:rsidRPr="00CD29D0">
        <w:t xml:space="preserve">; they also receive </w:t>
      </w:r>
      <w:r w:rsidRPr="00CD29D0">
        <w:t>school</w:t>
      </w:r>
      <w:r w:rsidR="007528BD" w:rsidRPr="00CD29D0">
        <w:t>-</w:t>
      </w:r>
      <w:r w:rsidRPr="00CD29D0">
        <w:t>level updates and social media posts</w:t>
      </w:r>
      <w:r w:rsidR="007528BD" w:rsidRPr="00CD29D0">
        <w:t>.</w:t>
      </w:r>
      <w:r w:rsidRPr="00CD29D0">
        <w:t xml:space="preserve"> </w:t>
      </w:r>
      <w:r w:rsidR="003C0F90" w:rsidRPr="00CD29D0">
        <w:t xml:space="preserve">Families </w:t>
      </w:r>
      <w:r w:rsidRPr="00CD29D0">
        <w:t>describe</w:t>
      </w:r>
      <w:r w:rsidR="003C0F90" w:rsidRPr="00CD29D0">
        <w:t>d</w:t>
      </w:r>
      <w:r w:rsidRPr="00CD29D0">
        <w:t xml:space="preserve"> these </w:t>
      </w:r>
      <w:r w:rsidR="003C0F90" w:rsidRPr="00CD29D0">
        <w:t xml:space="preserve">communications </w:t>
      </w:r>
      <w:r w:rsidRPr="00CD29D0">
        <w:t>as helpful for understanding district activities and decisions</w:t>
      </w:r>
      <w:r w:rsidR="006A2AE7" w:rsidRPr="00CD29D0">
        <w:t>.</w:t>
      </w:r>
      <w:r w:rsidR="006816E2" w:rsidRPr="00CD29D0">
        <w:t xml:space="preserve"> </w:t>
      </w:r>
      <w:r w:rsidRPr="00CD29D0">
        <w:t>At the elementary level, student support staff explain</w:t>
      </w:r>
      <w:r w:rsidR="003C0F90" w:rsidRPr="00CD29D0">
        <w:t>ed</w:t>
      </w:r>
      <w:r w:rsidRPr="00CD29D0">
        <w:t xml:space="preserve"> that they contact families frequently by phone, email, </w:t>
      </w:r>
      <w:r w:rsidR="003C0F90" w:rsidRPr="00CD29D0">
        <w:t xml:space="preserve">or </w:t>
      </w:r>
      <w:r w:rsidRPr="00CD29D0">
        <w:t>ParentSquare when patterns of concern arise (e.g., repeated nurse visits, behavior</w:t>
      </w:r>
      <w:r w:rsidR="003C0F90" w:rsidRPr="00CD29D0">
        <w:t>al</w:t>
      </w:r>
      <w:r w:rsidRPr="00CD29D0">
        <w:t xml:space="preserve"> changes)</w:t>
      </w:r>
      <w:r w:rsidR="003C0F90" w:rsidRPr="00CD29D0">
        <w:t>.</w:t>
      </w:r>
      <w:r w:rsidRPr="00CD29D0">
        <w:t xml:space="preserve"> </w:t>
      </w:r>
      <w:r w:rsidR="003C0F90">
        <w:t>Th</w:t>
      </w:r>
      <w:r w:rsidR="0010461D">
        <w:t>e</w:t>
      </w:r>
      <w:r w:rsidR="003C0F90">
        <w:t>s</w:t>
      </w:r>
      <w:r w:rsidR="0010461D">
        <w:t>e</w:t>
      </w:r>
      <w:r w:rsidR="003C0F90" w:rsidRPr="00CD29D0">
        <w:t xml:space="preserve"> staff</w:t>
      </w:r>
      <w:r w:rsidRPr="00CD29D0">
        <w:t xml:space="preserve"> view proactive communication as a core expectation of their roles. Staff also highlight</w:t>
      </w:r>
      <w:r w:rsidR="003C0F90" w:rsidRPr="00CD29D0">
        <w:t>ed</w:t>
      </w:r>
      <w:r w:rsidRPr="00CD29D0">
        <w:t xml:space="preserve"> the use of multilingual tools throughout Norton schools. Elementary teams report</w:t>
      </w:r>
      <w:r w:rsidR="003C0F90" w:rsidRPr="00CD29D0">
        <w:t>ed</w:t>
      </w:r>
      <w:r w:rsidRPr="00CD29D0">
        <w:t xml:space="preserve"> using ParentSquare’s translation features and external services such as Linguistica </w:t>
      </w:r>
      <w:r w:rsidR="003C0F90" w:rsidRPr="00CD29D0">
        <w:t xml:space="preserve">to translate </w:t>
      </w:r>
      <w:r w:rsidRPr="00CD29D0">
        <w:t>special education documents and meeting notices in families’ home languages.</w:t>
      </w:r>
      <w:r w:rsidR="00E83784" w:rsidRPr="00CD29D0">
        <w:t xml:space="preserve"> </w:t>
      </w:r>
      <w:r w:rsidRPr="00CD29D0">
        <w:t>At the secondary level, counselors and teachers describe</w:t>
      </w:r>
      <w:r w:rsidR="003C0F90" w:rsidRPr="00CD29D0">
        <w:t>d</w:t>
      </w:r>
      <w:r w:rsidRPr="00CD29D0">
        <w:t xml:space="preserve"> a robust system that includes ParentSquare and Google Classroom notifications. </w:t>
      </w:r>
    </w:p>
    <w:p w14:paraId="6323F657" w14:textId="79EBC99E" w:rsidR="00671188" w:rsidRPr="009B574C" w:rsidRDefault="00671188" w:rsidP="008169CD">
      <w:pPr>
        <w:pStyle w:val="BodyText"/>
      </w:pPr>
      <w:r w:rsidRPr="00CD29D0">
        <w:t>Stakeholders describe</w:t>
      </w:r>
      <w:r w:rsidR="00362995" w:rsidRPr="00CD29D0">
        <w:t>d</w:t>
      </w:r>
      <w:r w:rsidRPr="00CD29D0">
        <w:t xml:space="preserve"> a recent strategic planning process that parents, community members, and students. District leaders recruited parents via newsletters</w:t>
      </w:r>
      <w:r w:rsidR="00871534">
        <w:t>, using</w:t>
      </w:r>
      <w:r w:rsidRPr="00CD29D0">
        <w:t xml:space="preserve"> a Google form</w:t>
      </w:r>
      <w:r w:rsidR="00871534">
        <w:t xml:space="preserve"> to gather interest</w:t>
      </w:r>
      <w:r w:rsidRPr="00CD29D0">
        <w:t xml:space="preserve">; the resulting strategic plan and </w:t>
      </w:r>
      <w:r w:rsidR="00362995" w:rsidRPr="00CD29D0">
        <w:t>P</w:t>
      </w:r>
      <w:r w:rsidRPr="00CD29D0">
        <w:t xml:space="preserve">ortrait of a </w:t>
      </w:r>
      <w:r w:rsidR="00362995" w:rsidRPr="00CD29D0">
        <w:t>L</w:t>
      </w:r>
      <w:r w:rsidRPr="00CD29D0">
        <w:t>earner were shaped by this input</w:t>
      </w:r>
      <w:r w:rsidR="00362995" w:rsidRPr="00CD29D0">
        <w:t xml:space="preserve">, which </w:t>
      </w:r>
      <w:r w:rsidR="005E486A">
        <w:t xml:space="preserve">took </w:t>
      </w:r>
      <w:r w:rsidRPr="00CD29D0">
        <w:t>nearly a year. Principals</w:t>
      </w:r>
      <w:r>
        <w:t xml:space="preserve"> </w:t>
      </w:r>
      <w:r w:rsidR="00EA5A09">
        <w:t>also</w:t>
      </w:r>
      <w:r w:rsidRPr="00CD29D0">
        <w:t xml:space="preserve"> report</w:t>
      </w:r>
      <w:r w:rsidR="00362995" w:rsidRPr="00CD29D0">
        <w:t>ed</w:t>
      </w:r>
      <w:r w:rsidRPr="00CD29D0">
        <w:t xml:space="preserve"> that all schools have parent organizations (</w:t>
      </w:r>
      <w:r w:rsidR="00362995" w:rsidRPr="00CD29D0">
        <w:t>parent</w:t>
      </w:r>
      <w:r w:rsidR="007500C8" w:rsidRPr="00CD29D0">
        <w:t xml:space="preserve"> </w:t>
      </w:r>
      <w:r w:rsidR="00362995" w:rsidRPr="00CD29D0">
        <w:t>teacher organizations, parent</w:t>
      </w:r>
      <w:r w:rsidR="007500C8" w:rsidRPr="00CD29D0">
        <w:t xml:space="preserve"> </w:t>
      </w:r>
      <w:r w:rsidR="00362995" w:rsidRPr="00CD29D0">
        <w:t xml:space="preserve">teacher councils, </w:t>
      </w:r>
      <w:r w:rsidRPr="00CD29D0">
        <w:t>or parent</w:t>
      </w:r>
      <w:r w:rsidR="00362995" w:rsidRPr="00CD29D0">
        <w:t>al</w:t>
      </w:r>
      <w:r w:rsidRPr="00CD29D0">
        <w:t xml:space="preserve"> boards) and site councils that provide feedback on budgets, programming, and </w:t>
      </w:r>
      <w:r w:rsidR="00362995" w:rsidRPr="00CD29D0">
        <w:t>SIPs</w:t>
      </w:r>
      <w:r w:rsidR="00DA70BE" w:rsidRPr="00CD29D0">
        <w:t xml:space="preserve"> (see Leadership and Governing Structures)</w:t>
      </w:r>
      <w:r w:rsidRPr="00CD29D0">
        <w:t>. However, both principals and families note</w:t>
      </w:r>
      <w:r w:rsidR="00362995" w:rsidRPr="00CD29D0">
        <w:t>d</w:t>
      </w:r>
      <w:r w:rsidRPr="00CD29D0">
        <w:t xml:space="preserve"> that engagement is uneven: elementary and middle schools tend to have more active councils, while hig</w:t>
      </w:r>
      <w:r w:rsidRPr="009B574C">
        <w:t>h school leaders describe</w:t>
      </w:r>
      <w:r w:rsidR="00362995" w:rsidRPr="009B574C">
        <w:t>d the</w:t>
      </w:r>
      <w:r w:rsidRPr="009B574C">
        <w:t xml:space="preserve"> ongoing difficulty </w:t>
      </w:r>
      <w:r w:rsidR="00362995" w:rsidRPr="009B574C">
        <w:t xml:space="preserve">of </w:t>
      </w:r>
      <w:r w:rsidRPr="009B574C">
        <w:t>sustain</w:t>
      </w:r>
      <w:r w:rsidR="00362995" w:rsidRPr="009B574C">
        <w:t>ed</w:t>
      </w:r>
      <w:r w:rsidRPr="009B574C">
        <w:t xml:space="preserve"> parent involvement despite repeated outreach.</w:t>
      </w:r>
      <w:r w:rsidR="00B90D0F" w:rsidRPr="009B574C">
        <w:t xml:space="preserve"> Continuing to find ways to engage families in leadership and planning opportunities</w:t>
      </w:r>
      <w:r w:rsidR="00734A6D" w:rsidRPr="009B574C">
        <w:t>, especially at the high school level,</w:t>
      </w:r>
      <w:r w:rsidR="00B90D0F" w:rsidRPr="009B574C">
        <w:t xml:space="preserve"> is an area for growth for Norton.</w:t>
      </w:r>
    </w:p>
    <w:p w14:paraId="7B0EC2CA" w14:textId="166AF3AA" w:rsidR="00A45A08" w:rsidRPr="00CD29D0" w:rsidRDefault="00671188" w:rsidP="008169CD">
      <w:pPr>
        <w:pStyle w:val="BodyText"/>
      </w:pPr>
      <w:r w:rsidRPr="009B574C">
        <w:t>Both elementary and secondary staff provide</w:t>
      </w:r>
      <w:r w:rsidR="003E79D1" w:rsidRPr="009B574C">
        <w:t>d</w:t>
      </w:r>
      <w:r w:rsidRPr="009B574C">
        <w:t xml:space="preserve"> extensive evidence of active partnerships with community mental health and family service organizations.</w:t>
      </w:r>
      <w:r w:rsidR="003E79D1" w:rsidRPr="009B574C">
        <w:t xml:space="preserve"> For example, e</w:t>
      </w:r>
      <w:r w:rsidRPr="009B574C">
        <w:t>lementary teams report</w:t>
      </w:r>
      <w:r w:rsidR="003E79D1" w:rsidRPr="009B574C">
        <w:t>ed</w:t>
      </w:r>
      <w:r w:rsidRPr="009B574C">
        <w:t xml:space="preserve"> regular referrals to Community Counseling of Bristol County (CCBC) and Epione for school</w:t>
      </w:r>
      <w:r w:rsidR="003E79D1" w:rsidRPr="009B574C">
        <w:t>-</w:t>
      </w:r>
      <w:r w:rsidRPr="009B574C">
        <w:t>based or short-term counseling, with clear processes for connecting students to free Epione sessions followed by assistance securing longer</w:t>
      </w:r>
      <w:r w:rsidR="003E79D1" w:rsidRPr="009B574C">
        <w:t>-</w:t>
      </w:r>
      <w:r w:rsidRPr="009B574C">
        <w:t xml:space="preserve">term supports. </w:t>
      </w:r>
      <w:r w:rsidR="003E79D1" w:rsidRPr="009B574C">
        <w:t>Elementary teams</w:t>
      </w:r>
      <w:r w:rsidRPr="009B574C">
        <w:t xml:space="preserve"> also coordinate Healthy Smiles </w:t>
      </w:r>
      <w:r w:rsidR="003E79D1" w:rsidRPr="009B574C">
        <w:t xml:space="preserve">for </w:t>
      </w:r>
      <w:r w:rsidRPr="009B574C">
        <w:t>school dental services</w:t>
      </w:r>
      <w:r w:rsidR="003E79D1" w:rsidRPr="009B574C">
        <w:t>,</w:t>
      </w:r>
      <w:r w:rsidRPr="009B574C">
        <w:t xml:space="preserve"> and partner with Sarah’s Village for social</w:t>
      </w:r>
      <w:r w:rsidR="003E79D1" w:rsidRPr="009B574C">
        <w:t>-</w:t>
      </w:r>
      <w:r w:rsidRPr="009B574C">
        <w:t>emotional and behavioral supports. At the secondary level, school staff</w:t>
      </w:r>
      <w:r w:rsidR="003E79D1" w:rsidRPr="009B574C">
        <w:t xml:space="preserve"> also</w:t>
      </w:r>
      <w:r w:rsidRPr="009B574C">
        <w:t xml:space="preserve"> describe</w:t>
      </w:r>
      <w:r w:rsidR="003E79D1" w:rsidRPr="009B574C">
        <w:t>d</w:t>
      </w:r>
      <w:r w:rsidRPr="009B574C">
        <w:t xml:space="preserve"> partnerships with Epione and CCBC crisis teams, as well as collaboration with Norton police and school resource officers, including</w:t>
      </w:r>
      <w:r w:rsidR="003E79D1" w:rsidRPr="009B574C">
        <w:t xml:space="preserve"> arranging</w:t>
      </w:r>
      <w:r w:rsidRPr="009B574C">
        <w:t xml:space="preserve"> access to ride</w:t>
      </w:r>
      <w:r w:rsidR="003E79D1" w:rsidRPr="009B574C">
        <w:t>-</w:t>
      </w:r>
      <w:r w:rsidRPr="009B574C">
        <w:t xml:space="preserve">along clinicians for safety and risk assessments. </w:t>
      </w:r>
      <w:r w:rsidR="005845A4" w:rsidRPr="009B574C">
        <w:t>This is a clear strength of the district, as it demonstrates a strong commitment to supporting students’ mental health through well-established partnerships with community agencies that enable timely referrals, coordinated crisis response, and access to both short- and longer-term supports.</w:t>
      </w:r>
      <w:r w:rsidR="005802A3" w:rsidRPr="009B574C">
        <w:t xml:space="preserve"> </w:t>
      </w:r>
      <w:r w:rsidRPr="009B574C">
        <w:t>High</w:t>
      </w:r>
      <w:r w:rsidR="00B90D0F" w:rsidRPr="009B574C">
        <w:t xml:space="preserve"> </w:t>
      </w:r>
      <w:r w:rsidRPr="009B574C">
        <w:t>scho</w:t>
      </w:r>
      <w:r>
        <w:t xml:space="preserve">ol staff </w:t>
      </w:r>
      <w:r w:rsidR="005802A3">
        <w:t>also</w:t>
      </w:r>
      <w:r w:rsidRPr="00CD29D0">
        <w:t xml:space="preserve"> reference</w:t>
      </w:r>
      <w:r w:rsidR="003E79D1" w:rsidRPr="00CD29D0">
        <w:t>d</w:t>
      </w:r>
      <w:r w:rsidRPr="00CD29D0">
        <w:t xml:space="preserve"> partnerships with local businesses for work</w:t>
      </w:r>
      <w:r w:rsidR="003E79D1" w:rsidRPr="00CD29D0">
        <w:t>-</w:t>
      </w:r>
      <w:r w:rsidRPr="00CD29D0">
        <w:t xml:space="preserve">study placements and job opportunities for students with disabilities, </w:t>
      </w:r>
      <w:r w:rsidR="007500C8" w:rsidRPr="00CD29D0">
        <w:t xml:space="preserve">funded by </w:t>
      </w:r>
      <w:r w:rsidRPr="00CD29D0">
        <w:t xml:space="preserve">Norton NEED </w:t>
      </w:r>
      <w:r w:rsidR="007E6912">
        <w:t>(</w:t>
      </w:r>
      <w:r w:rsidR="007E6912" w:rsidRPr="007E6912">
        <w:t>Norton Embracing Educational Development</w:t>
      </w:r>
      <w:r w:rsidR="007E6912">
        <w:t xml:space="preserve">) </w:t>
      </w:r>
      <w:r w:rsidRPr="00CD29D0">
        <w:t>and parent boards. District leaders</w:t>
      </w:r>
      <w:r w:rsidR="000B4256">
        <w:t xml:space="preserve"> also</w:t>
      </w:r>
      <w:r w:rsidR="006A148B" w:rsidRPr="00CD29D0">
        <w:t xml:space="preserve"> </w:t>
      </w:r>
      <w:r w:rsidRPr="00CD29D0">
        <w:t>mention</w:t>
      </w:r>
      <w:r w:rsidR="007500C8" w:rsidRPr="00CD29D0">
        <w:t>ed</w:t>
      </w:r>
      <w:r w:rsidRPr="00CD29D0">
        <w:t xml:space="preserve"> long</w:t>
      </w:r>
      <w:r w:rsidR="00727843" w:rsidRPr="00CD29D0">
        <w:t>-</w:t>
      </w:r>
      <w:r w:rsidRPr="00CD29D0">
        <w:t>term collaboration with the University of Missouri around IMTSS</w:t>
      </w:r>
      <w:r w:rsidR="00A45A08" w:rsidRPr="00CD29D0">
        <w:t>.</w:t>
      </w:r>
    </w:p>
    <w:p w14:paraId="2738880C" w14:textId="26571F99" w:rsidR="00A45A08" w:rsidRPr="00CD29D0" w:rsidRDefault="00671188" w:rsidP="008169CD">
      <w:pPr>
        <w:pStyle w:val="BodyText"/>
      </w:pPr>
      <w:r w:rsidRPr="00CD29D0">
        <w:t>Elementary student support staff indicate</w:t>
      </w:r>
      <w:r w:rsidR="00727843" w:rsidRPr="00CD29D0">
        <w:t>d</w:t>
      </w:r>
      <w:r w:rsidRPr="00CD29D0">
        <w:t xml:space="preserve"> that adjustment counselors and nurses act as primary liaisons with external providers</w:t>
      </w:r>
      <w:r w:rsidR="00727843" w:rsidRPr="00CD29D0">
        <w:t xml:space="preserve">; that is, </w:t>
      </w:r>
      <w:r w:rsidRPr="00CD29D0">
        <w:t>counselors coordinate CCBC/Epione referrals and follow</w:t>
      </w:r>
      <w:r w:rsidR="00727843" w:rsidRPr="00CD29D0">
        <w:t>-</w:t>
      </w:r>
      <w:r w:rsidRPr="00CD29D0">
        <w:t>up</w:t>
      </w:r>
      <w:r w:rsidR="00727843" w:rsidRPr="00CD29D0">
        <w:t xml:space="preserve"> care</w:t>
      </w:r>
      <w:r w:rsidRPr="00CD29D0">
        <w:t>, while nurses manage Healthy Smiles and medical</w:t>
      </w:r>
      <w:r w:rsidR="00727843" w:rsidRPr="00CD29D0">
        <w:t>-</w:t>
      </w:r>
      <w:r w:rsidRPr="00CD29D0">
        <w:t xml:space="preserve">related referrals. At the district level, the </w:t>
      </w:r>
      <w:r w:rsidRPr="00CD29D0">
        <w:lastRenderedPageBreak/>
        <w:t>director of counseling and therapeutic services oversee</w:t>
      </w:r>
      <w:r w:rsidR="00727843" w:rsidRPr="00CD29D0">
        <w:t xml:space="preserve">s </w:t>
      </w:r>
      <w:r w:rsidRPr="00CD29D0">
        <w:t>counselors and nurses and lead</w:t>
      </w:r>
      <w:r w:rsidR="00727843" w:rsidRPr="00CD29D0">
        <w:t>s</w:t>
      </w:r>
      <w:r w:rsidRPr="00CD29D0">
        <w:t xml:space="preserve"> work on community partnerships and specialized programs for students with social</w:t>
      </w:r>
      <w:r w:rsidR="00727843" w:rsidRPr="00CD29D0">
        <w:t>-</w:t>
      </w:r>
      <w:r w:rsidRPr="00CD29D0">
        <w:t>emotional and behavioral challenges. Secondary staff explain</w:t>
      </w:r>
      <w:r w:rsidR="00727843" w:rsidRPr="00CD29D0">
        <w:t>ed</w:t>
      </w:r>
      <w:r w:rsidRPr="00CD29D0">
        <w:t xml:space="preserve"> that IMTSS referrals are funneled through guidance </w:t>
      </w:r>
      <w:r w:rsidR="00727843" w:rsidRPr="00CD29D0">
        <w:t xml:space="preserve">counselors </w:t>
      </w:r>
      <w:r w:rsidRPr="00CD29D0">
        <w:t>and the adjustment counselor, who schedule meetings, ensure relevant stakeholders (including external providers when appropriate) are included, and use Panorama to record interventions and progress monitoring</w:t>
      </w:r>
      <w:r w:rsidR="00A45A08" w:rsidRPr="00CD29D0">
        <w:t>.</w:t>
      </w:r>
    </w:p>
    <w:p w14:paraId="2645EEC8" w14:textId="3E929BAD" w:rsidR="00A45A08" w:rsidRPr="00CD29D0" w:rsidRDefault="00671188" w:rsidP="008169CD">
      <w:pPr>
        <w:pStyle w:val="BodyText"/>
        <w:rPr>
          <w:color w:val="00B050"/>
        </w:rPr>
      </w:pPr>
      <w:r w:rsidRPr="00CD29D0">
        <w:t xml:space="preserve">The </w:t>
      </w:r>
      <w:r w:rsidRPr="00CD29D0">
        <w:rPr>
          <w:i/>
          <w:iCs/>
        </w:rPr>
        <w:t>Norton Public Schools Resources for Families</w:t>
      </w:r>
      <w:r w:rsidRPr="00CD29D0">
        <w:t xml:space="preserve"> document lists local food pantries and community meals, shelter and housing resources, family support services, and transportation supports for MassHealth medical appointments via GATRA. Elementary and secondary student support staff describe</w:t>
      </w:r>
      <w:r w:rsidR="002C5549" w:rsidRPr="00CD29D0">
        <w:t>d</w:t>
      </w:r>
      <w:r w:rsidRPr="00CD29D0">
        <w:t xml:space="preserve"> matching families to these and other supports, including fuel assistance, holiday support, </w:t>
      </w:r>
      <w:r w:rsidRPr="009B574C">
        <w:t>mobile internet hotspots</w:t>
      </w:r>
      <w:r w:rsidR="002C5549" w:rsidRPr="009B574C">
        <w:t>,</w:t>
      </w:r>
      <w:r w:rsidRPr="009B574C">
        <w:t xml:space="preserve"> prepaid internet hours for families </w:t>
      </w:r>
      <w:r w:rsidR="002C5549" w:rsidRPr="009B574C">
        <w:t xml:space="preserve">without </w:t>
      </w:r>
      <w:r w:rsidRPr="009B574C">
        <w:t>connectivity, and flexible school schedules or escorted entries for students with anxiety or school avoidance</w:t>
      </w:r>
      <w:r w:rsidR="002C5549" w:rsidRPr="009B574C">
        <w:t xml:space="preserve"> issues</w:t>
      </w:r>
      <w:r w:rsidRPr="009B574C">
        <w:t>.</w:t>
      </w:r>
      <w:r w:rsidR="00525016" w:rsidRPr="009B574C">
        <w:t xml:space="preserve"> Norton’s</w:t>
      </w:r>
      <w:r w:rsidR="008169CD" w:rsidRPr="009B574C">
        <w:t> </w:t>
      </w:r>
      <w:r w:rsidR="002C003E" w:rsidRPr="009B574C">
        <w:t xml:space="preserve">commitment to </w:t>
      </w:r>
      <w:r w:rsidR="007F699E" w:rsidRPr="009B574C">
        <w:t xml:space="preserve">supporting families </w:t>
      </w:r>
      <w:r w:rsidR="00914B71" w:rsidRPr="009B574C">
        <w:t xml:space="preserve">through </w:t>
      </w:r>
      <w:r w:rsidR="00B13CC6" w:rsidRPr="009B574C">
        <w:t>expanded partnerships and community resources is a strength of the district</w:t>
      </w:r>
      <w:r w:rsidR="00A45A08" w:rsidRPr="009B574C">
        <w:t>.</w:t>
      </w:r>
    </w:p>
    <w:p w14:paraId="5D523900" w14:textId="574C542C" w:rsidR="005F7A41" w:rsidRPr="00CD29D0" w:rsidRDefault="005F7A41" w:rsidP="008169CD">
      <w:pPr>
        <w:pStyle w:val="Heading3"/>
      </w:pPr>
      <w:bookmarkStart w:id="61" w:name="_Multi-Tiered_Systems_of"/>
      <w:bookmarkEnd w:id="61"/>
      <w:r w:rsidRPr="00CD29D0">
        <w:t>Multi-Tiered Systems of Support (MTSS)</w:t>
      </w:r>
    </w:p>
    <w:p w14:paraId="778A68D4" w14:textId="380123E2" w:rsidR="002C003E" w:rsidRPr="00CD29D0" w:rsidRDefault="007C429A" w:rsidP="008169CD">
      <w:pPr>
        <w:pStyle w:val="BodyTextposthead"/>
      </w:pPr>
      <w:r w:rsidRPr="00CD29D0">
        <w:t>Across interviews and focus groups, staff consistently describe</w:t>
      </w:r>
      <w:r w:rsidR="00406E99" w:rsidRPr="00CD29D0">
        <w:t>d</w:t>
      </w:r>
      <w:r w:rsidRPr="00CD29D0">
        <w:t xml:space="preserve"> </w:t>
      </w:r>
      <w:r w:rsidR="0097090F" w:rsidRPr="00CD29D0">
        <w:t xml:space="preserve">IMTSS </w:t>
      </w:r>
      <w:r w:rsidRPr="00CD29D0">
        <w:t>that includes universal instruction for all students, targeted intervention for students identified as needing additional help, and intensive supports for students with the most significant needs. Elementary specialists explain</w:t>
      </w:r>
      <w:r w:rsidR="00406E99" w:rsidRPr="00CD29D0">
        <w:t>ed</w:t>
      </w:r>
      <w:r w:rsidRPr="00CD29D0">
        <w:t xml:space="preserve"> that </w:t>
      </w:r>
      <w:r w:rsidR="00406E99" w:rsidRPr="00CD29D0">
        <w:t xml:space="preserve">they use </w:t>
      </w:r>
      <w:r w:rsidRPr="00CD29D0">
        <w:t>universal screening data to flag students for small</w:t>
      </w:r>
      <w:r w:rsidR="00406E99" w:rsidRPr="00CD29D0">
        <w:t>-</w:t>
      </w:r>
      <w:r w:rsidRPr="00CD29D0">
        <w:t xml:space="preserve">group intervention </w:t>
      </w:r>
      <w:r w:rsidR="00406E99" w:rsidRPr="00CD29D0">
        <w:t xml:space="preserve">at </w:t>
      </w:r>
      <w:r w:rsidRPr="00CD29D0">
        <w:t>Tier</w:t>
      </w:r>
      <w:r w:rsidR="008169CD" w:rsidRPr="00CD29D0">
        <w:t> </w:t>
      </w:r>
      <w:r w:rsidRPr="00CD29D0">
        <w:t>2</w:t>
      </w:r>
      <w:r w:rsidR="00406E99" w:rsidRPr="00CD29D0">
        <w:t>;</w:t>
      </w:r>
      <w:r w:rsidRPr="00CD29D0">
        <w:t xml:space="preserve"> students </w:t>
      </w:r>
      <w:r w:rsidR="00406E99" w:rsidRPr="00CD29D0">
        <w:t xml:space="preserve">who </w:t>
      </w:r>
      <w:r w:rsidRPr="00CD29D0">
        <w:t>requir</w:t>
      </w:r>
      <w:r w:rsidR="00406E99" w:rsidRPr="00CD29D0">
        <w:t>e</w:t>
      </w:r>
      <w:r w:rsidRPr="00CD29D0">
        <w:t xml:space="preserve"> more individualized supports—such as GRIT</w:t>
      </w:r>
      <w:r w:rsidR="00342563">
        <w:t xml:space="preserve"> and</w:t>
      </w:r>
      <w:r w:rsidRPr="00CD29D0">
        <w:t xml:space="preserve"> language-based classrooms—receive Tier 3 supports. Secondary staff also reference</w:t>
      </w:r>
      <w:r w:rsidR="00406E99" w:rsidRPr="00CD29D0">
        <w:t>d</w:t>
      </w:r>
      <w:r w:rsidRPr="00CD29D0">
        <w:t xml:space="preserve"> Tier 2 and Tier 3 structures </w:t>
      </w:r>
      <w:r w:rsidR="00406E99" w:rsidRPr="00CD29D0">
        <w:t xml:space="preserve">that are </w:t>
      </w:r>
      <w:r w:rsidRPr="00CD29D0">
        <w:t>embedded in ICE blocks, support labs, and sub-separate classes aligned to students’ individualized needs.</w:t>
      </w:r>
    </w:p>
    <w:p w14:paraId="5DDDDCAD" w14:textId="514A97B2" w:rsidR="00BA4B3B" w:rsidRPr="00CD29D0" w:rsidRDefault="00BA4B3B" w:rsidP="008169CD">
      <w:pPr>
        <w:pStyle w:val="BodyText"/>
      </w:pPr>
      <w:r w:rsidRPr="009B574C">
        <w:t xml:space="preserve">At the elementary level, there is a clearly defined database system and process for identifying and assigning students to academic interventions, </w:t>
      </w:r>
      <w:r w:rsidR="002671F7" w:rsidRPr="009B574C">
        <w:t xml:space="preserve">which is </w:t>
      </w:r>
      <w:r w:rsidRPr="009B574C">
        <w:t>a strength of the district.</w:t>
      </w:r>
      <w:r w:rsidRPr="00CD29D0">
        <w:t xml:space="preserve"> </w:t>
      </w:r>
      <w:r w:rsidR="003D5565">
        <w:t>E</w:t>
      </w:r>
      <w:r>
        <w:t>lementary</w:t>
      </w:r>
      <w:r w:rsidRPr="00CD29D0" w:rsidDel="003D5565">
        <w:t xml:space="preserve"> </w:t>
      </w:r>
      <w:r w:rsidRPr="00CD29D0">
        <w:t xml:space="preserve">interventionists described how there is a flowchart for </w:t>
      </w:r>
      <w:r w:rsidR="00C64F08" w:rsidRPr="00CD29D0">
        <w:t>I</w:t>
      </w:r>
      <w:r w:rsidRPr="00CD29D0">
        <w:t>MTSS</w:t>
      </w:r>
      <w:r w:rsidR="00B65C17" w:rsidRPr="00CD29D0">
        <w:t>,</w:t>
      </w:r>
      <w:r w:rsidRPr="00CD29D0">
        <w:t xml:space="preserve"> which begins with reviewing </w:t>
      </w:r>
      <w:r w:rsidR="00B65C17" w:rsidRPr="00CD29D0">
        <w:t xml:space="preserve">Star </w:t>
      </w:r>
      <w:r w:rsidRPr="00CD29D0">
        <w:t xml:space="preserve">universal screener results to identify students below the 40th percentile. They then examine the </w:t>
      </w:r>
      <w:r w:rsidR="00B65C17" w:rsidRPr="00CD29D0">
        <w:t xml:space="preserve">Star </w:t>
      </w:r>
      <w:r w:rsidRPr="00CD29D0">
        <w:t>CBM</w:t>
      </w:r>
      <w:r w:rsidR="00B65C17" w:rsidRPr="00CD29D0">
        <w:t xml:space="preserve"> to see </w:t>
      </w:r>
      <w:r w:rsidRPr="00CD29D0">
        <w:t>if students are identified as “on watch</w:t>
      </w:r>
      <w:r w:rsidR="00B65C17" w:rsidRPr="00CD29D0">
        <w:t xml:space="preserve">.” If they are, </w:t>
      </w:r>
      <w:r w:rsidRPr="00CD29D0">
        <w:t xml:space="preserve">they are assigned to an intervention group with the reading specialist </w:t>
      </w:r>
      <w:r w:rsidR="00B65C17" w:rsidRPr="00CD29D0">
        <w:t xml:space="preserve">or </w:t>
      </w:r>
      <w:r w:rsidRPr="00CD29D0">
        <w:t xml:space="preserve">math </w:t>
      </w:r>
      <w:r w:rsidR="00B65C17" w:rsidRPr="00CD29D0">
        <w:t>specialist</w:t>
      </w:r>
      <w:r w:rsidRPr="00CD29D0">
        <w:t xml:space="preserve">, depending on </w:t>
      </w:r>
      <w:r w:rsidR="00B65C17" w:rsidRPr="00CD29D0">
        <w:t xml:space="preserve">the </w:t>
      </w:r>
      <w:r w:rsidRPr="00CD29D0">
        <w:t>area of need. This information is presented to teachers during data days, as an interventionist described:</w:t>
      </w:r>
    </w:p>
    <w:p w14:paraId="2367B7A2" w14:textId="21CAC5D2" w:rsidR="00BA4B3B" w:rsidRPr="00CD29D0" w:rsidRDefault="00BA4B3B" w:rsidP="008169CD">
      <w:pPr>
        <w:pStyle w:val="BodyTextIndent"/>
      </w:pPr>
      <w:r w:rsidRPr="00CD29D0">
        <w:t>[We] met with each grade level for an hour and a half. We presented the kids based on the data, who we thought we potentially [work with], and then discussed with teachers. Do you agree with this? Do you not agree with this? Based on the assessments that were taken, are there kids that you feel that we should trade out</w:t>
      </w:r>
      <w:r w:rsidR="00C96033" w:rsidRPr="00CD29D0">
        <w:t>,</w:t>
      </w:r>
      <w:r w:rsidRPr="00CD29D0">
        <w:t xml:space="preserve"> kind of thing? And so we made the groups right then </w:t>
      </w:r>
      <w:r w:rsidR="00C96033" w:rsidRPr="00CD29D0">
        <w:t xml:space="preserve">and </w:t>
      </w:r>
      <w:r w:rsidRPr="00CD29D0">
        <w:t>there of who they would be working with.</w:t>
      </w:r>
    </w:p>
    <w:p w14:paraId="5CFC9313" w14:textId="538A3267" w:rsidR="00BA4B3B" w:rsidRPr="00CD29D0" w:rsidRDefault="00BA4B3B" w:rsidP="008169CD">
      <w:pPr>
        <w:pStyle w:val="BodyText"/>
      </w:pPr>
      <w:r w:rsidRPr="00CD29D0">
        <w:t xml:space="preserve">If </w:t>
      </w:r>
      <w:r w:rsidR="007B2DF3" w:rsidRPr="00CD29D0">
        <w:t>a student is</w:t>
      </w:r>
      <w:r w:rsidRPr="00CD29D0">
        <w:t xml:space="preserve"> not below the 40th percentile and not “on watch</w:t>
      </w:r>
      <w:r w:rsidR="007B2DF3" w:rsidRPr="00CD29D0">
        <w:t>,</w:t>
      </w:r>
      <w:r w:rsidRPr="00CD29D0">
        <w:t xml:space="preserve">” </w:t>
      </w:r>
      <w:r w:rsidR="007B2DF3" w:rsidRPr="00CD29D0">
        <w:t xml:space="preserve">they </w:t>
      </w:r>
      <w:r w:rsidRPr="00CD29D0">
        <w:t xml:space="preserve">work with the classroom teacher. Students typically receive supports until the next </w:t>
      </w:r>
      <w:r w:rsidR="007B2DF3" w:rsidRPr="00CD29D0">
        <w:t xml:space="preserve">Star </w:t>
      </w:r>
      <w:r w:rsidRPr="00CD29D0">
        <w:t>screener, although students may be moved fluidly using additional progress</w:t>
      </w:r>
      <w:r w:rsidR="007B2DF3" w:rsidRPr="00CD29D0">
        <w:t>-</w:t>
      </w:r>
      <w:r w:rsidRPr="00CD29D0">
        <w:t xml:space="preserve">monitoring data. If </w:t>
      </w:r>
      <w:r w:rsidR="00E161C4" w:rsidRPr="00CD29D0">
        <w:t xml:space="preserve">a </w:t>
      </w:r>
      <w:r w:rsidRPr="00CD29D0">
        <w:t>student continue</w:t>
      </w:r>
      <w:r w:rsidR="00E161C4" w:rsidRPr="00CD29D0">
        <w:t>s</w:t>
      </w:r>
      <w:r w:rsidRPr="00CD29D0">
        <w:t xml:space="preserve"> to not make progress </w:t>
      </w:r>
      <w:r w:rsidR="00E161C4" w:rsidRPr="00CD29D0">
        <w:t xml:space="preserve">even </w:t>
      </w:r>
      <w:r w:rsidRPr="00CD29D0">
        <w:t xml:space="preserve">with </w:t>
      </w:r>
      <w:r w:rsidR="004050F9" w:rsidRPr="00CD29D0">
        <w:t>interventions</w:t>
      </w:r>
      <w:r w:rsidRPr="00CD29D0">
        <w:t>, they are then referred to the SST for additional problem</w:t>
      </w:r>
      <w:r w:rsidR="00E161C4" w:rsidRPr="00CD29D0">
        <w:t xml:space="preserve"> </w:t>
      </w:r>
      <w:r w:rsidRPr="00CD29D0">
        <w:t xml:space="preserve">solving with a </w:t>
      </w:r>
      <w:r w:rsidRPr="00CD29D0">
        <w:lastRenderedPageBreak/>
        <w:t xml:space="preserve">broader team of staff to determine additional supports. Eventually, </w:t>
      </w:r>
      <w:r w:rsidR="00237064" w:rsidRPr="00CD29D0">
        <w:t xml:space="preserve">with </w:t>
      </w:r>
      <w:r w:rsidRPr="00CD29D0">
        <w:t>enough data and evidence, the team may refer a student for special education testing.</w:t>
      </w:r>
      <w:r w:rsidR="003D59A5" w:rsidRPr="00CD29D0">
        <w:t xml:space="preserve"> </w:t>
      </w:r>
    </w:p>
    <w:p w14:paraId="54B30774" w14:textId="33F756C7" w:rsidR="00A45A08" w:rsidRPr="00CD29D0" w:rsidRDefault="00BA4B3B" w:rsidP="008169CD">
      <w:pPr>
        <w:pStyle w:val="BodyText"/>
      </w:pPr>
      <w:r w:rsidRPr="00CD29D0">
        <w:t>At the middle and high school</w:t>
      </w:r>
      <w:r w:rsidR="00237064" w:rsidRPr="00CD29D0">
        <w:t>s,</w:t>
      </w:r>
      <w:r w:rsidRPr="00CD29D0">
        <w:t xml:space="preserve"> a similar process exists, although teachers and specialists had differing opinions on </w:t>
      </w:r>
      <w:r w:rsidR="00237064" w:rsidRPr="00CD29D0">
        <w:t>its</w:t>
      </w:r>
      <w:r w:rsidRPr="00CD29D0">
        <w:t xml:space="preserve"> effectiveness. At both levels, the process typically begins in</w:t>
      </w:r>
      <w:r w:rsidR="00A9517C" w:rsidRPr="00CD29D0">
        <w:t xml:space="preserve"> a</w:t>
      </w:r>
      <w:r w:rsidRPr="00CD29D0">
        <w:t xml:space="preserve"> PLC or grade</w:t>
      </w:r>
      <w:r w:rsidR="008169CD" w:rsidRPr="00CD29D0">
        <w:noBreakHyphen/>
      </w:r>
      <w:r w:rsidRPr="00CD29D0">
        <w:t>level team meeting</w:t>
      </w:r>
      <w:r w:rsidR="00A9517C" w:rsidRPr="00CD29D0">
        <w:t>,</w:t>
      </w:r>
      <w:r w:rsidRPr="00CD29D0">
        <w:t xml:space="preserve"> </w:t>
      </w:r>
      <w:r w:rsidR="00A9517C" w:rsidRPr="00CD29D0">
        <w:t xml:space="preserve">in which </w:t>
      </w:r>
      <w:r w:rsidRPr="00CD29D0">
        <w:t xml:space="preserve">teachers discuss </w:t>
      </w:r>
      <w:r w:rsidR="00A9517C" w:rsidRPr="00CD29D0">
        <w:t xml:space="preserve">a </w:t>
      </w:r>
      <w:r w:rsidRPr="00CD29D0">
        <w:t>student</w:t>
      </w:r>
      <w:r w:rsidR="00A9517C" w:rsidRPr="00CD29D0">
        <w:t>’</w:t>
      </w:r>
      <w:r w:rsidRPr="00CD29D0">
        <w:t xml:space="preserve">s needs and identify classroom-based strategies to embed in Tier 1 </w:t>
      </w:r>
      <w:r w:rsidR="00A9517C" w:rsidRPr="00CD29D0">
        <w:t>using</w:t>
      </w:r>
      <w:r w:rsidRPr="00CD29D0">
        <w:t xml:space="preserve"> the DCAP. If the supports are not successful, the teacher can then make a referral to the </w:t>
      </w:r>
      <w:r w:rsidR="00C64F08" w:rsidRPr="00CD29D0">
        <w:t>I</w:t>
      </w:r>
      <w:r w:rsidRPr="00CD29D0">
        <w:t xml:space="preserve">MTSS team. Each school has an </w:t>
      </w:r>
      <w:r w:rsidR="00C64F08" w:rsidRPr="00CD29D0">
        <w:t>I</w:t>
      </w:r>
      <w:r w:rsidRPr="00CD29D0">
        <w:t xml:space="preserve">MTSS team to discuss the needs of individual students, and this team typically meets weekly. Through the </w:t>
      </w:r>
      <w:r w:rsidR="00C64F08" w:rsidRPr="00CD29D0">
        <w:t>I</w:t>
      </w:r>
      <w:r w:rsidRPr="00CD29D0">
        <w:t>MTSS, the referring teacher receives additional support from peers to strategize and problem</w:t>
      </w:r>
      <w:r w:rsidR="002D17E7" w:rsidRPr="00CD29D0">
        <w:t xml:space="preserve"> </w:t>
      </w:r>
      <w:r w:rsidRPr="00CD29D0">
        <w:t xml:space="preserve">solve. </w:t>
      </w:r>
      <w:r w:rsidR="002D17E7" w:rsidRPr="00CD29D0">
        <w:t xml:space="preserve">After </w:t>
      </w:r>
      <w:r w:rsidRPr="00CD29D0">
        <w:t xml:space="preserve">a plan </w:t>
      </w:r>
      <w:r w:rsidR="002D17E7" w:rsidRPr="00CD29D0">
        <w:t>is</w:t>
      </w:r>
      <w:r w:rsidRPr="00CD29D0">
        <w:t xml:space="preserve"> established, the student’s progress and data </w:t>
      </w:r>
      <w:r w:rsidR="00F77117" w:rsidRPr="00CD29D0">
        <w:t>are</w:t>
      </w:r>
      <w:r w:rsidRPr="00CD29D0">
        <w:t xml:space="preserve"> reviewed every </w:t>
      </w:r>
      <w:r w:rsidR="00F77117" w:rsidRPr="00CD29D0">
        <w:t>six to eight</w:t>
      </w:r>
      <w:r w:rsidRPr="00CD29D0">
        <w:t xml:space="preserve"> weeks to identify if they are making progress. If </w:t>
      </w:r>
      <w:r w:rsidR="00F77117" w:rsidRPr="00CD29D0">
        <w:t>they are not</w:t>
      </w:r>
      <w:r w:rsidRPr="00CD29D0">
        <w:t xml:space="preserve">, the team may refer </w:t>
      </w:r>
      <w:r w:rsidR="00F77117" w:rsidRPr="00CD29D0">
        <w:t xml:space="preserve">the student </w:t>
      </w:r>
      <w:r w:rsidRPr="00CD29D0">
        <w:t xml:space="preserve">to the SST. The exact composition of SST varied slightly across schools, but generally included the school nurse, guidance counselor, school adjustment counselor, social worker, and principal. While </w:t>
      </w:r>
      <w:r w:rsidR="00F77117" w:rsidRPr="00CD29D0">
        <w:t xml:space="preserve">high school </w:t>
      </w:r>
      <w:r w:rsidRPr="00CD29D0">
        <w:t xml:space="preserve">teachers and specialists had positive impressions of this process, </w:t>
      </w:r>
      <w:r w:rsidR="00F77117" w:rsidRPr="00CD29D0">
        <w:t xml:space="preserve">a </w:t>
      </w:r>
      <w:r w:rsidRPr="00CD29D0">
        <w:t xml:space="preserve">middle school staff </w:t>
      </w:r>
      <w:r w:rsidR="00F77117" w:rsidRPr="00CD29D0">
        <w:t xml:space="preserve">member </w:t>
      </w:r>
      <w:r w:rsidRPr="00CD29D0">
        <w:t>described it as “every team kind of [doing] their own thing, [doing] it differently.” This staff member elaborated</w:t>
      </w:r>
      <w:r w:rsidR="00A45A08" w:rsidRPr="00CD29D0">
        <w:t>:</w:t>
      </w:r>
    </w:p>
    <w:p w14:paraId="6B89E66B" w14:textId="60243386" w:rsidR="00BA4B3B" w:rsidRPr="00CD29D0" w:rsidRDefault="00BA4B3B" w:rsidP="008169CD">
      <w:pPr>
        <w:pStyle w:val="BodyTextIndent"/>
      </w:pPr>
      <w:r w:rsidRPr="00CD29D0">
        <w:t xml:space="preserve">For years now [we’ve been doing] the same stuff, the same interventions, the same plans. What we document in </w:t>
      </w:r>
      <w:r w:rsidR="00652721" w:rsidRPr="00CD29D0">
        <w:t xml:space="preserve">sixth </w:t>
      </w:r>
      <w:r w:rsidRPr="00CD29D0">
        <w:t xml:space="preserve">grade are all repeated again in </w:t>
      </w:r>
      <w:r w:rsidR="00652721" w:rsidRPr="00CD29D0">
        <w:t xml:space="preserve">eighth </w:t>
      </w:r>
      <w:r w:rsidRPr="00CD29D0">
        <w:t>grade and not much has changed. The student hasn</w:t>
      </w:r>
      <w:r w:rsidR="00652721" w:rsidRPr="00CD29D0">
        <w:t>’</w:t>
      </w:r>
      <w:r w:rsidRPr="00CD29D0">
        <w:t>t made a lot of progress or growth and it</w:t>
      </w:r>
      <w:r w:rsidR="00652721" w:rsidRPr="00CD29D0">
        <w:t>’</w:t>
      </w:r>
      <w:r w:rsidRPr="00CD29D0">
        <w:t>s very frustrating.</w:t>
      </w:r>
    </w:p>
    <w:p w14:paraId="29BFCB97" w14:textId="1665AA11" w:rsidR="00167926" w:rsidRPr="00CD29D0" w:rsidRDefault="0055B09A" w:rsidP="008169CD">
      <w:pPr>
        <w:pStyle w:val="BodyText"/>
      </w:pPr>
      <w:r w:rsidRPr="00CD29D0">
        <w:t>Middle school</w:t>
      </w:r>
      <w:r w:rsidR="2E21AE9B" w:rsidRPr="00CD29D0">
        <w:t xml:space="preserve"> staff noted that </w:t>
      </w:r>
      <w:r w:rsidR="002F2851" w:rsidRPr="00CD29D0">
        <w:t>the</w:t>
      </w:r>
      <w:r w:rsidR="0EACB07A" w:rsidRPr="00CD29D0">
        <w:t xml:space="preserve"> recent </w:t>
      </w:r>
      <w:r w:rsidR="6B046779" w:rsidRPr="00CD29D0">
        <w:t>loss</w:t>
      </w:r>
      <w:r w:rsidR="2E21AE9B" w:rsidRPr="00CD29D0">
        <w:t xml:space="preserve"> of </w:t>
      </w:r>
      <w:r w:rsidR="6B046779" w:rsidRPr="00CD29D0">
        <w:t xml:space="preserve">specialized </w:t>
      </w:r>
      <w:r w:rsidR="2E21AE9B" w:rsidRPr="00CD29D0">
        <w:t xml:space="preserve">interventionist </w:t>
      </w:r>
      <w:r w:rsidR="6B046779" w:rsidRPr="00CD29D0">
        <w:t xml:space="preserve">positions in their building, has made it more difficult to find the time </w:t>
      </w:r>
      <w:r w:rsidR="2E21AE9B" w:rsidRPr="00CD29D0">
        <w:t xml:space="preserve">and </w:t>
      </w:r>
      <w:r w:rsidR="6B046779" w:rsidRPr="00CD29D0">
        <w:t xml:space="preserve">resources to administer some interventions for students </w:t>
      </w:r>
      <w:r w:rsidR="00347C9A">
        <w:t>who do not have disabilities</w:t>
      </w:r>
      <w:r w:rsidR="6B046779" w:rsidRPr="00CD29D0">
        <w:t>.</w:t>
      </w:r>
      <w:r w:rsidR="2E21AE9B" w:rsidRPr="00CD29D0">
        <w:t xml:space="preserve"> </w:t>
      </w:r>
    </w:p>
    <w:p w14:paraId="3AB13288" w14:textId="1E61E31E" w:rsidR="002C003E" w:rsidRPr="00CD29D0" w:rsidRDefault="007C429A" w:rsidP="008169CD">
      <w:pPr>
        <w:pStyle w:val="BodyText"/>
      </w:pPr>
      <w:r w:rsidRPr="00CD29D0">
        <w:t>Elementary educators describe</w:t>
      </w:r>
      <w:r w:rsidR="004F1304" w:rsidRPr="00CD29D0">
        <w:t>d</w:t>
      </w:r>
      <w:r w:rsidRPr="00CD29D0">
        <w:t xml:space="preserve"> Tier 1 as including core academic instruction, schoolwide PBIS expectations, and </w:t>
      </w:r>
      <w:r w:rsidR="004F1304" w:rsidRPr="00CD29D0">
        <w:t xml:space="preserve">social-emotional </w:t>
      </w:r>
      <w:r w:rsidRPr="00CD29D0">
        <w:t xml:space="preserve">programming </w:t>
      </w:r>
      <w:r w:rsidR="004F1304" w:rsidRPr="00CD29D0">
        <w:t>(e.g.,</w:t>
      </w:r>
      <w:r w:rsidRPr="00CD29D0">
        <w:t xml:space="preserve"> Character Strong</w:t>
      </w:r>
      <w:r w:rsidR="004F1304" w:rsidRPr="00CD29D0">
        <w:t>)</w:t>
      </w:r>
      <w:r w:rsidRPr="00CD29D0">
        <w:t xml:space="preserve"> </w:t>
      </w:r>
      <w:r w:rsidR="004F1304" w:rsidRPr="00CD29D0">
        <w:t>that</w:t>
      </w:r>
      <w:r w:rsidRPr="00CD29D0">
        <w:t xml:space="preserve"> is embedded in daily routines. PBIS teams meet monthly to review schoolwide data, adjust expectations, and reinforce Tier 1 practices, and staff report strong student engagement in these universal systems. Teachers across buildings reference</w:t>
      </w:r>
      <w:r w:rsidR="00B12AC3" w:rsidRPr="00CD29D0">
        <w:t>d</w:t>
      </w:r>
      <w:r w:rsidRPr="00CD29D0">
        <w:t xml:space="preserve"> regular grade</w:t>
      </w:r>
      <w:r w:rsidR="00B12AC3" w:rsidRPr="00CD29D0">
        <w:t>-</w:t>
      </w:r>
      <w:r w:rsidRPr="00CD29D0">
        <w:t>level collaboration focused on pacing, assessment results, and whole</w:t>
      </w:r>
      <w:r w:rsidR="00B12AC3" w:rsidRPr="00CD29D0">
        <w:t>-</w:t>
      </w:r>
      <w:r w:rsidRPr="00CD29D0">
        <w:t>class supports for all learners.</w:t>
      </w:r>
    </w:p>
    <w:p w14:paraId="022AD047" w14:textId="15586C9E" w:rsidR="00A45A08" w:rsidRPr="00CD29D0" w:rsidRDefault="007C429A" w:rsidP="008169CD">
      <w:pPr>
        <w:pStyle w:val="BodyText"/>
      </w:pPr>
      <w:r w:rsidRPr="00CD29D0">
        <w:t>Elementary staff describ</w:t>
      </w:r>
      <w:r w:rsidR="002A7E7C" w:rsidRPr="00CD29D0">
        <w:t>e</w:t>
      </w:r>
      <w:r w:rsidR="001707C5" w:rsidRPr="00CD29D0">
        <w:t>d</w:t>
      </w:r>
      <w:r w:rsidRPr="00CD29D0">
        <w:t xml:space="preserve"> well</w:t>
      </w:r>
      <w:r w:rsidR="001707C5" w:rsidRPr="00CD29D0">
        <w:t>-</w:t>
      </w:r>
      <w:r w:rsidRPr="00CD29D0">
        <w:t>established Tier 2 intervention systems, including small</w:t>
      </w:r>
      <w:r w:rsidR="001707C5" w:rsidRPr="00CD29D0">
        <w:t>-</w:t>
      </w:r>
      <w:r w:rsidRPr="00CD29D0">
        <w:t xml:space="preserve">group reading and math instruction based on </w:t>
      </w:r>
      <w:r w:rsidR="001707C5" w:rsidRPr="00CD29D0">
        <w:t xml:space="preserve">Star </w:t>
      </w:r>
      <w:r w:rsidRPr="00CD29D0">
        <w:t>and CBM data</w:t>
      </w:r>
      <w:r w:rsidR="002A7E7C" w:rsidRPr="00CD29D0">
        <w:t xml:space="preserve">. Every six to eight weeks staff revisit and adjust these </w:t>
      </w:r>
      <w:r w:rsidRPr="00CD29D0">
        <w:t xml:space="preserve">groups. Tier 3 interventions include individualized instruction or placement in specialized programs </w:t>
      </w:r>
      <w:r w:rsidR="002A7E7C" w:rsidRPr="00CD29D0">
        <w:t>(e.g.,</w:t>
      </w:r>
      <w:r w:rsidRPr="00CD29D0">
        <w:t xml:space="preserve"> GRIT, STEP, language-based classrooms, autism</w:t>
      </w:r>
      <w:r w:rsidR="002A7E7C" w:rsidRPr="00CD29D0">
        <w:t>-</w:t>
      </w:r>
      <w:r w:rsidRPr="00CD29D0">
        <w:t>specific classrooms</w:t>
      </w:r>
      <w:r w:rsidR="002A7E7C" w:rsidRPr="00CD29D0">
        <w:t>)</w:t>
      </w:r>
      <w:r w:rsidRPr="00CD29D0">
        <w:t xml:space="preserve"> </w:t>
      </w:r>
      <w:r w:rsidR="002A7E7C" w:rsidRPr="00CD29D0">
        <w:t xml:space="preserve">that are </w:t>
      </w:r>
      <w:r w:rsidRPr="00CD29D0">
        <w:t xml:space="preserve">designed to support intensive academic, behavioral, or developmental needs. At the middle and high school levels, Tier 2 and Tier 3 supports occur in structured periods </w:t>
      </w:r>
      <w:r w:rsidR="002A7E7C" w:rsidRPr="00CD29D0">
        <w:t>(</w:t>
      </w:r>
      <w:r w:rsidRPr="00CD29D0">
        <w:t xml:space="preserve">such as ICE </w:t>
      </w:r>
      <w:r w:rsidR="002A7E7C" w:rsidRPr="00CD29D0">
        <w:t xml:space="preserve">at the </w:t>
      </w:r>
      <w:r w:rsidRPr="00CD29D0">
        <w:t xml:space="preserve">middle school </w:t>
      </w:r>
      <w:r w:rsidR="002A7E7C" w:rsidRPr="00CD29D0">
        <w:t>and</w:t>
      </w:r>
      <w:r w:rsidRPr="00CD29D0">
        <w:t xml:space="preserve"> instructional support/Bridge classes </w:t>
      </w:r>
      <w:r w:rsidR="002A7E7C" w:rsidRPr="00CD29D0">
        <w:t xml:space="preserve">at the </w:t>
      </w:r>
      <w:r w:rsidRPr="00CD29D0">
        <w:t>high school). Staff across levels agree</w:t>
      </w:r>
      <w:r w:rsidR="008C7715" w:rsidRPr="00CD29D0">
        <w:t>d</w:t>
      </w:r>
      <w:r w:rsidRPr="00CD29D0">
        <w:t xml:space="preserve"> that these interventions exist but note</w:t>
      </w:r>
      <w:r w:rsidR="008C7715" w:rsidRPr="00CD29D0">
        <w:t>d</w:t>
      </w:r>
      <w:r w:rsidRPr="00CD29D0">
        <w:t xml:space="preserve"> concerns about limited staffing and schedule constraints that reduce access to higher tier supports.</w:t>
      </w:r>
      <w:r w:rsidR="006B7E82" w:rsidRPr="00CD29D0">
        <w:t xml:space="preserve"> For example, middle school teachers express</w:t>
      </w:r>
      <w:r w:rsidR="008C7715" w:rsidRPr="00CD29D0">
        <w:t>ed</w:t>
      </w:r>
      <w:r w:rsidR="006B7E82" w:rsidRPr="00CD29D0">
        <w:t xml:space="preserve"> concern that reductions in</w:t>
      </w:r>
      <w:r w:rsidR="008C7715" w:rsidRPr="00CD29D0">
        <w:t xml:space="preserve"> the number of</w:t>
      </w:r>
      <w:r w:rsidR="006B7E82" w:rsidRPr="00CD29D0">
        <w:t xml:space="preserve"> interventionists and </w:t>
      </w:r>
      <w:r w:rsidR="008C7715" w:rsidRPr="00CD29D0">
        <w:t>the</w:t>
      </w:r>
      <w:r w:rsidR="006B7E82" w:rsidRPr="00CD29D0">
        <w:t xml:space="preserve"> shift </w:t>
      </w:r>
      <w:r w:rsidR="008C7715" w:rsidRPr="00CD29D0">
        <w:t>of the</w:t>
      </w:r>
      <w:r w:rsidR="006B7E82" w:rsidRPr="00CD29D0">
        <w:t xml:space="preserve"> EL teacher </w:t>
      </w:r>
      <w:r w:rsidR="008C7715" w:rsidRPr="00CD29D0">
        <w:t xml:space="preserve">from full-time to part-time </w:t>
      </w:r>
      <w:r w:rsidR="006B7E82" w:rsidRPr="00CD29D0">
        <w:t>have reduced the school’s capacity to respond equitably to identified</w:t>
      </w:r>
      <w:r w:rsidR="008C7715" w:rsidRPr="00CD29D0">
        <w:t xml:space="preserve"> </w:t>
      </w:r>
      <w:r w:rsidR="006B7E82" w:rsidRPr="00CD29D0">
        <w:t>needs, particularly for ELs and students with disabilities. They link</w:t>
      </w:r>
      <w:r w:rsidR="008C7715" w:rsidRPr="00CD29D0">
        <w:t>ed</w:t>
      </w:r>
      <w:r w:rsidR="006B7E82" w:rsidRPr="00CD29D0">
        <w:t xml:space="preserve"> these reductions</w:t>
      </w:r>
      <w:r w:rsidR="008C7715" w:rsidRPr="00CD29D0">
        <w:t>,</w:t>
      </w:r>
      <w:r w:rsidR="006B7E82" w:rsidRPr="00CD29D0">
        <w:t xml:space="preserve"> </w:t>
      </w:r>
      <w:r w:rsidR="008C7715" w:rsidRPr="00CD29D0">
        <w:t xml:space="preserve">along with </w:t>
      </w:r>
      <w:r w:rsidR="006B7E82" w:rsidRPr="00CD29D0">
        <w:t>decreased ELA/math instructional minutes</w:t>
      </w:r>
      <w:r w:rsidR="008C7715" w:rsidRPr="00CD29D0">
        <w:t>,</w:t>
      </w:r>
      <w:r w:rsidR="006B7E82" w:rsidRPr="00CD29D0">
        <w:t xml:space="preserve"> to declining MCAS performance</w:t>
      </w:r>
      <w:r w:rsidR="008C7715" w:rsidRPr="00CD29D0">
        <w:t>.</w:t>
      </w:r>
      <w:r w:rsidR="006B7E82" w:rsidRPr="00CD29D0">
        <w:t xml:space="preserve"> </w:t>
      </w:r>
      <w:r w:rsidR="008C7715" w:rsidRPr="00CD29D0">
        <w:t xml:space="preserve">They </w:t>
      </w:r>
      <w:r w:rsidR="006B7E82" w:rsidRPr="00CD29D0">
        <w:t>note</w:t>
      </w:r>
      <w:r w:rsidR="008C7715" w:rsidRPr="00CD29D0">
        <w:t>d</w:t>
      </w:r>
      <w:r w:rsidR="006B7E82" w:rsidRPr="00CD29D0">
        <w:t xml:space="preserve"> that current </w:t>
      </w:r>
      <w:r w:rsidR="00D22828">
        <w:t>instructional support materials</w:t>
      </w:r>
      <w:r w:rsidR="006B7E82" w:rsidRPr="00CD29D0">
        <w:t xml:space="preserve"> </w:t>
      </w:r>
      <w:r w:rsidR="006B7E82" w:rsidRPr="00CD29D0">
        <w:lastRenderedPageBreak/>
        <w:t>(e.g.,</w:t>
      </w:r>
      <w:r w:rsidR="008C7715" w:rsidRPr="00CD29D0">
        <w:t xml:space="preserve"> </w:t>
      </w:r>
      <w:r w:rsidR="006B7E82" w:rsidRPr="00CD29D0">
        <w:t>Amplify’s</w:t>
      </w:r>
      <w:r w:rsidR="008C7715" w:rsidRPr="00CD29D0">
        <w:t xml:space="preserve"> </w:t>
      </w:r>
      <w:r w:rsidR="006B7E82" w:rsidRPr="00CD29D0">
        <w:t>ELL supp</w:t>
      </w:r>
      <w:r w:rsidR="006B7E82" w:rsidRPr="009B574C">
        <w:t>orts, Mid</w:t>
      </w:r>
      <w:r w:rsidR="00371935" w:rsidRPr="009B574C">
        <w:t>-</w:t>
      </w:r>
      <w:r w:rsidR="006B7E82" w:rsidRPr="009B574C">
        <w:t xml:space="preserve">School Math’s Spanish worksheets) help but </w:t>
      </w:r>
      <w:r w:rsidR="008C7715" w:rsidRPr="009B574C">
        <w:t>cannot</w:t>
      </w:r>
      <w:r w:rsidR="006B7E82" w:rsidRPr="009B574C">
        <w:t xml:space="preserve"> replace </w:t>
      </w:r>
      <w:r w:rsidR="008B0644" w:rsidRPr="009B574C">
        <w:t xml:space="preserve">supports offered by </w:t>
      </w:r>
      <w:r w:rsidR="006B7E82" w:rsidRPr="009B574C">
        <w:t>speciali</w:t>
      </w:r>
      <w:r w:rsidR="008B0644" w:rsidRPr="009B574C">
        <w:t>sts</w:t>
      </w:r>
      <w:r w:rsidR="00A45A08" w:rsidRPr="009B574C">
        <w:t>.</w:t>
      </w:r>
      <w:r w:rsidR="001E3674" w:rsidRPr="009B574C">
        <w:t xml:space="preserve"> Ensuring </w:t>
      </w:r>
      <w:r w:rsidR="00BF63B7" w:rsidRPr="009B574C">
        <w:t xml:space="preserve">all schools have </w:t>
      </w:r>
      <w:r w:rsidR="006109F9" w:rsidRPr="009B574C">
        <w:t xml:space="preserve">both </w:t>
      </w:r>
      <w:r w:rsidR="00BF63B7" w:rsidRPr="009B574C">
        <w:t xml:space="preserve">adequate staff </w:t>
      </w:r>
      <w:r w:rsidR="006109F9" w:rsidRPr="009B574C">
        <w:t xml:space="preserve">and adequate instructional time </w:t>
      </w:r>
      <w:r w:rsidR="00BF63B7" w:rsidRPr="009B574C">
        <w:t>to support E</w:t>
      </w:r>
      <w:r w:rsidR="009B574C">
        <w:t>L</w:t>
      </w:r>
      <w:r w:rsidR="00BF63B7" w:rsidRPr="009B574C">
        <w:t>s and students with disabilities</w:t>
      </w:r>
      <w:r w:rsidR="006109F9" w:rsidRPr="009B574C">
        <w:t xml:space="preserve"> is an area of growth for the district. </w:t>
      </w:r>
    </w:p>
    <w:p w14:paraId="551065E6" w14:textId="6736D7AD" w:rsidR="007C429A" w:rsidRPr="00CD29D0" w:rsidRDefault="007C429A" w:rsidP="008169CD">
      <w:pPr>
        <w:pStyle w:val="BodyText"/>
      </w:pPr>
      <w:r w:rsidRPr="00CD29D0">
        <w:t>Elementary staff report</w:t>
      </w:r>
      <w:r w:rsidR="002236EC" w:rsidRPr="00CD29D0">
        <w:t>ed</w:t>
      </w:r>
      <w:r w:rsidRPr="00CD29D0">
        <w:t xml:space="preserve"> weekly or biweekly SST meetings </w:t>
      </w:r>
      <w:r w:rsidR="002236EC" w:rsidRPr="00CD29D0">
        <w:t xml:space="preserve">to </w:t>
      </w:r>
      <w:r w:rsidRPr="00CD29D0">
        <w:t>review academic, behavioral, and attendance data</w:t>
      </w:r>
      <w:r w:rsidR="002236EC" w:rsidRPr="00CD29D0">
        <w:t xml:space="preserve">; </w:t>
      </w:r>
      <w:r w:rsidRPr="00CD29D0">
        <w:t>monitor interventions</w:t>
      </w:r>
      <w:r w:rsidR="002236EC" w:rsidRPr="00CD29D0">
        <w:t xml:space="preserve">; </w:t>
      </w:r>
      <w:r w:rsidRPr="00CD29D0">
        <w:t xml:space="preserve">and determine next steps. </w:t>
      </w:r>
      <w:r w:rsidR="002236EC" w:rsidRPr="00CD29D0">
        <w:t>For example</w:t>
      </w:r>
      <w:r w:rsidR="00005C35" w:rsidRPr="00CD29D0">
        <w:t>,</w:t>
      </w:r>
      <w:r w:rsidR="002236EC" w:rsidRPr="00CD29D0">
        <w:t xml:space="preserve"> identifying a</w:t>
      </w:r>
      <w:r w:rsidRPr="00CD29D0">
        <w:t xml:space="preserve"> </w:t>
      </w:r>
      <w:r w:rsidR="00527BFD" w:rsidRPr="00CD29D0">
        <w:t>student</w:t>
      </w:r>
      <w:r w:rsidR="002236EC" w:rsidRPr="00CD29D0">
        <w:t>’s</w:t>
      </w:r>
      <w:r w:rsidR="00527BFD" w:rsidRPr="00CD29D0">
        <w:t xml:space="preserve"> needs during </w:t>
      </w:r>
      <w:r w:rsidR="002236EC" w:rsidRPr="00CD29D0">
        <w:t>a</w:t>
      </w:r>
      <w:r w:rsidR="00527BFD" w:rsidRPr="00CD29D0">
        <w:t xml:space="preserve"> meeting </w:t>
      </w:r>
      <w:r w:rsidR="002236EC" w:rsidRPr="00CD29D0">
        <w:t xml:space="preserve">could </w:t>
      </w:r>
      <w:r w:rsidR="00A30970" w:rsidRPr="00CD29D0">
        <w:t>trigger</w:t>
      </w:r>
      <w:r w:rsidRPr="00CD29D0">
        <w:t xml:space="preserve"> special education or 504 evaluations. Secondary educators describe</w:t>
      </w:r>
      <w:r w:rsidR="00142F47" w:rsidRPr="00CD29D0">
        <w:t>d</w:t>
      </w:r>
      <w:r w:rsidRPr="00CD29D0">
        <w:t xml:space="preserve"> structured referral systems </w:t>
      </w:r>
      <w:r w:rsidR="00142F47" w:rsidRPr="00CD29D0">
        <w:t xml:space="preserve">that are </w:t>
      </w:r>
      <w:r w:rsidRPr="00CD29D0">
        <w:t xml:space="preserve">coordinated through guidance counselors, special education chairs, and support programs </w:t>
      </w:r>
      <w:r w:rsidR="00142F47" w:rsidRPr="00CD29D0">
        <w:t>(e.g.,</w:t>
      </w:r>
      <w:r w:rsidRPr="00CD29D0">
        <w:t xml:space="preserve"> Bridge classroom</w:t>
      </w:r>
      <w:r w:rsidR="00142F47" w:rsidRPr="00CD29D0">
        <w:t>)</w:t>
      </w:r>
      <w:r w:rsidRPr="00CD29D0">
        <w:t>. District</w:t>
      </w:r>
      <w:r w:rsidR="00142F47" w:rsidRPr="00CD29D0">
        <w:t>-</w:t>
      </w:r>
      <w:r w:rsidRPr="00CD29D0">
        <w:t>level student support leaders report</w:t>
      </w:r>
      <w:r w:rsidR="00142F47" w:rsidRPr="00CD29D0">
        <w:t>ed</w:t>
      </w:r>
      <w:r w:rsidRPr="00CD29D0">
        <w:t xml:space="preserve"> aligned SST structures across buildings and consistent use of meeting templates and referral processes. Stakeholders consistently </w:t>
      </w:r>
      <w:r w:rsidR="00142F47" w:rsidRPr="00CD29D0">
        <w:t xml:space="preserve">confirmed </w:t>
      </w:r>
      <w:r w:rsidRPr="00CD29D0">
        <w:t>that MTSS supports flow into SST/</w:t>
      </w:r>
      <w:r w:rsidR="00314917" w:rsidRPr="00CD29D0">
        <w:t>Instructional Support Team (</w:t>
      </w:r>
      <w:r w:rsidRPr="00CD29D0">
        <w:t>IST</w:t>
      </w:r>
      <w:r w:rsidR="00314917" w:rsidRPr="00CD29D0">
        <w:t>)</w:t>
      </w:r>
      <w:r w:rsidRPr="00CD29D0">
        <w:t xml:space="preserve"> decision making. Elementary staff detail</w:t>
      </w:r>
      <w:r w:rsidR="00314917" w:rsidRPr="00CD29D0">
        <w:t>ed</w:t>
      </w:r>
      <w:r w:rsidRPr="00CD29D0">
        <w:t xml:space="preserve"> frequent parent communication as part of SST processes, including </w:t>
      </w:r>
      <w:r w:rsidR="00314917" w:rsidRPr="00CD29D0">
        <w:t xml:space="preserve">via </w:t>
      </w:r>
      <w:r w:rsidRPr="00CD29D0">
        <w:t>phone calls</w:t>
      </w:r>
      <w:r w:rsidR="00314917" w:rsidRPr="00CD29D0">
        <w:t xml:space="preserve"> and </w:t>
      </w:r>
      <w:r w:rsidRPr="00CD29D0">
        <w:t xml:space="preserve">emails, </w:t>
      </w:r>
      <w:r w:rsidR="00314917" w:rsidRPr="00CD29D0">
        <w:t>with</w:t>
      </w:r>
      <w:r w:rsidRPr="00CD29D0">
        <w:t xml:space="preserve"> translation supports to ensure families understand </w:t>
      </w:r>
      <w:r w:rsidR="00314917" w:rsidRPr="00CD29D0">
        <w:t xml:space="preserve">the school’s </w:t>
      </w:r>
      <w:r w:rsidRPr="00CD29D0">
        <w:t>concerns and interventions. District</w:t>
      </w:r>
      <w:r w:rsidR="00773454" w:rsidRPr="00CD29D0">
        <w:t>-</w:t>
      </w:r>
      <w:r w:rsidRPr="00CD29D0">
        <w:t>level staff describe</w:t>
      </w:r>
      <w:r w:rsidR="00773454" w:rsidRPr="00CD29D0">
        <w:t>d</w:t>
      </w:r>
      <w:r w:rsidRPr="00CD29D0">
        <w:t xml:space="preserve"> relationships with external mental health partners and weekly consultation schedules </w:t>
      </w:r>
      <w:r w:rsidR="00773454" w:rsidRPr="00CD29D0">
        <w:t xml:space="preserve">to </w:t>
      </w:r>
      <w:r w:rsidRPr="00CD29D0">
        <w:t>supplement school-based supports, especially for students requiring intensive Tier 3 services.</w:t>
      </w:r>
    </w:p>
    <w:p w14:paraId="12838633" w14:textId="4FBA35E0" w:rsidR="002C003E" w:rsidRPr="00CD29D0" w:rsidRDefault="007C429A" w:rsidP="008169CD">
      <w:pPr>
        <w:pStyle w:val="BodyText"/>
      </w:pPr>
      <w:r w:rsidRPr="00CD29D0">
        <w:t>Educators at all levels report</w:t>
      </w:r>
      <w:r w:rsidR="002C0777" w:rsidRPr="00CD29D0">
        <w:t>ed</w:t>
      </w:r>
      <w:r w:rsidRPr="00CD29D0">
        <w:t xml:space="preserve"> using multiple data sources—</w:t>
      </w:r>
      <w:r w:rsidR="002C0777" w:rsidRPr="00CD29D0">
        <w:t xml:space="preserve">Star </w:t>
      </w:r>
      <w:r w:rsidRPr="00CD29D0">
        <w:t>benchmarks, CBMs, classroom assessments, attendance, and behavioral data—to identify students for Tier 2 and Tier 3 supports. Elementary support staff describe</w:t>
      </w:r>
      <w:r w:rsidR="002C0777" w:rsidRPr="00CD29D0">
        <w:t>d</w:t>
      </w:r>
      <w:r w:rsidRPr="00CD29D0">
        <w:t xml:space="preserve"> Panorama and SWIS dashboards as key tools for consolidating academic and behavioral information for SST discussions. District leadership note</w:t>
      </w:r>
      <w:r w:rsidR="002C0777" w:rsidRPr="00CD29D0">
        <w:t>d</w:t>
      </w:r>
      <w:r w:rsidRPr="00CD29D0">
        <w:t xml:space="preserve"> ongoing emphasis on data literacy and shared learning walks focused on connecting instructional data to </w:t>
      </w:r>
      <w:r w:rsidR="00176C07">
        <w:t>I</w:t>
      </w:r>
      <w:r w:rsidRPr="00CD29D0">
        <w:t>MTSS decisions. Some staff highlight</w:t>
      </w:r>
      <w:r w:rsidR="00F11459" w:rsidRPr="00CD29D0">
        <w:t>ed a</w:t>
      </w:r>
      <w:r w:rsidRPr="00CD29D0">
        <w:t xml:space="preserve"> variation in data fluency and comfort across buildings</w:t>
      </w:r>
      <w:r w:rsidR="007073BC" w:rsidRPr="00CD29D0">
        <w:t>.</w:t>
      </w:r>
    </w:p>
    <w:p w14:paraId="1C257D6D" w14:textId="5F6F1C61" w:rsidR="00A45A08" w:rsidRPr="00CD29D0" w:rsidRDefault="007C429A" w:rsidP="008169CD">
      <w:pPr>
        <w:pStyle w:val="BodyText"/>
        <w:rPr>
          <w:color w:val="00B050"/>
        </w:rPr>
      </w:pPr>
      <w:r w:rsidRPr="00CD29D0">
        <w:t>The IMTSS Handbook emphasizes data</w:t>
      </w:r>
      <w:r w:rsidR="008F4690" w:rsidRPr="00CD29D0">
        <w:t>-</w:t>
      </w:r>
      <w:r w:rsidRPr="00CD29D0">
        <w:t>based decision making at all tiers, and requires fidelity checks (e.g., principal walkthroughs) for Tier 1 instruction and at least quarterly fidelity checks for Tier 2 and Tier 3 interventions</w:t>
      </w:r>
      <w:r w:rsidR="008F4690" w:rsidRPr="00CD29D0">
        <w:t>.</w:t>
      </w:r>
      <w:r w:rsidRPr="00CD29D0">
        <w:t xml:space="preserve"> </w:t>
      </w:r>
      <w:r w:rsidR="008F4690" w:rsidRPr="00CD29D0">
        <w:t xml:space="preserve">The handbook </w:t>
      </w:r>
      <w:r w:rsidRPr="00CD29D0">
        <w:t>outlines a continuous improvement cycle in which building</w:t>
      </w:r>
      <w:r w:rsidR="008F4690" w:rsidRPr="00CD29D0">
        <w:t>-</w:t>
      </w:r>
      <w:r w:rsidRPr="00CD29D0">
        <w:t>based teams review school</w:t>
      </w:r>
      <w:r w:rsidR="008F4690" w:rsidRPr="00CD29D0">
        <w:t>-</w:t>
      </w:r>
      <w:r w:rsidRPr="00CD29D0">
        <w:t>level data to assess strengths and areas for growth. District leadership describe</w:t>
      </w:r>
      <w:r w:rsidR="008F4690" w:rsidRPr="00CD29D0">
        <w:t>d</w:t>
      </w:r>
      <w:r w:rsidRPr="00CD29D0">
        <w:t xml:space="preserve"> regular learning walks with principals in which they identify instructional “look</w:t>
      </w:r>
      <w:r w:rsidR="008169CD" w:rsidRPr="00CD29D0">
        <w:noBreakHyphen/>
      </w:r>
      <w:r w:rsidRPr="00CD29D0">
        <w:t xml:space="preserve">fors,” observe classrooms, and debrief to improve alignment with </w:t>
      </w:r>
      <w:r w:rsidR="00176C07">
        <w:t>I</w:t>
      </w:r>
      <w:r w:rsidRPr="00CD29D0">
        <w:t>MTSS practices. Teachers and school leaders describe</w:t>
      </w:r>
      <w:r w:rsidR="00E0784A" w:rsidRPr="00CD29D0">
        <w:t>d</w:t>
      </w:r>
      <w:r w:rsidRPr="00CD29D0">
        <w:t xml:space="preserve"> PLCs, department meetings, and leadership team meetings as additional mechanisms for monitoring progress and adjusting supports. Student support leaders describe</w:t>
      </w:r>
      <w:r w:rsidR="00E0784A" w:rsidRPr="00CD29D0">
        <w:t>d using</w:t>
      </w:r>
      <w:r w:rsidRPr="00CD29D0">
        <w:t xml:space="preserve"> PBIS fidelity tools and external consultants </w:t>
      </w:r>
      <w:r w:rsidR="00FA3C48" w:rsidRPr="00CD29D0">
        <w:t xml:space="preserve">(from the May Institute) </w:t>
      </w:r>
      <w:r w:rsidRPr="00CD29D0">
        <w:t>to monitor behavioral systems. Staff generally agree</w:t>
      </w:r>
      <w:r w:rsidR="00E0784A" w:rsidRPr="00CD29D0">
        <w:t>d</w:t>
      </w:r>
      <w:r w:rsidRPr="00CD29D0">
        <w:t xml:space="preserve"> that monitoring systems exist, </w:t>
      </w:r>
      <w:r w:rsidR="00E0784A" w:rsidRPr="00CD29D0">
        <w:t>al</w:t>
      </w:r>
      <w:r w:rsidRPr="00CD29D0">
        <w:t>though implementation varies across building</w:t>
      </w:r>
      <w:r w:rsidRPr="009B574C">
        <w:t xml:space="preserve">s. The </w:t>
      </w:r>
      <w:r w:rsidR="00E97F0C" w:rsidRPr="009B574C">
        <w:t>intentionality</w:t>
      </w:r>
      <w:r w:rsidRPr="009B574C">
        <w:t xml:space="preserve"> of district learning walks to continuously monitor </w:t>
      </w:r>
      <w:r w:rsidR="00E0784A" w:rsidRPr="009B574C">
        <w:t>T</w:t>
      </w:r>
      <w:r w:rsidRPr="009B574C">
        <w:t xml:space="preserve">ier 1 instruction </w:t>
      </w:r>
      <w:r w:rsidR="00E97F0C" w:rsidRPr="009B574C">
        <w:t xml:space="preserve">and interventions </w:t>
      </w:r>
      <w:r w:rsidRPr="009B574C">
        <w:t>is a strength for Norton</w:t>
      </w:r>
      <w:r w:rsidR="00A45A08" w:rsidRPr="009B574C">
        <w:t>.</w:t>
      </w:r>
    </w:p>
    <w:p w14:paraId="6F5D797E" w14:textId="57815B8B" w:rsidR="002B4CEF" w:rsidRPr="00CD29D0" w:rsidRDefault="002B4CEF" w:rsidP="008169CD">
      <w:pPr>
        <w:pStyle w:val="Heading3"/>
      </w:pPr>
      <w:r w:rsidRPr="00CD29D0">
        <w:t>Recommendations</w:t>
      </w:r>
    </w:p>
    <w:p w14:paraId="6BC4C587" w14:textId="0DF41373" w:rsidR="00FC3588" w:rsidRPr="0065383C" w:rsidRDefault="00FC3588" w:rsidP="008169CD">
      <w:pPr>
        <w:pStyle w:val="Bullet1"/>
        <w:rPr>
          <w:bCs/>
          <w:i/>
          <w:iCs/>
        </w:rPr>
      </w:pPr>
      <w:r w:rsidRPr="0065383C">
        <w:rPr>
          <w:bCs/>
          <w:i/>
          <w:iCs/>
        </w:rPr>
        <w:t xml:space="preserve">The district should prioritize strengthening the middle school social-emotional and behavioral support systems by establishing clear leadership for these efforts, expanding access to </w:t>
      </w:r>
      <w:r w:rsidR="00831510">
        <w:rPr>
          <w:bCs/>
          <w:i/>
          <w:iCs/>
        </w:rPr>
        <w:t>T</w:t>
      </w:r>
      <w:r w:rsidRPr="0065383C">
        <w:rPr>
          <w:bCs/>
          <w:i/>
          <w:iCs/>
        </w:rPr>
        <w:t>ier 2 and 3 interventions, and ensuring consistent implementation of a building-wide framework aligned with district practices.</w:t>
      </w:r>
    </w:p>
    <w:p w14:paraId="0A3458E0" w14:textId="520EE8CA" w:rsidR="00B43C81" w:rsidRPr="0065383C" w:rsidRDefault="00B43C81" w:rsidP="008169CD">
      <w:pPr>
        <w:pStyle w:val="Bullet1"/>
        <w:rPr>
          <w:bCs/>
          <w:i/>
          <w:iCs/>
        </w:rPr>
      </w:pPr>
      <w:r w:rsidRPr="0065383C">
        <w:rPr>
          <w:bCs/>
          <w:i/>
          <w:iCs/>
        </w:rPr>
        <w:t>The district should investigate the root causes of waning parental involvement at the high school level and devise</w:t>
      </w:r>
      <w:r w:rsidR="00EE6FF3" w:rsidRPr="0065383C">
        <w:rPr>
          <w:bCs/>
          <w:i/>
          <w:iCs/>
        </w:rPr>
        <w:t xml:space="preserve"> strategies to engage families in leadership and planning opportunities. </w:t>
      </w:r>
    </w:p>
    <w:p w14:paraId="2DC23CAE" w14:textId="1148C1E1" w:rsidR="00AC3448" w:rsidRPr="0065383C" w:rsidRDefault="00AC3448" w:rsidP="008169CD">
      <w:pPr>
        <w:pStyle w:val="Bullet1"/>
        <w:rPr>
          <w:bCs/>
          <w:i/>
          <w:iCs/>
        </w:rPr>
      </w:pPr>
      <w:r w:rsidRPr="0065383C">
        <w:rPr>
          <w:bCs/>
          <w:i/>
          <w:iCs/>
        </w:rPr>
        <w:lastRenderedPageBreak/>
        <w:t>The district should consider</w:t>
      </w:r>
      <w:r w:rsidR="004C1BE3" w:rsidRPr="0065383C">
        <w:rPr>
          <w:bCs/>
          <w:i/>
          <w:iCs/>
        </w:rPr>
        <w:t xml:space="preserve"> </w:t>
      </w:r>
      <w:r w:rsidR="009C6847" w:rsidRPr="0065383C">
        <w:rPr>
          <w:bCs/>
          <w:i/>
          <w:iCs/>
        </w:rPr>
        <w:t xml:space="preserve">strategies </w:t>
      </w:r>
      <w:r w:rsidR="004C1BE3" w:rsidRPr="0065383C">
        <w:rPr>
          <w:bCs/>
          <w:i/>
          <w:iCs/>
        </w:rPr>
        <w:t xml:space="preserve">to increase the availability and effectiveness of its tiered supports, particularly for English learners and students with disabilities. </w:t>
      </w:r>
    </w:p>
    <w:p w14:paraId="2075BC88" w14:textId="653DA61D" w:rsidR="008169CD" w:rsidRPr="00CD29D0" w:rsidRDefault="000604FE" w:rsidP="008169CD">
      <w:pPr>
        <w:pStyle w:val="BodyText"/>
      </w:pPr>
      <w:r w:rsidRPr="00CD29D0">
        <w:t>For related resources, see Appendix C.</w:t>
      </w:r>
      <w:r w:rsidR="008169CD" w:rsidRPr="00CD29D0">
        <w:br w:type="page"/>
      </w:r>
    </w:p>
    <w:p w14:paraId="4A6A5268" w14:textId="77777777" w:rsidR="008D6102" w:rsidRPr="00CD29D0" w:rsidRDefault="008D6102" w:rsidP="00075C89">
      <w:pPr>
        <w:pStyle w:val="Heading2"/>
      </w:pPr>
      <w:bookmarkStart w:id="62" w:name="_Financial_and_Asset"/>
      <w:bookmarkStart w:id="63" w:name="_Toc227589897"/>
      <w:bookmarkEnd w:id="62"/>
      <w:r w:rsidRPr="00CD29D0">
        <w:lastRenderedPageBreak/>
        <w:t>Financial and Asset Management</w:t>
      </w:r>
      <w:bookmarkEnd w:id="56"/>
      <w:bookmarkEnd w:id="63"/>
    </w:p>
    <w:p w14:paraId="188CF4B7" w14:textId="44A08F3A" w:rsidR="003B2ED7" w:rsidRPr="00CD29D0" w:rsidRDefault="003B2ED7" w:rsidP="00075C89">
      <w:pPr>
        <w:pStyle w:val="BodyTextposthead"/>
      </w:pPr>
      <w:r w:rsidRPr="00CD29D0">
        <w:t xml:space="preserve">This section focuses on the extent to which, through its policies, systems, and procedures, the district strategically allocates and </w:t>
      </w:r>
      <w:r w:rsidR="0058345F" w:rsidRPr="00CD29D0">
        <w:t xml:space="preserve">uses </w:t>
      </w:r>
      <w:r w:rsidRPr="00CD29D0">
        <w:t>funding and other resources in alignment with applicable laws to improve all students’ performance, opportunities, and outcomes. It also focuses on the ways in which the district collaborates with its partners to run daily operations, manage its assets, and develop long-term plans for sustainability.</w:t>
      </w:r>
    </w:p>
    <w:p w14:paraId="542F10D1" w14:textId="41FF7B5C" w:rsidR="00494638" w:rsidRPr="00CD29D0" w:rsidRDefault="00494638" w:rsidP="00075C89">
      <w:pPr>
        <w:pStyle w:val="BodyText"/>
      </w:pPr>
      <w:r w:rsidRPr="00CD29D0">
        <w:t xml:space="preserve">Table </w:t>
      </w:r>
      <w:r w:rsidR="0058345F" w:rsidRPr="00CD29D0">
        <w:t xml:space="preserve">10 </w:t>
      </w:r>
      <w:r w:rsidRPr="00CD29D0">
        <w:t>summarizes key strengths and areas for growth in financial and asset management</w:t>
      </w:r>
      <w:r w:rsidR="00250663" w:rsidRPr="00CD29D0">
        <w:t xml:space="preserve"> in </w:t>
      </w:r>
      <w:r w:rsidR="0001530D" w:rsidRPr="00CD29D0">
        <w:t>Norton</w:t>
      </w:r>
      <w:r w:rsidRPr="00CD29D0">
        <w:t>.</w:t>
      </w:r>
    </w:p>
    <w:p w14:paraId="127D9DF7" w14:textId="012C4767" w:rsidR="00B827DE" w:rsidRPr="00CD29D0" w:rsidRDefault="00B827DE" w:rsidP="00075C89">
      <w:pPr>
        <w:pStyle w:val="TableTitle0"/>
      </w:pPr>
      <w:r w:rsidRPr="00CD29D0">
        <w:t xml:space="preserve">Table </w:t>
      </w:r>
      <w:r w:rsidR="0058345F" w:rsidRPr="00CD29D0">
        <w:t>10</w:t>
      </w:r>
      <w:r w:rsidRPr="00CD29D0">
        <w:t xml:space="preserve">. Summary of </w:t>
      </w:r>
      <w:r w:rsidR="00494638" w:rsidRPr="00CD29D0">
        <w:t xml:space="preserve">Key Strengths </w:t>
      </w:r>
      <w:r w:rsidRPr="00CD29D0">
        <w:t xml:space="preserve">and </w:t>
      </w:r>
      <w:r w:rsidR="00494638" w:rsidRPr="00CD29D0">
        <w:t xml:space="preserve">Areas </w:t>
      </w:r>
      <w:r w:rsidRPr="00CD29D0">
        <w:t xml:space="preserve">for </w:t>
      </w:r>
      <w:r w:rsidR="00494638" w:rsidRPr="00CD29D0">
        <w:t>Growth:</w:t>
      </w:r>
      <w:r w:rsidRPr="00CD29D0">
        <w:t xml:space="preserve"> Financial and Asset Management</w:t>
      </w:r>
      <w:r w:rsidR="00494638" w:rsidRPr="00CD29D0">
        <w:t xml:space="preserve"> Standard</w:t>
      </w:r>
    </w:p>
    <w:tbl>
      <w:tblPr>
        <w:tblStyle w:val="MSVTable1"/>
        <w:tblW w:w="5000" w:type="pct"/>
        <w:tblLook w:val="04A0" w:firstRow="1" w:lastRow="0" w:firstColumn="1" w:lastColumn="0" w:noHBand="0" w:noVBand="1"/>
        <w:tblCaption w:val="Table 10. Summary of Key Strengths and Areas for Growth: Financial and Asset Management Standard"/>
        <w:tblDescription w:val="Summary of Key Strengths and Areas for Growth: Financial and Asset Management Standard"/>
      </w:tblPr>
      <w:tblGrid>
        <w:gridCol w:w="1973"/>
        <w:gridCol w:w="3686"/>
        <w:gridCol w:w="3685"/>
      </w:tblGrid>
      <w:tr w:rsidR="00A273D2" w:rsidRPr="00CD29D0" w14:paraId="32BDE053" w14:textId="77777777" w:rsidTr="00600395">
        <w:trPr>
          <w:cnfStyle w:val="100000000000" w:firstRow="1" w:lastRow="0" w:firstColumn="0" w:lastColumn="0" w:oddVBand="0" w:evenVBand="0" w:oddHBand="0" w:evenHBand="0" w:firstRowFirstColumn="0" w:firstRowLastColumn="0" w:lastRowFirstColumn="0" w:lastRowLastColumn="0"/>
          <w:tblHeader/>
        </w:trPr>
        <w:tc>
          <w:tcPr>
            <w:tcW w:w="1055" w:type="pct"/>
          </w:tcPr>
          <w:p w14:paraId="7821BEB4" w14:textId="77777777" w:rsidR="00B827DE" w:rsidRPr="00CD29D0" w:rsidRDefault="00B827DE" w:rsidP="00075C89">
            <w:pPr>
              <w:pStyle w:val="TableColHeadingCenter"/>
            </w:pPr>
            <w:r w:rsidRPr="00CD29D0">
              <w:t>Indicator</w:t>
            </w:r>
          </w:p>
        </w:tc>
        <w:tc>
          <w:tcPr>
            <w:tcW w:w="1972" w:type="pct"/>
          </w:tcPr>
          <w:p w14:paraId="419E0583" w14:textId="77777777" w:rsidR="00B827DE" w:rsidRPr="00CD29D0" w:rsidRDefault="00B827DE" w:rsidP="00075C89">
            <w:pPr>
              <w:pStyle w:val="TableColHeadingCenter"/>
            </w:pPr>
            <w:r w:rsidRPr="00CD29D0">
              <w:t>Strengths</w:t>
            </w:r>
          </w:p>
        </w:tc>
        <w:tc>
          <w:tcPr>
            <w:tcW w:w="1972" w:type="pct"/>
          </w:tcPr>
          <w:p w14:paraId="664651D2" w14:textId="0C40A2BC" w:rsidR="00B827DE" w:rsidRPr="00CD29D0" w:rsidRDefault="00B827DE" w:rsidP="00075C89">
            <w:pPr>
              <w:pStyle w:val="TableColHeadingCenter"/>
            </w:pPr>
            <w:r w:rsidRPr="00CD29D0">
              <w:t xml:space="preserve">Areas for </w:t>
            </w:r>
            <w:r w:rsidR="00494638" w:rsidRPr="00CD29D0">
              <w:t>growth</w:t>
            </w:r>
          </w:p>
        </w:tc>
      </w:tr>
      <w:tr w:rsidR="00A273D2" w:rsidRPr="00CD29D0" w14:paraId="6A18501A" w14:textId="77777777" w:rsidTr="00F5523B">
        <w:trPr>
          <w:cnfStyle w:val="000000100000" w:firstRow="0" w:lastRow="0" w:firstColumn="0" w:lastColumn="0" w:oddVBand="0" w:evenVBand="0" w:oddHBand="1" w:evenHBand="0" w:firstRowFirstColumn="0" w:firstRowLastColumn="0" w:lastRowFirstColumn="0" w:lastRowLastColumn="0"/>
          <w:trHeight w:val="867"/>
        </w:trPr>
        <w:tc>
          <w:tcPr>
            <w:tcW w:w="1055" w:type="pct"/>
          </w:tcPr>
          <w:p w14:paraId="39538D5F" w14:textId="755DC606" w:rsidR="00B827DE" w:rsidRPr="00CD29D0" w:rsidRDefault="00B827DE" w:rsidP="00075C89">
            <w:pPr>
              <w:pStyle w:val="TableSubheading"/>
            </w:pPr>
            <w:hyperlink w:anchor="_Business_Office_Staffing" w:history="1">
              <w:r w:rsidRPr="00CD29D0">
                <w:rPr>
                  <w:rStyle w:val="Hyperlink"/>
                  <w:color w:val="auto"/>
                  <w:u w:val="none"/>
                </w:rPr>
                <w:t>Bu</w:t>
              </w:r>
              <w:r w:rsidR="00041E9B" w:rsidRPr="00CD29D0">
                <w:rPr>
                  <w:rStyle w:val="Hyperlink"/>
                  <w:color w:val="auto"/>
                  <w:u w:val="none"/>
                </w:rPr>
                <w:t>siness Office Staffing and Infrastructure</w:t>
              </w:r>
            </w:hyperlink>
          </w:p>
        </w:tc>
        <w:tc>
          <w:tcPr>
            <w:tcW w:w="1972" w:type="pct"/>
          </w:tcPr>
          <w:p w14:paraId="55633859" w14:textId="4B7BCA04" w:rsidR="00B827DE" w:rsidRPr="00E82904" w:rsidRDefault="001645F0" w:rsidP="00075C89">
            <w:pPr>
              <w:pStyle w:val="TableBullet1"/>
            </w:pPr>
            <w:r w:rsidRPr="00E82904">
              <w:t>The business office is adequately staffed with qualified personnel to support district operations.</w:t>
            </w:r>
          </w:p>
        </w:tc>
        <w:tc>
          <w:tcPr>
            <w:tcW w:w="1972" w:type="pct"/>
          </w:tcPr>
          <w:p w14:paraId="5A758912" w14:textId="098B41A3" w:rsidR="00B827DE" w:rsidRPr="00CD29D0" w:rsidRDefault="00F5523B" w:rsidP="00075C89">
            <w:pPr>
              <w:pStyle w:val="TableBullet1"/>
            </w:pPr>
            <w:r>
              <w:t>Formalizing the division of responsibilities between the district and the town in a written agreement</w:t>
            </w:r>
          </w:p>
        </w:tc>
      </w:tr>
      <w:tr w:rsidR="00A273D2" w:rsidRPr="00CD29D0" w14:paraId="0ADE789F" w14:textId="77777777" w:rsidTr="00600395">
        <w:tc>
          <w:tcPr>
            <w:tcW w:w="1055" w:type="pct"/>
          </w:tcPr>
          <w:p w14:paraId="41C5EA1C" w14:textId="641A9906" w:rsidR="00B827DE" w:rsidRPr="00CD29D0" w:rsidRDefault="00041E9B" w:rsidP="00075C89">
            <w:pPr>
              <w:pStyle w:val="TableSubheading"/>
            </w:pPr>
            <w:hyperlink w:anchor="_Budgeting_and_Budget" w:history="1">
              <w:r w:rsidRPr="00CD29D0">
                <w:rPr>
                  <w:rStyle w:val="Hyperlink"/>
                  <w:color w:val="auto"/>
                  <w:u w:val="none"/>
                </w:rPr>
                <w:t>Budgeting and Budget Process</w:t>
              </w:r>
            </w:hyperlink>
          </w:p>
        </w:tc>
        <w:tc>
          <w:tcPr>
            <w:tcW w:w="1972" w:type="pct"/>
          </w:tcPr>
          <w:p w14:paraId="49924C99" w14:textId="77777777" w:rsidR="001645F0" w:rsidRPr="00E82904" w:rsidRDefault="001645F0" w:rsidP="001645F0">
            <w:pPr>
              <w:pStyle w:val="TableBullet1"/>
              <w:rPr>
                <w:kern w:val="2"/>
                <w:szCs w:val="20"/>
                <w14:ligatures w14:val="standardContextual"/>
              </w:rPr>
            </w:pPr>
            <w:r w:rsidRPr="00E82904">
              <w:t>The budget process is transparent, includes community input, and follows a clear schedule.</w:t>
            </w:r>
          </w:p>
          <w:p w14:paraId="60B306E4" w14:textId="790DBE1A" w:rsidR="00927C34" w:rsidRPr="00E82904" w:rsidRDefault="0018342E" w:rsidP="00075C89">
            <w:pPr>
              <w:pStyle w:val="TableBullet1"/>
            </w:pPr>
            <w:r w:rsidRPr="00E82904">
              <w:t>Budget documents are accessible</w:t>
            </w:r>
            <w:r w:rsidR="001645F0" w:rsidRPr="00E82904">
              <w:t xml:space="preserve">, </w:t>
            </w:r>
            <w:r w:rsidRPr="00E82904">
              <w:t>informative</w:t>
            </w:r>
            <w:r w:rsidR="001645F0" w:rsidRPr="00E82904">
              <w:t>,</w:t>
            </w:r>
            <w:r w:rsidRPr="00E82904">
              <w:t xml:space="preserve"> and include detailed supporting information.</w:t>
            </w:r>
          </w:p>
        </w:tc>
        <w:tc>
          <w:tcPr>
            <w:tcW w:w="1972" w:type="pct"/>
          </w:tcPr>
          <w:p w14:paraId="4F1C470C" w14:textId="70C485DD" w:rsidR="00B827DE" w:rsidRPr="00CD29D0" w:rsidRDefault="009B574C" w:rsidP="00075C89">
            <w:pPr>
              <w:pStyle w:val="TableBullet1"/>
            </w:pPr>
            <w:r>
              <w:t>N/A</w:t>
            </w:r>
          </w:p>
        </w:tc>
      </w:tr>
      <w:tr w:rsidR="00A273D2" w:rsidRPr="00CD29D0" w14:paraId="178D87DE" w14:textId="77777777" w:rsidTr="00600395">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CD29D0" w:rsidRDefault="00041E9B" w:rsidP="00075C89">
            <w:pPr>
              <w:pStyle w:val="TableSubheading"/>
            </w:pPr>
            <w:hyperlink w:anchor="_Operations" w:history="1">
              <w:r w:rsidRPr="00CD29D0">
                <w:rPr>
                  <w:rStyle w:val="Hyperlink"/>
                  <w:color w:val="auto"/>
                  <w:u w:val="none"/>
                </w:rPr>
                <w:t>Operations</w:t>
              </w:r>
            </w:hyperlink>
          </w:p>
        </w:tc>
        <w:tc>
          <w:tcPr>
            <w:tcW w:w="1972" w:type="pct"/>
          </w:tcPr>
          <w:p w14:paraId="31560818" w14:textId="35FC3BDF" w:rsidR="00B827DE" w:rsidRPr="00E82904" w:rsidRDefault="009B574C" w:rsidP="00075C89">
            <w:pPr>
              <w:pStyle w:val="TableBullet1"/>
            </w:pPr>
            <w:r>
              <w:t>N/A</w:t>
            </w:r>
          </w:p>
        </w:tc>
        <w:tc>
          <w:tcPr>
            <w:tcW w:w="1972" w:type="pct"/>
          </w:tcPr>
          <w:p w14:paraId="4C814DAB" w14:textId="4E614D6A" w:rsidR="00B827DE" w:rsidRPr="00CD29D0" w:rsidRDefault="00F5523B" w:rsidP="00075C89">
            <w:pPr>
              <w:pStyle w:val="TableBullet1"/>
            </w:pPr>
            <w:r>
              <w:t>Addressing challenges with implementation of cellphone and bring-your-own-device policies</w:t>
            </w:r>
          </w:p>
        </w:tc>
      </w:tr>
      <w:tr w:rsidR="00A273D2" w:rsidRPr="00CD29D0" w14:paraId="671ADB7B" w14:textId="77777777" w:rsidTr="00600395">
        <w:tc>
          <w:tcPr>
            <w:tcW w:w="1055" w:type="pct"/>
          </w:tcPr>
          <w:p w14:paraId="2BA214F5" w14:textId="238D855A" w:rsidR="00B827DE" w:rsidRPr="00CD29D0" w:rsidRDefault="00041E9B" w:rsidP="00075C89">
            <w:pPr>
              <w:pStyle w:val="TableSubheading"/>
            </w:pPr>
            <w:hyperlink w:anchor="_Managing_Capital_Assets" w:history="1">
              <w:r w:rsidRPr="00CD29D0">
                <w:rPr>
                  <w:rStyle w:val="Hyperlink"/>
                  <w:color w:val="auto"/>
                  <w:u w:val="none"/>
                </w:rPr>
                <w:t>Managing C</w:t>
              </w:r>
              <w:r w:rsidR="00B827DE" w:rsidRPr="00CD29D0">
                <w:rPr>
                  <w:rStyle w:val="Hyperlink"/>
                  <w:color w:val="auto"/>
                  <w:u w:val="none"/>
                </w:rPr>
                <w:t xml:space="preserve">apital </w:t>
              </w:r>
              <w:r w:rsidRPr="00CD29D0">
                <w:rPr>
                  <w:rStyle w:val="Hyperlink"/>
                  <w:color w:val="auto"/>
                  <w:u w:val="none"/>
                </w:rPr>
                <w:t>Assets and Capital P</w:t>
              </w:r>
              <w:r w:rsidR="00B827DE" w:rsidRPr="00CD29D0">
                <w:rPr>
                  <w:rStyle w:val="Hyperlink"/>
                  <w:color w:val="auto"/>
                  <w:u w:val="none"/>
                </w:rPr>
                <w:t>lanning</w:t>
              </w:r>
            </w:hyperlink>
          </w:p>
        </w:tc>
        <w:tc>
          <w:tcPr>
            <w:tcW w:w="1972" w:type="pct"/>
          </w:tcPr>
          <w:p w14:paraId="040AD585" w14:textId="2911FC34" w:rsidR="00B827DE" w:rsidRPr="00E82904" w:rsidRDefault="0018342E" w:rsidP="00075C89">
            <w:pPr>
              <w:pStyle w:val="TableBullet1"/>
            </w:pPr>
            <w:r w:rsidRPr="00E82904">
              <w:t xml:space="preserve">The district maintains a five-year capital improvement plan </w:t>
            </w:r>
            <w:r w:rsidR="001645F0" w:rsidRPr="00E82904">
              <w:t>with</w:t>
            </w:r>
            <w:r w:rsidRPr="00E82904">
              <w:t xml:space="preserve"> an annual request process </w:t>
            </w:r>
            <w:r w:rsidR="001645F0" w:rsidRPr="00E82904">
              <w:t>for</w:t>
            </w:r>
            <w:r w:rsidRPr="00E82904">
              <w:t xml:space="preserve"> immediate and long-term needs.</w:t>
            </w:r>
          </w:p>
        </w:tc>
        <w:tc>
          <w:tcPr>
            <w:tcW w:w="1972" w:type="pct"/>
          </w:tcPr>
          <w:p w14:paraId="2EAE12FA" w14:textId="0C8DA351" w:rsidR="00B827DE" w:rsidRPr="00CD29D0" w:rsidRDefault="00F5523B" w:rsidP="00075C89">
            <w:pPr>
              <w:pStyle w:val="TableBullet1"/>
            </w:pPr>
            <w:r>
              <w:t>Developing a more systematic approach to tracking capital assets owned by the district</w:t>
            </w:r>
          </w:p>
        </w:tc>
      </w:tr>
    </w:tbl>
    <w:p w14:paraId="0C62F5A6" w14:textId="4945FE1A" w:rsidR="00B827DE" w:rsidRPr="00CD29D0" w:rsidRDefault="00041E9B" w:rsidP="00593B91">
      <w:pPr>
        <w:pStyle w:val="Heading3"/>
      </w:pPr>
      <w:bookmarkStart w:id="64" w:name="_Budget_Documentation_and"/>
      <w:bookmarkStart w:id="65" w:name="_Business_Office_Staffing"/>
      <w:bookmarkEnd w:id="64"/>
      <w:bookmarkEnd w:id="65"/>
      <w:r w:rsidRPr="00CD29D0">
        <w:t>Business Office Staffing and Infrastructure</w:t>
      </w:r>
    </w:p>
    <w:p w14:paraId="7720F9F6" w14:textId="5021231D" w:rsidR="00C8444D" w:rsidRPr="00CD29D0" w:rsidRDefault="007C3484" w:rsidP="00593B91">
      <w:pPr>
        <w:pStyle w:val="BodyTextposthead"/>
      </w:pPr>
      <w:r w:rsidRPr="00CD29D0">
        <w:t>Norton</w:t>
      </w:r>
      <w:r w:rsidR="00130A5F" w:rsidRPr="00CD29D0">
        <w:t>’s financial and asset management responsibilities are shared between two offices</w:t>
      </w:r>
      <w:r w:rsidR="003068ED" w:rsidRPr="00CD29D0">
        <w:t xml:space="preserve">: </w:t>
      </w:r>
      <w:r w:rsidR="00130A5F" w:rsidRPr="00CD29D0">
        <w:t xml:space="preserve">the business office and the </w:t>
      </w:r>
      <w:r w:rsidR="00AF099D" w:rsidRPr="00CD29D0">
        <w:t>facilities and grounds office.</w:t>
      </w:r>
      <w:r w:rsidR="000E799E" w:rsidRPr="00CD29D0">
        <w:t xml:space="preserve"> </w:t>
      </w:r>
      <w:r w:rsidR="003068ED" w:rsidRPr="00CD29D0">
        <w:t>The</w:t>
      </w:r>
      <w:r w:rsidR="000E799E" w:rsidRPr="00CD29D0">
        <w:t xml:space="preserve"> school business administrator</w:t>
      </w:r>
      <w:r w:rsidR="003068ED" w:rsidRPr="00CD29D0">
        <w:t xml:space="preserve"> oversees the business office, which </w:t>
      </w:r>
      <w:r w:rsidR="000E799E" w:rsidRPr="00CD29D0">
        <w:t xml:space="preserve">is </w:t>
      </w:r>
      <w:r w:rsidR="005D0E9A" w:rsidRPr="00CD29D0">
        <w:t xml:space="preserve">staffed by </w:t>
      </w:r>
      <w:r w:rsidR="00903133" w:rsidRPr="00CD29D0">
        <w:t xml:space="preserve">an accountant, payroll/human resources coordinator, and </w:t>
      </w:r>
      <w:r w:rsidR="00BF3C50" w:rsidRPr="00CD29D0">
        <w:t>transportation</w:t>
      </w:r>
      <w:r w:rsidR="00903133" w:rsidRPr="00CD29D0">
        <w:t xml:space="preserve"> coordinator. This office is </w:t>
      </w:r>
      <w:r w:rsidR="00020D17" w:rsidRPr="00CD29D0">
        <w:t>responsible for the development and administration of the district’s an</w:t>
      </w:r>
      <w:r w:rsidR="00DE0F4B" w:rsidRPr="00CD29D0">
        <w:t>nual operating budget</w:t>
      </w:r>
      <w:r w:rsidR="00D60BED" w:rsidRPr="00CD29D0">
        <w:t>, administration of grants and re</w:t>
      </w:r>
      <w:r w:rsidR="009A101A">
        <w:t>v</w:t>
      </w:r>
      <w:r w:rsidR="00D60BED" w:rsidRPr="00CD29D0">
        <w:t xml:space="preserve">olving accounts, accounts payable, accounts receivable, payroll, </w:t>
      </w:r>
      <w:r w:rsidR="00ED338B" w:rsidRPr="00CD29D0">
        <w:t xml:space="preserve">human resources, </w:t>
      </w:r>
      <w:r w:rsidR="0039576E" w:rsidRPr="00CD29D0">
        <w:t xml:space="preserve">food services, transportation, and DESE audit compliance. </w:t>
      </w:r>
      <w:r w:rsidR="006935E1" w:rsidRPr="00CD29D0">
        <w:t>T</w:t>
      </w:r>
      <w:r w:rsidR="000E799E" w:rsidRPr="00CD29D0">
        <w:t>he director of facilities</w:t>
      </w:r>
      <w:r w:rsidR="00CD32CD" w:rsidRPr="00CD29D0">
        <w:t xml:space="preserve"> </w:t>
      </w:r>
      <w:r w:rsidR="006935E1" w:rsidRPr="00CD29D0">
        <w:t>oversees the facilities and grounds office, which</w:t>
      </w:r>
      <w:r w:rsidR="00CD32CD" w:rsidRPr="00CD29D0">
        <w:t xml:space="preserve"> is staffed by a head custodian in each school building. This office is </w:t>
      </w:r>
      <w:r w:rsidR="0039576E" w:rsidRPr="00CD29D0">
        <w:t xml:space="preserve">responsible for maintenance of all five school buildings and grounds, including </w:t>
      </w:r>
      <w:r w:rsidR="006D47DF" w:rsidRPr="00CD29D0">
        <w:t>sports fields, plowing, and maint</w:t>
      </w:r>
      <w:r w:rsidR="00F24F4F" w:rsidRPr="00CD29D0">
        <w:t>aining</w:t>
      </w:r>
      <w:r w:rsidR="006D47DF" w:rsidRPr="00CD29D0">
        <w:t xml:space="preserve"> outside equipment. </w:t>
      </w:r>
      <w:r w:rsidR="006A5FF0" w:rsidRPr="00CD29D0">
        <w:t>District leaders agreed that the business office is appropriately staffed</w:t>
      </w:r>
      <w:r w:rsidR="004802AC" w:rsidRPr="00CD29D0">
        <w:t xml:space="preserve">. One leader </w:t>
      </w:r>
      <w:r w:rsidR="006A5FF0" w:rsidRPr="00CD29D0">
        <w:t>comment</w:t>
      </w:r>
      <w:r w:rsidR="004802AC" w:rsidRPr="00CD29D0">
        <w:t>ed</w:t>
      </w:r>
      <w:r w:rsidR="006A5FF0" w:rsidRPr="00CD29D0">
        <w:t xml:space="preserve">, </w:t>
      </w:r>
      <w:r w:rsidR="00F83576" w:rsidRPr="00CD29D0">
        <w:t>“</w:t>
      </w:r>
      <w:r w:rsidR="004802AC" w:rsidRPr="00CD29D0">
        <w:t>T</w:t>
      </w:r>
      <w:r w:rsidR="00F83576" w:rsidRPr="00CD29D0">
        <w:t>he district’s business office is staffed with a sufficient number of qualified and appropriately credentialed personnel</w:t>
      </w:r>
      <w:r w:rsidR="004802AC" w:rsidRPr="00CD29D0">
        <w:t xml:space="preserve"> . . .</w:t>
      </w:r>
      <w:r w:rsidR="002D2DDD" w:rsidRPr="00CD29D0">
        <w:t xml:space="preserve"> providing appropriate coverage across core operational functions.”</w:t>
      </w:r>
    </w:p>
    <w:p w14:paraId="463D6D93" w14:textId="77777777" w:rsidR="00A45A08" w:rsidRPr="00CD29D0" w:rsidRDefault="003954DA" w:rsidP="00593B91">
      <w:pPr>
        <w:pStyle w:val="BodyText"/>
      </w:pPr>
      <w:r w:rsidRPr="00CD29D0">
        <w:lastRenderedPageBreak/>
        <w:t xml:space="preserve">In addition to above, the school business administrator </w:t>
      </w:r>
      <w:r w:rsidR="006B7679" w:rsidRPr="00CD29D0">
        <w:t xml:space="preserve">also </w:t>
      </w:r>
      <w:r w:rsidRPr="00CD29D0">
        <w:t xml:space="preserve">oversees food service and </w:t>
      </w:r>
      <w:r w:rsidR="002A2A61" w:rsidRPr="00CD29D0">
        <w:t>transportation</w:t>
      </w:r>
      <w:r w:rsidRPr="00CD29D0">
        <w:t xml:space="preserve"> operations for consistency and compliance. The district partners with Chartwells for all meals</w:t>
      </w:r>
      <w:r w:rsidR="006B7679" w:rsidRPr="00CD29D0">
        <w:t>,</w:t>
      </w:r>
      <w:r w:rsidRPr="00CD29D0">
        <w:t xml:space="preserve"> and </w:t>
      </w:r>
      <w:r w:rsidR="006B7679" w:rsidRPr="00CD29D0">
        <w:t xml:space="preserve">with </w:t>
      </w:r>
      <w:r w:rsidRPr="00CD29D0">
        <w:t>H&amp;L Bloom for transportation</w:t>
      </w:r>
      <w:r w:rsidR="006D73E8" w:rsidRPr="00CD29D0">
        <w:t xml:space="preserve"> (see Operations for more information)</w:t>
      </w:r>
      <w:r w:rsidR="00A45A08" w:rsidRPr="00CD29D0">
        <w:t>.</w:t>
      </w:r>
    </w:p>
    <w:p w14:paraId="4F9E75DF" w14:textId="0DDA9BD2" w:rsidR="00A45A08" w:rsidRPr="00CD29D0" w:rsidRDefault="00D94932" w:rsidP="00593B91">
      <w:pPr>
        <w:pStyle w:val="BodyText"/>
      </w:pPr>
      <w:r w:rsidRPr="00CD29D0">
        <w:t xml:space="preserve">The district has written policies and procedures for </w:t>
      </w:r>
      <w:r w:rsidR="003D4B50" w:rsidRPr="00CD29D0">
        <w:t xml:space="preserve">fiscal management in </w:t>
      </w:r>
      <w:r w:rsidR="00236A2A">
        <w:t>its</w:t>
      </w:r>
      <w:r w:rsidR="00236A2A" w:rsidRPr="00CD29D0">
        <w:t xml:space="preserve"> </w:t>
      </w:r>
      <w:r w:rsidR="003D4B50" w:rsidRPr="00CD29D0">
        <w:t>Norton Public Schools Policy Manual, which is publicly posted on the school committee webpage</w:t>
      </w:r>
      <w:r w:rsidRPr="00CD29D0">
        <w:t>.</w:t>
      </w:r>
      <w:r w:rsidR="003D4B50" w:rsidRPr="00CD29D0">
        <w:t xml:space="preserve"> </w:t>
      </w:r>
      <w:r w:rsidR="0024696C" w:rsidRPr="00CD29D0">
        <w:t xml:space="preserve">Under Section 4: Fiscal Management, policies include </w:t>
      </w:r>
      <w:r w:rsidR="009A101A">
        <w:t xml:space="preserve">setting </w:t>
      </w:r>
      <w:r w:rsidR="0024696C" w:rsidRPr="00CD29D0">
        <w:t xml:space="preserve">fiscal management goals, </w:t>
      </w:r>
      <w:r w:rsidR="004841E8" w:rsidRPr="00CD29D0">
        <w:t xml:space="preserve">developing the annual budget, </w:t>
      </w:r>
      <w:r w:rsidR="006B7679" w:rsidRPr="00CD29D0">
        <w:t xml:space="preserve">meeting </w:t>
      </w:r>
      <w:r w:rsidR="004841E8" w:rsidRPr="00CD29D0">
        <w:t xml:space="preserve">budget deadlines and schedules, </w:t>
      </w:r>
      <w:r w:rsidR="00A017CF" w:rsidRPr="00CD29D0">
        <w:t xml:space="preserve">auditing, </w:t>
      </w:r>
      <w:r w:rsidR="00F32DAF" w:rsidRPr="00CD29D0">
        <w:t>procurement requirements, and more. These policies originate</w:t>
      </w:r>
      <w:r w:rsidR="006B7679" w:rsidRPr="00CD29D0">
        <w:t>d</w:t>
      </w:r>
      <w:r w:rsidR="00F32DAF" w:rsidRPr="00CD29D0">
        <w:t xml:space="preserve"> from the MASC </w:t>
      </w:r>
      <w:r w:rsidR="00374842" w:rsidRPr="00CD29D0">
        <w:t xml:space="preserve">in 2021, </w:t>
      </w:r>
      <w:r w:rsidR="006B7679" w:rsidRPr="00CD29D0">
        <w:t>although</w:t>
      </w:r>
      <w:r w:rsidR="00374842" w:rsidRPr="00CD29D0">
        <w:t xml:space="preserve"> some policies hav</w:t>
      </w:r>
      <w:r w:rsidR="006B7679" w:rsidRPr="00CD29D0">
        <w:t>e</w:t>
      </w:r>
      <w:r w:rsidR="00374842" w:rsidRPr="00CD29D0">
        <w:t xml:space="preserve"> since been updated</w:t>
      </w:r>
      <w:r w:rsidR="00A45A08" w:rsidRPr="00CD29D0">
        <w:t>.</w:t>
      </w:r>
    </w:p>
    <w:p w14:paraId="50C8875A" w14:textId="77777777" w:rsidR="00D774B6" w:rsidRDefault="007E51F3" w:rsidP="00593B91">
      <w:pPr>
        <w:pStyle w:val="BodyText"/>
      </w:pPr>
      <w:r w:rsidRPr="00CD29D0">
        <w:t>Norton use</w:t>
      </w:r>
      <w:r w:rsidR="00DD756C" w:rsidRPr="00CD29D0">
        <w:t>s School ERP Pro</w:t>
      </w:r>
      <w:r w:rsidR="00EF7FBA">
        <w:t xml:space="preserve"> </w:t>
      </w:r>
      <w:r w:rsidR="0053767D" w:rsidRPr="00CD29D0">
        <w:t xml:space="preserve">for </w:t>
      </w:r>
      <w:r w:rsidR="00EF7FBA">
        <w:t xml:space="preserve">its </w:t>
      </w:r>
      <w:r w:rsidR="0053767D" w:rsidRPr="00CD29D0">
        <w:t>financial management system</w:t>
      </w:r>
      <w:r w:rsidR="006B7679" w:rsidRPr="00CD29D0">
        <w:t>,</w:t>
      </w:r>
      <w:r w:rsidR="001D6197" w:rsidRPr="00CD29D0">
        <w:t xml:space="preserve"> </w:t>
      </w:r>
      <w:r w:rsidR="00213571" w:rsidRPr="00CD29D0">
        <w:t>but</w:t>
      </w:r>
      <w:r w:rsidR="001D6197" w:rsidRPr="00CD29D0">
        <w:t xml:space="preserve"> </w:t>
      </w:r>
      <w:r w:rsidR="006A1D55" w:rsidRPr="00CD29D0">
        <w:t>has a separate payroll system</w:t>
      </w:r>
      <w:r w:rsidR="001D6197" w:rsidRPr="00CD29D0">
        <w:t xml:space="preserve">. According to district leaders, </w:t>
      </w:r>
      <w:r w:rsidR="001F30CC" w:rsidRPr="00CD29D0">
        <w:t>these two systems are not easily compatible</w:t>
      </w:r>
      <w:r w:rsidR="008160FF" w:rsidRPr="00CD29D0">
        <w:t xml:space="preserve">, </w:t>
      </w:r>
      <w:r w:rsidR="006B7679" w:rsidRPr="00CD29D0">
        <w:t>so</w:t>
      </w:r>
      <w:r w:rsidR="008160FF" w:rsidRPr="00CD29D0">
        <w:t xml:space="preserve"> the </w:t>
      </w:r>
      <w:r w:rsidR="00B0422D" w:rsidRPr="00CD29D0">
        <w:t>a</w:t>
      </w:r>
      <w:r w:rsidR="008160FF" w:rsidRPr="00CD29D0">
        <w:t xml:space="preserve">ccounts </w:t>
      </w:r>
      <w:r w:rsidR="00B0422D" w:rsidRPr="00CD29D0">
        <w:t>p</w:t>
      </w:r>
      <w:r w:rsidR="008160FF" w:rsidRPr="00CD29D0">
        <w:t xml:space="preserve">ayable </w:t>
      </w:r>
      <w:r w:rsidR="00B0422D" w:rsidRPr="00CD29D0">
        <w:t>c</w:t>
      </w:r>
      <w:r w:rsidR="008160FF" w:rsidRPr="00CD29D0">
        <w:t xml:space="preserve">oordinator </w:t>
      </w:r>
      <w:r w:rsidR="006B7679" w:rsidRPr="00CD29D0">
        <w:t>must</w:t>
      </w:r>
      <w:r w:rsidR="008160FF" w:rsidRPr="00CD29D0">
        <w:t xml:space="preserve"> </w:t>
      </w:r>
      <w:r w:rsidR="00BC6290" w:rsidRPr="00CD29D0">
        <w:t>manually enter payroll reports into the accounting system each month.</w:t>
      </w:r>
      <w:r w:rsidR="00ED2541" w:rsidRPr="00CD29D0">
        <w:t xml:space="preserve"> </w:t>
      </w:r>
    </w:p>
    <w:p w14:paraId="0A6FFC8B" w14:textId="6D28C989" w:rsidR="00A45A08" w:rsidRPr="00CD29D0" w:rsidRDefault="006B7679" w:rsidP="00593B91">
      <w:pPr>
        <w:pStyle w:val="BodyText"/>
      </w:pPr>
      <w:r w:rsidRPr="00CD29D0">
        <w:t>Both town and district i</w:t>
      </w:r>
      <w:r w:rsidR="00C249EE" w:rsidRPr="00CD29D0">
        <w:t>nterview and focus group participants characterized the two entities as having a good working relationship</w:t>
      </w:r>
      <w:r w:rsidR="00942D7D" w:rsidRPr="00CD29D0">
        <w:t xml:space="preserve">. </w:t>
      </w:r>
      <w:r w:rsidR="00CC2A15">
        <w:t xml:space="preserve">At the time of </w:t>
      </w:r>
      <w:r w:rsidR="004B489F">
        <w:t>the</w:t>
      </w:r>
      <w:r w:rsidR="00DF5613">
        <w:t xml:space="preserve"> </w:t>
      </w:r>
      <w:r w:rsidR="009B2A0F">
        <w:t>district review</w:t>
      </w:r>
      <w:r w:rsidR="00CC2A15">
        <w:t>, t</w:t>
      </w:r>
      <w:r w:rsidR="00942D7D" w:rsidRPr="00CD29D0">
        <w:t xml:space="preserve">he town </w:t>
      </w:r>
      <w:r w:rsidR="00CC2A15">
        <w:t xml:space="preserve">had </w:t>
      </w:r>
      <w:r w:rsidR="00942D7D" w:rsidRPr="00CD29D0">
        <w:t xml:space="preserve">recently hired a new town manager, so </w:t>
      </w:r>
      <w:r w:rsidR="00E86E1C">
        <w:t xml:space="preserve">this person’s </w:t>
      </w:r>
      <w:r w:rsidR="00934F82" w:rsidRPr="00CD29D0">
        <w:t xml:space="preserve">relationships </w:t>
      </w:r>
      <w:r w:rsidR="009F35CD" w:rsidRPr="00CD29D0">
        <w:t>with</w:t>
      </w:r>
      <w:r w:rsidR="00934F82" w:rsidRPr="00CD29D0">
        <w:t xml:space="preserve"> </w:t>
      </w:r>
      <w:r w:rsidRPr="00CD29D0">
        <w:t>S</w:t>
      </w:r>
      <w:r w:rsidR="00934F82" w:rsidRPr="00CD29D0">
        <w:t xml:space="preserve">uperintendent </w:t>
      </w:r>
      <w:r w:rsidRPr="00CD29D0">
        <w:t xml:space="preserve">O’Neill </w:t>
      </w:r>
      <w:r w:rsidR="00934F82" w:rsidRPr="00CD29D0">
        <w:t xml:space="preserve">and </w:t>
      </w:r>
      <w:r w:rsidRPr="00CD29D0">
        <w:t xml:space="preserve">the </w:t>
      </w:r>
      <w:r w:rsidR="00934F82" w:rsidRPr="00CD29D0">
        <w:t xml:space="preserve">school business administrator </w:t>
      </w:r>
      <w:r w:rsidR="00CC2A15">
        <w:t>we</w:t>
      </w:r>
      <w:r w:rsidR="00934F82" w:rsidRPr="00CD29D0">
        <w:t xml:space="preserve">re still in the early stages. </w:t>
      </w:r>
    </w:p>
    <w:p w14:paraId="56CA8E60" w14:textId="53AEF6E1" w:rsidR="00A45A08" w:rsidRPr="00CD29D0" w:rsidRDefault="00AB1862" w:rsidP="00593B91">
      <w:pPr>
        <w:pStyle w:val="BodyText"/>
        <w:rPr>
          <w:color w:val="EE0000"/>
        </w:rPr>
      </w:pPr>
      <w:r w:rsidRPr="00CD29D0">
        <w:t xml:space="preserve">According to district and town officials, the </w:t>
      </w:r>
      <w:r w:rsidR="00E86E1C">
        <w:t>two entities</w:t>
      </w:r>
      <w:r w:rsidRPr="00CD29D0">
        <w:t xml:space="preserve"> have </w:t>
      </w:r>
      <w:r w:rsidR="008E7C4B" w:rsidRPr="00CD29D0">
        <w:t xml:space="preserve">clearly </w:t>
      </w:r>
      <w:r w:rsidR="003C5783" w:rsidRPr="00CD29D0">
        <w:t xml:space="preserve">delineated responsibilities, although there is not currently a formal written agreement between the two. According to district leaders, the town manages staff benefits and retirement </w:t>
      </w:r>
      <w:r w:rsidR="00D0551F" w:rsidRPr="00CD29D0">
        <w:t>pensions,</w:t>
      </w:r>
      <w:r w:rsidR="007C3D71" w:rsidRPr="00CD29D0">
        <w:t xml:space="preserve"> and the district </w:t>
      </w:r>
      <w:r w:rsidR="003F0DF7" w:rsidRPr="00CD29D0">
        <w:t>handles</w:t>
      </w:r>
      <w:r w:rsidR="007C3D71" w:rsidRPr="00CD29D0">
        <w:t xml:space="preserve"> all other responsibilities such as trans</w:t>
      </w:r>
      <w:r w:rsidR="003F0DF7" w:rsidRPr="00CD29D0">
        <w:t xml:space="preserve">portation, ground maintenance, plowing, and more. </w:t>
      </w:r>
      <w:r w:rsidR="00FB51F4" w:rsidRPr="00D30E93">
        <w:t xml:space="preserve">Town leaders agreed with this description of responsibilities, but both </w:t>
      </w:r>
      <w:r w:rsidR="00EC4862" w:rsidRPr="00D30E93">
        <w:t xml:space="preserve">the town and district </w:t>
      </w:r>
      <w:r w:rsidR="00FB51F4" w:rsidRPr="00D30E93">
        <w:t>agreed that for</w:t>
      </w:r>
      <w:r w:rsidR="00B8427A" w:rsidRPr="00D30E93">
        <w:t xml:space="preserve">mally documenting </w:t>
      </w:r>
      <w:r w:rsidR="0000135A" w:rsidRPr="00D30E93">
        <w:t>this in a written agreement is an area of growth</w:t>
      </w:r>
      <w:r w:rsidR="00A45A08" w:rsidRPr="00D30E93">
        <w:t>.</w:t>
      </w:r>
    </w:p>
    <w:p w14:paraId="1ECCF473" w14:textId="4676CE06" w:rsidR="00B827DE" w:rsidRPr="00CD29D0" w:rsidRDefault="00041E9B" w:rsidP="00593B91">
      <w:pPr>
        <w:pStyle w:val="Heading3"/>
      </w:pPr>
      <w:bookmarkStart w:id="66" w:name="_Adequate_Budget"/>
      <w:bookmarkStart w:id="67" w:name="_Budgeting_and_Budget"/>
      <w:bookmarkEnd w:id="66"/>
      <w:bookmarkEnd w:id="67"/>
      <w:r w:rsidRPr="00CD29D0">
        <w:t>Budgeting and Budget Process</w:t>
      </w:r>
    </w:p>
    <w:p w14:paraId="151EFC25" w14:textId="536751A8" w:rsidR="00A45A08" w:rsidRPr="002748B2" w:rsidRDefault="00382968" w:rsidP="00593B91">
      <w:pPr>
        <w:pStyle w:val="BodyTextposthead"/>
      </w:pPr>
      <w:r w:rsidRPr="002748B2">
        <w:t xml:space="preserve">Norton’s budget process is transparent, includes community involvement, and follows an established schedule, which is a strength of the district. </w:t>
      </w:r>
      <w:r w:rsidR="004A7B51" w:rsidRPr="002748B2">
        <w:t>The district</w:t>
      </w:r>
      <w:r w:rsidR="00EE7B38" w:rsidRPr="002748B2">
        <w:t>’</w:t>
      </w:r>
      <w:r w:rsidR="004A7B51" w:rsidRPr="002748B2">
        <w:t>s financial budget covers the next fiscal year</w:t>
      </w:r>
      <w:r w:rsidR="00EE7B38" w:rsidRPr="002748B2">
        <w:t>. At</w:t>
      </w:r>
      <w:r w:rsidR="004A7B51" w:rsidRPr="002748B2" w:rsidDel="00EE7B38">
        <w:t xml:space="preserve"> </w:t>
      </w:r>
      <w:r w:rsidR="004A7B51" w:rsidRPr="002748B2">
        <w:t xml:space="preserve">the time of the district review, </w:t>
      </w:r>
      <w:r w:rsidR="00C47F75" w:rsidRPr="002748B2">
        <w:t xml:space="preserve">development of the </w:t>
      </w:r>
      <w:r w:rsidR="00EE7B38" w:rsidRPr="002748B2">
        <w:t xml:space="preserve">fiscal year (FY) 2027 </w:t>
      </w:r>
      <w:r w:rsidR="00C47F75" w:rsidRPr="002748B2">
        <w:t xml:space="preserve">budget was underway. </w:t>
      </w:r>
      <w:r w:rsidRPr="002748B2">
        <w:t xml:space="preserve">According to the FY27 Budget Timeline </w:t>
      </w:r>
      <w:r w:rsidR="00B22417" w:rsidRPr="002748B2">
        <w:t>and FY27 Budget Memo documents</w:t>
      </w:r>
      <w:r w:rsidRPr="002748B2">
        <w:t xml:space="preserve">, the budgeting </w:t>
      </w:r>
      <w:r w:rsidR="00633985" w:rsidRPr="002748B2">
        <w:t xml:space="preserve">process starts in the fall </w:t>
      </w:r>
      <w:r w:rsidR="00F10EDE" w:rsidRPr="002748B2">
        <w:t>when the</w:t>
      </w:r>
      <w:r w:rsidR="00633985" w:rsidRPr="002748B2">
        <w:t xml:space="preserve"> </w:t>
      </w:r>
      <w:r w:rsidR="00BD6A25" w:rsidRPr="002748B2">
        <w:t>district</w:t>
      </w:r>
      <w:r w:rsidR="00633985" w:rsidRPr="002748B2">
        <w:t xml:space="preserve"> and town </w:t>
      </w:r>
      <w:r w:rsidR="00F10EDE" w:rsidRPr="002748B2">
        <w:t>meet to</w:t>
      </w:r>
      <w:r w:rsidR="00633985" w:rsidRPr="002748B2">
        <w:t xml:space="preserve"> establish timelines, </w:t>
      </w:r>
      <w:r w:rsidR="00763729" w:rsidRPr="002748B2">
        <w:t xml:space="preserve">instructions, and financial software updates. </w:t>
      </w:r>
      <w:r w:rsidR="00D867FD" w:rsidRPr="002748B2">
        <w:t>In November</w:t>
      </w:r>
      <w:r w:rsidR="0086746A" w:rsidRPr="002748B2">
        <w:t xml:space="preserve">, the budget process starts </w:t>
      </w:r>
      <w:r w:rsidR="00EE7B38" w:rsidRPr="002748B2">
        <w:t xml:space="preserve">when the </w:t>
      </w:r>
      <w:r w:rsidR="0086746A" w:rsidRPr="002748B2">
        <w:t xml:space="preserve">budget development documents </w:t>
      </w:r>
      <w:r w:rsidR="00EE7B38" w:rsidRPr="002748B2">
        <w:t xml:space="preserve">are </w:t>
      </w:r>
      <w:r w:rsidR="0086746A" w:rsidRPr="002748B2">
        <w:t xml:space="preserve">sent to department and school leaders. </w:t>
      </w:r>
      <w:r w:rsidR="008B4E20" w:rsidRPr="002748B2">
        <w:t xml:space="preserve">In December, administrators submit their budget requests to the business office and meet with the superintendent and business administrator to further discuss their requests. </w:t>
      </w:r>
      <w:r w:rsidR="00080C3E" w:rsidRPr="002748B2">
        <w:t xml:space="preserve">In January, district leaders present the first draft of the budget </w:t>
      </w:r>
      <w:r w:rsidR="00EE7B38" w:rsidRPr="002748B2">
        <w:t xml:space="preserve">to </w:t>
      </w:r>
      <w:r w:rsidR="00080C3E" w:rsidRPr="002748B2">
        <w:t xml:space="preserve">the school committee, </w:t>
      </w:r>
      <w:r w:rsidR="00EE7B38" w:rsidRPr="002748B2">
        <w:t xml:space="preserve">which is </w:t>
      </w:r>
      <w:r w:rsidR="00080C3E" w:rsidRPr="002748B2">
        <w:t xml:space="preserve">followed closely by a school committee budget workshop in early February. </w:t>
      </w:r>
      <w:r w:rsidR="002D4B47" w:rsidRPr="002748B2">
        <w:t>In March</w:t>
      </w:r>
      <w:r w:rsidR="00080C3E" w:rsidRPr="002748B2">
        <w:t xml:space="preserve">, the district presents </w:t>
      </w:r>
      <w:r w:rsidR="00EE7B38" w:rsidRPr="002748B2">
        <w:t xml:space="preserve">its </w:t>
      </w:r>
      <w:r w:rsidR="00080C3E" w:rsidRPr="002748B2">
        <w:t>proposed budget to the school committee for discussion and approval.</w:t>
      </w:r>
      <w:r w:rsidR="002D4B47" w:rsidRPr="002748B2">
        <w:t xml:space="preserve"> </w:t>
      </w:r>
      <w:r w:rsidR="00080C3E" w:rsidRPr="002748B2">
        <w:t>This</w:t>
      </w:r>
      <w:r w:rsidR="00174CCC" w:rsidRPr="002748B2">
        <w:t xml:space="preserve"> process concludes in May and June </w:t>
      </w:r>
      <w:r w:rsidR="00EE7B38" w:rsidRPr="002748B2">
        <w:t>when</w:t>
      </w:r>
      <w:r w:rsidR="00174CCC" w:rsidRPr="002748B2">
        <w:t xml:space="preserve"> the budget </w:t>
      </w:r>
      <w:r w:rsidR="00EE7B38" w:rsidRPr="002748B2">
        <w:t>is</w:t>
      </w:r>
      <w:r w:rsidR="00174CCC" w:rsidRPr="002748B2">
        <w:t xml:space="preserve"> discussed and approved by the town</w:t>
      </w:r>
      <w:r w:rsidR="00A45A08" w:rsidRPr="002748B2">
        <w:t>.</w:t>
      </w:r>
    </w:p>
    <w:p w14:paraId="0EC0E54C" w14:textId="4D4CD503" w:rsidR="00E1700A" w:rsidRPr="00CD29D0" w:rsidRDefault="00E1700A" w:rsidP="00593B91">
      <w:pPr>
        <w:pStyle w:val="BodyText"/>
      </w:pPr>
      <w:r w:rsidRPr="002748B2">
        <w:t xml:space="preserve">Budget documents for </w:t>
      </w:r>
      <w:r w:rsidR="00A00FFA" w:rsidRPr="002748B2">
        <w:t>fiscal years 2025</w:t>
      </w:r>
      <w:r w:rsidRPr="002748B2">
        <w:t xml:space="preserve">, </w:t>
      </w:r>
      <w:r w:rsidR="00A00FFA" w:rsidRPr="002748B2">
        <w:t>20</w:t>
      </w:r>
      <w:r w:rsidRPr="002748B2">
        <w:t xml:space="preserve">26, and </w:t>
      </w:r>
      <w:r w:rsidR="00A00FFA" w:rsidRPr="002748B2">
        <w:t>20</w:t>
      </w:r>
      <w:r w:rsidRPr="002748B2">
        <w:t xml:space="preserve">27 were publicly available on the district’s business office webpage. These budget documents </w:t>
      </w:r>
      <w:r w:rsidR="007C347C" w:rsidRPr="002748B2">
        <w:t xml:space="preserve">are intentionally designed to be clearly understood by the broader community and include a </w:t>
      </w:r>
      <w:r w:rsidR="00CF07C4" w:rsidRPr="002748B2">
        <w:t>wealth of information</w:t>
      </w:r>
      <w:r w:rsidR="00120D12" w:rsidRPr="002748B2">
        <w:t xml:space="preserve">, </w:t>
      </w:r>
      <w:r w:rsidR="00D265C8" w:rsidRPr="002748B2">
        <w:t xml:space="preserve">which is </w:t>
      </w:r>
      <w:r w:rsidR="00120D12" w:rsidRPr="002748B2">
        <w:t xml:space="preserve">a strength of the district. </w:t>
      </w:r>
      <w:r w:rsidR="000C4DB9" w:rsidRPr="002748B2">
        <w:t>The most recently available</w:t>
      </w:r>
      <w:r w:rsidR="000C4DB9" w:rsidRPr="002748B2" w:rsidDel="00D265C8">
        <w:t xml:space="preserve"> </w:t>
      </w:r>
      <w:r w:rsidR="00D265C8" w:rsidRPr="002748B2">
        <w:t xml:space="preserve">fiscal year 2026 </w:t>
      </w:r>
      <w:r w:rsidR="000C4DB9" w:rsidRPr="002748B2">
        <w:t xml:space="preserve">budget book </w:t>
      </w:r>
      <w:r w:rsidR="008E1075" w:rsidRPr="002748B2">
        <w:t>included</w:t>
      </w:r>
      <w:r w:rsidR="000C4DB9" w:rsidRPr="002748B2">
        <w:t xml:space="preserve"> </w:t>
      </w:r>
      <w:r w:rsidR="00CF07C4" w:rsidRPr="002748B2">
        <w:t>historical enrollment da</w:t>
      </w:r>
      <w:r w:rsidR="00CF07C4" w:rsidRPr="00CD29D0">
        <w:t xml:space="preserve">ta </w:t>
      </w:r>
      <w:r w:rsidR="00CF07C4" w:rsidRPr="00CD29D0">
        <w:lastRenderedPageBreak/>
        <w:t xml:space="preserve">and trends, </w:t>
      </w:r>
      <w:r w:rsidR="002E1FF9" w:rsidRPr="00CD29D0">
        <w:t xml:space="preserve">a </w:t>
      </w:r>
      <w:r w:rsidR="000C4DB9" w:rsidRPr="00CD29D0">
        <w:t>clear narrative describing</w:t>
      </w:r>
      <w:r w:rsidR="00147314" w:rsidRPr="00CD29D0">
        <w:t xml:space="preserve"> </w:t>
      </w:r>
      <w:r w:rsidR="000C4DB9" w:rsidRPr="00CD29D0">
        <w:t>what a</w:t>
      </w:r>
      <w:r w:rsidR="00147314" w:rsidRPr="00CD29D0">
        <w:t xml:space="preserve"> level</w:t>
      </w:r>
      <w:r w:rsidR="00383364" w:rsidRPr="00CD29D0">
        <w:t>-</w:t>
      </w:r>
      <w:r w:rsidR="00147314" w:rsidRPr="00CD29D0">
        <w:t>service budget</w:t>
      </w:r>
      <w:r w:rsidR="000C4DB9" w:rsidRPr="00CD29D0">
        <w:t xml:space="preserve"> is</w:t>
      </w:r>
      <w:r w:rsidR="00147314" w:rsidRPr="00CD29D0">
        <w:t xml:space="preserve">, mandated educational costs, </w:t>
      </w:r>
      <w:r w:rsidR="00120D12" w:rsidRPr="00CD29D0">
        <w:t>budgeting factors or actions to show how the district arrived at the recommended budget, budget summary by account, special education costs, and more.</w:t>
      </w:r>
    </w:p>
    <w:p w14:paraId="0E7ACA4A" w14:textId="408D34D3" w:rsidR="00D2712D" w:rsidRPr="00CD29D0" w:rsidRDefault="00A44D70" w:rsidP="00593B91">
      <w:pPr>
        <w:pStyle w:val="BodyText"/>
      </w:pPr>
      <w:r w:rsidRPr="00CD29D0">
        <w:t xml:space="preserve">In recent years, the district has been </w:t>
      </w:r>
      <w:r w:rsidR="00526A6A" w:rsidRPr="00CD29D0">
        <w:t xml:space="preserve">using a level-service </w:t>
      </w:r>
      <w:r w:rsidR="002E1FF9" w:rsidRPr="00CD29D0">
        <w:t>approach</w:t>
      </w:r>
      <w:r w:rsidR="00526A6A" w:rsidRPr="00CD29D0">
        <w:t xml:space="preserve"> to budgeting to retain the same levels of teaching and</w:t>
      </w:r>
      <w:r w:rsidR="002952B4" w:rsidRPr="00CD29D0">
        <w:t xml:space="preserve"> programming as the prior school year. </w:t>
      </w:r>
      <w:r w:rsidR="00D2712D" w:rsidRPr="00CD29D0">
        <w:t>According to DESE data, the district exceeded net school spending requirements for fiscal year 2024 by</w:t>
      </w:r>
      <w:r w:rsidR="00BD5434" w:rsidRPr="00CD29D0">
        <w:t xml:space="preserve"> </w:t>
      </w:r>
      <w:r w:rsidR="009F556F" w:rsidRPr="00CD29D0">
        <w:t>20.4 percent</w:t>
      </w:r>
      <w:r w:rsidR="0026027C" w:rsidRPr="00CD29D0">
        <w:t>,</w:t>
      </w:r>
      <w:r w:rsidR="00BD5434" w:rsidRPr="00CD29D0">
        <w:t xml:space="preserve"> or</w:t>
      </w:r>
      <w:r w:rsidR="00D2712D" w:rsidRPr="00CD29D0">
        <w:t xml:space="preserve"> </w:t>
      </w:r>
      <w:r w:rsidR="009F556F" w:rsidRPr="00CD29D0">
        <w:t>$6,963,</w:t>
      </w:r>
      <w:r w:rsidR="00B146EE" w:rsidRPr="00CD29D0">
        <w:t>095</w:t>
      </w:r>
      <w:r w:rsidR="0026027C" w:rsidRPr="00CD29D0">
        <w:t xml:space="preserve">; </w:t>
      </w:r>
      <w:r w:rsidR="00D2712D" w:rsidRPr="00CD29D0">
        <w:t xml:space="preserve">and per-pupil in-district expenditures </w:t>
      </w:r>
      <w:r w:rsidR="0026027C" w:rsidRPr="00CD29D0">
        <w:t xml:space="preserve">were </w:t>
      </w:r>
      <w:r w:rsidR="00D2712D" w:rsidRPr="00CD29D0">
        <w:t>$</w:t>
      </w:r>
      <w:r w:rsidR="00F135F2" w:rsidRPr="00CD29D0">
        <w:t>19,457</w:t>
      </w:r>
      <w:r w:rsidR="005368B6" w:rsidRPr="00CD29D0">
        <w:t xml:space="preserve">, </w:t>
      </w:r>
      <w:r w:rsidR="0026027C" w:rsidRPr="00CD29D0">
        <w:t xml:space="preserve">or </w:t>
      </w:r>
      <w:r w:rsidR="005368B6" w:rsidRPr="00CD29D0">
        <w:t>approximately $2,951 dollars less than the state average for per</w:t>
      </w:r>
      <w:r w:rsidR="0026027C" w:rsidRPr="00CD29D0">
        <w:t>-</w:t>
      </w:r>
      <w:r w:rsidR="005368B6" w:rsidRPr="00CD29D0">
        <w:t>pupil in-district expenditures.</w:t>
      </w:r>
    </w:p>
    <w:p w14:paraId="0A485ED4" w14:textId="6D1B1A73" w:rsidR="00FB41BE" w:rsidRPr="00CD29D0" w:rsidRDefault="000950F4" w:rsidP="00593B91">
      <w:pPr>
        <w:pStyle w:val="BodyText"/>
      </w:pPr>
      <w:r w:rsidRPr="00CD29D0">
        <w:t>Finances have been challenging for Norton for some time.</w:t>
      </w:r>
      <w:r w:rsidR="0077460A" w:rsidRPr="00CD29D0">
        <w:t xml:space="preserve"> </w:t>
      </w:r>
      <w:r w:rsidR="007623F8" w:rsidRPr="00CD29D0">
        <w:t>With</w:t>
      </w:r>
      <w:r w:rsidR="0077460A" w:rsidRPr="00CD29D0">
        <w:t xml:space="preserve"> the formula calculations for Chapter 70 funds from the state, Norton </w:t>
      </w:r>
      <w:r w:rsidR="007F5379" w:rsidRPr="00CD29D0">
        <w:t xml:space="preserve">reportedly </w:t>
      </w:r>
      <w:r w:rsidR="0077460A" w:rsidRPr="00CD29D0">
        <w:t xml:space="preserve">receives </w:t>
      </w:r>
      <w:r w:rsidR="00F16270" w:rsidRPr="00CD29D0">
        <w:t xml:space="preserve">minimal state funding. </w:t>
      </w:r>
      <w:r w:rsidR="00E14A84">
        <w:t>In addition, o</w:t>
      </w:r>
      <w:r w:rsidR="00E14A84" w:rsidRPr="00CD29D0">
        <w:t xml:space="preserve">ut-of-district placements are a significant cost for the district. Norton’s </w:t>
      </w:r>
      <w:r w:rsidR="00E14A84" w:rsidRPr="00CD29D0" w:rsidDel="00FB27AC">
        <w:t xml:space="preserve">most recent </w:t>
      </w:r>
      <w:r w:rsidR="00E14A84" w:rsidRPr="00CD29D0">
        <w:t xml:space="preserve">budget </w:t>
      </w:r>
      <w:r w:rsidR="00E14A84" w:rsidRPr="00CD29D0" w:rsidDel="00FB27AC">
        <w:t xml:space="preserve">book </w:t>
      </w:r>
      <w:r w:rsidR="00E14A84" w:rsidRPr="00CD29D0">
        <w:t>shows that during the 2025-202</w:t>
      </w:r>
      <w:r w:rsidR="00E14A84">
        <w:t>6</w:t>
      </w:r>
      <w:r w:rsidR="00E14A84" w:rsidRPr="00CD29D0">
        <w:t xml:space="preserve"> school year, 3</w:t>
      </w:r>
      <w:r w:rsidR="00E14A84">
        <w:t>6</w:t>
      </w:r>
      <w:r w:rsidR="00E14A84" w:rsidRPr="00CD29D0">
        <w:t xml:space="preserve"> students were placed out of district for a total cost of $</w:t>
      </w:r>
      <w:r w:rsidR="00E14A84">
        <w:t>3</w:t>
      </w:r>
      <w:r w:rsidR="00E14A84" w:rsidRPr="00CD29D0">
        <w:t>,</w:t>
      </w:r>
      <w:r w:rsidR="00E14A84">
        <w:t>926</w:t>
      </w:r>
      <w:r w:rsidR="00E14A84" w:rsidRPr="00CD29D0">
        <w:t>,</w:t>
      </w:r>
      <w:r w:rsidR="00E14A84">
        <w:t>390</w:t>
      </w:r>
      <w:r w:rsidR="00E14A84" w:rsidRPr="00CD29D0">
        <w:t>, which is an increase of $</w:t>
      </w:r>
      <w:r w:rsidR="00E14A84">
        <w:t>120</w:t>
      </w:r>
      <w:r w:rsidR="00E14A84" w:rsidRPr="00CD29D0">
        <w:t>,</w:t>
      </w:r>
      <w:r w:rsidR="00E14A84">
        <w:t>227</w:t>
      </w:r>
      <w:r w:rsidR="00E14A84" w:rsidRPr="00CD29D0">
        <w:t xml:space="preserve"> (3.</w:t>
      </w:r>
      <w:r w:rsidR="00E14A84">
        <w:t>2</w:t>
      </w:r>
      <w:r w:rsidR="00E14A84" w:rsidRPr="00CD29D0">
        <w:t xml:space="preserve"> percent) compared with the prior year.</w:t>
      </w:r>
      <w:r w:rsidR="00E14A84">
        <w:t xml:space="preserve"> Further</w:t>
      </w:r>
      <w:r w:rsidR="00F16270" w:rsidRPr="00CD29D0">
        <w:t>, the town has never passed a tax override</w:t>
      </w:r>
      <w:r w:rsidR="0069277A" w:rsidRPr="00CD29D0">
        <w:t xml:space="preserve"> and has a small commercial base</w:t>
      </w:r>
      <w:r w:rsidR="007623F8" w:rsidRPr="00CD29D0">
        <w:t>. C</w:t>
      </w:r>
      <w:r w:rsidR="0069277A" w:rsidRPr="00CD29D0">
        <w:t xml:space="preserve">ombined, these factors make </w:t>
      </w:r>
      <w:r w:rsidR="007623F8" w:rsidRPr="00CD29D0">
        <w:t xml:space="preserve">district </w:t>
      </w:r>
      <w:r w:rsidR="0069277A" w:rsidRPr="00CD29D0">
        <w:t>budgeting challenging. For exa</w:t>
      </w:r>
      <w:r w:rsidR="00447B05" w:rsidRPr="00CD29D0">
        <w:t xml:space="preserve">mple, </w:t>
      </w:r>
      <w:r w:rsidR="00C92E9D" w:rsidRPr="00CD29D0">
        <w:t>during the 2024 school year the district had a $3.4</w:t>
      </w:r>
      <w:r w:rsidR="007623F8" w:rsidRPr="00CD29D0">
        <w:t> </w:t>
      </w:r>
      <w:r w:rsidR="00C92E9D" w:rsidRPr="00CD29D0">
        <w:t>million deficit</w:t>
      </w:r>
      <w:r w:rsidR="007623F8" w:rsidRPr="00CD29D0">
        <w:t>,</w:t>
      </w:r>
      <w:r w:rsidR="00C92E9D" w:rsidRPr="00CD29D0">
        <w:t xml:space="preserve"> and ended up laying off 29 staff members</w:t>
      </w:r>
      <w:r w:rsidR="00553B14">
        <w:t xml:space="preserve">, including several </w:t>
      </w:r>
      <w:r w:rsidR="00553B14" w:rsidRPr="00CD29D0">
        <w:t>STEAM positions and academic interventionists</w:t>
      </w:r>
      <w:r w:rsidR="00C92E9D" w:rsidRPr="00CD29D0">
        <w:t xml:space="preserve">. </w:t>
      </w:r>
      <w:r w:rsidR="00C92E9D" w:rsidRPr="00CD29D0" w:rsidDel="007623F8">
        <w:t xml:space="preserve">Although this was some time ago, </w:t>
      </w:r>
      <w:r w:rsidR="00C92E9D" w:rsidRPr="00CD29D0">
        <w:t xml:space="preserve">the impacts are still being felt as </w:t>
      </w:r>
      <w:r w:rsidR="00C92E9D" w:rsidRPr="00CD29D0" w:rsidDel="007623F8">
        <w:t xml:space="preserve">this was </w:t>
      </w:r>
      <w:r w:rsidR="00C92E9D" w:rsidRPr="00CD29D0">
        <w:t xml:space="preserve">mentioned across many leader and staff focus groups during the district review. </w:t>
      </w:r>
      <w:r w:rsidR="008B5F72" w:rsidRPr="00CD29D0">
        <w:t xml:space="preserve">Both district leaders and school committee members described an emphasis on </w:t>
      </w:r>
      <w:r w:rsidR="00C87DD9" w:rsidRPr="00CD29D0">
        <w:t>tightening spending</w:t>
      </w:r>
      <w:r w:rsidR="007623F8" w:rsidRPr="00CD29D0">
        <w:t>. A</w:t>
      </w:r>
      <w:r w:rsidR="00C87DD9" w:rsidRPr="00CD29D0">
        <w:t>s a school committee member explained, “</w:t>
      </w:r>
      <w:r w:rsidR="007623F8" w:rsidRPr="00CD29D0">
        <w:t>H</w:t>
      </w:r>
      <w:r w:rsidR="00C87DD9" w:rsidRPr="00CD29D0">
        <w:t>ow do we do this in the most fiscally conservative way and still and essentially get the biggest bang for our buck?”</w:t>
      </w:r>
    </w:p>
    <w:p w14:paraId="569D208B" w14:textId="1B5AE871" w:rsidR="00EF5CA8" w:rsidRPr="00CD29D0" w:rsidRDefault="0068548F" w:rsidP="001C0055">
      <w:pPr>
        <w:pStyle w:val="BodyText"/>
      </w:pPr>
      <w:r w:rsidRPr="00CD29D0">
        <w:t xml:space="preserve">To </w:t>
      </w:r>
      <w:r w:rsidR="009F003C">
        <w:t>help address</w:t>
      </w:r>
      <w:r w:rsidR="009F003C" w:rsidRPr="00CD29D0">
        <w:t xml:space="preserve"> </w:t>
      </w:r>
      <w:r w:rsidR="00AE78AE" w:rsidRPr="00CD29D0">
        <w:t xml:space="preserve">these </w:t>
      </w:r>
      <w:r w:rsidR="007C05ED" w:rsidRPr="00CD29D0">
        <w:t xml:space="preserve">funding challenges, the school committee has approved a series of fees </w:t>
      </w:r>
      <w:r w:rsidRPr="00CD29D0">
        <w:t xml:space="preserve">to be </w:t>
      </w:r>
      <w:r w:rsidR="007C05ED" w:rsidRPr="00CD29D0">
        <w:t>paid by families and guardians</w:t>
      </w:r>
      <w:r w:rsidR="001C0055">
        <w:t xml:space="preserve"> for things such as transportation, parking, athletics, and clubs</w:t>
      </w:r>
      <w:r w:rsidR="007C05ED" w:rsidRPr="00CD29D0">
        <w:t xml:space="preserve">. </w:t>
      </w:r>
    </w:p>
    <w:p w14:paraId="25B9B108" w14:textId="380E78CF" w:rsidR="00A45A08" w:rsidRPr="00CD29D0" w:rsidRDefault="006615D0" w:rsidP="007D75A3">
      <w:pPr>
        <w:pStyle w:val="BodyText"/>
      </w:pPr>
      <w:r w:rsidRPr="00CD29D0">
        <w:t xml:space="preserve">According to district leaders, </w:t>
      </w:r>
      <w:r w:rsidR="00027939" w:rsidRPr="00CD29D0">
        <w:t xml:space="preserve">most of these fees have been increased in recent years to </w:t>
      </w:r>
      <w:r w:rsidRPr="00CD29D0">
        <w:t xml:space="preserve">help to offset associated costs, such as </w:t>
      </w:r>
      <w:r w:rsidR="00FA70A4" w:rsidRPr="00CD29D0">
        <w:t>paying</w:t>
      </w:r>
      <w:r w:rsidR="00FA70A4" w:rsidRPr="00CD29D0" w:rsidDel="007D4B9B">
        <w:t xml:space="preserve"> </w:t>
      </w:r>
      <w:r w:rsidR="00FA70A4" w:rsidRPr="00CD29D0">
        <w:t xml:space="preserve">club advisors for their time. </w:t>
      </w:r>
      <w:r w:rsidR="0018750B" w:rsidRPr="00CD29D0">
        <w:t>With universal free meals</w:t>
      </w:r>
      <w:r w:rsidR="00887D21" w:rsidRPr="00CD29D0">
        <w:t xml:space="preserve"> now provided statewide</w:t>
      </w:r>
      <w:r w:rsidR="0018750B" w:rsidRPr="00CD29D0">
        <w:t>, Norton has implemented a general eligibility form for qualifying families to waive or reduce transportation, athletic, testing</w:t>
      </w:r>
      <w:r w:rsidR="007D4B9B" w:rsidRPr="00CD29D0">
        <w:t>,</w:t>
      </w:r>
      <w:r w:rsidR="0018750B" w:rsidRPr="00CD29D0">
        <w:t xml:space="preserve"> and other fees for students who are not identified based on participation in public assistance programs.</w:t>
      </w:r>
      <w:r w:rsidR="00433355" w:rsidRPr="00CD29D0">
        <w:t xml:space="preserve"> Additionally,</w:t>
      </w:r>
      <w:r w:rsidR="007E21C3" w:rsidRPr="00CD29D0" w:rsidDel="007D4B9B">
        <w:t xml:space="preserve"> </w:t>
      </w:r>
      <w:r w:rsidR="007E21C3" w:rsidRPr="00CD29D0">
        <w:t>some funds</w:t>
      </w:r>
      <w:r w:rsidR="007D4B9B" w:rsidRPr="00CD29D0">
        <w:t xml:space="preserve"> are</w:t>
      </w:r>
      <w:r w:rsidR="007E21C3" w:rsidRPr="00CD29D0">
        <w:t xml:space="preserve"> set aside to assist families </w:t>
      </w:r>
      <w:r w:rsidR="007D4B9B" w:rsidRPr="00CD29D0">
        <w:t xml:space="preserve">who </w:t>
      </w:r>
      <w:r w:rsidR="007E21C3" w:rsidRPr="00CD29D0">
        <w:t xml:space="preserve">are struggling to pay these fees. </w:t>
      </w:r>
      <w:r w:rsidR="007D4B9B" w:rsidRPr="00CD29D0">
        <w:t>D</w:t>
      </w:r>
      <w:r w:rsidR="007E21C3" w:rsidRPr="00CD29D0">
        <w:t xml:space="preserve">istrict leaders described </w:t>
      </w:r>
      <w:r w:rsidR="007D4B9B" w:rsidRPr="00CD29D0">
        <w:t xml:space="preserve">that there is generally </w:t>
      </w:r>
      <w:r w:rsidR="007E21C3" w:rsidRPr="00CD29D0">
        <w:t xml:space="preserve">minimal pushback from the community </w:t>
      </w:r>
      <w:r w:rsidR="00F62693" w:rsidRPr="00CD29D0">
        <w:t>about the need for these fees</w:t>
      </w:r>
      <w:r w:rsidR="00A45A08" w:rsidRPr="00CD29D0">
        <w:t>.</w:t>
      </w:r>
    </w:p>
    <w:p w14:paraId="0A5F2748" w14:textId="1BE99EDB" w:rsidR="00A45A08" w:rsidRPr="00CD29D0" w:rsidRDefault="008109B5" w:rsidP="007D75A3">
      <w:pPr>
        <w:pStyle w:val="BodyText"/>
      </w:pPr>
      <w:r w:rsidRPr="00CD29D0">
        <w:t xml:space="preserve">The district has also </w:t>
      </w:r>
      <w:r w:rsidR="007B634A" w:rsidRPr="00CD29D0">
        <w:t xml:space="preserve">leveraged </w:t>
      </w:r>
      <w:r w:rsidRPr="00CD29D0">
        <w:t xml:space="preserve">grant opportunities to </w:t>
      </w:r>
      <w:r w:rsidR="007B634A" w:rsidRPr="00CD29D0">
        <w:t xml:space="preserve">support district priorities. </w:t>
      </w:r>
      <w:r w:rsidR="00594C90" w:rsidRPr="00CD29D0">
        <w:t>The assistant superintendent for teaching and learning is the primary leader in the district who researches and seeks out potential grant opportunities</w:t>
      </w:r>
      <w:r w:rsidR="00CE730D" w:rsidRPr="00CD29D0">
        <w:t xml:space="preserve">, </w:t>
      </w:r>
      <w:r w:rsidR="00BE36CA" w:rsidRPr="00CD29D0">
        <w:t>with</w:t>
      </w:r>
      <w:r w:rsidR="00B519C6" w:rsidRPr="00CD29D0">
        <w:t xml:space="preserve"> others supporting </w:t>
      </w:r>
      <w:r w:rsidR="00B2107C" w:rsidRPr="00CD29D0">
        <w:t xml:space="preserve">this work </w:t>
      </w:r>
      <w:r w:rsidR="00B519C6" w:rsidRPr="00CD29D0">
        <w:t xml:space="preserve">based on their expertise (e.g., high school leaders working on career pathways grants). </w:t>
      </w:r>
      <w:r w:rsidR="00BE36CA" w:rsidRPr="00CD29D0">
        <w:t>A district leader described</w:t>
      </w:r>
      <w:r w:rsidR="00B2107C" w:rsidRPr="00CD29D0">
        <w:t xml:space="preserve"> that</w:t>
      </w:r>
      <w:r w:rsidR="00BE36CA" w:rsidRPr="00CD29D0">
        <w:t xml:space="preserve"> “between [the assistant superintendent] and high school, we’ve gotten four or five more [grants] than usual.” </w:t>
      </w:r>
      <w:r w:rsidR="001155E6" w:rsidRPr="00CD29D0">
        <w:t>For example, the district received grant funds through a local representative for purchasing new curriculum at the high school</w:t>
      </w:r>
      <w:r w:rsidR="001155E6" w:rsidRPr="00CD29D0" w:rsidDel="00B2107C">
        <w:t xml:space="preserve"> which must be expended by June 30, 2026</w:t>
      </w:r>
      <w:r w:rsidR="001155E6" w:rsidRPr="00CD29D0">
        <w:t xml:space="preserve">. </w:t>
      </w:r>
      <w:r w:rsidR="001155E6" w:rsidRPr="00CD29D0" w:rsidDel="00B2107C">
        <w:t>Additionally, t</w:t>
      </w:r>
      <w:r w:rsidR="001155E6" w:rsidRPr="00CD29D0">
        <w:t xml:space="preserve">he district has used grant funds to embed WIDA standards into curriculum maps. </w:t>
      </w:r>
      <w:r w:rsidR="00B2107C" w:rsidRPr="00CD29D0">
        <w:t xml:space="preserve">As soon as </w:t>
      </w:r>
      <w:r w:rsidR="00640079" w:rsidRPr="00CD29D0">
        <w:t>a grant has been awarded</w:t>
      </w:r>
      <w:r w:rsidR="00B2107C" w:rsidRPr="00CD29D0">
        <w:t>,</w:t>
      </w:r>
      <w:r w:rsidR="00640079" w:rsidRPr="00CD29D0">
        <w:t xml:space="preserve"> the accounts payable coordinator sets up the budget in School ERP Pro </w:t>
      </w:r>
      <w:r w:rsidR="00BB5098" w:rsidRPr="00CD29D0">
        <w:t xml:space="preserve">and tracks it monthly. Each month, the accounts payable coordinator </w:t>
      </w:r>
      <w:r w:rsidR="001155E6" w:rsidRPr="00CD29D0">
        <w:t xml:space="preserve">examines purchase orders, invoices, and </w:t>
      </w:r>
      <w:r w:rsidR="00B2107C" w:rsidRPr="00CD29D0">
        <w:t>drawdowns,</w:t>
      </w:r>
      <w:r w:rsidR="001155E6" w:rsidRPr="00CD29D0">
        <w:t xml:space="preserve"> </w:t>
      </w:r>
      <w:r w:rsidR="00B2107C" w:rsidRPr="00CD29D0">
        <w:t xml:space="preserve">creating </w:t>
      </w:r>
      <w:r w:rsidR="001155E6" w:rsidRPr="00CD29D0">
        <w:t xml:space="preserve">a final expenditure report at the conclusion of the grant. </w:t>
      </w:r>
      <w:r w:rsidR="00B2107C" w:rsidRPr="00CD29D0">
        <w:lastRenderedPageBreak/>
        <w:t>S</w:t>
      </w:r>
      <w:r w:rsidR="00FC07DE" w:rsidRPr="00CD29D0">
        <w:t>ustaining grant</w:t>
      </w:r>
      <w:r w:rsidR="00001BB3" w:rsidRPr="00CD29D0">
        <w:noBreakHyphen/>
      </w:r>
      <w:r w:rsidR="00FC07DE" w:rsidRPr="00CD29D0">
        <w:t xml:space="preserve">funded initiatives can be challenging after the conclusion of the grant, </w:t>
      </w:r>
      <w:r w:rsidR="00B2107C" w:rsidRPr="00CD29D0">
        <w:t xml:space="preserve">but </w:t>
      </w:r>
      <w:r w:rsidR="00FC07DE" w:rsidRPr="00CD29D0">
        <w:t xml:space="preserve">district leaders described </w:t>
      </w:r>
      <w:r w:rsidR="00E260D0" w:rsidRPr="00CD29D0">
        <w:t xml:space="preserve">prioritizing </w:t>
      </w:r>
      <w:r w:rsidR="00853BAE" w:rsidRPr="00CD29D0">
        <w:t xml:space="preserve">large </w:t>
      </w:r>
      <w:r w:rsidR="00E260D0" w:rsidRPr="00CD29D0">
        <w:t xml:space="preserve">one-time purchases when possible (such as a </w:t>
      </w:r>
      <w:r w:rsidR="00B75869">
        <w:t xml:space="preserve">current </w:t>
      </w:r>
      <w:r w:rsidR="00F26E72">
        <w:t xml:space="preserve">grant secured through a local representative being used to purchase </w:t>
      </w:r>
      <w:r w:rsidR="005A3DC9">
        <w:t>new curricula</w:t>
      </w:r>
      <w:r w:rsidR="00853BAE" w:rsidRPr="00CD29D0">
        <w:t xml:space="preserve">) </w:t>
      </w:r>
      <w:r w:rsidR="00F01760" w:rsidRPr="00CD29D0">
        <w:t xml:space="preserve">and planning alternative ways to keep </w:t>
      </w:r>
      <w:r w:rsidR="00F973AD" w:rsidRPr="00CD29D0">
        <w:t>employees or certain positions moving forward</w:t>
      </w:r>
      <w:r w:rsidR="00A45A08" w:rsidRPr="00CD29D0">
        <w:t>.</w:t>
      </w:r>
    </w:p>
    <w:p w14:paraId="73AB2726" w14:textId="3229D863" w:rsidR="00B827DE" w:rsidRPr="00CD29D0" w:rsidRDefault="00041E9B" w:rsidP="007D75A3">
      <w:pPr>
        <w:pStyle w:val="Heading3"/>
      </w:pPr>
      <w:bookmarkStart w:id="68" w:name="_Operations"/>
      <w:bookmarkEnd w:id="68"/>
      <w:r w:rsidRPr="00CD29D0">
        <w:t>Operations</w:t>
      </w:r>
    </w:p>
    <w:p w14:paraId="0CAA3B32" w14:textId="7313B264" w:rsidR="00C21D50" w:rsidRPr="00CD29D0" w:rsidRDefault="00B2107C" w:rsidP="007D75A3">
      <w:pPr>
        <w:pStyle w:val="BodyTextposthead"/>
      </w:pPr>
      <w:r w:rsidRPr="00CD29D0">
        <w:t>T</w:t>
      </w:r>
      <w:r w:rsidR="002F20FA" w:rsidRPr="00CD29D0">
        <w:t xml:space="preserve">he </w:t>
      </w:r>
      <w:r w:rsidR="00C21D50" w:rsidRPr="00CD29D0">
        <w:t>facilities and grounds office</w:t>
      </w:r>
      <w:r w:rsidRPr="00CD29D0">
        <w:t xml:space="preserve"> manages the district’s operational elements, </w:t>
      </w:r>
      <w:r w:rsidR="00C21D50" w:rsidRPr="00CD29D0">
        <w:t>including sports fields, plowing, and maintenance of outside equipment</w:t>
      </w:r>
      <w:r w:rsidRPr="00CD29D0">
        <w:t>. The</w:t>
      </w:r>
      <w:r w:rsidR="004E1FE9" w:rsidRPr="00CD29D0">
        <w:t xml:space="preserve"> business office </w:t>
      </w:r>
      <w:r w:rsidRPr="00CD29D0">
        <w:t xml:space="preserve">is </w:t>
      </w:r>
      <w:r w:rsidR="004E1FE9" w:rsidRPr="00CD29D0">
        <w:t>responsible for transportation and food services</w:t>
      </w:r>
      <w:r w:rsidR="006F61DD" w:rsidRPr="00CD29D0">
        <w:t>.</w:t>
      </w:r>
    </w:p>
    <w:p w14:paraId="5CCE7B0D" w14:textId="7A41F917" w:rsidR="00AA7F4E" w:rsidRDefault="00275CCB" w:rsidP="00AA7F4E">
      <w:pPr>
        <w:pStyle w:val="BodyText"/>
      </w:pPr>
      <w:r w:rsidRPr="00CD29D0">
        <w:t>T</w:t>
      </w:r>
      <w:r w:rsidR="001A6E97" w:rsidRPr="00CD29D0">
        <w:t xml:space="preserve">he </w:t>
      </w:r>
      <w:r w:rsidR="00D05DE1" w:rsidRPr="00CD29D0">
        <w:t xml:space="preserve">full-time </w:t>
      </w:r>
      <w:r w:rsidR="001A6E97" w:rsidRPr="00CD29D0">
        <w:t>head custodian at each of the five school buildings</w:t>
      </w:r>
      <w:r w:rsidRPr="00CD29D0">
        <w:t xml:space="preserve"> oversees maintenance</w:t>
      </w:r>
      <w:r w:rsidR="001A6E97" w:rsidRPr="00CD29D0">
        <w:t xml:space="preserve">, with the director of facilities </w:t>
      </w:r>
      <w:r w:rsidRPr="00CD29D0">
        <w:t xml:space="preserve">offering </w:t>
      </w:r>
      <w:r w:rsidR="001A6E97" w:rsidRPr="00CD29D0">
        <w:t xml:space="preserve">support as needed. </w:t>
      </w:r>
      <w:r w:rsidR="00126E4F" w:rsidRPr="00CD29D0">
        <w:t>When</w:t>
      </w:r>
      <w:r w:rsidR="00660B59" w:rsidRPr="00CD29D0">
        <w:t xml:space="preserve"> a teacher or principal</w:t>
      </w:r>
      <w:r w:rsidR="008C2682" w:rsidRPr="00CD29D0">
        <w:t xml:space="preserve"> identifies</w:t>
      </w:r>
      <w:r w:rsidR="00126E4F" w:rsidRPr="00CD29D0">
        <w:t xml:space="preserve"> a maintenance need, they </w:t>
      </w:r>
      <w:r w:rsidR="00284566" w:rsidRPr="00CD29D0">
        <w:t xml:space="preserve">notify the custodian via email or a phone call. The head custodian then </w:t>
      </w:r>
      <w:r w:rsidR="006B31D4" w:rsidRPr="00CD29D0">
        <w:t xml:space="preserve">addresses or </w:t>
      </w:r>
      <w:r w:rsidR="000400B4" w:rsidRPr="00CD29D0">
        <w:t xml:space="preserve">triages the </w:t>
      </w:r>
      <w:r w:rsidR="006B31D4" w:rsidRPr="00CD29D0">
        <w:t>situation</w:t>
      </w:r>
      <w:r w:rsidR="000400B4" w:rsidRPr="00CD29D0">
        <w:t xml:space="preserve">. </w:t>
      </w:r>
      <w:r w:rsidR="005E12EC" w:rsidRPr="00CD29D0">
        <w:t>If the maintenance request i</w:t>
      </w:r>
      <w:r w:rsidR="00C2569C" w:rsidRPr="00CD29D0">
        <w:t xml:space="preserve">s </w:t>
      </w:r>
      <w:r w:rsidR="006B31D4" w:rsidRPr="00CD29D0">
        <w:t xml:space="preserve">for </w:t>
      </w:r>
      <w:r w:rsidR="00C2569C" w:rsidRPr="00CD29D0">
        <w:t xml:space="preserve">a </w:t>
      </w:r>
      <w:r w:rsidR="00783AAA" w:rsidRPr="00CD29D0">
        <w:t xml:space="preserve">larger </w:t>
      </w:r>
      <w:r w:rsidR="00C2569C" w:rsidRPr="00CD29D0">
        <w:t>need than can be handled by the school, the head custodian notifies the facilities director for support</w:t>
      </w:r>
      <w:r w:rsidR="00D05DE1" w:rsidRPr="00CD29D0">
        <w:t>. At the time of the district review</w:t>
      </w:r>
      <w:r w:rsidR="00AF7C04">
        <w:t>,</w:t>
      </w:r>
      <w:r w:rsidR="00D05DE1" w:rsidRPr="00CD29D0">
        <w:t xml:space="preserve"> there </w:t>
      </w:r>
      <w:r w:rsidR="00AF7C04">
        <w:t>wa</w:t>
      </w:r>
      <w:r w:rsidR="00D05DE1" w:rsidRPr="00CD29D0">
        <w:t xml:space="preserve">s no ticketing system in place across the district, </w:t>
      </w:r>
      <w:r w:rsidR="00A8075B" w:rsidRPr="00CD29D0">
        <w:t xml:space="preserve">but district leaders </w:t>
      </w:r>
      <w:r w:rsidR="00D256C2" w:rsidRPr="00CD29D0">
        <w:t xml:space="preserve">described their current system as working for their needs. </w:t>
      </w:r>
      <w:r w:rsidR="006B31D4" w:rsidRPr="00CD29D0">
        <w:t>A</w:t>
      </w:r>
      <w:r w:rsidR="00F346B9" w:rsidRPr="00CD29D0">
        <w:t xml:space="preserve">ll school leaders </w:t>
      </w:r>
      <w:r w:rsidR="006B31D4" w:rsidRPr="00CD29D0">
        <w:t xml:space="preserve">also </w:t>
      </w:r>
      <w:r w:rsidR="00F346B9" w:rsidRPr="00CD29D0">
        <w:t xml:space="preserve">agreed that </w:t>
      </w:r>
      <w:r w:rsidR="00284943" w:rsidRPr="00CD29D0">
        <w:t>there is a</w:t>
      </w:r>
      <w:r w:rsidR="006B31D4" w:rsidRPr="00CD29D0">
        <w:t>n informal but</w:t>
      </w:r>
      <w:r w:rsidR="00284943" w:rsidRPr="00CD29D0">
        <w:t xml:space="preserve"> clear process to request building maintenance</w:t>
      </w:r>
      <w:r w:rsidR="006B31D4" w:rsidRPr="00CD29D0">
        <w:t>,</w:t>
      </w:r>
      <w:r w:rsidR="00284943" w:rsidRPr="00CD29D0">
        <w:t xml:space="preserve"> and that requests are addressed in a timely manner</w:t>
      </w:r>
      <w:r w:rsidR="00A45A08" w:rsidRPr="00CD29D0">
        <w:t>.</w:t>
      </w:r>
      <w:r w:rsidR="00AA7F4E">
        <w:t xml:space="preserve"> </w:t>
      </w:r>
    </w:p>
    <w:p w14:paraId="28F1C577" w14:textId="78824622" w:rsidR="00D919EA" w:rsidRPr="00CD29D0" w:rsidRDefault="00106B56" w:rsidP="00AA7F4E">
      <w:pPr>
        <w:pStyle w:val="BodyText"/>
      </w:pPr>
      <w:r>
        <w:t xml:space="preserve">An ongoing </w:t>
      </w:r>
      <w:r w:rsidR="000814CA" w:rsidRPr="00CD29D0">
        <w:t xml:space="preserve">maintenance challenge </w:t>
      </w:r>
      <w:r w:rsidR="000814CA" w:rsidRPr="00CD29D0" w:rsidDel="00787998">
        <w:t xml:space="preserve">that was discussed across focus groups </w:t>
      </w:r>
      <w:r w:rsidR="000814CA" w:rsidRPr="00CD29D0">
        <w:t>is N</w:t>
      </w:r>
      <w:r w:rsidR="00E17CD8">
        <w:t xml:space="preserve">orton </w:t>
      </w:r>
      <w:r w:rsidR="000814CA" w:rsidRPr="00CD29D0">
        <w:t>M</w:t>
      </w:r>
      <w:r w:rsidR="00E17CD8">
        <w:t xml:space="preserve">iddle </w:t>
      </w:r>
      <w:r w:rsidR="000814CA" w:rsidRPr="00CD29D0">
        <w:t>S</w:t>
      </w:r>
      <w:r w:rsidR="00E17CD8">
        <w:t>chool</w:t>
      </w:r>
      <w:r w:rsidR="000814CA" w:rsidRPr="00CD29D0" w:rsidDel="00787998">
        <w:t>’</w:t>
      </w:r>
      <w:r w:rsidR="00E17CD8">
        <w:t>s</w:t>
      </w:r>
      <w:r w:rsidR="000814CA" w:rsidRPr="00CD29D0">
        <w:t xml:space="preserve"> </w:t>
      </w:r>
      <w:r w:rsidR="00612C42" w:rsidRPr="00CD29D0">
        <w:t xml:space="preserve">leaking </w:t>
      </w:r>
      <w:r w:rsidR="000814CA" w:rsidRPr="00CD29D0">
        <w:t>roof</w:t>
      </w:r>
      <w:r w:rsidR="00612C42" w:rsidRPr="00CD29D0">
        <w:t xml:space="preserve">, which has reportedly been problematic since its opening in 1998. </w:t>
      </w:r>
      <w:r w:rsidR="00E80FA6" w:rsidRPr="00CD29D0">
        <w:t xml:space="preserve">The building now qualifies for the </w:t>
      </w:r>
      <w:r w:rsidR="00DA4D88" w:rsidRPr="00CD29D0">
        <w:t xml:space="preserve">Massachusetts School Building Authority (MSBA) </w:t>
      </w:r>
      <w:r w:rsidR="00E80FA6" w:rsidRPr="00CD29D0">
        <w:t>accelerated repair program</w:t>
      </w:r>
      <w:r w:rsidR="00787998" w:rsidRPr="00CD29D0">
        <w:t>.</w:t>
      </w:r>
      <w:r w:rsidR="00E80FA6" w:rsidRPr="00CD29D0">
        <w:t xml:space="preserve"> </w:t>
      </w:r>
      <w:r w:rsidR="00787998" w:rsidRPr="00CD29D0">
        <w:t>A</w:t>
      </w:r>
      <w:r w:rsidR="00CD7FB4" w:rsidRPr="00CD29D0">
        <w:t xml:space="preserve">t the time of </w:t>
      </w:r>
      <w:r w:rsidR="00E80FA6" w:rsidRPr="00CD29D0">
        <w:t>the</w:t>
      </w:r>
      <w:r w:rsidR="00CD7FB4" w:rsidRPr="00CD29D0">
        <w:t xml:space="preserve"> district review, the</w:t>
      </w:r>
      <w:r w:rsidR="00E80FA6" w:rsidRPr="00CD29D0">
        <w:t xml:space="preserve"> district and town </w:t>
      </w:r>
      <w:r w:rsidR="00CD7FB4" w:rsidRPr="00CD29D0">
        <w:t>were</w:t>
      </w:r>
      <w:r w:rsidR="00E80FA6" w:rsidRPr="00CD29D0">
        <w:t xml:space="preserve"> considering </w:t>
      </w:r>
      <w:r w:rsidR="00787998" w:rsidRPr="00CD29D0">
        <w:t xml:space="preserve">either </w:t>
      </w:r>
      <w:r w:rsidR="00E80FA6" w:rsidRPr="00CD29D0">
        <w:t xml:space="preserve">full </w:t>
      </w:r>
      <w:r w:rsidR="00787998" w:rsidRPr="00CD29D0">
        <w:t xml:space="preserve">or </w:t>
      </w:r>
      <w:r w:rsidR="00E80FA6" w:rsidRPr="00CD29D0">
        <w:t xml:space="preserve">partial replacement options. </w:t>
      </w:r>
      <w:r w:rsidR="00542678" w:rsidRPr="00CD29D0">
        <w:t xml:space="preserve">Since </w:t>
      </w:r>
      <w:r w:rsidR="00787998" w:rsidRPr="00CD29D0">
        <w:t>that time</w:t>
      </w:r>
      <w:r w:rsidR="00542678" w:rsidRPr="00CD29D0">
        <w:t xml:space="preserve">, the Norton </w:t>
      </w:r>
      <w:r w:rsidR="000558FD" w:rsidRPr="00CD29D0">
        <w:t>Select Board</w:t>
      </w:r>
      <w:r w:rsidR="00542678" w:rsidRPr="00CD29D0">
        <w:t xml:space="preserve"> </w:t>
      </w:r>
      <w:r w:rsidR="00662DA3" w:rsidRPr="00CD29D0">
        <w:t>has been</w:t>
      </w:r>
      <w:r w:rsidR="00542678" w:rsidRPr="00CD29D0">
        <w:t xml:space="preserve"> moving forward toward a full roof replacement rather than a partial restoration, </w:t>
      </w:r>
      <w:r w:rsidR="00787998" w:rsidRPr="00CD29D0">
        <w:t xml:space="preserve">because </w:t>
      </w:r>
      <w:r w:rsidR="00542678" w:rsidRPr="00CD29D0">
        <w:t xml:space="preserve">previous roof patching has </w:t>
      </w:r>
      <w:r w:rsidR="00CF0B33" w:rsidRPr="00CD29D0">
        <w:t xml:space="preserve">made </w:t>
      </w:r>
      <w:r w:rsidR="00542678" w:rsidRPr="00CD29D0">
        <w:t xml:space="preserve">a partial restoration unsustainable. </w:t>
      </w:r>
      <w:r w:rsidR="00787998" w:rsidRPr="00CD29D0">
        <w:t>At a</w:t>
      </w:r>
      <w:r w:rsidR="004040ED" w:rsidRPr="00CD29D0">
        <w:t xml:space="preserve"> town meeting</w:t>
      </w:r>
      <w:r w:rsidR="00E80FA6" w:rsidRPr="00CD29D0">
        <w:t xml:space="preserve"> </w:t>
      </w:r>
      <w:r w:rsidR="004040ED" w:rsidRPr="00CD29D0">
        <w:t>in February</w:t>
      </w:r>
      <w:r w:rsidR="00787998" w:rsidRPr="00CD29D0">
        <w:t>,</w:t>
      </w:r>
      <w:r w:rsidR="00E80FA6" w:rsidRPr="00CD29D0">
        <w:t xml:space="preserve"> </w:t>
      </w:r>
      <w:r w:rsidR="00787998" w:rsidRPr="00CD29D0">
        <w:t xml:space="preserve">members passed a vote </w:t>
      </w:r>
      <w:r w:rsidR="00E80FA6" w:rsidRPr="00CD29D0">
        <w:t xml:space="preserve">to put </w:t>
      </w:r>
      <w:r w:rsidR="00067845" w:rsidRPr="00CD29D0">
        <w:t xml:space="preserve">a proposed tax </w:t>
      </w:r>
      <w:r w:rsidR="00D702BE">
        <w:t>increase</w:t>
      </w:r>
      <w:r w:rsidR="00E80FA6" w:rsidRPr="00CD29D0">
        <w:t xml:space="preserve"> on the April 11 </w:t>
      </w:r>
      <w:r w:rsidR="000C0644" w:rsidRPr="00CD29D0">
        <w:t xml:space="preserve">election </w:t>
      </w:r>
      <w:r w:rsidR="00E80FA6" w:rsidRPr="00CD29D0">
        <w:t>ballot.</w:t>
      </w:r>
      <w:r w:rsidR="00B77172" w:rsidRPr="00CD29D0">
        <w:t xml:space="preserve"> </w:t>
      </w:r>
      <w:r w:rsidR="001B53B1">
        <w:t>Norton voters subsequently approved</w:t>
      </w:r>
      <w:r w:rsidR="00B77172" w:rsidRPr="00CD29D0">
        <w:t xml:space="preserve"> </w:t>
      </w:r>
      <w:r w:rsidR="00787998" w:rsidRPr="00CD29D0">
        <w:t xml:space="preserve">the tax </w:t>
      </w:r>
      <w:r w:rsidR="001B53B1">
        <w:t xml:space="preserve">increase to fund </w:t>
      </w:r>
      <w:r w:rsidR="00F277AF" w:rsidRPr="00CD29D0">
        <w:t>the</w:t>
      </w:r>
      <w:r w:rsidR="00B77172" w:rsidRPr="00CD29D0" w:rsidDel="00F277AF">
        <w:t xml:space="preserve"> </w:t>
      </w:r>
      <w:r w:rsidR="001B53B1">
        <w:t xml:space="preserve">new roof. </w:t>
      </w:r>
      <w:r w:rsidR="00B40F2D">
        <w:t xml:space="preserve">Moving forward, the </w:t>
      </w:r>
      <w:r w:rsidR="00B77172" w:rsidRPr="00CD29D0">
        <w:t>town</w:t>
      </w:r>
      <w:r w:rsidR="00B77172" w:rsidRPr="00CD29D0" w:rsidDel="00F277AF">
        <w:t xml:space="preserve"> </w:t>
      </w:r>
      <w:r w:rsidR="00B77172" w:rsidRPr="00CD29D0">
        <w:t>will need to approve a debt exclusion for the project</w:t>
      </w:r>
      <w:r w:rsidR="00F277AF" w:rsidRPr="00CD29D0">
        <w:t xml:space="preserve"> at its May meeting</w:t>
      </w:r>
      <w:r w:rsidR="00B77172" w:rsidRPr="00CD29D0">
        <w:t xml:space="preserve">. </w:t>
      </w:r>
      <w:r w:rsidR="00F277AF" w:rsidRPr="00CD29D0">
        <w:t>If this occurs, t</w:t>
      </w:r>
      <w:r w:rsidR="00400C32" w:rsidRPr="00CD29D0">
        <w:t xml:space="preserve">he </w:t>
      </w:r>
      <w:r w:rsidR="00DA4D88" w:rsidRPr="00CD29D0">
        <w:t>MSBA</w:t>
      </w:r>
      <w:r w:rsidR="001566AB" w:rsidRPr="00CD29D0">
        <w:t xml:space="preserve"> will</w:t>
      </w:r>
      <w:r w:rsidR="00DA4D88" w:rsidRPr="00CD29D0">
        <w:t xml:space="preserve"> </w:t>
      </w:r>
      <w:r w:rsidR="00400C32" w:rsidRPr="00CD29D0">
        <w:t>reimburse the town for 55.63</w:t>
      </w:r>
      <w:r w:rsidR="001566AB" w:rsidRPr="00CD29D0">
        <w:t xml:space="preserve"> percent</w:t>
      </w:r>
      <w:r w:rsidR="00400C32" w:rsidRPr="00CD29D0">
        <w:t xml:space="preserve"> of the projected costs, significantly reducing the town’s share.</w:t>
      </w:r>
      <w:r w:rsidR="00931D22" w:rsidRPr="00CD29D0">
        <w:t xml:space="preserve"> The total projected budget for the </w:t>
      </w:r>
      <w:r w:rsidR="004E4E0C" w:rsidRPr="00CD29D0">
        <w:t>project is $11,443,631.</w:t>
      </w:r>
      <w:r w:rsidR="00400C32" w:rsidRPr="00CD29D0">
        <w:t xml:space="preserve"> </w:t>
      </w:r>
      <w:r w:rsidR="005A0EBC" w:rsidRPr="00CD29D0">
        <w:t>District leaders and school committee members have advocat</w:t>
      </w:r>
      <w:r w:rsidR="00F277AF" w:rsidRPr="00CD29D0">
        <w:t>ed</w:t>
      </w:r>
      <w:r w:rsidR="005A0EBC" w:rsidRPr="00CD29D0">
        <w:t xml:space="preserve"> for this project, including through</w:t>
      </w:r>
      <w:r w:rsidR="00FA6504" w:rsidRPr="00CD29D0">
        <w:t xml:space="preserve"> develop</w:t>
      </w:r>
      <w:r w:rsidR="00F277AF" w:rsidRPr="00CD29D0">
        <w:t>ing</w:t>
      </w:r>
      <w:r w:rsidR="00FA6504" w:rsidRPr="00CD29D0" w:rsidDel="00F277AF">
        <w:t xml:space="preserve"> </w:t>
      </w:r>
      <w:r w:rsidR="00FA6504" w:rsidRPr="00CD29D0">
        <w:t xml:space="preserve">a Norton Middle School </w:t>
      </w:r>
      <w:r w:rsidR="002F0027" w:rsidRPr="00CD29D0">
        <w:t xml:space="preserve">fact sheet </w:t>
      </w:r>
      <w:r w:rsidR="00F277AF" w:rsidRPr="00CD29D0">
        <w:t xml:space="preserve">that is now </w:t>
      </w:r>
      <w:r w:rsidR="002F0027" w:rsidRPr="00CD29D0">
        <w:t>posted on the homepage of the district’s website</w:t>
      </w:r>
      <w:r w:rsidR="00F277AF" w:rsidRPr="00CD29D0">
        <w:t>.</w:t>
      </w:r>
      <w:r w:rsidR="002F0027" w:rsidRPr="00CD29D0">
        <w:t xml:space="preserve"> </w:t>
      </w:r>
      <w:r w:rsidR="00F277AF" w:rsidRPr="00CD29D0">
        <w:t>S</w:t>
      </w:r>
      <w:r w:rsidR="005A0EBC" w:rsidRPr="00CD29D0">
        <w:t>uperintendent</w:t>
      </w:r>
      <w:r w:rsidR="00F277AF" w:rsidRPr="00CD29D0">
        <w:t xml:space="preserve"> O’Neill</w:t>
      </w:r>
      <w:r w:rsidR="005A0EBC" w:rsidRPr="00CD29D0">
        <w:t xml:space="preserve"> </w:t>
      </w:r>
      <w:r w:rsidR="00D55EFF">
        <w:t xml:space="preserve">also </w:t>
      </w:r>
      <w:r w:rsidR="00F277AF" w:rsidRPr="00CD29D0">
        <w:t xml:space="preserve">hosted </w:t>
      </w:r>
      <w:r w:rsidR="005A0EBC" w:rsidRPr="00CD29D0" w:rsidDel="00F277AF">
        <w:t xml:space="preserve">a virtual community forum </w:t>
      </w:r>
      <w:r w:rsidR="005A0EBC" w:rsidRPr="00CD29D0">
        <w:t>in March</w:t>
      </w:r>
      <w:r w:rsidR="00F277AF" w:rsidRPr="00CD29D0">
        <w:t xml:space="preserve"> </w:t>
      </w:r>
      <w:r w:rsidR="007C31A2" w:rsidRPr="00CD29D0">
        <w:t xml:space="preserve">that was recorded and </w:t>
      </w:r>
      <w:r w:rsidR="00F277AF" w:rsidRPr="00CD29D0">
        <w:t xml:space="preserve">is </w:t>
      </w:r>
      <w:r w:rsidR="007C31A2" w:rsidRPr="00CD29D0">
        <w:t>also posted to the district’s website</w:t>
      </w:r>
      <w:r w:rsidR="00A75A22" w:rsidRPr="00CD29D0">
        <w:t xml:space="preserve">. </w:t>
      </w:r>
      <w:r w:rsidR="00F277AF" w:rsidRPr="00CD29D0">
        <w:t>L</w:t>
      </w:r>
      <w:r w:rsidR="00D919EA" w:rsidRPr="00CD29D0">
        <w:t>eaders</w:t>
      </w:r>
      <w:r w:rsidR="00D919EA" w:rsidRPr="00CD29D0" w:rsidDel="00F277AF">
        <w:t xml:space="preserve"> </w:t>
      </w:r>
      <w:r w:rsidR="00F277AF" w:rsidRPr="00CD29D0">
        <w:t xml:space="preserve">were </w:t>
      </w:r>
      <w:r w:rsidR="00D919EA" w:rsidRPr="00CD29D0">
        <w:t xml:space="preserve">optimistic that </w:t>
      </w:r>
      <w:r w:rsidR="00F277AF" w:rsidRPr="00CD29D0">
        <w:t xml:space="preserve">the ballot would </w:t>
      </w:r>
      <w:r w:rsidR="00D919EA" w:rsidRPr="00CD29D0">
        <w:t>pass, as a school committee member described:</w:t>
      </w:r>
    </w:p>
    <w:p w14:paraId="72F9B193" w14:textId="77777777" w:rsidR="00A45A08" w:rsidRPr="00CD29D0" w:rsidRDefault="00D919EA" w:rsidP="00001BB3">
      <w:pPr>
        <w:pStyle w:val="BodyTextIndent"/>
      </w:pPr>
      <w:r w:rsidRPr="00CD29D0">
        <w:t>I haven't heard any opposition against the roof. Obviously, everyone has their opinion on exactly how much it should cost and everything else. But it seems like, again, like most of the town understands this has got to get done, let</w:t>
      </w:r>
      <w:r w:rsidR="00182FEA" w:rsidRPr="00CD29D0">
        <w:t>’</w:t>
      </w:r>
      <w:r w:rsidRPr="00CD29D0">
        <w:t>s do it correctly</w:t>
      </w:r>
      <w:r w:rsidR="00A45A08" w:rsidRPr="00CD29D0">
        <w:t>.</w:t>
      </w:r>
    </w:p>
    <w:p w14:paraId="5349917D" w14:textId="5F6F12BF" w:rsidR="00781E81" w:rsidRPr="00CD29D0" w:rsidRDefault="008213B2" w:rsidP="00001BB3">
      <w:pPr>
        <w:pStyle w:val="BodyText"/>
      </w:pPr>
      <w:r w:rsidRPr="00CD29D0">
        <w:t xml:space="preserve">The district closely monitors student enrollments to project future needs, as seen in the </w:t>
      </w:r>
      <w:r w:rsidRPr="00CD29D0">
        <w:rPr>
          <w:i/>
          <w:iCs/>
        </w:rPr>
        <w:t>FY26 Budget Book</w:t>
      </w:r>
      <w:r w:rsidRPr="00CD29D0">
        <w:t>.</w:t>
      </w:r>
      <w:r w:rsidR="00626C7D" w:rsidRPr="00CD29D0">
        <w:t xml:space="preserve"> </w:t>
      </w:r>
      <w:r w:rsidR="005C56F7" w:rsidRPr="00CD29D0">
        <w:t xml:space="preserve">For the 2025-2026 </w:t>
      </w:r>
      <w:r w:rsidR="00626C7D" w:rsidRPr="00CD29D0">
        <w:t>school year,</w:t>
      </w:r>
      <w:r w:rsidR="00D31094" w:rsidRPr="00CD29D0">
        <w:t xml:space="preserve"> the total enrollment </w:t>
      </w:r>
      <w:r w:rsidR="004C2F9A" w:rsidRPr="00CD29D0">
        <w:t xml:space="preserve">for the district </w:t>
      </w:r>
      <w:r w:rsidR="005C56F7" w:rsidRPr="00CD29D0">
        <w:t xml:space="preserve">is </w:t>
      </w:r>
      <w:r w:rsidR="0010121B" w:rsidRPr="00CD29D0">
        <w:t>2,277</w:t>
      </w:r>
      <w:r w:rsidR="001F1C8F">
        <w:t xml:space="preserve"> </w:t>
      </w:r>
      <w:r w:rsidR="004C2F9A" w:rsidRPr="00CD29D0">
        <w:t>students</w:t>
      </w:r>
      <w:r w:rsidR="00DA60CA" w:rsidRPr="00CD29D0">
        <w:t xml:space="preserve">, </w:t>
      </w:r>
      <w:r w:rsidR="005C56F7" w:rsidRPr="00CD29D0">
        <w:t xml:space="preserve">which is </w:t>
      </w:r>
      <w:r w:rsidR="00DA60CA" w:rsidRPr="00CD29D0">
        <w:t>a decrease of</w:t>
      </w:r>
      <w:r w:rsidR="00AD50D5" w:rsidRPr="00CD29D0">
        <w:t xml:space="preserve"> 69 students compared </w:t>
      </w:r>
      <w:r w:rsidR="005C56F7" w:rsidRPr="00CD29D0">
        <w:t>with</w:t>
      </w:r>
      <w:r w:rsidR="00AD50D5" w:rsidRPr="00CD29D0">
        <w:t xml:space="preserve"> the prior </w:t>
      </w:r>
      <w:r w:rsidR="005C56F7" w:rsidRPr="00CD29D0">
        <w:t xml:space="preserve">school </w:t>
      </w:r>
      <w:r w:rsidR="00AD50D5" w:rsidRPr="00CD29D0">
        <w:t>year</w:t>
      </w:r>
      <w:r w:rsidR="0010121B" w:rsidRPr="00CD29D0">
        <w:t>.</w:t>
      </w:r>
      <w:r w:rsidR="00665E95" w:rsidRPr="00CD29D0">
        <w:t xml:space="preserve"> According to the </w:t>
      </w:r>
      <w:r w:rsidR="00665E95" w:rsidRPr="00CD29D0">
        <w:rPr>
          <w:i/>
          <w:iCs/>
        </w:rPr>
        <w:t xml:space="preserve">FY26 Budget </w:t>
      </w:r>
      <w:r w:rsidR="005C56F7" w:rsidRPr="00CD29D0">
        <w:rPr>
          <w:i/>
          <w:iCs/>
        </w:rPr>
        <w:t>Book</w:t>
      </w:r>
      <w:r w:rsidR="00665E95" w:rsidRPr="00CD29D0">
        <w:t xml:space="preserve">, </w:t>
      </w:r>
      <w:r w:rsidR="00C63A54" w:rsidRPr="00CD29D0">
        <w:t>historical enrollment in Norton shows a decline of 7.5</w:t>
      </w:r>
      <w:r w:rsidR="009C525F" w:rsidRPr="00CD29D0">
        <w:t xml:space="preserve"> percent</w:t>
      </w:r>
      <w:r w:rsidR="00C63A54" w:rsidRPr="00CD29D0">
        <w:t xml:space="preserve"> over the past ten years, and projections between 2026 and 2035 anticipate a further reduction of 1.2 percent</w:t>
      </w:r>
      <w:r w:rsidR="009F7A4E" w:rsidRPr="00CD29D0">
        <w:t xml:space="preserve"> based on birth </w:t>
      </w:r>
      <w:r w:rsidR="009F7A4E" w:rsidRPr="00CD29D0">
        <w:lastRenderedPageBreak/>
        <w:t>data from the Public Health Vital Records Department.</w:t>
      </w:r>
      <w:r w:rsidR="0010121B" w:rsidRPr="00CD29D0">
        <w:t xml:space="preserve"> </w:t>
      </w:r>
      <w:r w:rsidR="00781E81" w:rsidRPr="00CD29D0">
        <w:t xml:space="preserve">Families enroll their </w:t>
      </w:r>
      <w:r w:rsidR="00304655" w:rsidRPr="00CD29D0">
        <w:t>children</w:t>
      </w:r>
      <w:r w:rsidR="00781E81" w:rsidRPr="00CD29D0">
        <w:t xml:space="preserve"> in Norton by registering online</w:t>
      </w:r>
      <w:r w:rsidR="00103098" w:rsidRPr="00CD29D0">
        <w:t xml:space="preserve"> through a new student information system</w:t>
      </w:r>
      <w:r w:rsidR="00781E81" w:rsidRPr="00CD29D0">
        <w:t>.</w:t>
      </w:r>
      <w:r w:rsidR="007A03DD" w:rsidRPr="00CD29D0">
        <w:t xml:space="preserve"> All prekindergarten students go to J</w:t>
      </w:r>
      <w:r w:rsidR="007251C8">
        <w:t>.</w:t>
      </w:r>
      <w:r w:rsidR="007A03DD" w:rsidRPr="00CD29D0">
        <w:t>C</w:t>
      </w:r>
      <w:r w:rsidR="007251C8">
        <w:t xml:space="preserve">. </w:t>
      </w:r>
      <w:r w:rsidR="007A03DD" w:rsidRPr="00CD29D0">
        <w:t>S</w:t>
      </w:r>
      <w:r w:rsidR="007251C8">
        <w:t>olmonese</w:t>
      </w:r>
      <w:r w:rsidR="009A628D" w:rsidRPr="00CD29D0">
        <w:t xml:space="preserve">; for </w:t>
      </w:r>
      <w:r w:rsidR="005C56F7" w:rsidRPr="00CD29D0">
        <w:t xml:space="preserve">students in </w:t>
      </w:r>
      <w:r w:rsidR="009A628D" w:rsidRPr="00CD29D0">
        <w:t>grades K-</w:t>
      </w:r>
      <w:r w:rsidR="0007726A" w:rsidRPr="00CD29D0">
        <w:t>3</w:t>
      </w:r>
      <w:r w:rsidR="005C56F7" w:rsidRPr="00CD29D0">
        <w:t>,</w:t>
      </w:r>
      <w:r w:rsidR="009A628D" w:rsidRPr="00CD29D0">
        <w:t xml:space="preserve"> the elementary </w:t>
      </w:r>
      <w:r w:rsidR="007A03DD" w:rsidRPr="00CD29D0">
        <w:t xml:space="preserve">school assignment is based </w:t>
      </w:r>
      <w:r w:rsidR="005C56F7" w:rsidRPr="00CD29D0">
        <w:t xml:space="preserve">on </w:t>
      </w:r>
      <w:r w:rsidR="009A628D" w:rsidRPr="00CD29D0">
        <w:t xml:space="preserve">location </w:t>
      </w:r>
      <w:r w:rsidR="005C56F7" w:rsidRPr="00CD29D0">
        <w:t xml:space="preserve">(i.e., </w:t>
      </w:r>
      <w:r w:rsidR="009A628D" w:rsidRPr="00CD29D0">
        <w:t xml:space="preserve">students on the </w:t>
      </w:r>
      <w:r w:rsidR="00FF7148" w:rsidRPr="00CD29D0">
        <w:t xml:space="preserve">east side of town go to </w:t>
      </w:r>
      <w:r w:rsidR="005C2F83" w:rsidRPr="00CD29D0">
        <w:t>L</w:t>
      </w:r>
      <w:r w:rsidR="00265667">
        <w:t>.</w:t>
      </w:r>
      <w:r w:rsidR="005C2F83" w:rsidRPr="00CD29D0">
        <w:t>G</w:t>
      </w:r>
      <w:r w:rsidR="00265667">
        <w:t xml:space="preserve">. </w:t>
      </w:r>
      <w:r w:rsidR="005C2F83" w:rsidRPr="00CD29D0">
        <w:t>N</w:t>
      </w:r>
      <w:r w:rsidR="00265667">
        <w:t>ourse</w:t>
      </w:r>
      <w:r w:rsidR="005C56F7" w:rsidRPr="00CD29D0">
        <w:t>,</w:t>
      </w:r>
      <w:r w:rsidR="00FF7148" w:rsidRPr="00CD29D0">
        <w:t xml:space="preserve"> and students on the west side go to </w:t>
      </w:r>
      <w:r w:rsidR="0007726A" w:rsidRPr="00CD29D0">
        <w:t>J</w:t>
      </w:r>
      <w:r w:rsidR="007251C8">
        <w:t>.</w:t>
      </w:r>
      <w:r w:rsidR="0007726A" w:rsidRPr="00CD29D0">
        <w:t>C</w:t>
      </w:r>
      <w:r w:rsidR="007251C8">
        <w:t xml:space="preserve">. </w:t>
      </w:r>
      <w:r w:rsidR="0007726A" w:rsidRPr="00CD29D0">
        <w:t>S</w:t>
      </w:r>
      <w:r w:rsidR="007251C8">
        <w:t>olmonese</w:t>
      </w:r>
      <w:r w:rsidR="007D3696" w:rsidRPr="00CD29D0">
        <w:t>)</w:t>
      </w:r>
      <w:r w:rsidR="00FF7148" w:rsidRPr="00CD29D0">
        <w:t>.</w:t>
      </w:r>
      <w:r w:rsidR="00A82434" w:rsidRPr="00CD29D0">
        <w:t xml:space="preserve"> On the district’s website there is a</w:t>
      </w:r>
      <w:r w:rsidR="00E5108F" w:rsidRPr="00CD29D0">
        <w:t xml:space="preserve">n assignment by street document </w:t>
      </w:r>
      <w:r w:rsidR="007D3696" w:rsidRPr="00CD29D0">
        <w:t xml:space="preserve">so </w:t>
      </w:r>
      <w:r w:rsidR="00E5108F" w:rsidRPr="00CD29D0">
        <w:t xml:space="preserve">families can search for which elementary school </w:t>
      </w:r>
      <w:r w:rsidR="00370E14" w:rsidRPr="00CD29D0">
        <w:t xml:space="preserve">their residence </w:t>
      </w:r>
      <w:r w:rsidR="00E5108F" w:rsidRPr="00CD29D0">
        <w:t xml:space="preserve">is assigned. </w:t>
      </w:r>
      <w:r w:rsidR="0007726A" w:rsidRPr="00CD29D0">
        <w:t>All students in grades 4-12 are assigned to the school that serves their grade levels (Yelle for grades 4-5, N</w:t>
      </w:r>
      <w:r w:rsidR="00E17CD8">
        <w:t xml:space="preserve">orton </w:t>
      </w:r>
      <w:r w:rsidR="0007726A" w:rsidRPr="00CD29D0">
        <w:t>M</w:t>
      </w:r>
      <w:r w:rsidR="00E17CD8">
        <w:t xml:space="preserve">iddle </w:t>
      </w:r>
      <w:r w:rsidR="0007726A" w:rsidRPr="00CD29D0">
        <w:t>S</w:t>
      </w:r>
      <w:r w:rsidR="00E17CD8">
        <w:t>chool</w:t>
      </w:r>
      <w:r w:rsidR="0007726A" w:rsidRPr="00CD29D0">
        <w:t xml:space="preserve"> for grades 6-8, and N</w:t>
      </w:r>
      <w:r w:rsidR="00E17CD8">
        <w:t xml:space="preserve">orton </w:t>
      </w:r>
      <w:r w:rsidR="0007726A" w:rsidRPr="00CD29D0">
        <w:t>H</w:t>
      </w:r>
      <w:r w:rsidR="00E17CD8">
        <w:t xml:space="preserve">igh </w:t>
      </w:r>
      <w:r w:rsidR="0007726A" w:rsidRPr="00CD29D0">
        <w:t>S</w:t>
      </w:r>
      <w:r w:rsidR="00E17CD8">
        <w:t>chool</w:t>
      </w:r>
      <w:r w:rsidR="0007726A" w:rsidRPr="00CD29D0">
        <w:t xml:space="preserve"> for grades 9-12). </w:t>
      </w:r>
      <w:r w:rsidR="00697609" w:rsidRPr="00CD29D0">
        <w:t xml:space="preserve">Norton </w:t>
      </w:r>
      <w:r w:rsidR="00C555A7" w:rsidRPr="00CD29D0">
        <w:t>has historically had</w:t>
      </w:r>
      <w:r w:rsidR="00697609" w:rsidRPr="00CD29D0">
        <w:t xml:space="preserve"> a school choice program, </w:t>
      </w:r>
      <w:r w:rsidR="00C555A7" w:rsidRPr="00CD29D0">
        <w:t xml:space="preserve">although the school committee </w:t>
      </w:r>
      <w:r w:rsidR="0064408A" w:rsidRPr="00CD29D0">
        <w:t xml:space="preserve">has </w:t>
      </w:r>
      <w:r w:rsidR="00C555A7" w:rsidRPr="00CD29D0">
        <w:t>reduce</w:t>
      </w:r>
      <w:r w:rsidR="0064408A" w:rsidRPr="00CD29D0">
        <w:t>d</w:t>
      </w:r>
      <w:r w:rsidR="00C555A7" w:rsidRPr="00CD29D0">
        <w:t xml:space="preserve"> the number of </w:t>
      </w:r>
      <w:r w:rsidR="002317D3" w:rsidRPr="00CD29D0">
        <w:t xml:space="preserve">open spots </w:t>
      </w:r>
      <w:r w:rsidR="00EA55A8" w:rsidRPr="00CD29D0">
        <w:t>because of</w:t>
      </w:r>
      <w:r w:rsidR="002317D3" w:rsidRPr="00CD29D0">
        <w:t xml:space="preserve"> costs</w:t>
      </w:r>
      <w:r w:rsidR="0064408A" w:rsidRPr="00CD29D0">
        <w:t>, as one member described:</w:t>
      </w:r>
    </w:p>
    <w:p w14:paraId="11AB0D28" w14:textId="3C6E0832" w:rsidR="0064408A" w:rsidRPr="00CD29D0" w:rsidRDefault="0064408A" w:rsidP="00001BB3">
      <w:pPr>
        <w:pStyle w:val="BodyTextIndent"/>
      </w:pPr>
      <w:r w:rsidRPr="00CD29D0">
        <w:t>It</w:t>
      </w:r>
      <w:r w:rsidR="00031699" w:rsidRPr="00CD29D0">
        <w:t>’</w:t>
      </w:r>
      <w:r w:rsidRPr="00CD29D0">
        <w:t>s a delicate balance because budgetarily, we are sort of becoming a little bit too reliant on the [school choice] money that comes in. But at the same time as we are also cutting staff and class sizes are becoming larger or things of that situation too</w:t>
      </w:r>
      <w:r w:rsidR="00031699" w:rsidRPr="00CD29D0">
        <w:t>,</w:t>
      </w:r>
      <w:r w:rsidRPr="00CD29D0">
        <w:t xml:space="preserve"> so it starts to become tricky</w:t>
      </w:r>
      <w:r w:rsidR="00F32CC8" w:rsidRPr="00CD29D0">
        <w:t> . . .</w:t>
      </w:r>
      <w:r w:rsidR="003D59A5" w:rsidRPr="00CD29D0">
        <w:t xml:space="preserve"> </w:t>
      </w:r>
      <w:r w:rsidRPr="00CD29D0">
        <w:t>there</w:t>
      </w:r>
      <w:r w:rsidR="00A501D2" w:rsidRPr="00CD29D0">
        <w:t>’</w:t>
      </w:r>
      <w:r w:rsidRPr="00CD29D0">
        <w:t>s a lot of finesse that</w:t>
      </w:r>
      <w:r w:rsidR="00A501D2" w:rsidRPr="00CD29D0">
        <w:t>’</w:t>
      </w:r>
      <w:r w:rsidRPr="00CD29D0">
        <w:t>s trying to go into working through a better balance</w:t>
      </w:r>
      <w:r w:rsidR="000C51EB" w:rsidRPr="00CD29D0">
        <w:t xml:space="preserve"> and a</w:t>
      </w:r>
      <w:r w:rsidRPr="00CD29D0">
        <w:t>djusting it more.</w:t>
      </w:r>
    </w:p>
    <w:p w14:paraId="25D30D3D" w14:textId="19B98A10" w:rsidR="00A45A08" w:rsidRPr="00CD29D0" w:rsidRDefault="004C1155" w:rsidP="00001BB3">
      <w:pPr>
        <w:pStyle w:val="BodyText"/>
      </w:pPr>
      <w:r>
        <w:t>To support students’ access to their assigned schools, d</w:t>
      </w:r>
      <w:r w:rsidR="00080A04" w:rsidRPr="00CD29D0">
        <w:t>istrict leaders reported that they provide reliable transportation services so students can safely get to and from school on time. At the time of the district review, the district partne</w:t>
      </w:r>
      <w:r w:rsidR="00120B9A" w:rsidRPr="00CD29D0">
        <w:t>r</w:t>
      </w:r>
      <w:r w:rsidR="00C51D3E" w:rsidRPr="00CD29D0">
        <w:t>ed</w:t>
      </w:r>
      <w:r w:rsidR="00080A04" w:rsidRPr="00CD29D0">
        <w:t xml:space="preserve"> with </w:t>
      </w:r>
      <w:r w:rsidR="008F4707" w:rsidRPr="00CD29D0">
        <w:t>H&amp;L Bloom for transportation</w:t>
      </w:r>
      <w:r w:rsidR="00D32BAB" w:rsidRPr="00CD29D0">
        <w:t xml:space="preserve">, </w:t>
      </w:r>
      <w:r w:rsidR="00F024F2" w:rsidRPr="00CD29D0">
        <w:t>which is</w:t>
      </w:r>
      <w:r w:rsidR="00D32BAB" w:rsidRPr="00CD29D0">
        <w:t xml:space="preserve"> a longstanding partnership. </w:t>
      </w:r>
      <w:r w:rsidR="00E4708B" w:rsidRPr="00CD29D0">
        <w:t xml:space="preserve">The transportation contract is for five years, and the district is currently in </w:t>
      </w:r>
      <w:r w:rsidR="00F024F2" w:rsidRPr="00CD29D0">
        <w:t>Y</w:t>
      </w:r>
      <w:r w:rsidR="00E4708B" w:rsidRPr="00CD29D0">
        <w:t>ear</w:t>
      </w:r>
      <w:r w:rsidR="00E4708B" w:rsidRPr="00CD29D0" w:rsidDel="00F024F2">
        <w:t xml:space="preserve"> </w:t>
      </w:r>
      <w:r w:rsidR="00F024F2" w:rsidRPr="00CD29D0">
        <w:t xml:space="preserve">2 </w:t>
      </w:r>
      <w:r w:rsidR="00E4708B" w:rsidRPr="00CD29D0">
        <w:t xml:space="preserve">of that contract. </w:t>
      </w:r>
      <w:r w:rsidR="003078E2" w:rsidRPr="00CD29D0">
        <w:t>T</w:t>
      </w:r>
      <w:r w:rsidR="00F25369" w:rsidRPr="00CD29D0">
        <w:t>here is a fee associated with students taking the bus bas</w:t>
      </w:r>
      <w:r w:rsidR="00AE1048" w:rsidRPr="00CD29D0">
        <w:t>ed on c</w:t>
      </w:r>
      <w:r w:rsidR="00680EE6" w:rsidRPr="00CD29D0">
        <w:t>ertain criteria</w:t>
      </w:r>
      <w:r w:rsidR="003078E2" w:rsidRPr="00CD29D0">
        <w:t xml:space="preserve"> (see Budgeting and Budget Process)</w:t>
      </w:r>
      <w:r w:rsidR="00A45A08" w:rsidRPr="00CD29D0">
        <w:t>.</w:t>
      </w:r>
    </w:p>
    <w:p w14:paraId="0BDC3B1A" w14:textId="2CBBD8AF" w:rsidR="00A45A08" w:rsidRPr="00CD29D0" w:rsidRDefault="00101ED5" w:rsidP="00001BB3">
      <w:pPr>
        <w:pStyle w:val="BodyText"/>
      </w:pPr>
      <w:r w:rsidRPr="00CD29D0">
        <w:t>The</w:t>
      </w:r>
      <w:r w:rsidR="00FF32CC" w:rsidRPr="00CD29D0">
        <w:t xml:space="preserve"> </w:t>
      </w:r>
      <w:r w:rsidR="00BE0D8F" w:rsidRPr="00CD29D0">
        <w:t xml:space="preserve">business office </w:t>
      </w:r>
      <w:r w:rsidRPr="00CD29D0">
        <w:t xml:space="preserve">handles food services, </w:t>
      </w:r>
      <w:r w:rsidR="00BE0D8F" w:rsidRPr="00CD29D0">
        <w:t xml:space="preserve">and the district has a </w:t>
      </w:r>
      <w:r w:rsidR="001B141F" w:rsidRPr="00CD29D0">
        <w:t>five-year</w:t>
      </w:r>
      <w:r w:rsidR="00BE0D8F" w:rsidRPr="00CD29D0">
        <w:t xml:space="preserve"> contract with </w:t>
      </w:r>
      <w:r w:rsidRPr="00CD29D0">
        <w:t xml:space="preserve">Chartwells, </w:t>
      </w:r>
      <w:r w:rsidR="0097751F" w:rsidRPr="00CD29D0">
        <w:t xml:space="preserve">an outside </w:t>
      </w:r>
      <w:r w:rsidRPr="00CD29D0">
        <w:t>vendor</w:t>
      </w:r>
      <w:r w:rsidR="00924E9C" w:rsidRPr="00CD29D0">
        <w:t xml:space="preserve">, to provide meals </w:t>
      </w:r>
      <w:r w:rsidR="00D26EDD" w:rsidRPr="00CD29D0">
        <w:t>for</w:t>
      </w:r>
      <w:r w:rsidR="00924E9C" w:rsidRPr="00CD29D0">
        <w:t xml:space="preserve"> students. Norton serves daily breakfast and lunch </w:t>
      </w:r>
      <w:r w:rsidR="00EA5FDF" w:rsidRPr="00CD29D0">
        <w:t>free of charge for all students</w:t>
      </w:r>
      <w:r w:rsidR="00674A29" w:rsidRPr="00CD29D0">
        <w:t xml:space="preserve">. </w:t>
      </w:r>
      <w:r w:rsidR="006A5FE6" w:rsidRPr="00CD29D0">
        <w:t>At the time of the district review, Norton’s contract with Chartwells was coming to an end</w:t>
      </w:r>
      <w:r w:rsidRPr="00CD29D0">
        <w:t>,</w:t>
      </w:r>
      <w:r w:rsidR="006A5FE6" w:rsidRPr="00CD29D0">
        <w:t xml:space="preserve"> and the district was in the process of </w:t>
      </w:r>
      <w:r w:rsidR="00F54385" w:rsidRPr="00CD29D0">
        <w:t>releasing a Request for Proposal</w:t>
      </w:r>
      <w:r w:rsidR="00F54385" w:rsidRPr="00CD29D0" w:rsidDel="00962324">
        <w:t xml:space="preserve"> </w:t>
      </w:r>
      <w:r w:rsidR="00F54385" w:rsidRPr="00CD29D0">
        <w:t xml:space="preserve">for food service management companies </w:t>
      </w:r>
      <w:r w:rsidR="000C1222" w:rsidRPr="00CD29D0">
        <w:t xml:space="preserve">for the operation and management of their food service program. </w:t>
      </w:r>
      <w:r w:rsidR="00D55EA1" w:rsidRPr="00CD29D0">
        <w:t xml:space="preserve">Proposals were due to the district by March </w:t>
      </w:r>
      <w:r w:rsidR="00345D09" w:rsidRPr="00CD29D0">
        <w:t>20</w:t>
      </w:r>
      <w:r w:rsidR="00D55EA1" w:rsidRPr="00CD29D0">
        <w:t>, 2026</w:t>
      </w:r>
      <w:r w:rsidR="00C63B81" w:rsidRPr="00CD29D0">
        <w:t>,</w:t>
      </w:r>
      <w:r w:rsidR="001B141F" w:rsidRPr="00CD29D0">
        <w:t xml:space="preserve"> with an anticipated date to award the contract by school committee </w:t>
      </w:r>
      <w:r w:rsidR="00C63B81" w:rsidRPr="00CD29D0">
        <w:t xml:space="preserve">on </w:t>
      </w:r>
      <w:r w:rsidR="001B141F" w:rsidRPr="00CD29D0">
        <w:t>April 15, 2026</w:t>
      </w:r>
      <w:r w:rsidR="00A45A08" w:rsidRPr="00CD29D0">
        <w:t>.</w:t>
      </w:r>
    </w:p>
    <w:p w14:paraId="071A08FB" w14:textId="45092BA5" w:rsidR="00CD6D4B" w:rsidRPr="00CD29D0" w:rsidRDefault="00CD6D4B" w:rsidP="00001BB3">
      <w:pPr>
        <w:pStyle w:val="BodyText"/>
      </w:pPr>
      <w:r w:rsidRPr="00CD29D0">
        <w:t>The district’s business office manages procurement and contracting through the School ERP Pro</w:t>
      </w:r>
      <w:r w:rsidRPr="00CD29D0" w:rsidDel="008924C1">
        <w:t xml:space="preserve"> </w:t>
      </w:r>
      <w:r w:rsidRPr="00CD29D0">
        <w:t>financial management system, which is used for requisitions, purchase orders, and invoice processing. The district follows Massachusetts procurement laws, and the town is not directly involved in vendor selection or contract management.</w:t>
      </w:r>
    </w:p>
    <w:p w14:paraId="0A02F810" w14:textId="1D8C4EBB" w:rsidR="002F17CD" w:rsidRPr="00CD29D0" w:rsidRDefault="00826EE7" w:rsidP="00001BB3">
      <w:pPr>
        <w:pStyle w:val="BodyText"/>
      </w:pPr>
      <w:r w:rsidRPr="00CD29D0">
        <w:t>The technology office handles a</w:t>
      </w:r>
      <w:r w:rsidR="00FB14DD" w:rsidRPr="00CD29D0">
        <w:t>ll technology needs</w:t>
      </w:r>
      <w:r w:rsidR="008620E5" w:rsidRPr="00CD29D0">
        <w:t xml:space="preserve">. The district has a 1:1 device policy for all students in grades </w:t>
      </w:r>
      <w:r w:rsidR="00C25D9B">
        <w:t>K</w:t>
      </w:r>
      <w:r w:rsidR="008620E5" w:rsidRPr="00CD29D0">
        <w:t>-12</w:t>
      </w:r>
      <w:r w:rsidRPr="00CD29D0">
        <w:t>,</w:t>
      </w:r>
      <w:r w:rsidR="008620E5" w:rsidRPr="00CD29D0">
        <w:t xml:space="preserve"> </w:t>
      </w:r>
      <w:r w:rsidR="00FD69BD" w:rsidRPr="00CD29D0">
        <w:t>with iPads for kindergarten and first grade</w:t>
      </w:r>
      <w:r w:rsidR="00C25D9B">
        <w:t xml:space="preserve"> and Chromebooks for all other grade levels</w:t>
      </w:r>
      <w:r w:rsidR="00FD69BD" w:rsidRPr="00CD29D0">
        <w:t xml:space="preserve">. </w:t>
      </w:r>
      <w:r w:rsidR="00E966CA" w:rsidRPr="00CD29D0">
        <w:t xml:space="preserve">Preschool students have access to iPads while in school. </w:t>
      </w:r>
      <w:r w:rsidR="00962CA2" w:rsidRPr="00CD29D0">
        <w:t xml:space="preserve">Norton has a </w:t>
      </w:r>
      <w:r w:rsidR="00962CA2" w:rsidRPr="00CD29D0">
        <w:rPr>
          <w:i/>
          <w:iCs/>
        </w:rPr>
        <w:t>Chromebook Handbook</w:t>
      </w:r>
      <w:r w:rsidR="00962CA2" w:rsidRPr="00CD29D0">
        <w:t xml:space="preserve"> </w:t>
      </w:r>
      <w:r w:rsidR="00A040DA" w:rsidRPr="00CD29D0">
        <w:t>that details parent/guardian responsibilities</w:t>
      </w:r>
      <w:r w:rsidR="00CB1053" w:rsidRPr="00CD29D0">
        <w:t xml:space="preserve">, how student use is monitored, rules and guidelines, and more. </w:t>
      </w:r>
      <w:r w:rsidR="00724DC1" w:rsidRPr="00CD29D0">
        <w:t xml:space="preserve">While the school provides Chromebooks and iPads for all students, students </w:t>
      </w:r>
      <w:r w:rsidR="00F62A05" w:rsidRPr="00CD29D0">
        <w:t>can</w:t>
      </w:r>
      <w:r w:rsidR="00724DC1" w:rsidRPr="00CD29D0">
        <w:t xml:space="preserve"> bring their own device </w:t>
      </w:r>
      <w:r w:rsidR="000F6B3B" w:rsidRPr="00CD29D0">
        <w:t>but</w:t>
      </w:r>
      <w:r w:rsidR="00F62A05" w:rsidRPr="00CD29D0">
        <w:t xml:space="preserve"> it</w:t>
      </w:r>
      <w:r w:rsidR="000F6B3B" w:rsidRPr="00CD29D0">
        <w:t xml:space="preserve"> must </w:t>
      </w:r>
      <w:r w:rsidR="00313344" w:rsidRPr="00CD29D0">
        <w:t xml:space="preserve">access </w:t>
      </w:r>
      <w:r w:rsidR="00F62A05" w:rsidRPr="00CD29D0">
        <w:t xml:space="preserve">only </w:t>
      </w:r>
      <w:r w:rsidR="00313344" w:rsidRPr="00CD29D0">
        <w:t xml:space="preserve">the Wi-Fi provided by the school during school hours. </w:t>
      </w:r>
      <w:r w:rsidR="00F906B6" w:rsidRPr="00CD29D0">
        <w:t xml:space="preserve">The </w:t>
      </w:r>
      <w:r w:rsidR="00C35F33" w:rsidRPr="00CD29D0">
        <w:t>school committee</w:t>
      </w:r>
      <w:r w:rsidR="00F906B6" w:rsidRPr="00CD29D0">
        <w:t xml:space="preserve"> </w:t>
      </w:r>
      <w:r w:rsidR="00663E94" w:rsidRPr="00CD29D0" w:rsidDel="00D144A7">
        <w:t xml:space="preserve">also </w:t>
      </w:r>
      <w:r w:rsidR="00F906B6" w:rsidRPr="00CD29D0">
        <w:t>recently adopted a</w:t>
      </w:r>
      <w:r w:rsidR="00256DB6" w:rsidRPr="00CD29D0">
        <w:t xml:space="preserve"> new </w:t>
      </w:r>
      <w:r w:rsidR="005B5012" w:rsidRPr="00CD29D0">
        <w:t>cellphone policy, which requires students to</w:t>
      </w:r>
      <w:r w:rsidR="00165FCF" w:rsidRPr="00CD29D0">
        <w:t xml:space="preserve"> put their phones in a holder on the </w:t>
      </w:r>
      <w:r w:rsidR="009D4228" w:rsidRPr="00CD29D0">
        <w:t xml:space="preserve">back of the </w:t>
      </w:r>
      <w:r w:rsidR="00D144A7" w:rsidRPr="00CD29D0">
        <w:t xml:space="preserve">classroom </w:t>
      </w:r>
      <w:r w:rsidR="009D4228" w:rsidRPr="00CD29D0">
        <w:t>door</w:t>
      </w:r>
      <w:r w:rsidR="00165FCF" w:rsidRPr="00CD29D0">
        <w:t xml:space="preserve"> during class time. </w:t>
      </w:r>
      <w:r w:rsidR="00D144A7" w:rsidRPr="00CD29D0">
        <w:t>S</w:t>
      </w:r>
      <w:r w:rsidR="00DD1AF3" w:rsidRPr="00CD29D0">
        <w:t xml:space="preserve">tudents are assigned a </w:t>
      </w:r>
      <w:r w:rsidR="00D144A7" w:rsidRPr="00CD29D0">
        <w:t xml:space="preserve">specific numbered </w:t>
      </w:r>
      <w:r w:rsidR="00DD1AF3" w:rsidRPr="00CD29D0">
        <w:t>spot in the holder</w:t>
      </w:r>
      <w:r w:rsidR="00D144A7" w:rsidRPr="00CD29D0">
        <w:t>,</w:t>
      </w:r>
      <w:r w:rsidR="00DD1AF3" w:rsidRPr="00CD29D0">
        <w:t xml:space="preserve"> </w:t>
      </w:r>
      <w:r w:rsidR="00D144A7" w:rsidRPr="00CD29D0">
        <w:t>but</w:t>
      </w:r>
      <w:r w:rsidR="00DD1AF3" w:rsidRPr="00CD29D0">
        <w:t xml:space="preserve"> this number changes by class, </w:t>
      </w:r>
      <w:r w:rsidR="00D144A7" w:rsidRPr="00CD29D0">
        <w:t>so</w:t>
      </w:r>
      <w:r w:rsidR="00DD1AF3" w:rsidRPr="00CD29D0">
        <w:t xml:space="preserve"> students </w:t>
      </w:r>
      <w:r w:rsidR="00DD1AF3" w:rsidRPr="00CD29D0">
        <w:lastRenderedPageBreak/>
        <w:t>often put their phone in the wrong spot. This</w:t>
      </w:r>
      <w:r w:rsidR="005E4E82" w:rsidRPr="00CD29D0">
        <w:t xml:space="preserve"> becomes more</w:t>
      </w:r>
      <w:r w:rsidR="00DD1AF3" w:rsidRPr="00CD29D0">
        <w:t xml:space="preserve"> complicated </w:t>
      </w:r>
      <w:r w:rsidR="00DD1AF3" w:rsidRPr="00CD29D0" w:rsidDel="00D144A7">
        <w:t xml:space="preserve">by </w:t>
      </w:r>
      <w:r w:rsidR="00A0678C" w:rsidRPr="00CD29D0" w:rsidDel="00D144A7">
        <w:t>some</w:t>
      </w:r>
      <w:r w:rsidR="00A0678C" w:rsidRPr="00CD29D0">
        <w:t xml:space="preserve"> </w:t>
      </w:r>
      <w:r w:rsidR="00764355" w:rsidRPr="00CD29D0">
        <w:t>teachers using</w:t>
      </w:r>
      <w:r w:rsidR="00764355" w:rsidRPr="00CD29D0" w:rsidDel="00D144A7">
        <w:t xml:space="preserve"> </w:t>
      </w:r>
      <w:r w:rsidR="00764355" w:rsidRPr="00CD29D0">
        <w:t>this system to</w:t>
      </w:r>
      <w:r w:rsidR="00A0678C" w:rsidRPr="00CD29D0">
        <w:t xml:space="preserve"> take attendance</w:t>
      </w:r>
      <w:r w:rsidR="00C03693" w:rsidRPr="00CD29D0">
        <w:t xml:space="preserve">. </w:t>
      </w:r>
      <w:r w:rsidR="00A0678C" w:rsidRPr="00CD29D0" w:rsidDel="00D144A7">
        <w:t xml:space="preserve">Several </w:t>
      </w:r>
      <w:r w:rsidR="00A0678C" w:rsidRPr="00CD29D0">
        <w:t>high school student</w:t>
      </w:r>
      <w:r w:rsidR="00A0678C" w:rsidRPr="00CD29D0" w:rsidDel="00D144A7">
        <w:t>s</w:t>
      </w:r>
      <w:r w:rsidR="00A0678C" w:rsidRPr="00CD29D0">
        <w:t xml:space="preserve"> explained:</w:t>
      </w:r>
    </w:p>
    <w:p w14:paraId="4CC70F3B" w14:textId="5F4DE33E" w:rsidR="00D46290" w:rsidRPr="00CD29D0" w:rsidRDefault="00A0678C" w:rsidP="00001BB3">
      <w:pPr>
        <w:pStyle w:val="BodyTextIndent"/>
      </w:pPr>
      <w:r w:rsidRPr="00CD29D0">
        <w:t>A lot of teachers use [the cell phone holders] as an attendance thing</w:t>
      </w:r>
      <w:r w:rsidR="00F32CC8" w:rsidRPr="00CD29D0">
        <w:t> . . .</w:t>
      </w:r>
      <w:r w:rsidR="003D59A5" w:rsidRPr="00CD29D0">
        <w:t xml:space="preserve"> </w:t>
      </w:r>
      <w:r w:rsidR="00D46290" w:rsidRPr="00CD29D0">
        <w:t>The only difficult part about that, if teachers use it for attendance, is I</w:t>
      </w:r>
      <w:r w:rsidR="00EE152E" w:rsidRPr="00CD29D0">
        <w:t>’</w:t>
      </w:r>
      <w:r w:rsidR="00D46290" w:rsidRPr="00CD29D0">
        <w:t>ve seen many cases where kids will put their phone in the phone holder on</w:t>
      </w:r>
      <w:r w:rsidR="00A77EAE">
        <w:t>ly</w:t>
      </w:r>
      <w:r w:rsidR="00D46290" w:rsidRPr="00CD29D0">
        <w:t xml:space="preserve"> after </w:t>
      </w:r>
      <w:r w:rsidR="007E4AB2" w:rsidRPr="00CD29D0">
        <w:t>[</w:t>
      </w:r>
      <w:r w:rsidR="00863442">
        <w:t xml:space="preserve">finishing </w:t>
      </w:r>
      <w:r w:rsidR="007E4AB2" w:rsidRPr="00CD29D0">
        <w:t xml:space="preserve">their assignment] </w:t>
      </w:r>
      <w:r w:rsidR="00D46290" w:rsidRPr="00CD29D0">
        <w:t>and just not pay attention to it</w:t>
      </w:r>
      <w:r w:rsidR="00A2467E" w:rsidRPr="00CD29D0">
        <w:t>. T</w:t>
      </w:r>
      <w:r w:rsidR="00D46290" w:rsidRPr="00CD29D0">
        <w:t>hen they</w:t>
      </w:r>
      <w:r w:rsidR="00EE152E" w:rsidRPr="00CD29D0">
        <w:t>’</w:t>
      </w:r>
      <w:r w:rsidR="00D46290" w:rsidRPr="00CD29D0">
        <w:t>re marked absent even though they were sitting there in class</w:t>
      </w:r>
      <w:r w:rsidR="003D59A5" w:rsidRPr="00CD29D0">
        <w:t xml:space="preserve"> </w:t>
      </w:r>
      <w:r w:rsidR="00EE152E" w:rsidRPr="00CD29D0">
        <w:t>. . . </w:t>
      </w:r>
      <w:r w:rsidR="00D46290" w:rsidRPr="00CD29D0">
        <w:t>because their phone was in the wrong space, they</w:t>
      </w:r>
      <w:r w:rsidR="00EE152E" w:rsidRPr="00CD29D0">
        <w:t>’</w:t>
      </w:r>
      <w:r w:rsidR="00D46290" w:rsidRPr="00CD29D0">
        <w:t>re marked absent and then they can</w:t>
      </w:r>
      <w:r w:rsidR="00EE152E" w:rsidRPr="00CD29D0">
        <w:t>’</w:t>
      </w:r>
      <w:r w:rsidR="00D46290" w:rsidRPr="00CD29D0">
        <w:t>t go to their sports after school if it</w:t>
      </w:r>
      <w:r w:rsidR="00EE152E" w:rsidRPr="00CD29D0">
        <w:t>’</w:t>
      </w:r>
      <w:r w:rsidR="00D46290" w:rsidRPr="00CD29D0">
        <w:t>s not fixed.</w:t>
      </w:r>
    </w:p>
    <w:p w14:paraId="44459DF0" w14:textId="6DE888B2" w:rsidR="00A45A08" w:rsidRPr="00CD29D0" w:rsidRDefault="00F55E9A" w:rsidP="00001BB3">
      <w:pPr>
        <w:pStyle w:val="BodyText"/>
      </w:pPr>
      <w:r w:rsidRPr="00CD29D0">
        <w:t xml:space="preserve">The new cell phone policy also interacts with the </w:t>
      </w:r>
      <w:r w:rsidR="00B3622A" w:rsidRPr="00CD29D0">
        <w:t>“</w:t>
      </w:r>
      <w:r w:rsidR="00FB19E1" w:rsidRPr="00CD29D0">
        <w:t>bring their own device</w:t>
      </w:r>
      <w:r w:rsidR="00B3622A" w:rsidRPr="00CD29D0">
        <w:t>”</w:t>
      </w:r>
      <w:r w:rsidR="00FB19E1" w:rsidRPr="00CD29D0">
        <w:t xml:space="preserve"> </w:t>
      </w:r>
      <w:r w:rsidR="00E32EE4" w:rsidRPr="00CD29D0">
        <w:t>policy</w:t>
      </w:r>
      <w:r w:rsidR="00E05B17" w:rsidRPr="00CD29D0">
        <w:t>,</w:t>
      </w:r>
      <w:r w:rsidR="00E32EE4" w:rsidRPr="00CD29D0">
        <w:t xml:space="preserve"> </w:t>
      </w:r>
      <w:r w:rsidR="00B3622A" w:rsidRPr="00CD29D0">
        <w:t>because</w:t>
      </w:r>
      <w:r w:rsidR="00A858CF" w:rsidRPr="00CD29D0">
        <w:t xml:space="preserve"> some</w:t>
      </w:r>
      <w:r w:rsidR="00B30385" w:rsidRPr="00CD29D0">
        <w:t xml:space="preserve"> students</w:t>
      </w:r>
      <w:r w:rsidR="004C6442" w:rsidRPr="00CD29D0">
        <w:t xml:space="preserve"> </w:t>
      </w:r>
      <w:r w:rsidR="00A858CF" w:rsidRPr="00CD29D0">
        <w:t xml:space="preserve">will </w:t>
      </w:r>
      <w:r w:rsidR="00E05B17" w:rsidRPr="00CD29D0">
        <w:t xml:space="preserve">activate </w:t>
      </w:r>
      <w:r w:rsidR="00A858CF" w:rsidRPr="00CD29D0">
        <w:t xml:space="preserve">their </w:t>
      </w:r>
      <w:r w:rsidR="00E05B17" w:rsidRPr="00CD29D0">
        <w:t xml:space="preserve">own </w:t>
      </w:r>
      <w:r w:rsidR="00A858CF" w:rsidRPr="00CD29D0">
        <w:t xml:space="preserve">hotspot before putting their phone in the holder, and then </w:t>
      </w:r>
      <w:r w:rsidR="00E05B17" w:rsidRPr="00CD29D0">
        <w:t xml:space="preserve">use </w:t>
      </w:r>
      <w:r w:rsidR="00A858CF" w:rsidRPr="00CD29D0">
        <w:t xml:space="preserve">the </w:t>
      </w:r>
      <w:r w:rsidR="00E05B17" w:rsidRPr="00CD29D0">
        <w:t xml:space="preserve">personal </w:t>
      </w:r>
      <w:r w:rsidR="00A858CF" w:rsidRPr="00CD29D0">
        <w:t xml:space="preserve">hotspot on their own device so they can access </w:t>
      </w:r>
      <w:r w:rsidR="00833898">
        <w:t>restricted</w:t>
      </w:r>
      <w:r w:rsidR="00833898" w:rsidRPr="00CD29D0">
        <w:t xml:space="preserve"> </w:t>
      </w:r>
      <w:r w:rsidR="004D5C12" w:rsidRPr="00CD29D0">
        <w:t xml:space="preserve">websites (e.g., Spotify, </w:t>
      </w:r>
      <w:r w:rsidR="00BD7612" w:rsidRPr="00CD29D0">
        <w:t>Netflix</w:t>
      </w:r>
      <w:r w:rsidR="006229EF" w:rsidRPr="00CD29D0">
        <w:t>, Tik Tok</w:t>
      </w:r>
      <w:r w:rsidR="00BD7612" w:rsidRPr="00CD29D0">
        <w:t>)</w:t>
      </w:r>
      <w:r w:rsidR="00AF3E61" w:rsidRPr="00CD29D0">
        <w:t>. A student explained, “[</w:t>
      </w:r>
      <w:r w:rsidR="00E05B17" w:rsidRPr="00CD29D0">
        <w:t>S</w:t>
      </w:r>
      <w:r w:rsidR="00AF3E61" w:rsidRPr="00CD29D0">
        <w:t>tudents] can still go on Netflix, they can play games on their iPad, they can do whatever, and it</w:t>
      </w:r>
      <w:r w:rsidR="00E05B17" w:rsidRPr="00CD29D0">
        <w:t>’</w:t>
      </w:r>
      <w:r w:rsidR="00AF3E61" w:rsidRPr="00CD29D0">
        <w:t>s not as heavily monitored as the Chromebooks are, which just makes it feel a little bit unfair, because I don</w:t>
      </w:r>
      <w:r w:rsidR="00E05B17" w:rsidRPr="00CD29D0">
        <w:t>’</w:t>
      </w:r>
      <w:r w:rsidR="00AF3E61" w:rsidRPr="00CD29D0">
        <w:t>t have an iPad</w:t>
      </w:r>
      <w:r w:rsidR="00D61094" w:rsidRPr="00CD29D0">
        <w:t xml:space="preserve">.” </w:t>
      </w:r>
      <w:r w:rsidR="00D61094" w:rsidRPr="004B0D7B">
        <w:t xml:space="preserve">Addressing these challenges with implementation of the cellphone and </w:t>
      </w:r>
      <w:r w:rsidR="002D754B" w:rsidRPr="004B0D7B">
        <w:t>bring their own device policies is an area of growth for the district</w:t>
      </w:r>
      <w:r w:rsidR="00A45A08" w:rsidRPr="004B0D7B">
        <w:t>.</w:t>
      </w:r>
    </w:p>
    <w:p w14:paraId="22E56B0C" w14:textId="42154003" w:rsidR="00B827DE" w:rsidRPr="00CD29D0" w:rsidRDefault="00041E9B" w:rsidP="000E326D">
      <w:pPr>
        <w:pStyle w:val="Heading3"/>
      </w:pPr>
      <w:bookmarkStart w:id="69" w:name="_Capital_Planning_and"/>
      <w:bookmarkStart w:id="70" w:name="_Managing_Capital_Assets"/>
      <w:bookmarkEnd w:id="69"/>
      <w:bookmarkEnd w:id="70"/>
      <w:r w:rsidRPr="00CD29D0">
        <w:t xml:space="preserve">Managing </w:t>
      </w:r>
      <w:r w:rsidR="00B827DE" w:rsidRPr="00CD29D0">
        <w:t xml:space="preserve">Capital </w:t>
      </w:r>
      <w:r w:rsidRPr="00CD29D0">
        <w:t xml:space="preserve">Assets and Capital </w:t>
      </w:r>
      <w:r w:rsidR="00B827DE" w:rsidRPr="00CD29D0">
        <w:t>Planning</w:t>
      </w:r>
    </w:p>
    <w:p w14:paraId="1E2F17C4" w14:textId="3CBC92B7" w:rsidR="00A45A08" w:rsidRPr="00CD29D0" w:rsidRDefault="009F31FC" w:rsidP="000E326D">
      <w:pPr>
        <w:pStyle w:val="BodyTextposthead"/>
      </w:pPr>
      <w:r w:rsidRPr="004B0D7B">
        <w:t xml:space="preserve">The district </w:t>
      </w:r>
      <w:r w:rsidR="00045248" w:rsidRPr="004B0D7B">
        <w:t>has a five</w:t>
      </w:r>
      <w:r w:rsidR="007B62B3" w:rsidRPr="004B0D7B">
        <w:t>-</w:t>
      </w:r>
      <w:r w:rsidR="00045248" w:rsidRPr="004B0D7B">
        <w:t>year capital improvement plan</w:t>
      </w:r>
      <w:r w:rsidR="005F14E9" w:rsidRPr="004B0D7B">
        <w:t xml:space="preserve"> for </w:t>
      </w:r>
      <w:r w:rsidR="007B62B3" w:rsidRPr="004B0D7B">
        <w:t>fiscal years 20</w:t>
      </w:r>
      <w:r w:rsidR="005F14E9" w:rsidRPr="004B0D7B">
        <w:t>26</w:t>
      </w:r>
      <w:r w:rsidR="007B62B3" w:rsidRPr="004B0D7B">
        <w:t xml:space="preserve"> to 20</w:t>
      </w:r>
      <w:r w:rsidR="005F14E9" w:rsidRPr="004B0D7B">
        <w:t>30</w:t>
      </w:r>
      <w:r w:rsidR="007B62B3" w:rsidRPr="004B0D7B">
        <w:t>,</w:t>
      </w:r>
      <w:r w:rsidR="00045248" w:rsidRPr="004B0D7B">
        <w:t xml:space="preserve"> which includes an annual capital request plan outlining immediate needs for the upcoming school year</w:t>
      </w:r>
      <w:r w:rsidR="00FF4B37" w:rsidRPr="004B0D7B">
        <w:t>, a strength of the district</w:t>
      </w:r>
      <w:r w:rsidR="00045248" w:rsidRPr="004B0D7B">
        <w:t xml:space="preserve">. </w:t>
      </w:r>
      <w:r w:rsidR="00045248" w:rsidRPr="00CD29D0">
        <w:t xml:space="preserve">This </w:t>
      </w:r>
      <w:r w:rsidR="008C5C2B" w:rsidRPr="00CD29D0">
        <w:t>plan</w:t>
      </w:r>
      <w:r w:rsidR="00045248" w:rsidRPr="00CD29D0" w:rsidDel="008C5C2B">
        <w:t xml:space="preserve"> </w:t>
      </w:r>
      <w:r w:rsidR="008C5C2B" w:rsidRPr="00CD29D0">
        <w:t xml:space="preserve">was </w:t>
      </w:r>
      <w:r w:rsidR="00045248" w:rsidRPr="00CD29D0">
        <w:t xml:space="preserve">submitted to the town manager in August in preparation for the fall town meeting. </w:t>
      </w:r>
      <w:r w:rsidR="008C5C2B" w:rsidRPr="00CD29D0">
        <w:t xml:space="preserve">There were three capital requests in </w:t>
      </w:r>
      <w:r w:rsidR="00EA0512" w:rsidRPr="00CD29D0">
        <w:t xml:space="preserve">the </w:t>
      </w:r>
      <w:r w:rsidR="008C5C2B" w:rsidRPr="00CD29D0">
        <w:t xml:space="preserve">district’s </w:t>
      </w:r>
      <w:r w:rsidR="00EA0512" w:rsidRPr="00CD29D0">
        <w:rPr>
          <w:i/>
          <w:iCs/>
        </w:rPr>
        <w:t>FY26 Capital Request</w:t>
      </w:r>
      <w:r w:rsidR="00045248" w:rsidRPr="00CD29D0">
        <w:t xml:space="preserve">: replacing the stage floor in </w:t>
      </w:r>
      <w:r w:rsidR="00597F67" w:rsidRPr="00CD29D0">
        <w:t>the N</w:t>
      </w:r>
      <w:r w:rsidR="00E17CD8">
        <w:t xml:space="preserve">orton </w:t>
      </w:r>
      <w:r w:rsidR="00597F67" w:rsidRPr="00CD29D0">
        <w:t>H</w:t>
      </w:r>
      <w:r w:rsidR="00E17CD8">
        <w:t xml:space="preserve">igh </w:t>
      </w:r>
      <w:r w:rsidR="00597F67" w:rsidRPr="00CD29D0">
        <w:t>S</w:t>
      </w:r>
      <w:r w:rsidR="00E17CD8">
        <w:t>chool</w:t>
      </w:r>
      <w:r w:rsidR="00045248" w:rsidRPr="00CD29D0">
        <w:t xml:space="preserve"> auditorium, </w:t>
      </w:r>
      <w:r w:rsidR="007F200C" w:rsidRPr="00CD29D0">
        <w:t xml:space="preserve">replacing </w:t>
      </w:r>
      <w:r w:rsidR="00AC15AA" w:rsidRPr="00CD29D0">
        <w:t>techn</w:t>
      </w:r>
      <w:r w:rsidR="00052D0C" w:rsidRPr="00CD29D0">
        <w:t xml:space="preserve">ology displays </w:t>
      </w:r>
      <w:r w:rsidR="00597F67" w:rsidRPr="00CD29D0">
        <w:t>at N</w:t>
      </w:r>
      <w:r w:rsidR="00E17CD8">
        <w:t xml:space="preserve">orton </w:t>
      </w:r>
      <w:r w:rsidR="00597F67" w:rsidRPr="00CD29D0">
        <w:t>M</w:t>
      </w:r>
      <w:r w:rsidR="00E17CD8">
        <w:t xml:space="preserve">iddle </w:t>
      </w:r>
      <w:r w:rsidR="00FD0BE6" w:rsidRPr="00CD29D0">
        <w:t>S</w:t>
      </w:r>
      <w:r w:rsidR="00E17CD8">
        <w:t>chool</w:t>
      </w:r>
      <w:r w:rsidR="00FD0BE6" w:rsidRPr="00CD29D0">
        <w:t xml:space="preserve">, and </w:t>
      </w:r>
      <w:r w:rsidR="007F200C" w:rsidRPr="00CD29D0">
        <w:t xml:space="preserve">painting </w:t>
      </w:r>
      <w:r w:rsidR="00FD0BE6" w:rsidRPr="00CD29D0">
        <w:t xml:space="preserve">new topcoat </w:t>
      </w:r>
      <w:r w:rsidR="007F200C" w:rsidRPr="00CD29D0">
        <w:t xml:space="preserve">on </w:t>
      </w:r>
      <w:r w:rsidR="00FD0BE6" w:rsidRPr="00CD29D0">
        <w:t xml:space="preserve">the second exit access road </w:t>
      </w:r>
      <w:r w:rsidR="00407690" w:rsidRPr="00CD29D0">
        <w:t>at N</w:t>
      </w:r>
      <w:r w:rsidR="00E17CD8">
        <w:t xml:space="preserve">orton </w:t>
      </w:r>
      <w:r w:rsidR="00407690" w:rsidRPr="00CD29D0">
        <w:t>M</w:t>
      </w:r>
      <w:r w:rsidR="00E17CD8">
        <w:t xml:space="preserve">iddle </w:t>
      </w:r>
      <w:r w:rsidR="00407690" w:rsidRPr="00CD29D0">
        <w:t>S</w:t>
      </w:r>
      <w:r w:rsidR="00E17CD8">
        <w:t>chool</w:t>
      </w:r>
      <w:r w:rsidR="00407690" w:rsidRPr="00CD29D0">
        <w:t xml:space="preserve">. </w:t>
      </w:r>
      <w:r w:rsidR="00A15460" w:rsidRPr="00CD29D0">
        <w:t>Each of these requests include</w:t>
      </w:r>
      <w:r w:rsidR="00210E69" w:rsidRPr="00CD29D0">
        <w:t>d</w:t>
      </w:r>
      <w:r w:rsidR="00A15460" w:rsidRPr="00CD29D0">
        <w:t xml:space="preserve"> an update on the current state of the need</w:t>
      </w:r>
      <w:r w:rsidR="00494D6A" w:rsidRPr="00CD29D0">
        <w:t xml:space="preserve"> and how it impacts safety for students, staff, and families (if applicable) as well as </w:t>
      </w:r>
      <w:r w:rsidR="00210E69" w:rsidRPr="00CD29D0">
        <w:t xml:space="preserve">photos </w:t>
      </w:r>
      <w:r w:rsidR="00494D6A" w:rsidRPr="00CD29D0">
        <w:t>of the current condition.</w:t>
      </w:r>
      <w:r w:rsidR="00581C09" w:rsidRPr="00CD29D0">
        <w:t xml:space="preserve"> Examples of</w:t>
      </w:r>
      <w:r w:rsidR="00494D6A" w:rsidRPr="00CD29D0">
        <w:t xml:space="preserve"> </w:t>
      </w:r>
      <w:r w:rsidR="00581C09" w:rsidRPr="00CD29D0">
        <w:t>l</w:t>
      </w:r>
      <w:r w:rsidR="00F9646C" w:rsidRPr="00CD29D0">
        <w:t>onger-term needs identified in the capital improvement plan include</w:t>
      </w:r>
      <w:r w:rsidR="004A6709" w:rsidRPr="00CD29D0">
        <w:t>d</w:t>
      </w:r>
      <w:r w:rsidR="00F9646C" w:rsidRPr="00CD29D0">
        <w:t xml:space="preserve"> resurfacing the </w:t>
      </w:r>
      <w:r w:rsidR="004758BF" w:rsidRPr="00CD29D0">
        <w:t xml:space="preserve">indoor </w:t>
      </w:r>
      <w:r w:rsidR="00F9646C" w:rsidRPr="00CD29D0">
        <w:t>gym floors at L</w:t>
      </w:r>
      <w:r w:rsidR="00D75183">
        <w:t>.</w:t>
      </w:r>
      <w:r w:rsidR="00F9646C" w:rsidRPr="00CD29D0">
        <w:t>G</w:t>
      </w:r>
      <w:r w:rsidR="00D75183">
        <w:t xml:space="preserve">. </w:t>
      </w:r>
      <w:r w:rsidR="00F9646C" w:rsidRPr="00CD29D0">
        <w:t>N</w:t>
      </w:r>
      <w:r w:rsidR="00D75183">
        <w:t>ourse</w:t>
      </w:r>
      <w:r w:rsidR="00F9646C" w:rsidRPr="00CD29D0">
        <w:t xml:space="preserve"> and J</w:t>
      </w:r>
      <w:r w:rsidR="00D75183">
        <w:t>.</w:t>
      </w:r>
      <w:r w:rsidR="00F9646C" w:rsidRPr="00CD29D0">
        <w:t>C</w:t>
      </w:r>
      <w:r w:rsidR="00D75183">
        <w:t xml:space="preserve">. </w:t>
      </w:r>
      <w:r w:rsidR="00F9646C" w:rsidRPr="00CD29D0">
        <w:t>S</w:t>
      </w:r>
      <w:r w:rsidR="00D75183">
        <w:t>olmonese</w:t>
      </w:r>
      <w:r w:rsidR="004758BF" w:rsidRPr="00CD29D0">
        <w:t xml:space="preserve">, </w:t>
      </w:r>
      <w:r w:rsidR="009950ED" w:rsidRPr="00CD29D0">
        <w:t xml:space="preserve">filling cracks and resurfacing the </w:t>
      </w:r>
      <w:r w:rsidR="00454CB4" w:rsidRPr="00CD29D0">
        <w:t xml:space="preserve">parking lot at </w:t>
      </w:r>
      <w:r w:rsidR="00090FDE" w:rsidRPr="00CD29D0">
        <w:t>Yelle</w:t>
      </w:r>
      <w:r w:rsidR="00F64965" w:rsidRPr="00CD29D0">
        <w:t xml:space="preserve">, </w:t>
      </w:r>
      <w:r w:rsidR="004A6709" w:rsidRPr="00CD29D0">
        <w:t xml:space="preserve">and </w:t>
      </w:r>
      <w:r w:rsidR="00F64965" w:rsidRPr="00CD29D0">
        <w:t>updating the auditorium at N</w:t>
      </w:r>
      <w:r w:rsidR="00E17CD8">
        <w:t xml:space="preserve">orton </w:t>
      </w:r>
      <w:r w:rsidR="00F64965" w:rsidRPr="00CD29D0">
        <w:t>M</w:t>
      </w:r>
      <w:r w:rsidR="00E17CD8">
        <w:t xml:space="preserve">iddle </w:t>
      </w:r>
      <w:r w:rsidR="00F64965" w:rsidRPr="00CD29D0">
        <w:t>S</w:t>
      </w:r>
      <w:r w:rsidR="00E17CD8">
        <w:t>chool</w:t>
      </w:r>
      <w:r w:rsidR="00A45A08" w:rsidRPr="00CD29D0">
        <w:t>.</w:t>
      </w:r>
    </w:p>
    <w:p w14:paraId="3C15D439" w14:textId="656F64EB" w:rsidR="001E77FA" w:rsidRPr="00CD29D0" w:rsidRDefault="008C0684" w:rsidP="000E326D">
      <w:pPr>
        <w:pStyle w:val="BodyText"/>
      </w:pPr>
      <w:r w:rsidRPr="00CD29D0">
        <w:t>The district is primarily responsible for</w:t>
      </w:r>
      <w:r w:rsidR="00640931" w:rsidRPr="00CD29D0">
        <w:t xml:space="preserve"> managing</w:t>
      </w:r>
      <w:r w:rsidRPr="00CD29D0">
        <w:t xml:space="preserve"> </w:t>
      </w:r>
      <w:r w:rsidR="002E16F9" w:rsidRPr="00CD29D0">
        <w:t xml:space="preserve">its </w:t>
      </w:r>
      <w:r w:rsidRPr="00CD29D0">
        <w:t>own capital assets</w:t>
      </w:r>
      <w:r w:rsidR="00422EE8" w:rsidRPr="00CD29D0">
        <w:t xml:space="preserve">, although there </w:t>
      </w:r>
      <w:r w:rsidR="00A22F2E" w:rsidRPr="00CD29D0">
        <w:t xml:space="preserve">are times when unexpected large expenses occur </w:t>
      </w:r>
      <w:r w:rsidR="002E16F9" w:rsidRPr="00CD29D0">
        <w:t xml:space="preserve">and </w:t>
      </w:r>
      <w:r w:rsidR="00726F12" w:rsidRPr="00CD29D0">
        <w:t xml:space="preserve">the town becomes involved. For example, </w:t>
      </w:r>
      <w:r w:rsidR="002E16F9" w:rsidRPr="00CD29D0">
        <w:t>during the previous</w:t>
      </w:r>
      <w:r w:rsidR="00726F12" w:rsidRPr="00CD29D0">
        <w:t xml:space="preserve"> school year</w:t>
      </w:r>
      <w:r w:rsidR="002E16F9" w:rsidRPr="00CD29D0">
        <w:t>,</w:t>
      </w:r>
      <w:r w:rsidR="005E01EC" w:rsidRPr="00CD29D0" w:rsidDel="002E16F9">
        <w:t xml:space="preserve"> </w:t>
      </w:r>
      <w:r w:rsidR="005E01EC" w:rsidRPr="00CD29D0">
        <w:t xml:space="preserve">water heaters burst at the high school, which is considered an “extraordinary maintenance” need. </w:t>
      </w:r>
      <w:r w:rsidR="00C83F47" w:rsidRPr="00CD29D0">
        <w:t>In this instance, district leaders submitted an emergency capital request to the town</w:t>
      </w:r>
      <w:r w:rsidR="00D446DB" w:rsidRPr="00CD29D0">
        <w:t xml:space="preserve">. </w:t>
      </w:r>
      <w:r w:rsidR="002E16F9" w:rsidRPr="00CD29D0">
        <w:t>With</w:t>
      </w:r>
      <w:r w:rsidR="00D446DB" w:rsidRPr="00CD29D0">
        <w:t xml:space="preserve"> the </w:t>
      </w:r>
      <w:r w:rsidR="00D770C9" w:rsidRPr="00CD29D0">
        <w:t xml:space="preserve">quick timeline needed to resolve this challenge, the </w:t>
      </w:r>
      <w:r w:rsidR="000001DA" w:rsidRPr="00CD29D0">
        <w:t xml:space="preserve">district </w:t>
      </w:r>
      <w:r w:rsidR="00454F81">
        <w:t>provided funds in advance</w:t>
      </w:r>
      <w:r w:rsidR="00732533" w:rsidRPr="00CD29D0">
        <w:t xml:space="preserve"> </w:t>
      </w:r>
      <w:r w:rsidR="00F570AA" w:rsidRPr="00CD29D0">
        <w:t xml:space="preserve">from their facilities account </w:t>
      </w:r>
      <w:r w:rsidR="00732533" w:rsidRPr="00CD29D0">
        <w:t>and</w:t>
      </w:r>
      <w:r w:rsidR="00732533" w:rsidRPr="00CD29D0" w:rsidDel="002E16F9">
        <w:t xml:space="preserve"> </w:t>
      </w:r>
      <w:r w:rsidR="002E16F9" w:rsidRPr="00CD29D0">
        <w:t xml:space="preserve">was </w:t>
      </w:r>
      <w:r w:rsidR="00CC2ED3" w:rsidRPr="00CD29D0">
        <w:t xml:space="preserve">reimbursed </w:t>
      </w:r>
      <w:r w:rsidR="00D6234B" w:rsidRPr="00CD29D0">
        <w:t xml:space="preserve">by the town </w:t>
      </w:r>
      <w:r w:rsidR="00332E0D" w:rsidRPr="00CD29D0">
        <w:t xml:space="preserve">in the spring. </w:t>
      </w:r>
      <w:r w:rsidR="00DA0016" w:rsidRPr="00CD29D0">
        <w:t xml:space="preserve">Generally, </w:t>
      </w:r>
      <w:r w:rsidR="00C977B3">
        <w:t>d</w:t>
      </w:r>
      <w:r w:rsidR="00DA0016" w:rsidRPr="00CD29D0">
        <w:t xml:space="preserve">istrict leaders described the town as </w:t>
      </w:r>
      <w:r w:rsidR="002E16F9" w:rsidRPr="00CD29D0">
        <w:t xml:space="preserve">generally </w:t>
      </w:r>
      <w:r w:rsidR="00DA0016" w:rsidRPr="00CD29D0">
        <w:t>collaborative when these needs arise</w:t>
      </w:r>
      <w:r w:rsidR="00A45A08" w:rsidRPr="00CD29D0">
        <w:t>.</w:t>
      </w:r>
      <w:r w:rsidR="00AA7F4E">
        <w:t xml:space="preserve"> </w:t>
      </w:r>
      <w:r w:rsidR="001E77FA" w:rsidRPr="00CD29D0" w:rsidDel="003D096B">
        <w:t>As mentioned in the Operations section, sometimes</w:t>
      </w:r>
      <w:r w:rsidR="001E77FA" w:rsidRPr="00CD29D0">
        <w:t xml:space="preserve"> larger needs arise that are not considered “extraordinary maintenance”</w:t>
      </w:r>
      <w:r w:rsidR="00702C93" w:rsidRPr="00CD29D0">
        <w:t xml:space="preserve"> </w:t>
      </w:r>
      <w:r w:rsidR="00702C93" w:rsidRPr="00CD29D0" w:rsidDel="003D096B">
        <w:t xml:space="preserve">as the need is not immediately time sensitive. When these occur, </w:t>
      </w:r>
      <w:r w:rsidR="00702C93" w:rsidRPr="00CD29D0">
        <w:t xml:space="preserve">the director of </w:t>
      </w:r>
      <w:r w:rsidR="005D3FE8" w:rsidRPr="00CD29D0">
        <w:t xml:space="preserve">facilities </w:t>
      </w:r>
      <w:r w:rsidR="001453CC" w:rsidRPr="00CD29D0">
        <w:t xml:space="preserve">includes the request in the following year’s </w:t>
      </w:r>
      <w:r w:rsidR="00CE3054" w:rsidRPr="00CD29D0">
        <w:t xml:space="preserve">capital request </w:t>
      </w:r>
      <w:r w:rsidR="007974AE" w:rsidRPr="00CD29D0">
        <w:t>plan</w:t>
      </w:r>
      <w:r w:rsidR="00CE3054" w:rsidRPr="00CD29D0">
        <w:t>.</w:t>
      </w:r>
    </w:p>
    <w:p w14:paraId="4D2C2B2E" w14:textId="4606831C" w:rsidR="00EF2AF2" w:rsidRPr="00CD29D0" w:rsidRDefault="00EF2AF2" w:rsidP="000E326D">
      <w:pPr>
        <w:pStyle w:val="BodyText"/>
      </w:pPr>
      <w:r w:rsidRPr="00CD29D0">
        <w:t xml:space="preserve">District leaders </w:t>
      </w:r>
      <w:r w:rsidRPr="00CD29D0" w:rsidDel="00C843D3">
        <w:t xml:space="preserve">also </w:t>
      </w:r>
      <w:r w:rsidR="003D0A4E" w:rsidRPr="00CD29D0">
        <w:t xml:space="preserve">monitor their inventory </w:t>
      </w:r>
      <w:r w:rsidR="00D72B86" w:rsidRPr="00CD29D0">
        <w:t>of capital assets and critical supplies</w:t>
      </w:r>
      <w:r w:rsidR="00AF4C3B" w:rsidRPr="00CD29D0">
        <w:t xml:space="preserve">, although this is primarily for </w:t>
      </w:r>
      <w:r w:rsidR="004314E9" w:rsidRPr="00CD29D0">
        <w:t>items with active</w:t>
      </w:r>
      <w:r w:rsidR="00AF4C3B" w:rsidRPr="00CD29D0">
        <w:t xml:space="preserve"> leases</w:t>
      </w:r>
      <w:r w:rsidR="00D72B86" w:rsidRPr="00CD29D0">
        <w:t xml:space="preserve">. </w:t>
      </w:r>
      <w:r w:rsidR="00E80B86" w:rsidRPr="00CD29D0">
        <w:t>According to district leaders, there is a</w:t>
      </w:r>
      <w:r w:rsidR="00E80B86" w:rsidRPr="00CD29D0" w:rsidDel="00C843D3">
        <w:t xml:space="preserve"> </w:t>
      </w:r>
      <w:r w:rsidR="00E80B86" w:rsidRPr="00CD29D0">
        <w:t xml:space="preserve">spreadsheet </w:t>
      </w:r>
      <w:r w:rsidR="00796DC1" w:rsidRPr="00CD29D0">
        <w:t xml:space="preserve">with </w:t>
      </w:r>
      <w:r w:rsidR="00C843D3" w:rsidRPr="00CD29D0">
        <w:lastRenderedPageBreak/>
        <w:t xml:space="preserve">itemized </w:t>
      </w:r>
      <w:r w:rsidR="00796DC1" w:rsidRPr="00CD29D0">
        <w:t>technology</w:t>
      </w:r>
      <w:r w:rsidR="00C843D3" w:rsidRPr="00CD29D0">
        <w:t>,</w:t>
      </w:r>
      <w:r w:rsidR="00796DC1" w:rsidRPr="00CD29D0">
        <w:t xml:space="preserve"> including all laptops with their serial numbers</w:t>
      </w:r>
      <w:r w:rsidR="00C966E2" w:rsidRPr="00CD29D0">
        <w:t xml:space="preserve">, printers/copiers, </w:t>
      </w:r>
      <w:r w:rsidR="008B7102" w:rsidRPr="00CD29D0">
        <w:t>Promethean boards, and more</w:t>
      </w:r>
      <w:r w:rsidR="00796DC1" w:rsidRPr="00CD29D0">
        <w:t>. The district’s accountants</w:t>
      </w:r>
      <w:r w:rsidR="00796DC1" w:rsidRPr="00CD29D0" w:rsidDel="00C843D3">
        <w:t xml:space="preserve"> </w:t>
      </w:r>
      <w:r w:rsidR="00C37EDF" w:rsidRPr="00CD29D0">
        <w:t>monitor the</w:t>
      </w:r>
      <w:r w:rsidR="002B5115" w:rsidRPr="00CD29D0">
        <w:t>se</w:t>
      </w:r>
      <w:r w:rsidR="00C37EDF" w:rsidRPr="00CD29D0">
        <w:t xml:space="preserve"> leases</w:t>
      </w:r>
      <w:r w:rsidR="002B5115" w:rsidRPr="00CD29D0">
        <w:t xml:space="preserve">. </w:t>
      </w:r>
      <w:r w:rsidR="00C843D3" w:rsidRPr="00CD29D0">
        <w:t>In the 2025-2026 school year</w:t>
      </w:r>
      <w:r w:rsidR="00B6683F" w:rsidRPr="00CD29D0">
        <w:t>, t</w:t>
      </w:r>
      <w:r w:rsidR="00BC2F9D" w:rsidRPr="00CD29D0">
        <w:t>he district</w:t>
      </w:r>
      <w:r w:rsidR="00BC2F9D" w:rsidRPr="00CD29D0" w:rsidDel="00C843D3">
        <w:t xml:space="preserve"> </w:t>
      </w:r>
      <w:r w:rsidR="00BC2F9D" w:rsidRPr="00CD29D0">
        <w:t xml:space="preserve">started </w:t>
      </w:r>
      <w:r w:rsidR="00FA6DF3" w:rsidRPr="00CD29D0">
        <w:t>a rotation cycle for furniture</w:t>
      </w:r>
      <w:r w:rsidR="00C843D3" w:rsidRPr="00CD29D0">
        <w:t>,</w:t>
      </w:r>
      <w:r w:rsidR="00266014" w:rsidRPr="00CD29D0">
        <w:t xml:space="preserve"> with inventory being tracked by school building. </w:t>
      </w:r>
      <w:r w:rsidR="00D23C08" w:rsidRPr="00CD29D0">
        <w:t>For</w:t>
      </w:r>
      <w:r w:rsidR="00D23C08" w:rsidRPr="00CD29D0" w:rsidDel="00C843D3">
        <w:t xml:space="preserve"> </w:t>
      </w:r>
      <w:r w:rsidR="00D23C08" w:rsidRPr="00CD29D0">
        <w:t>items</w:t>
      </w:r>
      <w:r w:rsidR="001F7FCB" w:rsidRPr="00CD29D0">
        <w:t xml:space="preserve"> that are already owned by the district</w:t>
      </w:r>
      <w:r w:rsidR="00D23C08" w:rsidRPr="00CD29D0">
        <w:t xml:space="preserve">, </w:t>
      </w:r>
      <w:r w:rsidR="00C843D3" w:rsidRPr="00CD29D0">
        <w:t xml:space="preserve">one </w:t>
      </w:r>
      <w:r w:rsidR="00D23C08" w:rsidRPr="00CD29D0">
        <w:t>district leader described tracking as “very loose</w:t>
      </w:r>
      <w:r w:rsidR="00C843D3" w:rsidRPr="00CD29D0">
        <w:t>.</w:t>
      </w:r>
      <w:r w:rsidR="00D23C08" w:rsidRPr="00CD29D0">
        <w:t>”</w:t>
      </w:r>
      <w:r w:rsidR="00EB4318">
        <w:t xml:space="preserve"> </w:t>
      </w:r>
      <w:r w:rsidR="00EB4318" w:rsidRPr="001118CF">
        <w:t xml:space="preserve">Developing a tracking system for capital assets already owned by the district is an area </w:t>
      </w:r>
      <w:r w:rsidR="00627B22" w:rsidRPr="001118CF">
        <w:t>of</w:t>
      </w:r>
      <w:r w:rsidR="00EB4318" w:rsidRPr="001118CF">
        <w:t xml:space="preserve"> growth</w:t>
      </w:r>
      <w:r w:rsidR="00627B22" w:rsidRPr="001118CF">
        <w:t xml:space="preserve"> for the district</w:t>
      </w:r>
      <w:r w:rsidR="00EB4318" w:rsidRPr="001118CF">
        <w:t xml:space="preserve">. </w:t>
      </w:r>
    </w:p>
    <w:p w14:paraId="6A8BD12D" w14:textId="17FFCC5B" w:rsidR="002B4CEF" w:rsidRPr="00CD29D0" w:rsidRDefault="002B4CEF" w:rsidP="000E326D">
      <w:pPr>
        <w:pStyle w:val="Heading3"/>
      </w:pPr>
      <w:r w:rsidRPr="00CD29D0">
        <w:t>Recommendations</w:t>
      </w:r>
    </w:p>
    <w:p w14:paraId="5E23F92A" w14:textId="15175BB9" w:rsidR="00AA3D69" w:rsidRPr="004F27FE" w:rsidRDefault="00AA3D69" w:rsidP="000E326D">
      <w:pPr>
        <w:pStyle w:val="Bullet1"/>
        <w:rPr>
          <w:bCs/>
          <w:i/>
          <w:iCs/>
        </w:rPr>
      </w:pPr>
      <w:r w:rsidRPr="004F27FE">
        <w:rPr>
          <w:bCs/>
          <w:i/>
          <w:iCs/>
        </w:rPr>
        <w:t xml:space="preserve">The district should work with its municipal partners to </w:t>
      </w:r>
      <w:r w:rsidR="00D00F2D" w:rsidRPr="004F27FE">
        <w:rPr>
          <w:bCs/>
          <w:i/>
          <w:iCs/>
        </w:rPr>
        <w:t xml:space="preserve">formalize and </w:t>
      </w:r>
      <w:r w:rsidRPr="004F27FE">
        <w:rPr>
          <w:bCs/>
          <w:i/>
          <w:iCs/>
        </w:rPr>
        <w:t>codify the division of responsibilities</w:t>
      </w:r>
      <w:r w:rsidR="00D00F2D" w:rsidRPr="004F27FE">
        <w:rPr>
          <w:bCs/>
          <w:i/>
          <w:iCs/>
        </w:rPr>
        <w:t xml:space="preserve"> between the district and town business offices through a written agreement. </w:t>
      </w:r>
    </w:p>
    <w:p w14:paraId="10E4978C" w14:textId="3B4610FB" w:rsidR="002B4CEF" w:rsidRPr="004F27FE" w:rsidRDefault="00140BE7" w:rsidP="000E326D">
      <w:pPr>
        <w:pStyle w:val="Bullet1"/>
        <w:rPr>
          <w:bCs/>
          <w:i/>
          <w:iCs/>
        </w:rPr>
      </w:pPr>
      <w:r w:rsidRPr="004F27FE">
        <w:rPr>
          <w:i/>
          <w:iCs/>
        </w:rPr>
        <w:t xml:space="preserve">The district should review its </w:t>
      </w:r>
      <w:r w:rsidR="00720942" w:rsidRPr="004F27FE">
        <w:rPr>
          <w:i/>
          <w:iCs/>
        </w:rPr>
        <w:t>current policy for personal device use in classrooms</w:t>
      </w:r>
      <w:r w:rsidR="009F1D7C" w:rsidRPr="004F27FE">
        <w:rPr>
          <w:i/>
          <w:iCs/>
        </w:rPr>
        <w:t xml:space="preserve">, revise the policy (if necessary), and </w:t>
      </w:r>
      <w:r w:rsidR="00AA3D69" w:rsidRPr="004F27FE">
        <w:rPr>
          <w:i/>
          <w:iCs/>
        </w:rPr>
        <w:t xml:space="preserve">support </w:t>
      </w:r>
      <w:r w:rsidR="009F1D7C" w:rsidRPr="004F27FE">
        <w:rPr>
          <w:i/>
          <w:iCs/>
        </w:rPr>
        <w:t xml:space="preserve">educators to implement the policy in </w:t>
      </w:r>
      <w:r w:rsidR="00AA3D69" w:rsidRPr="004F27FE">
        <w:rPr>
          <w:i/>
          <w:iCs/>
        </w:rPr>
        <w:t xml:space="preserve">an equitable manner. </w:t>
      </w:r>
    </w:p>
    <w:p w14:paraId="2580B43F" w14:textId="5B98CCBE" w:rsidR="00651C25" w:rsidRPr="004F27FE" w:rsidRDefault="004F27FE" w:rsidP="000E326D">
      <w:pPr>
        <w:pStyle w:val="Bullet1"/>
        <w:rPr>
          <w:bCs/>
          <w:i/>
          <w:iCs/>
        </w:rPr>
      </w:pPr>
      <w:r w:rsidRPr="004F27FE">
        <w:rPr>
          <w:i/>
          <w:iCs/>
        </w:rPr>
        <w:t>The district should further systematize its approach to tracking</w:t>
      </w:r>
      <w:r>
        <w:rPr>
          <w:i/>
          <w:iCs/>
        </w:rPr>
        <w:t xml:space="preserve"> its</w:t>
      </w:r>
      <w:r w:rsidRPr="004F27FE">
        <w:rPr>
          <w:i/>
          <w:iCs/>
        </w:rPr>
        <w:t xml:space="preserve"> capital assets and upcoming capital needs. </w:t>
      </w:r>
    </w:p>
    <w:p w14:paraId="26CC0050" w14:textId="23F54D24" w:rsidR="000604FE" w:rsidRPr="00CD29D0" w:rsidRDefault="000604FE" w:rsidP="00711976">
      <w:pPr>
        <w:pStyle w:val="BodyText"/>
        <w:sectPr w:rsidR="000604FE" w:rsidRPr="00CD29D0" w:rsidSect="00295D21">
          <w:headerReference w:type="default" r:id="rId27"/>
          <w:footerReference w:type="default" r:id="rId28"/>
          <w:footerReference w:type="first" r:id="rId29"/>
          <w:pgSz w:w="12240" w:h="15840" w:code="1"/>
          <w:pgMar w:top="1440" w:right="1440" w:bottom="1440" w:left="1440" w:header="720" w:footer="720" w:gutter="0"/>
          <w:cols w:space="720"/>
          <w:docGrid w:linePitch="360"/>
        </w:sectPr>
      </w:pPr>
    </w:p>
    <w:p w14:paraId="3086BDED" w14:textId="6668ACD0" w:rsidR="008E314D" w:rsidRPr="00CD29D0" w:rsidRDefault="008E314D" w:rsidP="000E326D">
      <w:pPr>
        <w:pStyle w:val="Heading2"/>
      </w:pPr>
      <w:bookmarkStart w:id="71" w:name="_Toc227589898"/>
      <w:r w:rsidRPr="00CD29D0">
        <w:lastRenderedPageBreak/>
        <w:t>Appendix A</w:t>
      </w:r>
      <w:r w:rsidR="006A3A0E" w:rsidRPr="00CD29D0">
        <w:t>.</w:t>
      </w:r>
      <w:r w:rsidRPr="00CD29D0">
        <w:t xml:space="preserve"> </w:t>
      </w:r>
      <w:bookmarkEnd w:id="4"/>
      <w:bookmarkEnd w:id="5"/>
      <w:bookmarkEnd w:id="6"/>
      <w:r w:rsidR="00E475E7" w:rsidRPr="00CD29D0">
        <w:t>Summary of Site Visit Activities</w:t>
      </w:r>
      <w:bookmarkEnd w:id="7"/>
      <w:bookmarkEnd w:id="71"/>
    </w:p>
    <w:p w14:paraId="0BB27CD2" w14:textId="1F9C7DA9" w:rsidR="00A45A08" w:rsidRPr="00CD29D0" w:rsidRDefault="00B827DE" w:rsidP="000E326D">
      <w:pPr>
        <w:pStyle w:val="BodyTextposthead"/>
      </w:pPr>
      <w:r w:rsidRPr="00CD29D0">
        <w:t xml:space="preserve">The </w:t>
      </w:r>
      <w:r w:rsidR="00494638" w:rsidRPr="00CD29D0">
        <w:t>AIR</w:t>
      </w:r>
      <w:r w:rsidRPr="00CD29D0">
        <w:t xml:space="preserve"> team completed the following activities as part of the district review activities in </w:t>
      </w:r>
      <w:r w:rsidR="00814AA6" w:rsidRPr="00CD29D0">
        <w:t>Norton</w:t>
      </w:r>
      <w:r w:rsidRPr="00CD29D0">
        <w:t>. The team</w:t>
      </w:r>
      <w:r w:rsidR="000E326D" w:rsidRPr="00CD29D0">
        <w:t xml:space="preserve"> </w:t>
      </w:r>
      <w:r w:rsidRPr="00CD29D0">
        <w:t>conducted</w:t>
      </w:r>
      <w:r w:rsidR="000E326D" w:rsidRPr="00CD29D0">
        <w:t xml:space="preserve"> </w:t>
      </w:r>
      <w:r w:rsidR="00FA3C48" w:rsidRPr="00CD29D0">
        <w:t>73</w:t>
      </w:r>
      <w:r w:rsidRPr="00CD29D0">
        <w:t xml:space="preserve"> classroom observations during the week of </w:t>
      </w:r>
      <w:r w:rsidR="003164B1" w:rsidRPr="00CD29D0">
        <w:t>February 2, 2026</w:t>
      </w:r>
      <w:r w:rsidRPr="00CD29D0">
        <w:t>,</w:t>
      </w:r>
      <w:r w:rsidR="000E326D" w:rsidRPr="00CD29D0">
        <w:t xml:space="preserve"> </w:t>
      </w:r>
      <w:r w:rsidRPr="00CD29D0">
        <w:t>and</w:t>
      </w:r>
      <w:r w:rsidR="000E326D" w:rsidRPr="00CD29D0">
        <w:t xml:space="preserve"> </w:t>
      </w:r>
      <w:r w:rsidRPr="00CD29D0">
        <w:t xml:space="preserve">held interviews and focus groups between </w:t>
      </w:r>
      <w:r w:rsidR="00750F6A" w:rsidRPr="00CD29D0">
        <w:t>February 2-5, 2026</w:t>
      </w:r>
      <w:r w:rsidRPr="00CD29D0">
        <w:t>. The site visit team conducted interviews and focus groups with the following representatives from the school and the district</w:t>
      </w:r>
      <w:r w:rsidR="00A45A08" w:rsidRPr="00CD29D0">
        <w:t>:</w:t>
      </w:r>
    </w:p>
    <w:p w14:paraId="433DFA3E" w14:textId="518D7DE2" w:rsidR="00B827DE" w:rsidRPr="00CD29D0" w:rsidRDefault="00B827DE" w:rsidP="000E326D">
      <w:pPr>
        <w:pStyle w:val="Bullet1"/>
      </w:pPr>
      <w:r w:rsidRPr="00CD29D0">
        <w:t>Superintendent</w:t>
      </w:r>
    </w:p>
    <w:p w14:paraId="3BB607E5" w14:textId="3C231780" w:rsidR="00B827DE" w:rsidRPr="00CD29D0" w:rsidRDefault="00B827DE" w:rsidP="000E326D">
      <w:pPr>
        <w:pStyle w:val="Bullet1"/>
      </w:pPr>
      <w:r w:rsidRPr="00CD29D0">
        <w:t>Other district leaders</w:t>
      </w:r>
    </w:p>
    <w:p w14:paraId="5159C132" w14:textId="29495F85" w:rsidR="00B827DE" w:rsidRPr="00CD29D0" w:rsidRDefault="00B827DE" w:rsidP="000E326D">
      <w:pPr>
        <w:pStyle w:val="Bullet1"/>
      </w:pPr>
      <w:r w:rsidRPr="00CD29D0">
        <w:t>School committee members</w:t>
      </w:r>
    </w:p>
    <w:p w14:paraId="7B556F4E" w14:textId="7EE238DF" w:rsidR="00B827DE" w:rsidRPr="00CD29D0" w:rsidRDefault="00B827DE" w:rsidP="000E326D">
      <w:pPr>
        <w:pStyle w:val="Bullet1"/>
      </w:pPr>
      <w:r w:rsidRPr="00CD29D0">
        <w:t>Teachers’ association members</w:t>
      </w:r>
    </w:p>
    <w:p w14:paraId="179C02DE" w14:textId="47ACAEC2" w:rsidR="00B827DE" w:rsidRPr="00CD29D0" w:rsidRDefault="00B827DE" w:rsidP="000E326D">
      <w:pPr>
        <w:pStyle w:val="Bullet1"/>
      </w:pPr>
      <w:r w:rsidRPr="00CD29D0">
        <w:t>Principals</w:t>
      </w:r>
    </w:p>
    <w:p w14:paraId="5726B81E" w14:textId="46B92A1C" w:rsidR="00B827DE" w:rsidRPr="00CD29D0" w:rsidRDefault="00B827DE" w:rsidP="000E326D">
      <w:pPr>
        <w:pStyle w:val="Bullet1"/>
      </w:pPr>
      <w:r w:rsidRPr="00CD29D0">
        <w:t>Teachers</w:t>
      </w:r>
    </w:p>
    <w:p w14:paraId="03723CF4" w14:textId="489141A6" w:rsidR="00B827DE" w:rsidRPr="00CD29D0" w:rsidRDefault="00B827DE" w:rsidP="000E326D">
      <w:pPr>
        <w:pStyle w:val="Bullet1"/>
      </w:pPr>
      <w:r w:rsidRPr="00CD29D0">
        <w:t>Support specialists</w:t>
      </w:r>
    </w:p>
    <w:p w14:paraId="50991F40" w14:textId="0790501B" w:rsidR="00B827DE" w:rsidRPr="00CD29D0" w:rsidRDefault="00B827DE" w:rsidP="000E326D">
      <w:pPr>
        <w:pStyle w:val="Bullet1"/>
      </w:pPr>
      <w:r w:rsidRPr="00CD29D0">
        <w:t>Parents</w:t>
      </w:r>
    </w:p>
    <w:p w14:paraId="1D50C673" w14:textId="465DC445" w:rsidR="00B827DE" w:rsidRPr="00CD29D0" w:rsidRDefault="00B827DE" w:rsidP="000E326D">
      <w:pPr>
        <w:pStyle w:val="Bullet1"/>
      </w:pPr>
      <w:r w:rsidRPr="00CD29D0">
        <w:t>Students</w:t>
      </w:r>
    </w:p>
    <w:p w14:paraId="3ED9E858" w14:textId="163F6835" w:rsidR="00B827DE" w:rsidRPr="00CD29D0" w:rsidRDefault="00B827DE" w:rsidP="000E326D">
      <w:pPr>
        <w:pStyle w:val="Bullet1"/>
      </w:pPr>
      <w:r w:rsidRPr="00CD29D0">
        <w:t>Town representative</w:t>
      </w:r>
    </w:p>
    <w:p w14:paraId="3B8B86A6" w14:textId="77777777" w:rsidR="00A45A08" w:rsidRPr="00CD29D0" w:rsidRDefault="00B827DE" w:rsidP="000E326D">
      <w:pPr>
        <w:pStyle w:val="BodyText"/>
      </w:pPr>
      <w:r w:rsidRPr="00CD29D0">
        <w:t>The review team analyzed multiple datasets and reviewed numerous documents before and during the site visit, including</w:t>
      </w:r>
      <w:r w:rsidR="00494638" w:rsidRPr="00CD29D0">
        <w:t xml:space="preserve"> the following</w:t>
      </w:r>
      <w:r w:rsidR="00A45A08" w:rsidRPr="00CD29D0">
        <w:t>:</w:t>
      </w:r>
    </w:p>
    <w:p w14:paraId="207079BB" w14:textId="1EBC5EBF" w:rsidR="00B827DE" w:rsidRPr="00CD29D0" w:rsidRDefault="00B827DE" w:rsidP="000E326D">
      <w:pPr>
        <w:pStyle w:val="Bullet1"/>
      </w:pPr>
      <w:r w:rsidRPr="00CD29D0">
        <w:t>Student and school performance data, including achievement and growth, enrollment, graduation, dropout, retention, suspension, and attendance rates</w:t>
      </w:r>
    </w:p>
    <w:p w14:paraId="15FAB3E2" w14:textId="4BC0DEFB" w:rsidR="00B827DE" w:rsidRPr="00CD29D0" w:rsidRDefault="00B827DE" w:rsidP="000E326D">
      <w:pPr>
        <w:pStyle w:val="Bullet1"/>
      </w:pPr>
      <w:r w:rsidRPr="00CD29D0">
        <w:t>Data on the district’s staffing and finances</w:t>
      </w:r>
    </w:p>
    <w:p w14:paraId="4DD39A60" w14:textId="7A31A1A3" w:rsidR="00B827DE" w:rsidRPr="00CD29D0" w:rsidRDefault="0054101D" w:rsidP="000E326D">
      <w:pPr>
        <w:pStyle w:val="Bullet1"/>
      </w:pPr>
      <w:r w:rsidRPr="00CD29D0">
        <w:t xml:space="preserve">Curricular </w:t>
      </w:r>
      <w:r w:rsidR="00B827DE" w:rsidRPr="00CD29D0">
        <w:t>review process and timeline</w:t>
      </w:r>
    </w:p>
    <w:p w14:paraId="49D63455" w14:textId="6C2D455D" w:rsidR="00B827DE" w:rsidRPr="00CD29D0" w:rsidRDefault="001D4D9D" w:rsidP="000E326D">
      <w:pPr>
        <w:pStyle w:val="Bullet1"/>
      </w:pPr>
      <w:r w:rsidRPr="00CD29D0">
        <w:t>Norton</w:t>
      </w:r>
      <w:r w:rsidR="00B827DE" w:rsidRPr="00CD29D0">
        <w:t xml:space="preserve"> curriculum unit template</w:t>
      </w:r>
    </w:p>
    <w:p w14:paraId="39A28A74" w14:textId="212B18BC" w:rsidR="00B827DE" w:rsidRPr="00CD29D0" w:rsidRDefault="00B827DE" w:rsidP="000E326D">
      <w:pPr>
        <w:pStyle w:val="Bullet1"/>
      </w:pPr>
      <w:r w:rsidRPr="00CD29D0">
        <w:t>Published educational reports on the district by DESE, the New England Association of Schools and Colleges, and the former Office of Educational Quality and Accountability</w:t>
      </w:r>
    </w:p>
    <w:p w14:paraId="2BA65B5C" w14:textId="64699D20" w:rsidR="00B827DE" w:rsidRPr="00CD29D0" w:rsidRDefault="00B827DE" w:rsidP="000E326D">
      <w:pPr>
        <w:pStyle w:val="Bullet1"/>
      </w:pPr>
      <w:r w:rsidRPr="00CD29D0">
        <w:t xml:space="preserve">District documents such as district and </w:t>
      </w:r>
      <w:r w:rsidR="00494638" w:rsidRPr="00CD29D0">
        <w:t xml:space="preserve">school </w:t>
      </w:r>
      <w:r w:rsidRPr="00CD29D0">
        <w:t>improvement plans, school committee policies, curriculum documents, summaries of student assessments, job descriptions, collective bargaining agreements, evaluation tools for staff, handbooks, school schedules, and the district’s end-of-year financial reports</w:t>
      </w:r>
    </w:p>
    <w:p w14:paraId="463A5006" w14:textId="5951B3F4" w:rsidR="008D6102" w:rsidRPr="00CD29D0" w:rsidRDefault="00B827DE" w:rsidP="00853B6D">
      <w:pPr>
        <w:pStyle w:val="Bullet1"/>
      </w:pPr>
      <w:r w:rsidRPr="00CD29D0">
        <w:t>All completed program and administrator evaluations and a random selection of completed teacher evaluations</w:t>
      </w:r>
    </w:p>
    <w:p w14:paraId="6A7B59BA" w14:textId="77777777" w:rsidR="006D0B48" w:rsidRPr="00CD29D0"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D29D0" w:rsidSect="00D67AD2">
          <w:footerReference w:type="default" r:id="rId30"/>
          <w:pgSz w:w="12240" w:h="15840" w:code="1"/>
          <w:pgMar w:top="1440" w:right="1440" w:bottom="1440" w:left="1440" w:header="720" w:footer="720" w:gutter="0"/>
          <w:pgNumType w:start="1"/>
          <w:cols w:space="720"/>
          <w:docGrid w:linePitch="360"/>
        </w:sectPr>
      </w:pPr>
    </w:p>
    <w:p w14:paraId="2A2032DD" w14:textId="40F79A8C" w:rsidR="008A18DA" w:rsidRPr="00CD29D0" w:rsidRDefault="00486B55" w:rsidP="001C3C1D">
      <w:pPr>
        <w:pStyle w:val="Heading2"/>
      </w:pPr>
      <w:bookmarkStart w:id="72" w:name="_Toc101878651"/>
      <w:bookmarkStart w:id="73" w:name="_Toc227589899"/>
      <w:bookmarkStart w:id="74" w:name="_Hlk100740908"/>
      <w:bookmarkStart w:id="75" w:name="_Toc101878652"/>
      <w:bookmarkStart w:id="76" w:name="_Toc101878650"/>
      <w:r w:rsidRPr="00CD29D0">
        <w:lastRenderedPageBreak/>
        <w:t>Appendix B. Districtwide Instructional Observation Report</w:t>
      </w:r>
      <w:bookmarkEnd w:id="72"/>
      <w:bookmarkEnd w:id="73"/>
      <w:r w:rsidR="008A18DA" w:rsidRPr="00CD29D0">
        <w:br w:type="page"/>
      </w:r>
    </w:p>
    <w:p w14:paraId="197DD6C9" w14:textId="77777777" w:rsidR="00405424" w:rsidRPr="00CD29D0" w:rsidRDefault="00405424" w:rsidP="00BF0B5C">
      <w:pPr>
        <w:pStyle w:val="CoverTopLogo"/>
      </w:pPr>
      <w:r w:rsidRPr="00CD29D0">
        <w:rPr>
          <w:rFonts w:ascii="Times New Roman" w:eastAsia="Calibri" w:hAnsi="Times New Roman" w:cs="Times New Roman"/>
          <w:noProof/>
          <w:sz w:val="20"/>
        </w:rPr>
        <w:lastRenderedPageBreak/>
        <w:drawing>
          <wp:inline distT="0" distB="0" distL="0" distR="0" wp14:anchorId="6E06E61F" wp14:editId="19B713EC">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CD29D0">
        <w:rPr>
          <w:noProof/>
        </w:rPr>
        <w:drawing>
          <wp:anchor distT="0" distB="0" distL="114300" distR="114300" simplePos="0" relativeHeight="251658240" behindDoc="1" locked="1" layoutInCell="1" allowOverlap="1" wp14:anchorId="1F840480" wp14:editId="26AD6C15">
            <wp:simplePos x="0" y="0"/>
            <wp:positionH relativeFrom="column">
              <wp:align>center</wp:align>
            </wp:positionH>
            <wp:positionV relativeFrom="margin">
              <wp:align>top</wp:align>
            </wp:positionV>
            <wp:extent cx="6665976" cy="9134856"/>
            <wp:effectExtent l="0" t="0" r="1905" b="0"/>
            <wp:wrapNone/>
            <wp:docPr id="1710927754" name="Picture 17109277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0BA5A973" w14:textId="77777777" w:rsidR="00405424" w:rsidRPr="00CD29D0" w:rsidRDefault="00405424" w:rsidP="009D59D5">
      <w:pPr>
        <w:pStyle w:val="CoverDistrictName"/>
      </w:pPr>
      <w:bookmarkStart w:id="77" w:name="District1"/>
      <w:r w:rsidRPr="00CD29D0">
        <w:t>Norton</w:t>
      </w:r>
      <w:bookmarkEnd w:id="77"/>
      <w:r w:rsidRPr="00CD29D0">
        <w:t xml:space="preserve"> Public Schools</w:t>
      </w:r>
    </w:p>
    <w:p w14:paraId="6D625EBE" w14:textId="77777777" w:rsidR="00405424" w:rsidRPr="00CD29D0" w:rsidRDefault="00405424" w:rsidP="009D59D5">
      <w:pPr>
        <w:pStyle w:val="CoverSubtitle3"/>
      </w:pPr>
      <w:r w:rsidRPr="00CD29D0">
        <w:t>Classroom Visits: Summary of Findings</w:t>
      </w:r>
    </w:p>
    <w:p w14:paraId="71D9812D" w14:textId="77777777" w:rsidR="00405424" w:rsidRPr="00601C25" w:rsidRDefault="00405424" w:rsidP="003B4D21">
      <w:pPr>
        <w:pStyle w:val="CoverSubtitle2-SIOR"/>
        <w:rPr>
          <w:color w:val="auto"/>
        </w:rPr>
      </w:pPr>
      <w:r w:rsidRPr="00601C25">
        <w:rPr>
          <w:color w:val="auto"/>
        </w:rPr>
        <w:t>Districtwide Instructional Observation Report</w:t>
      </w:r>
    </w:p>
    <w:p w14:paraId="403D99C1" w14:textId="77777777" w:rsidR="00405424" w:rsidRPr="00CD29D0" w:rsidRDefault="00405424" w:rsidP="009D59D5">
      <w:pPr>
        <w:pStyle w:val="CoverDate"/>
      </w:pPr>
      <w:bookmarkStart w:id="78" w:name="MonthName1"/>
      <w:r w:rsidRPr="00CD29D0">
        <w:t>February</w:t>
      </w:r>
      <w:bookmarkEnd w:id="78"/>
      <w:r w:rsidRPr="00CD29D0">
        <w:t xml:space="preserve"> </w:t>
      </w:r>
      <w:bookmarkStart w:id="79" w:name="Year1"/>
      <w:r w:rsidRPr="00CD29D0">
        <w:t>2026</w:t>
      </w:r>
      <w:bookmarkEnd w:id="79"/>
    </w:p>
    <w:p w14:paraId="16404513" w14:textId="64ADF808" w:rsidR="00405424" w:rsidRPr="00CD29D0" w:rsidRDefault="00601C25" w:rsidP="00601C25">
      <w:pPr>
        <w:pStyle w:val="CoverBottomLogo"/>
        <w:tabs>
          <w:tab w:val="left" w:pos="8960"/>
        </w:tabs>
        <w:spacing w:before="6200"/>
        <w:ind w:left="450"/>
        <w:sectPr w:rsidR="00405424" w:rsidRPr="00CD29D0" w:rsidSect="0006728B">
          <w:footerReference w:type="default" r:id="rId33"/>
          <w:footerReference w:type="first" r:id="rId34"/>
          <w:pgSz w:w="12240" w:h="15840" w:code="1"/>
          <w:pgMar w:top="720" w:right="1008" w:bottom="720" w:left="1008" w:header="720" w:footer="720" w:gutter="0"/>
          <w:pgNumType w:start="1"/>
          <w:cols w:space="720"/>
          <w:titlePg/>
          <w:docGrid w:linePitch="360"/>
        </w:sectPr>
      </w:pPr>
      <w:r>
        <w:tab/>
      </w:r>
    </w:p>
    <w:p w14:paraId="3AA6BA14" w14:textId="77777777" w:rsidR="00405424" w:rsidRPr="00CD29D0" w:rsidRDefault="00405424" w:rsidP="00BF0B5C">
      <w:pPr>
        <w:pStyle w:val="CoverBottomLogo"/>
        <w:spacing w:before="6200"/>
        <w:ind w:left="450"/>
      </w:pPr>
      <w:r w:rsidRPr="00CD29D0">
        <w:rPr>
          <w:noProof/>
        </w:rPr>
        <w:lastRenderedPageBreak/>
        <w:drawing>
          <wp:inline distT="0" distB="0" distL="0" distR="0" wp14:anchorId="66182357" wp14:editId="3B29C748">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293D5261" w14:textId="77777777" w:rsidR="00405424" w:rsidRPr="00CD29D0" w:rsidRDefault="00405424" w:rsidP="00BF0B5C">
      <w:pPr>
        <w:pStyle w:val="Cover-AIRaddress"/>
        <w:spacing w:before="6000"/>
      </w:pPr>
      <w:r w:rsidRPr="00CD29D0">
        <w:br w:type="column"/>
      </w:r>
      <w:r w:rsidRPr="00CD29D0">
        <w:t>1400 Crystal Drive, 10</w:t>
      </w:r>
      <w:r w:rsidRPr="00CD29D0">
        <w:rPr>
          <w:vertAlign w:val="superscript"/>
        </w:rPr>
        <w:t>th</w:t>
      </w:r>
      <w:r w:rsidRPr="00CD29D0">
        <w:t xml:space="preserve"> Floor</w:t>
      </w:r>
      <w:r w:rsidRPr="00CD29D0">
        <w:br/>
        <w:t>Arlington, Virginia 22202-3289</w:t>
      </w:r>
      <w:r w:rsidRPr="00CD29D0">
        <w:br/>
        <w:t>(202) 403-5000</w:t>
      </w:r>
    </w:p>
    <w:p w14:paraId="58811427" w14:textId="49845CB0" w:rsidR="00405424" w:rsidRPr="00CD29D0" w:rsidRDefault="00405424" w:rsidP="00BF0B5C">
      <w:pPr>
        <w:pStyle w:val="Cover-AIRaddress"/>
      </w:pPr>
      <w:hyperlink r:id="rId36" w:history="1">
        <w:r w:rsidRPr="00CD29D0">
          <w:rPr>
            <w:rStyle w:val="FranklinGothicDemi"/>
            <w:u w:val="single"/>
          </w:rPr>
          <w:t>www.air.org</w:t>
        </w:r>
      </w:hyperlink>
    </w:p>
    <w:p w14:paraId="6AEF0836" w14:textId="77777777" w:rsidR="00405424" w:rsidRPr="00CD29D0" w:rsidRDefault="00405424" w:rsidP="00BF0B5C">
      <w:pPr>
        <w:pStyle w:val="Cover-AIRaddress"/>
        <w:sectPr w:rsidR="00405424" w:rsidRPr="00CD29D0" w:rsidSect="00405424">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6F1AFCF8" w14:textId="77777777" w:rsidR="00405424" w:rsidRPr="00CD29D0" w:rsidRDefault="00405424" w:rsidP="0060368F">
      <w:pPr>
        <w:pStyle w:val="TOCHeading"/>
      </w:pPr>
      <w:r w:rsidRPr="00CD29D0">
        <w:lastRenderedPageBreak/>
        <w:t>Contents</w:t>
      </w:r>
    </w:p>
    <w:p w14:paraId="7967B1F2" w14:textId="77777777" w:rsidR="00405424" w:rsidRPr="00CD29D0" w:rsidRDefault="00405424" w:rsidP="00BF0B5C">
      <w:pPr>
        <w:spacing w:after="120"/>
        <w:jc w:val="right"/>
        <w:rPr>
          <w:rFonts w:ascii="Calibri" w:eastAsia="Times New Roman" w:hAnsi="Calibri" w:cs="Calibri"/>
          <w:b/>
          <w:bCs/>
          <w:szCs w:val="20"/>
        </w:rPr>
      </w:pPr>
      <w:r w:rsidRPr="00CD29D0">
        <w:rPr>
          <w:rFonts w:ascii="Calibri" w:eastAsia="Times New Roman" w:hAnsi="Calibri" w:cs="Calibri"/>
          <w:b/>
          <w:bCs/>
          <w:szCs w:val="20"/>
        </w:rPr>
        <w:t>Page</w:t>
      </w:r>
    </w:p>
    <w:p w14:paraId="2F37F047" w14:textId="165A52CB" w:rsidR="00D35D58" w:rsidRPr="00CD29D0" w:rsidRDefault="00405424" w:rsidP="00D35D58">
      <w:pPr>
        <w:pStyle w:val="TOC1"/>
        <w:rPr>
          <w:rFonts w:eastAsiaTheme="minorEastAsia"/>
          <w:kern w:val="2"/>
          <w:sz w:val="24"/>
          <w:szCs w:val="24"/>
          <w14:ligatures w14:val="standardContextual"/>
        </w:rPr>
      </w:pPr>
      <w:r w:rsidRPr="00CD29D0">
        <w:rPr>
          <w:rFonts w:ascii="Calibri" w:eastAsia="Times New Roman" w:hAnsi="Calibri" w:cs="Calibri"/>
          <w:b/>
          <w:bCs/>
          <w:szCs w:val="20"/>
        </w:rPr>
        <w:fldChar w:fldCharType="begin"/>
      </w:r>
      <w:r w:rsidRPr="00CD29D0">
        <w:rPr>
          <w:rFonts w:ascii="Calibri" w:eastAsia="Times New Roman" w:hAnsi="Calibri" w:cs="Calibri"/>
          <w:b/>
          <w:bCs/>
          <w:szCs w:val="20"/>
        </w:rPr>
        <w:instrText xml:space="preserve"> TOC \h \z \t "Heading 2 - SIOR,1" </w:instrText>
      </w:r>
      <w:r w:rsidRPr="00CD29D0">
        <w:rPr>
          <w:rFonts w:ascii="Calibri" w:eastAsia="Times New Roman" w:hAnsi="Calibri" w:cs="Calibri"/>
          <w:b/>
          <w:bCs/>
          <w:szCs w:val="20"/>
        </w:rPr>
        <w:fldChar w:fldCharType="separate"/>
      </w:r>
      <w:hyperlink w:anchor="_Toc227587561" w:history="1">
        <w:r w:rsidR="00D35D58" w:rsidRPr="00CD29D0">
          <w:rPr>
            <w:rStyle w:val="Hyperlink"/>
          </w:rPr>
          <w:t>Introduction</w:t>
        </w:r>
        <w:r w:rsidR="00D35D58" w:rsidRPr="00CD29D0">
          <w:rPr>
            <w:webHidden/>
          </w:rPr>
          <w:tab/>
        </w:r>
        <w:r w:rsidR="00ED7A47" w:rsidRPr="00CD29D0">
          <w:rPr>
            <w:webHidden/>
          </w:rPr>
          <w:t>B-</w:t>
        </w:r>
        <w:r w:rsidR="00D35D58" w:rsidRPr="00CD29D0">
          <w:rPr>
            <w:webHidden/>
          </w:rPr>
          <w:fldChar w:fldCharType="begin"/>
        </w:r>
        <w:r w:rsidR="00D35D58" w:rsidRPr="00CD29D0">
          <w:rPr>
            <w:webHidden/>
          </w:rPr>
          <w:instrText xml:space="preserve"> PAGEREF _Toc227587561 \h </w:instrText>
        </w:r>
        <w:r w:rsidR="00D35D58" w:rsidRPr="00CD29D0">
          <w:rPr>
            <w:webHidden/>
          </w:rPr>
        </w:r>
        <w:r w:rsidR="00D35D58" w:rsidRPr="00CD29D0">
          <w:rPr>
            <w:webHidden/>
          </w:rPr>
          <w:fldChar w:fldCharType="separate"/>
        </w:r>
        <w:r w:rsidR="00730DC1">
          <w:rPr>
            <w:noProof/>
            <w:webHidden/>
          </w:rPr>
          <w:t>4</w:t>
        </w:r>
        <w:r w:rsidR="00D35D58" w:rsidRPr="00CD29D0">
          <w:rPr>
            <w:webHidden/>
          </w:rPr>
          <w:fldChar w:fldCharType="end"/>
        </w:r>
      </w:hyperlink>
    </w:p>
    <w:p w14:paraId="1009AFA9" w14:textId="4C99C12D" w:rsidR="00D35D58" w:rsidRPr="00CD29D0" w:rsidRDefault="00D35D58" w:rsidP="00D35D58">
      <w:pPr>
        <w:pStyle w:val="TOC1"/>
        <w:rPr>
          <w:rFonts w:eastAsiaTheme="minorEastAsia"/>
          <w:kern w:val="2"/>
          <w:sz w:val="24"/>
          <w:szCs w:val="24"/>
          <w14:ligatures w14:val="standardContextual"/>
        </w:rPr>
      </w:pPr>
      <w:hyperlink w:anchor="_Toc227587562" w:history="1">
        <w:r w:rsidRPr="00CD29D0">
          <w:rPr>
            <w:rStyle w:val="Hyperlink"/>
          </w:rPr>
          <w:t>Positive Climate</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_Toc227587562 \h </w:instrText>
        </w:r>
        <w:r w:rsidRPr="00CD29D0">
          <w:rPr>
            <w:webHidden/>
          </w:rPr>
        </w:r>
        <w:r w:rsidRPr="00CD29D0">
          <w:rPr>
            <w:webHidden/>
          </w:rPr>
          <w:fldChar w:fldCharType="separate"/>
        </w:r>
        <w:r w:rsidR="00730DC1">
          <w:rPr>
            <w:noProof/>
            <w:webHidden/>
          </w:rPr>
          <w:t>6</w:t>
        </w:r>
        <w:r w:rsidRPr="00CD29D0">
          <w:rPr>
            <w:webHidden/>
          </w:rPr>
          <w:fldChar w:fldCharType="end"/>
        </w:r>
      </w:hyperlink>
    </w:p>
    <w:p w14:paraId="5EA48E08" w14:textId="02595435" w:rsidR="00D35D58" w:rsidRPr="00CD29D0" w:rsidRDefault="00D35D58" w:rsidP="00D35D58">
      <w:pPr>
        <w:pStyle w:val="TOC1"/>
        <w:rPr>
          <w:rFonts w:eastAsiaTheme="minorEastAsia"/>
          <w:kern w:val="2"/>
          <w:sz w:val="24"/>
          <w:szCs w:val="24"/>
          <w14:ligatures w14:val="standardContextual"/>
        </w:rPr>
      </w:pPr>
      <w:hyperlink w:anchor="_Toc227587563" w:history="1">
        <w:r w:rsidRPr="00CD29D0">
          <w:rPr>
            <w:rStyle w:val="Hyperlink"/>
          </w:rPr>
          <w:t>Teacher Sensitivity</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_Toc227587563 \h </w:instrText>
        </w:r>
        <w:r w:rsidRPr="00CD29D0">
          <w:rPr>
            <w:webHidden/>
          </w:rPr>
        </w:r>
        <w:r w:rsidRPr="00CD29D0">
          <w:rPr>
            <w:webHidden/>
          </w:rPr>
          <w:fldChar w:fldCharType="separate"/>
        </w:r>
        <w:r w:rsidR="00730DC1">
          <w:rPr>
            <w:noProof/>
            <w:webHidden/>
          </w:rPr>
          <w:t>7</w:t>
        </w:r>
        <w:r w:rsidRPr="00CD29D0">
          <w:rPr>
            <w:webHidden/>
          </w:rPr>
          <w:fldChar w:fldCharType="end"/>
        </w:r>
      </w:hyperlink>
    </w:p>
    <w:p w14:paraId="69E9A61D" w14:textId="77DCCE7A" w:rsidR="00D35D58" w:rsidRPr="00CD29D0" w:rsidRDefault="00D35D58" w:rsidP="00D35D58">
      <w:pPr>
        <w:pStyle w:val="TOC1"/>
        <w:rPr>
          <w:rFonts w:eastAsiaTheme="minorEastAsia"/>
          <w:kern w:val="2"/>
          <w:sz w:val="24"/>
          <w:szCs w:val="24"/>
          <w14:ligatures w14:val="standardContextual"/>
        </w:rPr>
      </w:pPr>
      <w:hyperlink w:anchor="_Toc227587564" w:history="1">
        <w:r w:rsidRPr="00CD29D0">
          <w:rPr>
            <w:rStyle w:val="Hyperlink"/>
          </w:rPr>
          <w:t>Regard for Student Perspectives</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_Toc227587564 \h </w:instrText>
        </w:r>
        <w:r w:rsidRPr="00CD29D0">
          <w:rPr>
            <w:webHidden/>
          </w:rPr>
        </w:r>
        <w:r w:rsidRPr="00CD29D0">
          <w:rPr>
            <w:webHidden/>
          </w:rPr>
          <w:fldChar w:fldCharType="separate"/>
        </w:r>
        <w:r w:rsidR="00730DC1">
          <w:rPr>
            <w:noProof/>
            <w:webHidden/>
          </w:rPr>
          <w:t>8</w:t>
        </w:r>
        <w:r w:rsidRPr="00CD29D0">
          <w:rPr>
            <w:webHidden/>
          </w:rPr>
          <w:fldChar w:fldCharType="end"/>
        </w:r>
      </w:hyperlink>
    </w:p>
    <w:p w14:paraId="4396A53D" w14:textId="6C4B904E" w:rsidR="00D35D58" w:rsidRPr="00CD29D0" w:rsidRDefault="00D35D58" w:rsidP="00D35D58">
      <w:pPr>
        <w:pStyle w:val="TOC1"/>
        <w:rPr>
          <w:rFonts w:eastAsiaTheme="minorEastAsia"/>
          <w:kern w:val="2"/>
          <w:sz w:val="24"/>
          <w:szCs w:val="24"/>
          <w14:ligatures w14:val="standardContextual"/>
        </w:rPr>
      </w:pPr>
      <w:hyperlink w:anchor="_Toc227587565" w:history="1">
        <w:r w:rsidRPr="00CD29D0">
          <w:rPr>
            <w:rStyle w:val="Hyperlink"/>
          </w:rPr>
          <w:t>Negative Climate</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_Toc227587565 \h </w:instrText>
        </w:r>
        <w:r w:rsidRPr="00CD29D0">
          <w:rPr>
            <w:webHidden/>
          </w:rPr>
        </w:r>
        <w:r w:rsidRPr="00CD29D0">
          <w:rPr>
            <w:webHidden/>
          </w:rPr>
          <w:fldChar w:fldCharType="separate"/>
        </w:r>
        <w:r w:rsidR="00730DC1">
          <w:rPr>
            <w:noProof/>
            <w:webHidden/>
          </w:rPr>
          <w:t>9</w:t>
        </w:r>
        <w:r w:rsidRPr="00CD29D0">
          <w:rPr>
            <w:webHidden/>
          </w:rPr>
          <w:fldChar w:fldCharType="end"/>
        </w:r>
      </w:hyperlink>
    </w:p>
    <w:p w14:paraId="054DF4EC" w14:textId="5A6267F8" w:rsidR="00D35D58" w:rsidRPr="00CD29D0" w:rsidRDefault="00D35D58" w:rsidP="00D35D58">
      <w:pPr>
        <w:pStyle w:val="TOC1"/>
        <w:rPr>
          <w:rFonts w:eastAsiaTheme="minorEastAsia"/>
          <w:kern w:val="2"/>
          <w:sz w:val="24"/>
          <w:szCs w:val="24"/>
          <w14:ligatures w14:val="standardContextual"/>
        </w:rPr>
      </w:pPr>
      <w:hyperlink w:anchor="_Toc227587566" w:history="1">
        <w:r w:rsidRPr="00CD29D0">
          <w:rPr>
            <w:rStyle w:val="Hyperlink"/>
          </w:rPr>
          <w:t>Behavior Management</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_Toc227587566 \h </w:instrText>
        </w:r>
        <w:r w:rsidRPr="00CD29D0">
          <w:rPr>
            <w:webHidden/>
          </w:rPr>
        </w:r>
        <w:r w:rsidRPr="00CD29D0">
          <w:rPr>
            <w:webHidden/>
          </w:rPr>
          <w:fldChar w:fldCharType="separate"/>
        </w:r>
        <w:r w:rsidR="00730DC1">
          <w:rPr>
            <w:noProof/>
            <w:webHidden/>
          </w:rPr>
          <w:t>10</w:t>
        </w:r>
        <w:r w:rsidRPr="00CD29D0">
          <w:rPr>
            <w:webHidden/>
          </w:rPr>
          <w:fldChar w:fldCharType="end"/>
        </w:r>
      </w:hyperlink>
    </w:p>
    <w:p w14:paraId="1AB9BA75" w14:textId="61D05954" w:rsidR="00D35D58" w:rsidRPr="00CD29D0" w:rsidRDefault="00D35D58" w:rsidP="00D35D58">
      <w:pPr>
        <w:pStyle w:val="TOC1"/>
        <w:rPr>
          <w:rFonts w:eastAsiaTheme="minorEastAsia"/>
          <w:kern w:val="2"/>
          <w:sz w:val="24"/>
          <w:szCs w:val="24"/>
          <w14:ligatures w14:val="standardContextual"/>
        </w:rPr>
      </w:pPr>
      <w:hyperlink w:anchor="_Toc227587567" w:history="1">
        <w:r w:rsidRPr="00CD29D0">
          <w:rPr>
            <w:rStyle w:val="Hyperlink"/>
          </w:rPr>
          <w:t>Productivity</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_Toc227587567 \h </w:instrText>
        </w:r>
        <w:r w:rsidRPr="00CD29D0">
          <w:rPr>
            <w:webHidden/>
          </w:rPr>
        </w:r>
        <w:r w:rsidRPr="00CD29D0">
          <w:rPr>
            <w:webHidden/>
          </w:rPr>
          <w:fldChar w:fldCharType="separate"/>
        </w:r>
        <w:r w:rsidR="00730DC1">
          <w:rPr>
            <w:noProof/>
            <w:webHidden/>
          </w:rPr>
          <w:t>11</w:t>
        </w:r>
        <w:r w:rsidRPr="00CD29D0">
          <w:rPr>
            <w:webHidden/>
          </w:rPr>
          <w:fldChar w:fldCharType="end"/>
        </w:r>
      </w:hyperlink>
    </w:p>
    <w:p w14:paraId="6232E13C" w14:textId="3FD59F23" w:rsidR="00D35D58" w:rsidRPr="00CD29D0" w:rsidRDefault="00D35D58" w:rsidP="00D35D58">
      <w:pPr>
        <w:pStyle w:val="TOC1"/>
        <w:rPr>
          <w:rFonts w:eastAsiaTheme="minorEastAsia"/>
          <w:kern w:val="2"/>
          <w:sz w:val="24"/>
          <w:szCs w:val="24"/>
          <w14:ligatures w14:val="standardContextual"/>
        </w:rPr>
      </w:pPr>
      <w:hyperlink w:anchor="_Toc227587568" w:history="1">
        <w:r w:rsidRPr="00CD29D0">
          <w:rPr>
            <w:rStyle w:val="Hyperlink"/>
          </w:rPr>
          <w:t>Instructional Learning Formats</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_Toc227587568 \h </w:instrText>
        </w:r>
        <w:r w:rsidRPr="00CD29D0">
          <w:rPr>
            <w:webHidden/>
          </w:rPr>
        </w:r>
        <w:r w:rsidRPr="00CD29D0">
          <w:rPr>
            <w:webHidden/>
          </w:rPr>
          <w:fldChar w:fldCharType="separate"/>
        </w:r>
        <w:r w:rsidR="00730DC1">
          <w:rPr>
            <w:noProof/>
            <w:webHidden/>
          </w:rPr>
          <w:t>12</w:t>
        </w:r>
        <w:r w:rsidRPr="00CD29D0">
          <w:rPr>
            <w:webHidden/>
          </w:rPr>
          <w:fldChar w:fldCharType="end"/>
        </w:r>
      </w:hyperlink>
    </w:p>
    <w:p w14:paraId="54F7A69E" w14:textId="139028B9" w:rsidR="00D35D58" w:rsidRPr="00CD29D0" w:rsidRDefault="00D35D58" w:rsidP="00D35D58">
      <w:pPr>
        <w:pStyle w:val="TOC1"/>
        <w:rPr>
          <w:rFonts w:eastAsiaTheme="minorEastAsia"/>
          <w:kern w:val="2"/>
          <w:sz w:val="24"/>
          <w:szCs w:val="24"/>
          <w14:ligatures w14:val="standardContextual"/>
        </w:rPr>
      </w:pPr>
      <w:hyperlink w:anchor="_Toc227587569" w:history="1">
        <w:r w:rsidRPr="00CD29D0">
          <w:rPr>
            <w:rStyle w:val="Hyperlink"/>
          </w:rPr>
          <w:t>Concept Development</w:t>
        </w:r>
        <w:r w:rsidRPr="00CD29D0">
          <w:rPr>
            <w:webHidden/>
          </w:rPr>
          <w:tab/>
        </w:r>
        <w:r w:rsidR="00ED7A47" w:rsidRPr="00CD29D0">
          <w:rPr>
            <w:webHidden/>
          </w:rPr>
          <w:t>B-</w:t>
        </w:r>
        <w:r w:rsidRPr="00CD29D0">
          <w:rPr>
            <w:webHidden/>
          </w:rPr>
          <w:fldChar w:fldCharType="begin"/>
        </w:r>
        <w:r w:rsidRPr="00CD29D0">
          <w:rPr>
            <w:webHidden/>
          </w:rPr>
          <w:instrText xml:space="preserve"> PAGEREF _Toc227587569 \h </w:instrText>
        </w:r>
        <w:r w:rsidRPr="00CD29D0">
          <w:rPr>
            <w:webHidden/>
          </w:rPr>
        </w:r>
        <w:r w:rsidRPr="00CD29D0">
          <w:rPr>
            <w:webHidden/>
          </w:rPr>
          <w:fldChar w:fldCharType="separate"/>
        </w:r>
        <w:r w:rsidR="00730DC1">
          <w:rPr>
            <w:noProof/>
            <w:webHidden/>
          </w:rPr>
          <w:t>14</w:t>
        </w:r>
        <w:r w:rsidRPr="00CD29D0">
          <w:rPr>
            <w:webHidden/>
          </w:rPr>
          <w:fldChar w:fldCharType="end"/>
        </w:r>
      </w:hyperlink>
    </w:p>
    <w:p w14:paraId="3BBFE3D9" w14:textId="1A4DDDFC" w:rsidR="00D35D58" w:rsidRPr="00CD29D0" w:rsidRDefault="00D35D58" w:rsidP="00D35D58">
      <w:pPr>
        <w:pStyle w:val="TOC1"/>
        <w:rPr>
          <w:rFonts w:eastAsiaTheme="minorEastAsia"/>
          <w:kern w:val="2"/>
          <w:sz w:val="24"/>
          <w:szCs w:val="24"/>
          <w14:ligatures w14:val="standardContextual"/>
        </w:rPr>
      </w:pPr>
      <w:hyperlink w:anchor="_Toc227587570" w:history="1">
        <w:r w:rsidRPr="00CD29D0">
          <w:rPr>
            <w:rStyle w:val="Hyperlink"/>
          </w:rPr>
          <w:t>Content Understanding</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_Toc227587570 \h </w:instrText>
        </w:r>
        <w:r w:rsidRPr="00CD29D0">
          <w:rPr>
            <w:webHidden/>
          </w:rPr>
        </w:r>
        <w:r w:rsidRPr="00CD29D0">
          <w:rPr>
            <w:webHidden/>
          </w:rPr>
          <w:fldChar w:fldCharType="separate"/>
        </w:r>
        <w:r w:rsidR="00730DC1">
          <w:rPr>
            <w:noProof/>
            <w:webHidden/>
          </w:rPr>
          <w:t>15</w:t>
        </w:r>
        <w:r w:rsidRPr="00CD29D0">
          <w:rPr>
            <w:webHidden/>
          </w:rPr>
          <w:fldChar w:fldCharType="end"/>
        </w:r>
      </w:hyperlink>
    </w:p>
    <w:p w14:paraId="4B94DD9D" w14:textId="00AA642C" w:rsidR="00D35D58" w:rsidRPr="00CD29D0" w:rsidRDefault="00D35D58" w:rsidP="00D35D58">
      <w:pPr>
        <w:pStyle w:val="TOC1"/>
        <w:rPr>
          <w:rFonts w:eastAsiaTheme="minorEastAsia"/>
          <w:kern w:val="2"/>
          <w:sz w:val="24"/>
          <w:szCs w:val="24"/>
          <w14:ligatures w14:val="standardContextual"/>
        </w:rPr>
      </w:pPr>
      <w:hyperlink w:anchor="_Toc227587571" w:history="1">
        <w:r w:rsidRPr="00CD29D0">
          <w:rPr>
            <w:rStyle w:val="Hyperlink"/>
          </w:rPr>
          <w:t>Analysis and Inquiry</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_Toc227587571 \h </w:instrText>
        </w:r>
        <w:r w:rsidRPr="00CD29D0">
          <w:rPr>
            <w:webHidden/>
          </w:rPr>
        </w:r>
        <w:r w:rsidRPr="00CD29D0">
          <w:rPr>
            <w:webHidden/>
          </w:rPr>
          <w:fldChar w:fldCharType="separate"/>
        </w:r>
        <w:r w:rsidR="00730DC1">
          <w:rPr>
            <w:noProof/>
            <w:webHidden/>
          </w:rPr>
          <w:t>16</w:t>
        </w:r>
        <w:r w:rsidRPr="00CD29D0">
          <w:rPr>
            <w:webHidden/>
          </w:rPr>
          <w:fldChar w:fldCharType="end"/>
        </w:r>
      </w:hyperlink>
    </w:p>
    <w:p w14:paraId="2906AB73" w14:textId="3895096F" w:rsidR="00D35D58" w:rsidRPr="00CD29D0" w:rsidRDefault="00D35D58" w:rsidP="00D35D58">
      <w:pPr>
        <w:pStyle w:val="TOC1"/>
        <w:rPr>
          <w:rFonts w:eastAsiaTheme="minorEastAsia"/>
          <w:kern w:val="2"/>
          <w:sz w:val="24"/>
          <w:szCs w:val="24"/>
          <w14:ligatures w14:val="standardContextual"/>
        </w:rPr>
      </w:pPr>
      <w:hyperlink w:anchor="_Toc227587572" w:history="1">
        <w:r w:rsidRPr="00CD29D0">
          <w:rPr>
            <w:rStyle w:val="Hyperlink"/>
          </w:rPr>
          <w:t>Quality of Feedback</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_Toc227587572 \h </w:instrText>
        </w:r>
        <w:r w:rsidRPr="00CD29D0">
          <w:rPr>
            <w:webHidden/>
          </w:rPr>
        </w:r>
        <w:r w:rsidRPr="00CD29D0">
          <w:rPr>
            <w:webHidden/>
          </w:rPr>
          <w:fldChar w:fldCharType="separate"/>
        </w:r>
        <w:r w:rsidR="00730DC1">
          <w:rPr>
            <w:noProof/>
            <w:webHidden/>
          </w:rPr>
          <w:t>17</w:t>
        </w:r>
        <w:r w:rsidRPr="00CD29D0">
          <w:rPr>
            <w:webHidden/>
          </w:rPr>
          <w:fldChar w:fldCharType="end"/>
        </w:r>
      </w:hyperlink>
    </w:p>
    <w:p w14:paraId="7FEC2554" w14:textId="7F7CF99A" w:rsidR="00D35D58" w:rsidRPr="00CD29D0" w:rsidRDefault="00D35D58" w:rsidP="00D35D58">
      <w:pPr>
        <w:pStyle w:val="TOC1"/>
        <w:rPr>
          <w:rFonts w:eastAsiaTheme="minorEastAsia"/>
          <w:kern w:val="2"/>
          <w:sz w:val="24"/>
          <w:szCs w:val="24"/>
          <w14:ligatures w14:val="standardContextual"/>
        </w:rPr>
      </w:pPr>
      <w:hyperlink w:anchor="_Toc227587573" w:history="1">
        <w:r w:rsidRPr="00CD29D0">
          <w:rPr>
            <w:rStyle w:val="Hyperlink"/>
          </w:rPr>
          <w:t>Language Modeling</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_Toc227587573 \h </w:instrText>
        </w:r>
        <w:r w:rsidRPr="00CD29D0">
          <w:rPr>
            <w:webHidden/>
          </w:rPr>
        </w:r>
        <w:r w:rsidRPr="00CD29D0">
          <w:rPr>
            <w:webHidden/>
          </w:rPr>
          <w:fldChar w:fldCharType="separate"/>
        </w:r>
        <w:r w:rsidR="00730DC1">
          <w:rPr>
            <w:noProof/>
            <w:webHidden/>
          </w:rPr>
          <w:t>18</w:t>
        </w:r>
        <w:r w:rsidRPr="00CD29D0">
          <w:rPr>
            <w:webHidden/>
          </w:rPr>
          <w:fldChar w:fldCharType="end"/>
        </w:r>
      </w:hyperlink>
    </w:p>
    <w:p w14:paraId="2160FD74" w14:textId="75CF8BE9" w:rsidR="00D35D58" w:rsidRPr="00CD29D0" w:rsidRDefault="00D35D58" w:rsidP="00D35D58">
      <w:pPr>
        <w:pStyle w:val="TOC1"/>
        <w:rPr>
          <w:rFonts w:eastAsiaTheme="minorEastAsia"/>
          <w:kern w:val="2"/>
          <w:sz w:val="24"/>
          <w:szCs w:val="24"/>
          <w14:ligatures w14:val="standardContextual"/>
        </w:rPr>
      </w:pPr>
      <w:hyperlink w:anchor="_Toc227587574" w:history="1">
        <w:r w:rsidRPr="00CD29D0">
          <w:rPr>
            <w:rStyle w:val="Hyperlink"/>
          </w:rPr>
          <w:t>Instructional Dialogue</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_Toc227587574 \h </w:instrText>
        </w:r>
        <w:r w:rsidRPr="00CD29D0">
          <w:rPr>
            <w:webHidden/>
          </w:rPr>
        </w:r>
        <w:r w:rsidRPr="00CD29D0">
          <w:rPr>
            <w:webHidden/>
          </w:rPr>
          <w:fldChar w:fldCharType="separate"/>
        </w:r>
        <w:r w:rsidR="00730DC1">
          <w:rPr>
            <w:noProof/>
            <w:webHidden/>
          </w:rPr>
          <w:t>19</w:t>
        </w:r>
        <w:r w:rsidRPr="00CD29D0">
          <w:rPr>
            <w:webHidden/>
          </w:rPr>
          <w:fldChar w:fldCharType="end"/>
        </w:r>
      </w:hyperlink>
    </w:p>
    <w:p w14:paraId="20E82163" w14:textId="06B0BDE9" w:rsidR="00D35D58" w:rsidRPr="00CD29D0" w:rsidRDefault="00D35D58" w:rsidP="00D35D58">
      <w:pPr>
        <w:pStyle w:val="TOC1"/>
        <w:rPr>
          <w:rFonts w:eastAsiaTheme="minorEastAsia"/>
          <w:kern w:val="2"/>
          <w:sz w:val="24"/>
          <w:szCs w:val="24"/>
          <w14:ligatures w14:val="standardContextual"/>
        </w:rPr>
      </w:pPr>
      <w:hyperlink w:anchor="_Toc227587575" w:history="1">
        <w:r w:rsidRPr="00CD29D0">
          <w:rPr>
            <w:rStyle w:val="Hyperlink"/>
          </w:rPr>
          <w:t>Student Engagement</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_Toc227587575 \h </w:instrText>
        </w:r>
        <w:r w:rsidRPr="00CD29D0">
          <w:rPr>
            <w:webHidden/>
          </w:rPr>
        </w:r>
        <w:r w:rsidRPr="00CD29D0">
          <w:rPr>
            <w:webHidden/>
          </w:rPr>
          <w:fldChar w:fldCharType="separate"/>
        </w:r>
        <w:r w:rsidR="00730DC1">
          <w:rPr>
            <w:noProof/>
            <w:webHidden/>
          </w:rPr>
          <w:t>21</w:t>
        </w:r>
        <w:r w:rsidRPr="00CD29D0">
          <w:rPr>
            <w:webHidden/>
          </w:rPr>
          <w:fldChar w:fldCharType="end"/>
        </w:r>
      </w:hyperlink>
    </w:p>
    <w:p w14:paraId="04558911" w14:textId="4CB79B14" w:rsidR="00D35D58" w:rsidRPr="00CD29D0" w:rsidRDefault="00D35D58" w:rsidP="00D35D58">
      <w:pPr>
        <w:pStyle w:val="TOC1"/>
        <w:rPr>
          <w:rFonts w:eastAsiaTheme="minorEastAsia"/>
          <w:kern w:val="2"/>
          <w:sz w:val="24"/>
          <w:szCs w:val="24"/>
          <w14:ligatures w14:val="standardContextual"/>
        </w:rPr>
      </w:pPr>
      <w:hyperlink w:anchor="_Toc227587576" w:history="1">
        <w:r w:rsidRPr="00CD29D0">
          <w:rPr>
            <w:rStyle w:val="Hyperlink"/>
          </w:rPr>
          <w:t>Summary of Average Ratings: Grades PK–5</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_Toc227587576 \h </w:instrText>
        </w:r>
        <w:r w:rsidRPr="00CD29D0">
          <w:rPr>
            <w:webHidden/>
          </w:rPr>
        </w:r>
        <w:r w:rsidRPr="00CD29D0">
          <w:rPr>
            <w:webHidden/>
          </w:rPr>
          <w:fldChar w:fldCharType="separate"/>
        </w:r>
        <w:r w:rsidR="00730DC1">
          <w:rPr>
            <w:noProof/>
            <w:webHidden/>
          </w:rPr>
          <w:t>22</w:t>
        </w:r>
        <w:r w:rsidRPr="00CD29D0">
          <w:rPr>
            <w:webHidden/>
          </w:rPr>
          <w:fldChar w:fldCharType="end"/>
        </w:r>
      </w:hyperlink>
    </w:p>
    <w:p w14:paraId="60780A32" w14:textId="3A5271F4" w:rsidR="00D35D58" w:rsidRPr="00CD29D0" w:rsidRDefault="00D35D58" w:rsidP="00D35D58">
      <w:pPr>
        <w:pStyle w:val="TOC1"/>
        <w:rPr>
          <w:rFonts w:eastAsiaTheme="minorEastAsia"/>
          <w:kern w:val="2"/>
          <w:sz w:val="24"/>
          <w:szCs w:val="24"/>
          <w14:ligatures w14:val="standardContextual"/>
        </w:rPr>
      </w:pPr>
      <w:hyperlink w:anchor="_Toc227587577" w:history="1">
        <w:r w:rsidRPr="00CD29D0">
          <w:rPr>
            <w:rStyle w:val="Hyperlink"/>
          </w:rPr>
          <w:t>Summary of Average Ratings: Grades 6–8</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_Toc227587577 \h </w:instrText>
        </w:r>
        <w:r w:rsidRPr="00CD29D0">
          <w:rPr>
            <w:webHidden/>
          </w:rPr>
        </w:r>
        <w:r w:rsidRPr="00CD29D0">
          <w:rPr>
            <w:webHidden/>
          </w:rPr>
          <w:fldChar w:fldCharType="separate"/>
        </w:r>
        <w:r w:rsidR="00730DC1">
          <w:rPr>
            <w:noProof/>
            <w:webHidden/>
          </w:rPr>
          <w:t>23</w:t>
        </w:r>
        <w:r w:rsidRPr="00CD29D0">
          <w:rPr>
            <w:webHidden/>
          </w:rPr>
          <w:fldChar w:fldCharType="end"/>
        </w:r>
      </w:hyperlink>
    </w:p>
    <w:p w14:paraId="782C02C4" w14:textId="47A06ABF" w:rsidR="00D35D58" w:rsidRPr="00CD29D0" w:rsidRDefault="00D35D58" w:rsidP="00D35D58">
      <w:pPr>
        <w:pStyle w:val="TOC1"/>
        <w:rPr>
          <w:rFonts w:eastAsiaTheme="minorEastAsia"/>
          <w:kern w:val="2"/>
          <w:sz w:val="24"/>
          <w:szCs w:val="24"/>
          <w14:ligatures w14:val="standardContextual"/>
        </w:rPr>
      </w:pPr>
      <w:hyperlink w:anchor="_Toc227587578" w:history="1">
        <w:r w:rsidRPr="00CD29D0">
          <w:rPr>
            <w:rStyle w:val="Hyperlink"/>
          </w:rPr>
          <w:t>Summary of Average Ratings: Grades 9–12</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_Toc227587578 \h </w:instrText>
        </w:r>
        <w:r w:rsidRPr="00CD29D0">
          <w:rPr>
            <w:webHidden/>
          </w:rPr>
        </w:r>
        <w:r w:rsidRPr="00CD29D0">
          <w:rPr>
            <w:webHidden/>
          </w:rPr>
          <w:fldChar w:fldCharType="separate"/>
        </w:r>
        <w:r w:rsidR="00730DC1">
          <w:rPr>
            <w:noProof/>
            <w:webHidden/>
          </w:rPr>
          <w:t>24</w:t>
        </w:r>
        <w:r w:rsidRPr="00CD29D0">
          <w:rPr>
            <w:webHidden/>
          </w:rPr>
          <w:fldChar w:fldCharType="end"/>
        </w:r>
      </w:hyperlink>
    </w:p>
    <w:p w14:paraId="4B731AE7" w14:textId="610160DF" w:rsidR="00D35D58" w:rsidRPr="00CD29D0" w:rsidRDefault="00D35D58" w:rsidP="00D35D58">
      <w:pPr>
        <w:pStyle w:val="TOC1"/>
        <w:rPr>
          <w:rFonts w:eastAsiaTheme="minorEastAsia"/>
          <w:kern w:val="2"/>
          <w:sz w:val="24"/>
          <w:szCs w:val="24"/>
          <w14:ligatures w14:val="standardContextual"/>
        </w:rPr>
      </w:pPr>
      <w:hyperlink w:anchor="_Toc227587579" w:history="1">
        <w:r w:rsidRPr="00CD29D0">
          <w:rPr>
            <w:rStyle w:val="Hyperlink"/>
          </w:rPr>
          <w:t>References</w:t>
        </w:r>
        <w:r w:rsidRPr="00CD29D0">
          <w:rPr>
            <w:webHidden/>
          </w:rPr>
          <w:tab/>
        </w:r>
        <w:r w:rsidR="00ED7A47" w:rsidRPr="00CD29D0">
          <w:rPr>
            <w:webHidden/>
          </w:rPr>
          <w:t>B-</w:t>
        </w:r>
        <w:r w:rsidRPr="00CD29D0">
          <w:rPr>
            <w:webHidden/>
          </w:rPr>
          <w:fldChar w:fldCharType="begin"/>
        </w:r>
        <w:r w:rsidRPr="00CD29D0">
          <w:rPr>
            <w:webHidden/>
          </w:rPr>
          <w:instrText xml:space="preserve"> PAGEREF _Toc227587579 \h </w:instrText>
        </w:r>
        <w:r w:rsidRPr="00CD29D0">
          <w:rPr>
            <w:webHidden/>
          </w:rPr>
        </w:r>
        <w:r w:rsidRPr="00CD29D0">
          <w:rPr>
            <w:webHidden/>
          </w:rPr>
          <w:fldChar w:fldCharType="separate"/>
        </w:r>
        <w:r w:rsidR="00730DC1">
          <w:rPr>
            <w:noProof/>
            <w:webHidden/>
          </w:rPr>
          <w:t>25</w:t>
        </w:r>
        <w:r w:rsidRPr="00CD29D0">
          <w:rPr>
            <w:webHidden/>
          </w:rPr>
          <w:fldChar w:fldCharType="end"/>
        </w:r>
      </w:hyperlink>
    </w:p>
    <w:p w14:paraId="6E8C5E07" w14:textId="19DBF9F2" w:rsidR="00405424" w:rsidRPr="00CD29D0" w:rsidRDefault="00405424" w:rsidP="0060368F">
      <w:pPr>
        <w:pStyle w:val="BodyText"/>
      </w:pPr>
      <w:r w:rsidRPr="00CD29D0">
        <w:fldChar w:fldCharType="end"/>
      </w:r>
      <w:r w:rsidRPr="00CD29D0">
        <w:br w:type="page"/>
      </w:r>
    </w:p>
    <w:p w14:paraId="11C4DC73" w14:textId="77777777" w:rsidR="00405424" w:rsidRPr="00CD29D0" w:rsidRDefault="00405424" w:rsidP="00C66574">
      <w:pPr>
        <w:pStyle w:val="DIORDimensions"/>
      </w:pPr>
      <w:bookmarkStart w:id="80" w:name="_Toc411329825"/>
      <w:bookmarkStart w:id="81" w:name="_Toc430114874"/>
      <w:bookmarkStart w:id="82" w:name="_Toc496109989"/>
      <w:bookmarkStart w:id="83" w:name="_Toc227587561"/>
      <w:r w:rsidRPr="00CD29D0">
        <w:lastRenderedPageBreak/>
        <w:t>Introduction</w:t>
      </w:r>
      <w:bookmarkEnd w:id="80"/>
      <w:bookmarkEnd w:id="81"/>
      <w:bookmarkEnd w:id="82"/>
      <w:bookmarkEnd w:id="83"/>
    </w:p>
    <w:p w14:paraId="4849D9AE" w14:textId="3D7A9F6A" w:rsidR="00405424" w:rsidRPr="00CD29D0" w:rsidRDefault="00405424" w:rsidP="00D54A2B">
      <w:pPr>
        <w:pStyle w:val="BodyTextposthead"/>
      </w:pPr>
      <w:r w:rsidRPr="00CD29D0">
        <w:t xml:space="preserve">The </w:t>
      </w:r>
      <w:r w:rsidRPr="00CD29D0">
        <w:rPr>
          <w:i/>
        </w:rPr>
        <w:t xml:space="preserve">Districtwide Instructional Observation Report </w:t>
      </w:r>
      <w:r w:rsidRPr="00CD29D0">
        <w:t>presents ratings for the classroom observations that were conducted by certified observers at American Institutes for Research (AIR) as part of the Massachusetts District Reviews.</w:t>
      </w:r>
    </w:p>
    <w:p w14:paraId="5430C100" w14:textId="28B4DC78" w:rsidR="00405424" w:rsidRPr="00CD29D0" w:rsidRDefault="00405424" w:rsidP="00C47858">
      <w:pPr>
        <w:pStyle w:val="BodyText"/>
      </w:pPr>
      <w:bookmarkStart w:id="84" w:name="N_Observers1"/>
      <w:r w:rsidRPr="00CD29D0">
        <w:t>Four</w:t>
      </w:r>
      <w:bookmarkEnd w:id="84"/>
      <w:r w:rsidRPr="00CD29D0">
        <w:t xml:space="preserve"> observers visited </w:t>
      </w:r>
      <w:bookmarkStart w:id="85" w:name="District2"/>
      <w:r w:rsidRPr="00CD29D0">
        <w:t>Norton</w:t>
      </w:r>
      <w:bookmarkEnd w:id="85"/>
      <w:r w:rsidRPr="00CD29D0">
        <w:t xml:space="preserve"> Public Schools during the week of </w:t>
      </w:r>
      <w:bookmarkStart w:id="86" w:name="Obs_Dates1"/>
      <w:r w:rsidRPr="00CD29D0">
        <w:t>February 2, 2026</w:t>
      </w:r>
      <w:bookmarkEnd w:id="86"/>
      <w:r w:rsidRPr="00CD29D0">
        <w:t xml:space="preserve">. Observers conducted </w:t>
      </w:r>
      <w:bookmarkStart w:id="87" w:name="N_Observations1"/>
      <w:r w:rsidRPr="00CD29D0">
        <w:t>73</w:t>
      </w:r>
      <w:bookmarkEnd w:id="87"/>
      <w:r w:rsidRPr="00CD29D0">
        <w:t xml:space="preserve"> observations in a sample of classrooms across </w:t>
      </w:r>
      <w:bookmarkStart w:id="88" w:name="N_SchoolsObserved1"/>
      <w:r w:rsidRPr="00CD29D0">
        <w:t>five</w:t>
      </w:r>
      <w:bookmarkEnd w:id="88"/>
      <w:r w:rsidRPr="00CD29D0">
        <w:t xml:space="preserve"> schools. Observations were conducted in grades PK-12 and focused primarily on literacy, English language arts, and mathematics instruction.</w:t>
      </w:r>
    </w:p>
    <w:p w14:paraId="6D690034" w14:textId="23019C44" w:rsidR="00405424" w:rsidRPr="00CD29D0" w:rsidRDefault="00405424" w:rsidP="00C47858">
      <w:pPr>
        <w:pStyle w:val="BodyText"/>
      </w:pPr>
      <w:r w:rsidRPr="00CD29D0">
        <w:t>The classroom observations were guided by the Classroom Assessment Scoring System (CLASS), developed by the Center for Advanced Study of Teaching and Learning (CASTL) at the University of Virginia. Three levels of CLASS Manuals were used: PK–3, Upper Elementary, and Secondary. The PK–3 tool was used to observe grades PK–3, the Upper Elementary tool was used to observe grades 4–5, and the Secondary tool was used to observe grades 6–12.</w:t>
      </w:r>
    </w:p>
    <w:p w14:paraId="7039B79C" w14:textId="77777777" w:rsidR="00405424" w:rsidRPr="00CD29D0" w:rsidRDefault="00405424" w:rsidP="00C47858">
      <w:pPr>
        <w:pStyle w:val="BodyText"/>
      </w:pPr>
      <w:r w:rsidRPr="00CD29D0">
        <w:t>The PK–3 protocol includes 10 classroom dimensions related to three domains: Emotional Support, Classroom Organization, and Instructional Support (listed in Table 1).</w:t>
      </w:r>
    </w:p>
    <w:p w14:paraId="7145CB16" w14:textId="77777777" w:rsidR="00405424" w:rsidRPr="00CD29D0" w:rsidRDefault="00405424" w:rsidP="00C47858">
      <w:pPr>
        <w:pStyle w:val="TableTitle0"/>
      </w:pPr>
      <w:r w:rsidRPr="00CD29D0">
        <w:t>Table 1. CLASS PK–3 Domains and Dimensions</w:t>
      </w:r>
    </w:p>
    <w:tbl>
      <w:tblPr>
        <w:tblStyle w:val="MSVTable1"/>
        <w:tblW w:w="5000" w:type="pct"/>
        <w:tblLook w:val="04A0" w:firstRow="1" w:lastRow="0" w:firstColumn="1" w:lastColumn="0" w:noHBand="0" w:noVBand="1"/>
        <w:tblCaption w:val="Table 1. CLASS PK–3 Domains and Dimensions"/>
        <w:tblDescription w:val="CLASS PK–3 Domains and Dimensions"/>
      </w:tblPr>
      <w:tblGrid>
        <w:gridCol w:w="3114"/>
        <w:gridCol w:w="3115"/>
        <w:gridCol w:w="3115"/>
      </w:tblGrid>
      <w:tr w:rsidR="00405424" w:rsidRPr="00CD29D0" w14:paraId="46AA3803" w14:textId="77777777" w:rsidTr="001D26B6">
        <w:trPr>
          <w:cnfStyle w:val="100000000000" w:firstRow="1" w:lastRow="0" w:firstColumn="0" w:lastColumn="0" w:oddVBand="0" w:evenVBand="0" w:oddHBand="0" w:evenHBand="0" w:firstRowFirstColumn="0" w:firstRowLastColumn="0" w:lastRowFirstColumn="0" w:lastRowLastColumn="0"/>
          <w:tblHeader/>
        </w:trPr>
        <w:tc>
          <w:tcPr>
            <w:tcW w:w="3192" w:type="dxa"/>
          </w:tcPr>
          <w:p w14:paraId="1D8D0F18" w14:textId="77777777" w:rsidR="00405424" w:rsidRPr="00CD29D0" w:rsidRDefault="00405424" w:rsidP="001D26B6">
            <w:pPr>
              <w:pStyle w:val="TableColHeadingCenter"/>
            </w:pPr>
            <w:r w:rsidRPr="00CD29D0">
              <w:t>Emotional Support</w:t>
            </w:r>
          </w:p>
        </w:tc>
        <w:tc>
          <w:tcPr>
            <w:tcW w:w="3192" w:type="dxa"/>
          </w:tcPr>
          <w:p w14:paraId="4788C830" w14:textId="77777777" w:rsidR="00405424" w:rsidRPr="00CD29D0" w:rsidRDefault="00405424" w:rsidP="001D26B6">
            <w:pPr>
              <w:pStyle w:val="TableColHeadingCenter"/>
            </w:pPr>
            <w:r w:rsidRPr="00CD29D0">
              <w:t>Classroom Organization</w:t>
            </w:r>
          </w:p>
        </w:tc>
        <w:tc>
          <w:tcPr>
            <w:tcW w:w="3192" w:type="dxa"/>
          </w:tcPr>
          <w:p w14:paraId="6574A351" w14:textId="77777777" w:rsidR="00405424" w:rsidRPr="00CD29D0" w:rsidRDefault="00405424" w:rsidP="001D26B6">
            <w:pPr>
              <w:pStyle w:val="TableColHeadingCenter"/>
            </w:pPr>
            <w:r w:rsidRPr="00CD29D0">
              <w:t>Instructional Support</w:t>
            </w:r>
          </w:p>
        </w:tc>
      </w:tr>
      <w:tr w:rsidR="00405424" w:rsidRPr="00CD29D0" w14:paraId="473F8F0B" w14:textId="77777777" w:rsidTr="001D26B6">
        <w:trPr>
          <w:cnfStyle w:val="000000100000" w:firstRow="0" w:lastRow="0" w:firstColumn="0" w:lastColumn="0" w:oddVBand="0" w:evenVBand="0" w:oddHBand="1" w:evenHBand="0" w:firstRowFirstColumn="0" w:firstRowLastColumn="0" w:lastRowFirstColumn="0" w:lastRowLastColumn="0"/>
        </w:trPr>
        <w:tc>
          <w:tcPr>
            <w:tcW w:w="3192" w:type="dxa"/>
          </w:tcPr>
          <w:p w14:paraId="0B339FEA" w14:textId="77777777" w:rsidR="00405424" w:rsidRPr="00CD29D0" w:rsidRDefault="00405424" w:rsidP="001D26B6">
            <w:pPr>
              <w:pStyle w:val="TableBullet1"/>
            </w:pPr>
            <w:r w:rsidRPr="00CD29D0">
              <w:t>Positive Climate</w:t>
            </w:r>
          </w:p>
          <w:p w14:paraId="568A78CC" w14:textId="77777777" w:rsidR="00405424" w:rsidRPr="00CD29D0" w:rsidRDefault="00405424" w:rsidP="001D26B6">
            <w:pPr>
              <w:pStyle w:val="TableBullet1"/>
            </w:pPr>
            <w:r w:rsidRPr="00CD29D0">
              <w:t>Negative Climate</w:t>
            </w:r>
          </w:p>
          <w:p w14:paraId="19490B12" w14:textId="77777777" w:rsidR="00405424" w:rsidRPr="00CD29D0" w:rsidRDefault="00405424" w:rsidP="001D26B6">
            <w:pPr>
              <w:pStyle w:val="TableBullet1"/>
            </w:pPr>
            <w:r w:rsidRPr="00CD29D0">
              <w:t>Teacher Sensitivity</w:t>
            </w:r>
          </w:p>
          <w:p w14:paraId="223A66AA" w14:textId="77777777" w:rsidR="00405424" w:rsidRPr="00CD29D0" w:rsidRDefault="00405424" w:rsidP="001D26B6">
            <w:pPr>
              <w:pStyle w:val="TableBullet1"/>
            </w:pPr>
            <w:r w:rsidRPr="00CD29D0">
              <w:t>Regard for Student Perspectives</w:t>
            </w:r>
          </w:p>
        </w:tc>
        <w:tc>
          <w:tcPr>
            <w:tcW w:w="3192" w:type="dxa"/>
          </w:tcPr>
          <w:p w14:paraId="35815948" w14:textId="77777777" w:rsidR="00405424" w:rsidRPr="00CD29D0" w:rsidRDefault="00405424" w:rsidP="001D26B6">
            <w:pPr>
              <w:pStyle w:val="TableBullet1"/>
            </w:pPr>
            <w:r w:rsidRPr="00CD29D0">
              <w:t>Behavior Management</w:t>
            </w:r>
          </w:p>
          <w:p w14:paraId="3E4AEA9C" w14:textId="77777777" w:rsidR="00405424" w:rsidRPr="00CD29D0" w:rsidRDefault="00405424" w:rsidP="001D26B6">
            <w:pPr>
              <w:pStyle w:val="TableBullet1"/>
            </w:pPr>
            <w:r w:rsidRPr="00CD29D0">
              <w:t>Productivity</w:t>
            </w:r>
          </w:p>
          <w:p w14:paraId="5B173923" w14:textId="77777777" w:rsidR="00405424" w:rsidRPr="00CD29D0" w:rsidRDefault="00405424" w:rsidP="001D26B6">
            <w:pPr>
              <w:pStyle w:val="TableBullet1"/>
            </w:pPr>
            <w:r w:rsidRPr="00CD29D0">
              <w:t>Instructional Learning Formats</w:t>
            </w:r>
          </w:p>
        </w:tc>
        <w:tc>
          <w:tcPr>
            <w:tcW w:w="3192" w:type="dxa"/>
          </w:tcPr>
          <w:p w14:paraId="24F7E515" w14:textId="77777777" w:rsidR="00405424" w:rsidRPr="00CD29D0" w:rsidRDefault="00405424" w:rsidP="001D26B6">
            <w:pPr>
              <w:pStyle w:val="TableBullet1"/>
            </w:pPr>
            <w:r w:rsidRPr="00CD29D0">
              <w:t>Concept Development</w:t>
            </w:r>
          </w:p>
          <w:p w14:paraId="551C29A6" w14:textId="77777777" w:rsidR="00405424" w:rsidRPr="00CD29D0" w:rsidRDefault="00405424" w:rsidP="001D26B6">
            <w:pPr>
              <w:pStyle w:val="TableBullet1"/>
            </w:pPr>
            <w:r w:rsidRPr="00CD29D0">
              <w:t>Quality of Feedback</w:t>
            </w:r>
          </w:p>
          <w:p w14:paraId="3476A909" w14:textId="77777777" w:rsidR="00405424" w:rsidRPr="00CD29D0" w:rsidRDefault="00405424" w:rsidP="001D26B6">
            <w:pPr>
              <w:pStyle w:val="TableBullet1"/>
            </w:pPr>
            <w:r w:rsidRPr="00CD29D0">
              <w:t>Language Modeling</w:t>
            </w:r>
          </w:p>
        </w:tc>
      </w:tr>
    </w:tbl>
    <w:p w14:paraId="6C5F6B7D" w14:textId="3B0ACF06" w:rsidR="00405424" w:rsidRPr="00CD29D0" w:rsidRDefault="00405424" w:rsidP="00C47858">
      <w:pPr>
        <w:pStyle w:val="BodyText"/>
      </w:pPr>
      <w:r w:rsidRPr="00CD29D0">
        <w:t>The Upper Elementary and Secondary protocols include 11 classroom dimensions related to three domains: Emotional Support, Classroom Organization, and Instructional Support (listed in Table 2), in addition to Student Engagement.</w:t>
      </w:r>
    </w:p>
    <w:p w14:paraId="23AB9A17" w14:textId="77777777" w:rsidR="00405424" w:rsidRPr="00CD29D0" w:rsidRDefault="00405424" w:rsidP="00C47858">
      <w:pPr>
        <w:pStyle w:val="TableTitle0"/>
      </w:pPr>
      <w:r w:rsidRPr="00CD29D0">
        <w:t>Table 2. CLASS Upper Elementary and Secondary Domains and Dimensions</w:t>
      </w:r>
    </w:p>
    <w:tbl>
      <w:tblPr>
        <w:tblStyle w:val="MSVTable1"/>
        <w:tblW w:w="5000" w:type="pct"/>
        <w:tblLook w:val="04A0" w:firstRow="1" w:lastRow="0" w:firstColumn="1" w:lastColumn="0" w:noHBand="0" w:noVBand="1"/>
        <w:tblCaption w:val="Table 2. CLASS Upper Elementary and Secondary Domains and Dimensions"/>
        <w:tblDescription w:val="CLASS Upper Elementary and Secondary Domains and Dimensions"/>
      </w:tblPr>
      <w:tblGrid>
        <w:gridCol w:w="3112"/>
        <w:gridCol w:w="3114"/>
        <w:gridCol w:w="3118"/>
      </w:tblGrid>
      <w:tr w:rsidR="00405424" w:rsidRPr="00CD29D0" w14:paraId="765CD05D" w14:textId="77777777" w:rsidTr="001D26B6">
        <w:trPr>
          <w:cnfStyle w:val="100000000000" w:firstRow="1" w:lastRow="0" w:firstColumn="0" w:lastColumn="0" w:oddVBand="0" w:evenVBand="0" w:oddHBand="0" w:evenHBand="0" w:firstRowFirstColumn="0" w:firstRowLastColumn="0" w:lastRowFirstColumn="0" w:lastRowLastColumn="0"/>
          <w:tblHeader/>
        </w:trPr>
        <w:tc>
          <w:tcPr>
            <w:tcW w:w="3111" w:type="dxa"/>
          </w:tcPr>
          <w:p w14:paraId="09432B9E" w14:textId="77777777" w:rsidR="00405424" w:rsidRPr="00CD29D0" w:rsidRDefault="00405424" w:rsidP="001D26B6">
            <w:pPr>
              <w:pStyle w:val="TableColHeadingCenter"/>
            </w:pPr>
            <w:r w:rsidRPr="00CD29D0">
              <w:t>Emotional Support</w:t>
            </w:r>
          </w:p>
        </w:tc>
        <w:tc>
          <w:tcPr>
            <w:tcW w:w="3114" w:type="dxa"/>
          </w:tcPr>
          <w:p w14:paraId="70ECF5E8" w14:textId="77777777" w:rsidR="00405424" w:rsidRPr="00CD29D0" w:rsidRDefault="00405424" w:rsidP="001D26B6">
            <w:pPr>
              <w:pStyle w:val="TableColHeadingCenter"/>
            </w:pPr>
            <w:r w:rsidRPr="00CD29D0">
              <w:t>Classroom Organization</w:t>
            </w:r>
          </w:p>
        </w:tc>
        <w:tc>
          <w:tcPr>
            <w:tcW w:w="3119" w:type="dxa"/>
          </w:tcPr>
          <w:p w14:paraId="4DA2B73F" w14:textId="77777777" w:rsidR="00405424" w:rsidRPr="00CD29D0" w:rsidRDefault="00405424" w:rsidP="001D26B6">
            <w:pPr>
              <w:pStyle w:val="TableColHeadingCenter"/>
            </w:pPr>
            <w:r w:rsidRPr="00CD29D0">
              <w:t>Instructional Support</w:t>
            </w:r>
          </w:p>
        </w:tc>
      </w:tr>
      <w:tr w:rsidR="00405424" w:rsidRPr="00CD29D0" w14:paraId="752EF8CB" w14:textId="77777777" w:rsidTr="001D26B6">
        <w:trPr>
          <w:cnfStyle w:val="000000100000" w:firstRow="0" w:lastRow="0" w:firstColumn="0" w:lastColumn="0" w:oddVBand="0" w:evenVBand="0" w:oddHBand="1" w:evenHBand="0" w:firstRowFirstColumn="0" w:firstRowLastColumn="0" w:lastRowFirstColumn="0" w:lastRowLastColumn="0"/>
        </w:trPr>
        <w:tc>
          <w:tcPr>
            <w:tcW w:w="3111" w:type="dxa"/>
            <w:tcBorders>
              <w:bottom w:val="single" w:sz="6" w:space="0" w:color="2F5496" w:themeColor="accent5" w:themeShade="BF"/>
            </w:tcBorders>
          </w:tcPr>
          <w:p w14:paraId="61B26FE0" w14:textId="77777777" w:rsidR="00405424" w:rsidRPr="00CD29D0" w:rsidRDefault="00405424" w:rsidP="001D26B6">
            <w:pPr>
              <w:pStyle w:val="TableBullet1"/>
            </w:pPr>
            <w:r w:rsidRPr="00CD29D0">
              <w:t>Positive Climate</w:t>
            </w:r>
          </w:p>
          <w:p w14:paraId="157ADA64" w14:textId="77777777" w:rsidR="00405424" w:rsidRPr="00CD29D0" w:rsidRDefault="00405424" w:rsidP="001D26B6">
            <w:pPr>
              <w:pStyle w:val="TableBullet1"/>
            </w:pPr>
            <w:r w:rsidRPr="00CD29D0">
              <w:t>Teacher Sensitivity</w:t>
            </w:r>
          </w:p>
          <w:p w14:paraId="2518E507" w14:textId="77777777" w:rsidR="00405424" w:rsidRPr="00CD29D0" w:rsidRDefault="00405424" w:rsidP="001D26B6">
            <w:pPr>
              <w:pStyle w:val="TableBullet1"/>
            </w:pPr>
            <w:r w:rsidRPr="00CD29D0">
              <w:t>Regard for Student Perspectives</w:t>
            </w:r>
          </w:p>
        </w:tc>
        <w:tc>
          <w:tcPr>
            <w:tcW w:w="3114" w:type="dxa"/>
            <w:tcBorders>
              <w:bottom w:val="single" w:sz="6" w:space="0" w:color="2F5496" w:themeColor="accent5" w:themeShade="BF"/>
            </w:tcBorders>
          </w:tcPr>
          <w:p w14:paraId="471707F2" w14:textId="77777777" w:rsidR="00405424" w:rsidRPr="00CD29D0" w:rsidRDefault="00405424" w:rsidP="001D26B6">
            <w:pPr>
              <w:pStyle w:val="TableBullet1"/>
            </w:pPr>
            <w:r w:rsidRPr="00CD29D0">
              <w:t>Behavior Management</w:t>
            </w:r>
          </w:p>
          <w:p w14:paraId="5998B6EA" w14:textId="77777777" w:rsidR="00405424" w:rsidRPr="00CD29D0" w:rsidRDefault="00405424" w:rsidP="001D26B6">
            <w:pPr>
              <w:pStyle w:val="TableBullet1"/>
            </w:pPr>
            <w:r w:rsidRPr="00CD29D0">
              <w:t>Productivity</w:t>
            </w:r>
          </w:p>
          <w:p w14:paraId="52AE0D57" w14:textId="77777777" w:rsidR="00405424" w:rsidRPr="00CD29D0" w:rsidRDefault="00405424" w:rsidP="001D26B6">
            <w:pPr>
              <w:pStyle w:val="TableBullet1"/>
            </w:pPr>
            <w:r w:rsidRPr="00CD29D0">
              <w:t>Negative Climate</w:t>
            </w:r>
          </w:p>
        </w:tc>
        <w:tc>
          <w:tcPr>
            <w:tcW w:w="3119" w:type="dxa"/>
          </w:tcPr>
          <w:p w14:paraId="7A42B6BE" w14:textId="77777777" w:rsidR="00405424" w:rsidRPr="00CD29D0" w:rsidRDefault="00405424" w:rsidP="001D26B6">
            <w:pPr>
              <w:pStyle w:val="TableBullet1"/>
            </w:pPr>
            <w:r w:rsidRPr="00CD29D0">
              <w:t xml:space="preserve">Instructional Learning Formats </w:t>
            </w:r>
          </w:p>
          <w:p w14:paraId="6C6985B1" w14:textId="77777777" w:rsidR="00405424" w:rsidRPr="00CD29D0" w:rsidRDefault="00405424" w:rsidP="001D26B6">
            <w:pPr>
              <w:pStyle w:val="TableBullet1"/>
            </w:pPr>
            <w:r w:rsidRPr="00CD29D0">
              <w:t>Content Understanding</w:t>
            </w:r>
          </w:p>
          <w:p w14:paraId="273ABC15" w14:textId="77777777" w:rsidR="00405424" w:rsidRPr="00CD29D0" w:rsidRDefault="00405424" w:rsidP="001D26B6">
            <w:pPr>
              <w:pStyle w:val="TableBullet1"/>
            </w:pPr>
            <w:r w:rsidRPr="00CD29D0">
              <w:t>Analysis and Inquiry</w:t>
            </w:r>
          </w:p>
          <w:p w14:paraId="134E30F2" w14:textId="77777777" w:rsidR="00405424" w:rsidRPr="00CD29D0" w:rsidRDefault="00405424" w:rsidP="001D26B6">
            <w:pPr>
              <w:pStyle w:val="TableBullet1"/>
            </w:pPr>
            <w:r w:rsidRPr="00CD29D0">
              <w:t>Quality of Feedback</w:t>
            </w:r>
          </w:p>
          <w:p w14:paraId="39B87A0C" w14:textId="77777777" w:rsidR="00405424" w:rsidRPr="00CD29D0" w:rsidRDefault="00405424" w:rsidP="001D26B6">
            <w:pPr>
              <w:pStyle w:val="TableBullet1"/>
            </w:pPr>
            <w:r w:rsidRPr="00CD29D0">
              <w:t>Instructional Dialogue</w:t>
            </w:r>
          </w:p>
        </w:tc>
      </w:tr>
      <w:tr w:rsidR="00405424" w:rsidRPr="00CD29D0" w14:paraId="2AFD0412" w14:textId="77777777" w:rsidTr="001D26B6">
        <w:tc>
          <w:tcPr>
            <w:tcW w:w="3114" w:type="dxa"/>
            <w:tcBorders>
              <w:right w:val="nil"/>
            </w:tcBorders>
          </w:tcPr>
          <w:p w14:paraId="260B8D2B" w14:textId="6B16AFDB" w:rsidR="00405424" w:rsidRPr="00CD29D0" w:rsidRDefault="00541F72" w:rsidP="001D26B6">
            <w:pPr>
              <w:pStyle w:val="TableSubheadingCentered"/>
            </w:pPr>
            <w:r>
              <w:t>N/A</w:t>
            </w:r>
          </w:p>
        </w:tc>
        <w:tc>
          <w:tcPr>
            <w:tcW w:w="3115" w:type="dxa"/>
            <w:tcBorders>
              <w:left w:val="nil"/>
              <w:right w:val="nil"/>
            </w:tcBorders>
          </w:tcPr>
          <w:p w14:paraId="24336332" w14:textId="77777777" w:rsidR="00405424" w:rsidRPr="00CD29D0" w:rsidRDefault="00405424" w:rsidP="001D26B6">
            <w:pPr>
              <w:pStyle w:val="TableSubheadingCentered"/>
            </w:pPr>
            <w:r w:rsidRPr="00CD29D0">
              <w:t>Student Engagement</w:t>
            </w:r>
          </w:p>
        </w:tc>
        <w:tc>
          <w:tcPr>
            <w:tcW w:w="3115" w:type="dxa"/>
            <w:tcBorders>
              <w:left w:val="nil"/>
            </w:tcBorders>
          </w:tcPr>
          <w:p w14:paraId="62712DF5" w14:textId="08A1778B" w:rsidR="00405424" w:rsidRPr="00CD29D0" w:rsidRDefault="00541F72" w:rsidP="001D26B6">
            <w:pPr>
              <w:pStyle w:val="TableSubheadingCentered"/>
            </w:pPr>
            <w:r>
              <w:t>N/A</w:t>
            </w:r>
          </w:p>
        </w:tc>
      </w:tr>
    </w:tbl>
    <w:p w14:paraId="4791E7E0" w14:textId="3B89A5D9" w:rsidR="00405424" w:rsidRPr="00CD29D0" w:rsidRDefault="00405424" w:rsidP="00C47858">
      <w:pPr>
        <w:pStyle w:val="BodyText"/>
      </w:pPr>
      <w:bookmarkStart w:id="89" w:name="_Toc411329826"/>
      <w:bookmarkStart w:id="90" w:name="_Toc430114875"/>
      <w:bookmarkStart w:id="91" w:name="_Toc496109990"/>
      <w:r w:rsidRPr="00CD29D0">
        <w:t xml:space="preserve">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w:t>
      </w:r>
      <w:r w:rsidRPr="00CD29D0">
        <w:lastRenderedPageBreak/>
        <w:t>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43796533" w14:textId="77777777" w:rsidR="00405424" w:rsidRPr="00CD29D0" w:rsidRDefault="00405424" w:rsidP="00C47858">
      <w:pPr>
        <w:pStyle w:val="BodyText"/>
      </w:pPr>
      <w:r w:rsidRPr="00CD29D0">
        <w:t>Members of the observation team who visited the classrooms all received training on the CLASS protocol and then passed a rigorous certification exam for each CLASS protocol to ensure that they were able to accurately rate the dimensions. All observers must pass an exam annually to maintain their certification.</w:t>
      </w:r>
    </w:p>
    <w:p w14:paraId="232C33CA" w14:textId="79AC634D" w:rsidR="00405424" w:rsidRPr="00CD29D0" w:rsidRDefault="00405424" w:rsidP="00C47858">
      <w:pPr>
        <w:pStyle w:val="BodyText"/>
      </w:pPr>
      <w:r w:rsidRPr="00CD29D0">
        <w:t>Research on CLASS protocol shows that students in classrooms that rated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 3).</w:t>
      </w:r>
    </w:p>
    <w:p w14:paraId="71CB9330" w14:textId="02EF7452" w:rsidR="00424417" w:rsidRPr="00CD29D0" w:rsidRDefault="00405424" w:rsidP="00C47858">
      <w:pPr>
        <w:pStyle w:val="BodyText"/>
      </w:pPr>
      <w:r w:rsidRPr="00CD29D0">
        <w:t xml:space="preserve">In this report, each CLASS dimension is defined, and descriptions of the dimensions at the high (6 or 7), middle (3, 4, or 5), and low levels (1 or 2) are presented </w:t>
      </w:r>
      <w:r w:rsidRPr="00CD29D0">
        <w:rPr>
          <w:i/>
        </w:rPr>
        <w:t>(definitions and rating descriptions are derived from the CLASS PK–3</w:t>
      </w:r>
      <w:r w:rsidRPr="00CD29D0">
        <w:t>,</w:t>
      </w:r>
      <w:r w:rsidRPr="00CD29D0">
        <w:rPr>
          <w:i/>
        </w:rPr>
        <w:t xml:space="preserve"> Upper Elementary, and Secondary Manuals).</w:t>
      </w:r>
      <w:r w:rsidRPr="00CD29D0">
        <w:t xml:space="preserve"> For each dimension we indicate the frequency of classroom observations across the ratings and provide a districtwide average of the observed classrooms. In cases where a dimension is included in more than one CLASS manual level, those results are combined on the dimension-specific pages. In the summary of ratings table following the dimension-specific pages the averages for every dimension are presented by grade band (PK-5, 6-8, and 9-12). For each dimension, we indicate the grade levels for which this dimension is included.</w:t>
      </w:r>
      <w:r w:rsidR="00424417" w:rsidRPr="00CD29D0">
        <w:br w:type="page"/>
      </w:r>
    </w:p>
    <w:p w14:paraId="29DA8B3B" w14:textId="77777777" w:rsidR="00405424" w:rsidRPr="00CD29D0" w:rsidRDefault="00405424" w:rsidP="00272891">
      <w:pPr>
        <w:pStyle w:val="DIORDimensions"/>
      </w:pPr>
      <w:bookmarkStart w:id="92" w:name="_Toc227587562"/>
      <w:r w:rsidRPr="00CD29D0">
        <w:lastRenderedPageBreak/>
        <w:t>Positive Climate</w:t>
      </w:r>
      <w:bookmarkStart w:id="93" w:name="_Hlk92190807"/>
      <w:bookmarkEnd w:id="89"/>
      <w:bookmarkEnd w:id="90"/>
      <w:bookmarkEnd w:id="91"/>
      <w:bookmarkEnd w:id="92"/>
    </w:p>
    <w:p w14:paraId="401C1466" w14:textId="77777777" w:rsidR="00405424" w:rsidRPr="00CD29D0" w:rsidRDefault="00405424" w:rsidP="00FE3751">
      <w:pPr>
        <w:pStyle w:val="BodyTextDomain"/>
      </w:pPr>
      <w:r w:rsidRPr="00CD29D0">
        <w:t>Emotional Support domain, Grades PK−12</w:t>
      </w:r>
    </w:p>
    <w:p w14:paraId="10476F37" w14:textId="77777777" w:rsidR="00405424" w:rsidRPr="00CD29D0" w:rsidRDefault="00405424" w:rsidP="00771DFF">
      <w:pPr>
        <w:pStyle w:val="BodyTextposthead"/>
      </w:pPr>
      <w:r w:rsidRPr="00CD29D0">
        <w:t>Positive Climate reflects the emotional connection between the teacher and students and among students and the warmth, respect, and enjoyment communicated by verbal and nonverbal interactions (</w:t>
      </w:r>
      <w:r w:rsidRPr="00CD29D0">
        <w:rPr>
          <w:i/>
        </w:rPr>
        <w:t>CLASS PK–3 Manual</w:t>
      </w:r>
      <w:r w:rsidRPr="00CD29D0">
        <w:t xml:space="preserve">, p. 23, </w:t>
      </w:r>
      <w:r w:rsidRPr="00CD29D0">
        <w:rPr>
          <w:i/>
        </w:rPr>
        <w:t xml:space="preserve">CLASS Upper Elementary Manual, </w:t>
      </w:r>
      <w:r w:rsidRPr="00CD29D0">
        <w:t xml:space="preserve">p. 21, </w:t>
      </w:r>
      <w:r w:rsidRPr="00CD29D0">
        <w:rPr>
          <w:i/>
        </w:rPr>
        <w:t>CLASS Secondary Manual</w:t>
      </w:r>
      <w:r w:rsidRPr="00CD29D0">
        <w:t>, p. 21). Table 3 (as well as tables for the remaining dimensions) includes the number of classrooms for each rating on each dimension and the district average for that dimension.</w:t>
      </w:r>
    </w:p>
    <w:p w14:paraId="1F824283" w14:textId="77777777" w:rsidR="00405424" w:rsidRPr="00CD29D0" w:rsidRDefault="00405424" w:rsidP="00771DFF">
      <w:pPr>
        <w:pStyle w:val="TableTitle0"/>
      </w:pPr>
      <w:r w:rsidRPr="00CD29D0">
        <w:t>Table 3. Positive Climate: Number of Classrooms for Each Rating and District Average</w:t>
      </w:r>
    </w:p>
    <w:p w14:paraId="633E5189" w14:textId="77777777" w:rsidR="00405424" w:rsidRPr="00CD29D0" w:rsidRDefault="00405424" w:rsidP="008D2F25">
      <w:pPr>
        <w:pStyle w:val="BodyTextDemi"/>
      </w:pPr>
      <w:r w:rsidRPr="00CD29D0">
        <w:t xml:space="preserve">Positive Climate District Average*: </w:t>
      </w:r>
      <w:bookmarkStart w:id="94" w:name="Dist_PC_Avg"/>
      <w:r w:rsidRPr="00CD29D0">
        <w:t>5.2</w:t>
      </w:r>
      <w:bookmarkEnd w:id="94"/>
    </w:p>
    <w:tbl>
      <w:tblPr>
        <w:tblStyle w:val="MSVTable1"/>
        <w:tblW w:w="5000" w:type="pct"/>
        <w:tblLook w:val="04A0" w:firstRow="1" w:lastRow="0" w:firstColumn="1" w:lastColumn="0" w:noHBand="0" w:noVBand="1"/>
        <w:tblCaption w:val="Table 3. Positive Climate: Number of Classrooms for Each Rating and District Average"/>
        <w:tblDescription w:val="Positive Climate: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4E177F7B" w14:textId="77777777" w:rsidTr="00C43C0B">
        <w:trPr>
          <w:cnfStyle w:val="100000000000" w:firstRow="1" w:lastRow="0" w:firstColumn="0" w:lastColumn="0" w:oddVBand="0" w:evenVBand="0" w:oddHBand="0" w:evenHBand="0" w:firstRowFirstColumn="0" w:firstRowLastColumn="0" w:lastRowFirstColumn="0" w:lastRowLastColumn="0"/>
          <w:tblHeader/>
        </w:trPr>
        <w:tc>
          <w:tcPr>
            <w:tcW w:w="1431" w:type="dxa"/>
          </w:tcPr>
          <w:p w14:paraId="68CAEC94" w14:textId="77777777" w:rsidR="00405424" w:rsidRPr="00CD29D0" w:rsidRDefault="00405424" w:rsidP="004663AC">
            <w:pPr>
              <w:pStyle w:val="TableColHeadingCenter"/>
            </w:pPr>
            <w:bookmarkStart w:id="95" w:name="Tbl_PC"/>
            <w:r w:rsidRPr="00CD29D0">
              <w:t>Grade Band</w:t>
            </w:r>
          </w:p>
        </w:tc>
        <w:tc>
          <w:tcPr>
            <w:tcW w:w="874" w:type="dxa"/>
          </w:tcPr>
          <w:p w14:paraId="4BE2D49D" w14:textId="77777777" w:rsidR="00405424" w:rsidRPr="00CD29D0" w:rsidRDefault="00405424" w:rsidP="004663AC">
            <w:pPr>
              <w:pStyle w:val="TableColHeadingCenter"/>
            </w:pPr>
            <w:r w:rsidRPr="00CD29D0">
              <w:t>Low Range (1)</w:t>
            </w:r>
          </w:p>
        </w:tc>
        <w:tc>
          <w:tcPr>
            <w:tcW w:w="874" w:type="dxa"/>
          </w:tcPr>
          <w:p w14:paraId="5803659F" w14:textId="77777777" w:rsidR="00405424" w:rsidRPr="00CD29D0" w:rsidRDefault="00405424" w:rsidP="004663AC">
            <w:pPr>
              <w:pStyle w:val="TableColHeadingCenter"/>
            </w:pPr>
            <w:r w:rsidRPr="00CD29D0">
              <w:t>Low Range (2)</w:t>
            </w:r>
          </w:p>
        </w:tc>
        <w:tc>
          <w:tcPr>
            <w:tcW w:w="874" w:type="dxa"/>
          </w:tcPr>
          <w:p w14:paraId="155E75C2" w14:textId="77777777" w:rsidR="00405424" w:rsidRPr="00CD29D0" w:rsidRDefault="00405424" w:rsidP="004663AC">
            <w:pPr>
              <w:pStyle w:val="TableColHeadingCenter"/>
            </w:pPr>
            <w:r w:rsidRPr="00CD29D0">
              <w:t>Middle Range (3)</w:t>
            </w:r>
          </w:p>
        </w:tc>
        <w:tc>
          <w:tcPr>
            <w:tcW w:w="875" w:type="dxa"/>
          </w:tcPr>
          <w:p w14:paraId="63D843A7" w14:textId="77777777" w:rsidR="00405424" w:rsidRPr="00CD29D0" w:rsidRDefault="00405424" w:rsidP="004663AC">
            <w:pPr>
              <w:pStyle w:val="TableColHeadingCenter"/>
            </w:pPr>
            <w:r w:rsidRPr="00CD29D0">
              <w:t>Middle Range (4)</w:t>
            </w:r>
          </w:p>
        </w:tc>
        <w:tc>
          <w:tcPr>
            <w:tcW w:w="875" w:type="dxa"/>
          </w:tcPr>
          <w:p w14:paraId="7AA85600" w14:textId="77777777" w:rsidR="00405424" w:rsidRPr="00CD29D0" w:rsidRDefault="00405424" w:rsidP="004663AC">
            <w:pPr>
              <w:pStyle w:val="TableColHeadingCenter"/>
            </w:pPr>
            <w:r w:rsidRPr="00CD29D0">
              <w:t>Middle Range (5)</w:t>
            </w:r>
          </w:p>
        </w:tc>
        <w:tc>
          <w:tcPr>
            <w:tcW w:w="874" w:type="dxa"/>
          </w:tcPr>
          <w:p w14:paraId="26F83344" w14:textId="77777777" w:rsidR="00405424" w:rsidRPr="00CD29D0" w:rsidRDefault="00405424" w:rsidP="004663AC">
            <w:pPr>
              <w:pStyle w:val="TableColHeadingCenter"/>
            </w:pPr>
            <w:r w:rsidRPr="00CD29D0">
              <w:t>High Range (6)</w:t>
            </w:r>
          </w:p>
        </w:tc>
        <w:tc>
          <w:tcPr>
            <w:tcW w:w="875" w:type="dxa"/>
          </w:tcPr>
          <w:p w14:paraId="1AD37586" w14:textId="77777777" w:rsidR="00405424" w:rsidRPr="00CD29D0" w:rsidRDefault="00405424" w:rsidP="004663AC">
            <w:pPr>
              <w:pStyle w:val="TableColHeadingCenter"/>
            </w:pPr>
            <w:r w:rsidRPr="00CD29D0">
              <w:t>High Range (7)</w:t>
            </w:r>
          </w:p>
        </w:tc>
        <w:tc>
          <w:tcPr>
            <w:tcW w:w="900" w:type="dxa"/>
          </w:tcPr>
          <w:p w14:paraId="3D504389" w14:textId="77777777" w:rsidR="00405424" w:rsidRPr="00CD29D0" w:rsidRDefault="00405424" w:rsidP="004663AC">
            <w:pPr>
              <w:pStyle w:val="TableColHeadingCenter"/>
            </w:pPr>
            <w:r w:rsidRPr="00CD29D0">
              <w:t>n</w:t>
            </w:r>
          </w:p>
        </w:tc>
        <w:tc>
          <w:tcPr>
            <w:tcW w:w="892" w:type="dxa"/>
          </w:tcPr>
          <w:p w14:paraId="4B3BBEE7" w14:textId="77777777" w:rsidR="00405424" w:rsidRPr="00CD29D0" w:rsidRDefault="00405424" w:rsidP="004663AC">
            <w:pPr>
              <w:pStyle w:val="TableColHeadingCenter"/>
            </w:pPr>
            <w:r w:rsidRPr="00CD29D0">
              <w:t>Average</w:t>
            </w:r>
          </w:p>
        </w:tc>
      </w:tr>
      <w:tr w:rsidR="00405424" w:rsidRPr="00CD29D0" w14:paraId="242554B0" w14:textId="77777777" w:rsidTr="00C43C0B">
        <w:trPr>
          <w:cnfStyle w:val="000000100000" w:firstRow="0" w:lastRow="0" w:firstColumn="0" w:lastColumn="0" w:oddVBand="0" w:evenVBand="0" w:oddHBand="1" w:evenHBand="0" w:firstRowFirstColumn="0" w:firstRowLastColumn="0" w:lastRowFirstColumn="0" w:lastRowLastColumn="0"/>
        </w:trPr>
        <w:tc>
          <w:tcPr>
            <w:tcW w:w="1431" w:type="dxa"/>
          </w:tcPr>
          <w:p w14:paraId="76826A2C" w14:textId="77777777" w:rsidR="00405424" w:rsidRPr="00CD29D0" w:rsidRDefault="00405424" w:rsidP="004663AC">
            <w:pPr>
              <w:pStyle w:val="TableText"/>
            </w:pPr>
            <w:r w:rsidRPr="00CD29D0">
              <w:t>Grades PK-5</w:t>
            </w:r>
          </w:p>
        </w:tc>
        <w:tc>
          <w:tcPr>
            <w:tcW w:w="874" w:type="dxa"/>
          </w:tcPr>
          <w:p w14:paraId="043007AF" w14:textId="77777777" w:rsidR="00405424" w:rsidRPr="00CD29D0" w:rsidRDefault="00405424" w:rsidP="004663AC">
            <w:pPr>
              <w:pStyle w:val="TableTextCentered"/>
            </w:pPr>
            <w:r w:rsidRPr="00CD29D0">
              <w:t>0</w:t>
            </w:r>
          </w:p>
        </w:tc>
        <w:tc>
          <w:tcPr>
            <w:tcW w:w="874" w:type="dxa"/>
          </w:tcPr>
          <w:p w14:paraId="41A3750E" w14:textId="77777777" w:rsidR="00405424" w:rsidRPr="00CD29D0" w:rsidRDefault="00405424" w:rsidP="004663AC">
            <w:pPr>
              <w:pStyle w:val="TableTextCentered"/>
            </w:pPr>
            <w:r w:rsidRPr="00CD29D0">
              <w:t>0</w:t>
            </w:r>
          </w:p>
        </w:tc>
        <w:tc>
          <w:tcPr>
            <w:tcW w:w="874" w:type="dxa"/>
          </w:tcPr>
          <w:p w14:paraId="36CE6192" w14:textId="77777777" w:rsidR="00405424" w:rsidRPr="00CD29D0" w:rsidRDefault="00405424" w:rsidP="004663AC">
            <w:pPr>
              <w:pStyle w:val="TableTextCentered"/>
            </w:pPr>
            <w:r w:rsidRPr="00CD29D0">
              <w:t>0</w:t>
            </w:r>
          </w:p>
        </w:tc>
        <w:tc>
          <w:tcPr>
            <w:tcW w:w="875" w:type="dxa"/>
          </w:tcPr>
          <w:p w14:paraId="2681DC75" w14:textId="77777777" w:rsidR="00405424" w:rsidRPr="00CD29D0" w:rsidRDefault="00405424" w:rsidP="004663AC">
            <w:pPr>
              <w:pStyle w:val="TableTextCentered"/>
            </w:pPr>
            <w:r w:rsidRPr="00CD29D0">
              <w:t>6</w:t>
            </w:r>
          </w:p>
        </w:tc>
        <w:tc>
          <w:tcPr>
            <w:tcW w:w="875" w:type="dxa"/>
          </w:tcPr>
          <w:p w14:paraId="5EF333BE" w14:textId="77777777" w:rsidR="00405424" w:rsidRPr="00CD29D0" w:rsidRDefault="00405424" w:rsidP="004663AC">
            <w:pPr>
              <w:pStyle w:val="TableTextCentered"/>
            </w:pPr>
            <w:r w:rsidRPr="00CD29D0">
              <w:t>10</w:t>
            </w:r>
          </w:p>
        </w:tc>
        <w:tc>
          <w:tcPr>
            <w:tcW w:w="874" w:type="dxa"/>
          </w:tcPr>
          <w:p w14:paraId="3314E58D" w14:textId="77777777" w:rsidR="00405424" w:rsidRPr="00CD29D0" w:rsidRDefault="00405424" w:rsidP="004663AC">
            <w:pPr>
              <w:pStyle w:val="TableTextCentered"/>
            </w:pPr>
            <w:r w:rsidRPr="00CD29D0">
              <w:t>13</w:t>
            </w:r>
          </w:p>
        </w:tc>
        <w:tc>
          <w:tcPr>
            <w:tcW w:w="875" w:type="dxa"/>
          </w:tcPr>
          <w:p w14:paraId="43B730C8" w14:textId="77777777" w:rsidR="00405424" w:rsidRPr="00CD29D0" w:rsidRDefault="00405424" w:rsidP="004663AC">
            <w:pPr>
              <w:pStyle w:val="TableTextCentered"/>
            </w:pPr>
            <w:r w:rsidRPr="00CD29D0">
              <w:t>4</w:t>
            </w:r>
          </w:p>
        </w:tc>
        <w:tc>
          <w:tcPr>
            <w:tcW w:w="900" w:type="dxa"/>
          </w:tcPr>
          <w:p w14:paraId="65D74B56" w14:textId="77777777" w:rsidR="00405424" w:rsidRPr="00CD29D0" w:rsidRDefault="00405424" w:rsidP="004663AC">
            <w:pPr>
              <w:pStyle w:val="TableTextCentered"/>
            </w:pPr>
            <w:r w:rsidRPr="00CD29D0">
              <w:t>33</w:t>
            </w:r>
          </w:p>
        </w:tc>
        <w:tc>
          <w:tcPr>
            <w:tcW w:w="892" w:type="dxa"/>
          </w:tcPr>
          <w:p w14:paraId="0F72048D" w14:textId="77777777" w:rsidR="00405424" w:rsidRPr="00CD29D0" w:rsidRDefault="00405424" w:rsidP="004663AC">
            <w:pPr>
              <w:pStyle w:val="TableTextCentered"/>
            </w:pPr>
            <w:r w:rsidRPr="00CD29D0">
              <w:t>5.5</w:t>
            </w:r>
          </w:p>
        </w:tc>
      </w:tr>
      <w:tr w:rsidR="00405424" w:rsidRPr="00CD29D0" w14:paraId="2275C6CD" w14:textId="77777777" w:rsidTr="00C43C0B">
        <w:tc>
          <w:tcPr>
            <w:tcW w:w="1431" w:type="dxa"/>
          </w:tcPr>
          <w:p w14:paraId="472EB802" w14:textId="77777777" w:rsidR="00405424" w:rsidRPr="00CD29D0" w:rsidRDefault="00405424" w:rsidP="004663AC">
            <w:pPr>
              <w:pStyle w:val="TableText"/>
            </w:pPr>
            <w:r w:rsidRPr="00CD29D0">
              <w:t>Grades 6-8</w:t>
            </w:r>
          </w:p>
        </w:tc>
        <w:tc>
          <w:tcPr>
            <w:tcW w:w="874" w:type="dxa"/>
          </w:tcPr>
          <w:p w14:paraId="6655F6EC" w14:textId="77777777" w:rsidR="00405424" w:rsidRPr="00CD29D0" w:rsidRDefault="00405424" w:rsidP="004663AC">
            <w:pPr>
              <w:pStyle w:val="TableTextCentered"/>
            </w:pPr>
            <w:r w:rsidRPr="00CD29D0">
              <w:t>0</w:t>
            </w:r>
          </w:p>
        </w:tc>
        <w:tc>
          <w:tcPr>
            <w:tcW w:w="874" w:type="dxa"/>
          </w:tcPr>
          <w:p w14:paraId="0AEE9F8B" w14:textId="77777777" w:rsidR="00405424" w:rsidRPr="00CD29D0" w:rsidRDefault="00405424" w:rsidP="004663AC">
            <w:pPr>
              <w:pStyle w:val="TableTextCentered"/>
            </w:pPr>
            <w:r w:rsidRPr="00CD29D0">
              <w:t>0</w:t>
            </w:r>
          </w:p>
        </w:tc>
        <w:tc>
          <w:tcPr>
            <w:tcW w:w="874" w:type="dxa"/>
          </w:tcPr>
          <w:p w14:paraId="7F6B48DF" w14:textId="77777777" w:rsidR="00405424" w:rsidRPr="00CD29D0" w:rsidRDefault="00405424" w:rsidP="004663AC">
            <w:pPr>
              <w:pStyle w:val="TableTextCentered"/>
            </w:pPr>
            <w:r w:rsidRPr="00CD29D0">
              <w:t>5</w:t>
            </w:r>
          </w:p>
        </w:tc>
        <w:tc>
          <w:tcPr>
            <w:tcW w:w="875" w:type="dxa"/>
          </w:tcPr>
          <w:p w14:paraId="51D787C0" w14:textId="77777777" w:rsidR="00405424" w:rsidRPr="00CD29D0" w:rsidRDefault="00405424" w:rsidP="004663AC">
            <w:pPr>
              <w:pStyle w:val="TableTextCentered"/>
            </w:pPr>
            <w:r w:rsidRPr="00CD29D0">
              <w:t>4</w:t>
            </w:r>
          </w:p>
        </w:tc>
        <w:tc>
          <w:tcPr>
            <w:tcW w:w="875" w:type="dxa"/>
          </w:tcPr>
          <w:p w14:paraId="547FAA97" w14:textId="77777777" w:rsidR="00405424" w:rsidRPr="00CD29D0" w:rsidRDefault="00405424" w:rsidP="004663AC">
            <w:pPr>
              <w:pStyle w:val="TableTextCentered"/>
            </w:pPr>
            <w:r w:rsidRPr="00CD29D0">
              <w:t>5</w:t>
            </w:r>
          </w:p>
        </w:tc>
        <w:tc>
          <w:tcPr>
            <w:tcW w:w="874" w:type="dxa"/>
          </w:tcPr>
          <w:p w14:paraId="40C03487" w14:textId="77777777" w:rsidR="00405424" w:rsidRPr="00CD29D0" w:rsidRDefault="00405424" w:rsidP="004663AC">
            <w:pPr>
              <w:pStyle w:val="TableTextCentered"/>
            </w:pPr>
            <w:r w:rsidRPr="00CD29D0">
              <w:t>3</w:t>
            </w:r>
          </w:p>
        </w:tc>
        <w:tc>
          <w:tcPr>
            <w:tcW w:w="875" w:type="dxa"/>
          </w:tcPr>
          <w:p w14:paraId="28ABF86F" w14:textId="77777777" w:rsidR="00405424" w:rsidRPr="00CD29D0" w:rsidRDefault="00405424" w:rsidP="004663AC">
            <w:pPr>
              <w:pStyle w:val="TableTextCentered"/>
            </w:pPr>
            <w:r w:rsidRPr="00CD29D0">
              <w:t>3</w:t>
            </w:r>
          </w:p>
        </w:tc>
        <w:tc>
          <w:tcPr>
            <w:tcW w:w="900" w:type="dxa"/>
          </w:tcPr>
          <w:p w14:paraId="6866888C" w14:textId="77777777" w:rsidR="00405424" w:rsidRPr="00CD29D0" w:rsidRDefault="00405424" w:rsidP="004663AC">
            <w:pPr>
              <w:pStyle w:val="TableTextCentered"/>
            </w:pPr>
            <w:r w:rsidRPr="00CD29D0">
              <w:t>20</w:t>
            </w:r>
          </w:p>
        </w:tc>
        <w:tc>
          <w:tcPr>
            <w:tcW w:w="892" w:type="dxa"/>
          </w:tcPr>
          <w:p w14:paraId="409154FA" w14:textId="77777777" w:rsidR="00405424" w:rsidRPr="00CD29D0" w:rsidRDefault="00405424" w:rsidP="004663AC">
            <w:pPr>
              <w:pStyle w:val="TableTextCentered"/>
            </w:pPr>
            <w:r w:rsidRPr="00CD29D0">
              <w:t>4.8</w:t>
            </w:r>
          </w:p>
        </w:tc>
      </w:tr>
      <w:tr w:rsidR="00405424" w:rsidRPr="00CD29D0" w14:paraId="76B0D748" w14:textId="77777777" w:rsidTr="00C43C0B">
        <w:trPr>
          <w:cnfStyle w:val="000000100000" w:firstRow="0" w:lastRow="0" w:firstColumn="0" w:lastColumn="0" w:oddVBand="0" w:evenVBand="0" w:oddHBand="1" w:evenHBand="0" w:firstRowFirstColumn="0" w:firstRowLastColumn="0" w:lastRowFirstColumn="0" w:lastRowLastColumn="0"/>
        </w:trPr>
        <w:tc>
          <w:tcPr>
            <w:tcW w:w="1431" w:type="dxa"/>
          </w:tcPr>
          <w:p w14:paraId="1B5860FF" w14:textId="77777777" w:rsidR="00405424" w:rsidRPr="00CD29D0" w:rsidRDefault="00405424" w:rsidP="004663AC">
            <w:pPr>
              <w:pStyle w:val="TableText"/>
            </w:pPr>
            <w:r w:rsidRPr="00CD29D0">
              <w:t>Grades 9-12</w:t>
            </w:r>
          </w:p>
        </w:tc>
        <w:tc>
          <w:tcPr>
            <w:tcW w:w="874" w:type="dxa"/>
          </w:tcPr>
          <w:p w14:paraId="288DC4CB" w14:textId="77777777" w:rsidR="00405424" w:rsidRPr="00CD29D0" w:rsidRDefault="00405424" w:rsidP="004663AC">
            <w:pPr>
              <w:pStyle w:val="TableTextCentered"/>
            </w:pPr>
            <w:r w:rsidRPr="00CD29D0">
              <w:t>0</w:t>
            </w:r>
          </w:p>
        </w:tc>
        <w:tc>
          <w:tcPr>
            <w:tcW w:w="874" w:type="dxa"/>
          </w:tcPr>
          <w:p w14:paraId="61C37563" w14:textId="77777777" w:rsidR="00405424" w:rsidRPr="00CD29D0" w:rsidRDefault="00405424" w:rsidP="004663AC">
            <w:pPr>
              <w:pStyle w:val="TableTextCentered"/>
            </w:pPr>
            <w:r w:rsidRPr="00CD29D0">
              <w:t>0</w:t>
            </w:r>
          </w:p>
        </w:tc>
        <w:tc>
          <w:tcPr>
            <w:tcW w:w="874" w:type="dxa"/>
          </w:tcPr>
          <w:p w14:paraId="227B4869" w14:textId="77777777" w:rsidR="00405424" w:rsidRPr="00CD29D0" w:rsidRDefault="00405424" w:rsidP="004663AC">
            <w:pPr>
              <w:pStyle w:val="TableTextCentered"/>
            </w:pPr>
            <w:r w:rsidRPr="00CD29D0">
              <w:t>2</w:t>
            </w:r>
          </w:p>
        </w:tc>
        <w:tc>
          <w:tcPr>
            <w:tcW w:w="875" w:type="dxa"/>
          </w:tcPr>
          <w:p w14:paraId="6E9597C5" w14:textId="77777777" w:rsidR="00405424" w:rsidRPr="00CD29D0" w:rsidRDefault="00405424" w:rsidP="004663AC">
            <w:pPr>
              <w:pStyle w:val="TableTextCentered"/>
            </w:pPr>
            <w:r w:rsidRPr="00CD29D0">
              <w:t>1</w:t>
            </w:r>
          </w:p>
        </w:tc>
        <w:tc>
          <w:tcPr>
            <w:tcW w:w="875" w:type="dxa"/>
          </w:tcPr>
          <w:p w14:paraId="7BEC402C" w14:textId="77777777" w:rsidR="00405424" w:rsidRPr="00CD29D0" w:rsidRDefault="00405424" w:rsidP="004663AC">
            <w:pPr>
              <w:pStyle w:val="TableTextCentered"/>
            </w:pPr>
            <w:r w:rsidRPr="00CD29D0">
              <w:t>8</w:t>
            </w:r>
          </w:p>
        </w:tc>
        <w:tc>
          <w:tcPr>
            <w:tcW w:w="874" w:type="dxa"/>
          </w:tcPr>
          <w:p w14:paraId="3166CF7F" w14:textId="77777777" w:rsidR="00405424" w:rsidRPr="00CD29D0" w:rsidRDefault="00405424" w:rsidP="004663AC">
            <w:pPr>
              <w:pStyle w:val="TableTextCentered"/>
            </w:pPr>
            <w:r w:rsidRPr="00CD29D0">
              <w:t>7</w:t>
            </w:r>
          </w:p>
        </w:tc>
        <w:tc>
          <w:tcPr>
            <w:tcW w:w="875" w:type="dxa"/>
          </w:tcPr>
          <w:p w14:paraId="50330A2F" w14:textId="77777777" w:rsidR="00405424" w:rsidRPr="00CD29D0" w:rsidRDefault="00405424" w:rsidP="004663AC">
            <w:pPr>
              <w:pStyle w:val="TableTextCentered"/>
            </w:pPr>
            <w:r w:rsidRPr="00CD29D0">
              <w:t>2</w:t>
            </w:r>
          </w:p>
        </w:tc>
        <w:tc>
          <w:tcPr>
            <w:tcW w:w="900" w:type="dxa"/>
          </w:tcPr>
          <w:p w14:paraId="511A9F1D" w14:textId="77777777" w:rsidR="00405424" w:rsidRPr="00CD29D0" w:rsidRDefault="00405424" w:rsidP="004663AC">
            <w:pPr>
              <w:pStyle w:val="TableTextCentered"/>
            </w:pPr>
            <w:r w:rsidRPr="00CD29D0">
              <w:t>20</w:t>
            </w:r>
          </w:p>
        </w:tc>
        <w:tc>
          <w:tcPr>
            <w:tcW w:w="892" w:type="dxa"/>
          </w:tcPr>
          <w:p w14:paraId="055706E9" w14:textId="77777777" w:rsidR="00405424" w:rsidRPr="00CD29D0" w:rsidRDefault="00405424" w:rsidP="004663AC">
            <w:pPr>
              <w:pStyle w:val="TableTextCentered"/>
            </w:pPr>
            <w:r w:rsidRPr="00CD29D0">
              <w:t>5.3</w:t>
            </w:r>
          </w:p>
        </w:tc>
      </w:tr>
      <w:tr w:rsidR="00405424" w:rsidRPr="00CD29D0" w14:paraId="128F3A49" w14:textId="77777777" w:rsidTr="00C43C0B">
        <w:tc>
          <w:tcPr>
            <w:tcW w:w="1431" w:type="dxa"/>
          </w:tcPr>
          <w:p w14:paraId="793FDFA9" w14:textId="77777777" w:rsidR="00405424" w:rsidRPr="00CD29D0" w:rsidRDefault="00405424" w:rsidP="004663AC">
            <w:pPr>
              <w:pStyle w:val="TableText"/>
              <w:rPr>
                <w:b/>
                <w:bCs/>
              </w:rPr>
            </w:pPr>
            <w:r w:rsidRPr="00CD29D0">
              <w:rPr>
                <w:b/>
                <w:bCs/>
              </w:rPr>
              <w:t>Totals</w:t>
            </w:r>
          </w:p>
        </w:tc>
        <w:tc>
          <w:tcPr>
            <w:tcW w:w="874" w:type="dxa"/>
          </w:tcPr>
          <w:p w14:paraId="22745600" w14:textId="77777777" w:rsidR="00405424" w:rsidRPr="00CD29D0" w:rsidRDefault="00405424" w:rsidP="004663AC">
            <w:pPr>
              <w:pStyle w:val="TableTextCentered"/>
              <w:rPr>
                <w:rFonts w:eastAsia="Times New Roman"/>
                <w:b/>
                <w:bCs/>
              </w:rPr>
            </w:pPr>
            <w:r w:rsidRPr="00CD29D0">
              <w:rPr>
                <w:rFonts w:eastAsia="Times New Roman"/>
                <w:b/>
                <w:bCs/>
              </w:rPr>
              <w:t>0</w:t>
            </w:r>
          </w:p>
        </w:tc>
        <w:tc>
          <w:tcPr>
            <w:tcW w:w="874" w:type="dxa"/>
          </w:tcPr>
          <w:p w14:paraId="6413FE5D" w14:textId="77777777" w:rsidR="00405424" w:rsidRPr="00CD29D0" w:rsidRDefault="00405424" w:rsidP="004663AC">
            <w:pPr>
              <w:pStyle w:val="TableTextCentered"/>
              <w:rPr>
                <w:rFonts w:eastAsia="Times New Roman"/>
                <w:b/>
                <w:bCs/>
              </w:rPr>
            </w:pPr>
            <w:r w:rsidRPr="00CD29D0">
              <w:rPr>
                <w:rFonts w:eastAsia="Times New Roman"/>
                <w:b/>
                <w:bCs/>
              </w:rPr>
              <w:t>0</w:t>
            </w:r>
          </w:p>
        </w:tc>
        <w:tc>
          <w:tcPr>
            <w:tcW w:w="874" w:type="dxa"/>
          </w:tcPr>
          <w:p w14:paraId="6E1210BF" w14:textId="77777777" w:rsidR="00405424" w:rsidRPr="00CD29D0" w:rsidRDefault="00405424" w:rsidP="004663AC">
            <w:pPr>
              <w:pStyle w:val="TableTextCentered"/>
              <w:rPr>
                <w:rFonts w:eastAsia="Times New Roman"/>
                <w:b/>
                <w:bCs/>
              </w:rPr>
            </w:pPr>
            <w:r w:rsidRPr="00CD29D0">
              <w:rPr>
                <w:rFonts w:eastAsia="Times New Roman"/>
                <w:b/>
                <w:bCs/>
              </w:rPr>
              <w:t>7</w:t>
            </w:r>
          </w:p>
        </w:tc>
        <w:tc>
          <w:tcPr>
            <w:tcW w:w="875" w:type="dxa"/>
          </w:tcPr>
          <w:p w14:paraId="46195CDB" w14:textId="77777777" w:rsidR="00405424" w:rsidRPr="00CD29D0" w:rsidRDefault="00405424" w:rsidP="004663AC">
            <w:pPr>
              <w:pStyle w:val="TableTextCentered"/>
              <w:rPr>
                <w:rFonts w:eastAsia="Times New Roman"/>
                <w:b/>
                <w:bCs/>
              </w:rPr>
            </w:pPr>
            <w:r w:rsidRPr="00CD29D0">
              <w:rPr>
                <w:rFonts w:eastAsia="Times New Roman"/>
                <w:b/>
                <w:bCs/>
              </w:rPr>
              <w:t>11</w:t>
            </w:r>
          </w:p>
        </w:tc>
        <w:tc>
          <w:tcPr>
            <w:tcW w:w="875" w:type="dxa"/>
          </w:tcPr>
          <w:p w14:paraId="560C25EF" w14:textId="77777777" w:rsidR="00405424" w:rsidRPr="00CD29D0" w:rsidRDefault="00405424" w:rsidP="004663AC">
            <w:pPr>
              <w:pStyle w:val="TableTextCentered"/>
              <w:rPr>
                <w:rFonts w:eastAsia="Times New Roman"/>
                <w:b/>
                <w:bCs/>
              </w:rPr>
            </w:pPr>
            <w:r w:rsidRPr="00CD29D0">
              <w:rPr>
                <w:rFonts w:eastAsia="Times New Roman"/>
                <w:b/>
                <w:bCs/>
              </w:rPr>
              <w:t>23</w:t>
            </w:r>
          </w:p>
        </w:tc>
        <w:tc>
          <w:tcPr>
            <w:tcW w:w="874" w:type="dxa"/>
          </w:tcPr>
          <w:p w14:paraId="2B181CA4" w14:textId="77777777" w:rsidR="00405424" w:rsidRPr="00CD29D0" w:rsidRDefault="00405424" w:rsidP="004663AC">
            <w:pPr>
              <w:pStyle w:val="TableTextCentered"/>
              <w:rPr>
                <w:rFonts w:eastAsia="Times New Roman"/>
                <w:b/>
                <w:bCs/>
              </w:rPr>
            </w:pPr>
            <w:r w:rsidRPr="00CD29D0">
              <w:rPr>
                <w:rFonts w:eastAsia="Times New Roman"/>
                <w:b/>
                <w:bCs/>
              </w:rPr>
              <w:t>23</w:t>
            </w:r>
          </w:p>
        </w:tc>
        <w:tc>
          <w:tcPr>
            <w:tcW w:w="875" w:type="dxa"/>
          </w:tcPr>
          <w:p w14:paraId="570F78BF" w14:textId="77777777" w:rsidR="00405424" w:rsidRPr="00CD29D0" w:rsidRDefault="00405424" w:rsidP="004663AC">
            <w:pPr>
              <w:pStyle w:val="TableTextCentered"/>
              <w:rPr>
                <w:rFonts w:eastAsia="Times New Roman"/>
                <w:b/>
                <w:bCs/>
              </w:rPr>
            </w:pPr>
            <w:r w:rsidRPr="00CD29D0">
              <w:rPr>
                <w:rFonts w:eastAsia="Times New Roman"/>
                <w:b/>
                <w:bCs/>
              </w:rPr>
              <w:t>9</w:t>
            </w:r>
          </w:p>
        </w:tc>
        <w:tc>
          <w:tcPr>
            <w:tcW w:w="900" w:type="dxa"/>
          </w:tcPr>
          <w:p w14:paraId="079827EF" w14:textId="77777777" w:rsidR="00405424" w:rsidRPr="00CD29D0" w:rsidRDefault="00405424" w:rsidP="004663AC">
            <w:pPr>
              <w:pStyle w:val="TableTextCentered"/>
              <w:rPr>
                <w:rFonts w:eastAsia="Times New Roman"/>
                <w:b/>
                <w:bCs/>
              </w:rPr>
            </w:pPr>
            <w:r w:rsidRPr="00CD29D0">
              <w:rPr>
                <w:rFonts w:eastAsia="Times New Roman"/>
                <w:b/>
                <w:bCs/>
              </w:rPr>
              <w:t>73</w:t>
            </w:r>
          </w:p>
        </w:tc>
        <w:tc>
          <w:tcPr>
            <w:tcW w:w="892" w:type="dxa"/>
          </w:tcPr>
          <w:p w14:paraId="7340A88E" w14:textId="77777777" w:rsidR="00405424" w:rsidRPr="00CD29D0" w:rsidRDefault="00405424" w:rsidP="004663AC">
            <w:pPr>
              <w:pStyle w:val="TableTextCentered"/>
              <w:rPr>
                <w:rFonts w:eastAsia="Times New Roman"/>
                <w:b/>
                <w:bCs/>
              </w:rPr>
            </w:pPr>
            <w:r w:rsidRPr="00CD29D0">
              <w:rPr>
                <w:rFonts w:eastAsia="Times New Roman"/>
                <w:b/>
                <w:bCs/>
              </w:rPr>
              <w:t>5.2</w:t>
            </w:r>
          </w:p>
        </w:tc>
      </w:tr>
    </w:tbl>
    <w:bookmarkEnd w:id="95"/>
    <w:p w14:paraId="1BBBCF2C" w14:textId="41B5A543" w:rsidR="00405424" w:rsidRPr="00CD29D0" w:rsidRDefault="00405424" w:rsidP="008D2F25">
      <w:pPr>
        <w:pStyle w:val="TableNote"/>
      </w:pPr>
      <w:r w:rsidRPr="00CD29D0">
        <w:rPr>
          <w:szCs w:val="20"/>
        </w:rPr>
        <w:t>*</w:t>
      </w:r>
      <w:r w:rsidRPr="00CD29D0">
        <w:t xml:space="preserve">The district average is an average of the observation scores. In Table 3, the district average is computed as: </w:t>
      </w:r>
      <w:bookmarkStart w:id="96" w:name="Dist_PC_Calc"/>
      <w:r w:rsidRPr="00CD29D0">
        <w:t>([3 x 7] + [4 x 11] + [5 x 23] + [6 x 23] + [7 x 9]) ÷ 73 observations = 5.2</w:t>
      </w:r>
      <w:bookmarkEnd w:id="96"/>
    </w:p>
    <w:p w14:paraId="0F079DDC" w14:textId="77777777" w:rsidR="00405424" w:rsidRPr="00CD29D0" w:rsidRDefault="00405424" w:rsidP="008D2F25">
      <w:pPr>
        <w:pStyle w:val="BodyText"/>
      </w:pPr>
      <w:r w:rsidRPr="00CD29D0">
        <w:rPr>
          <w:rStyle w:val="BodyTextDemiChar"/>
        </w:rPr>
        <w:t>Ratings in the Low Range</w:t>
      </w:r>
      <w:r w:rsidRPr="00CD29D0">
        <w:t>. 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323FB05A" w14:textId="77777777" w:rsidR="00405424" w:rsidRPr="00CD29D0" w:rsidRDefault="00405424" w:rsidP="008D2F25">
      <w:pPr>
        <w:pStyle w:val="BodyTextposthead"/>
      </w:pPr>
      <w:r w:rsidRPr="00CD29D0">
        <w:rPr>
          <w:rStyle w:val="BodyTextDemiChar"/>
        </w:rPr>
        <w:t>Ratings in the Middle Range.</w:t>
      </w:r>
      <w:r w:rsidRPr="00CD29D0">
        <w:t xml:space="preserve"> 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254828DE" w14:textId="6D070773" w:rsidR="00405424" w:rsidRPr="00CD29D0" w:rsidRDefault="00405424" w:rsidP="008D2F25">
      <w:pPr>
        <w:pStyle w:val="BodyTextposthead"/>
      </w:pPr>
      <w:r w:rsidRPr="00CD29D0">
        <w:rPr>
          <w:rStyle w:val="BodyTextDemiChar"/>
        </w:rPr>
        <w:t xml:space="preserve">Ratings in the High Range. </w:t>
      </w:r>
      <w:r w:rsidRPr="00CD29D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93"/>
      <w:r w:rsidRPr="00CD29D0">
        <w:br w:type="page"/>
      </w:r>
    </w:p>
    <w:p w14:paraId="5C5486A4" w14:textId="77777777" w:rsidR="00405424" w:rsidRPr="00CD29D0" w:rsidRDefault="00405424" w:rsidP="00272891">
      <w:pPr>
        <w:pStyle w:val="DIORDimensions"/>
      </w:pPr>
      <w:bookmarkStart w:id="97" w:name="_Toc411329828"/>
      <w:bookmarkStart w:id="98" w:name="_Toc430114876"/>
      <w:bookmarkStart w:id="99" w:name="_Toc227587563"/>
      <w:r w:rsidRPr="00CD29D0">
        <w:lastRenderedPageBreak/>
        <w:t>Teacher Sensitivity</w:t>
      </w:r>
      <w:bookmarkEnd w:id="97"/>
      <w:bookmarkEnd w:id="98"/>
      <w:bookmarkEnd w:id="99"/>
    </w:p>
    <w:p w14:paraId="31BE320C" w14:textId="77777777" w:rsidR="00405424" w:rsidRPr="00CD29D0" w:rsidRDefault="00405424" w:rsidP="004663AC">
      <w:pPr>
        <w:pStyle w:val="BodyTextDomain"/>
      </w:pPr>
      <w:r w:rsidRPr="00CD29D0">
        <w:t>Emotional Support domain, Grades PK−12</w:t>
      </w:r>
    </w:p>
    <w:p w14:paraId="6892C27C" w14:textId="7ECB9BFE" w:rsidR="00405424" w:rsidRPr="00CD29D0" w:rsidRDefault="00405424" w:rsidP="004663AC">
      <w:pPr>
        <w:pStyle w:val="BodyTextposthead"/>
      </w:pPr>
      <w:r w:rsidRPr="00CD29D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CD29D0">
        <w:rPr>
          <w:i/>
        </w:rPr>
        <w:t>CLASS PK–3 Manual,</w:t>
      </w:r>
      <w:r w:rsidRPr="00CD29D0">
        <w:t xml:space="preserve"> p. 32, </w:t>
      </w:r>
      <w:r w:rsidRPr="00CD29D0">
        <w:rPr>
          <w:i/>
        </w:rPr>
        <w:t xml:space="preserve">CLASS Upper Elementary Manual, </w:t>
      </w:r>
      <w:r w:rsidRPr="00CD29D0">
        <w:t xml:space="preserve">p. 27, </w:t>
      </w:r>
      <w:r w:rsidRPr="00CD29D0">
        <w:rPr>
          <w:i/>
        </w:rPr>
        <w:t>CLASS Secondary Manual,</w:t>
      </w:r>
      <w:r w:rsidRPr="00CD29D0">
        <w:t xml:space="preserve"> p. 27).</w:t>
      </w:r>
    </w:p>
    <w:p w14:paraId="613BFDDD" w14:textId="77777777" w:rsidR="00405424" w:rsidRPr="00CD29D0" w:rsidRDefault="00405424" w:rsidP="004663AC">
      <w:pPr>
        <w:pStyle w:val="TableTitle0"/>
      </w:pPr>
      <w:r w:rsidRPr="00CD29D0">
        <w:t>Table 4. Teacher Sensitivity: Number of Classrooms for Each Rating and District Average</w:t>
      </w:r>
    </w:p>
    <w:p w14:paraId="5586F9ED" w14:textId="77777777" w:rsidR="00405424" w:rsidRPr="00CD29D0" w:rsidRDefault="00405424" w:rsidP="004663AC">
      <w:pPr>
        <w:pStyle w:val="BodyTextDemi"/>
      </w:pPr>
      <w:r w:rsidRPr="00CD29D0">
        <w:t xml:space="preserve">Teacher Sensitivity District Average*: </w:t>
      </w:r>
      <w:bookmarkStart w:id="100" w:name="Dist_TS_Avg"/>
      <w:r w:rsidRPr="00CD29D0">
        <w:t>5.5</w:t>
      </w:r>
      <w:bookmarkEnd w:id="100"/>
    </w:p>
    <w:tbl>
      <w:tblPr>
        <w:tblStyle w:val="MSVTable1"/>
        <w:tblW w:w="5000" w:type="pct"/>
        <w:tblLook w:val="04A0" w:firstRow="1" w:lastRow="0" w:firstColumn="1" w:lastColumn="0" w:noHBand="0" w:noVBand="1"/>
        <w:tblCaption w:val="Table 4. Teacher Sensitivity: Number of Classrooms for Each Rating and District Average"/>
        <w:tblDescription w:val="Teacher Sensitivity: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13BDE3E7" w14:textId="77777777" w:rsidTr="004663AC">
        <w:trPr>
          <w:cnfStyle w:val="100000000000" w:firstRow="1" w:lastRow="0" w:firstColumn="0" w:lastColumn="0" w:oddVBand="0" w:evenVBand="0" w:oddHBand="0" w:evenHBand="0" w:firstRowFirstColumn="0" w:firstRowLastColumn="0" w:lastRowFirstColumn="0" w:lastRowLastColumn="0"/>
          <w:tblHeader/>
        </w:trPr>
        <w:tc>
          <w:tcPr>
            <w:tcW w:w="1431" w:type="dxa"/>
          </w:tcPr>
          <w:p w14:paraId="362ECF7E" w14:textId="77777777" w:rsidR="00405424" w:rsidRPr="00CD29D0" w:rsidRDefault="00405424" w:rsidP="004663AC">
            <w:pPr>
              <w:pStyle w:val="TableColHeadingCenter"/>
            </w:pPr>
            <w:bookmarkStart w:id="101" w:name="Tbl_TS"/>
            <w:r w:rsidRPr="00CD29D0">
              <w:t>Grade Band</w:t>
            </w:r>
          </w:p>
        </w:tc>
        <w:tc>
          <w:tcPr>
            <w:tcW w:w="874" w:type="dxa"/>
          </w:tcPr>
          <w:p w14:paraId="3CDAD8CF" w14:textId="77777777" w:rsidR="00405424" w:rsidRPr="00CD29D0" w:rsidRDefault="00405424" w:rsidP="004663AC">
            <w:pPr>
              <w:pStyle w:val="TableColHeadingCenter"/>
            </w:pPr>
            <w:r w:rsidRPr="00CD29D0">
              <w:t>Low Range (1)</w:t>
            </w:r>
          </w:p>
        </w:tc>
        <w:tc>
          <w:tcPr>
            <w:tcW w:w="874" w:type="dxa"/>
          </w:tcPr>
          <w:p w14:paraId="32BC5458" w14:textId="77777777" w:rsidR="00405424" w:rsidRPr="00CD29D0" w:rsidRDefault="00405424" w:rsidP="004663AC">
            <w:pPr>
              <w:pStyle w:val="TableColHeadingCenter"/>
            </w:pPr>
            <w:r w:rsidRPr="00CD29D0">
              <w:t>Low Range (2)</w:t>
            </w:r>
          </w:p>
        </w:tc>
        <w:tc>
          <w:tcPr>
            <w:tcW w:w="874" w:type="dxa"/>
          </w:tcPr>
          <w:p w14:paraId="7DFC70F5" w14:textId="77777777" w:rsidR="00405424" w:rsidRPr="00CD29D0" w:rsidRDefault="00405424" w:rsidP="004663AC">
            <w:pPr>
              <w:pStyle w:val="TableColHeadingCenter"/>
            </w:pPr>
            <w:r w:rsidRPr="00CD29D0">
              <w:t>Middle Range (3)</w:t>
            </w:r>
          </w:p>
        </w:tc>
        <w:tc>
          <w:tcPr>
            <w:tcW w:w="875" w:type="dxa"/>
          </w:tcPr>
          <w:p w14:paraId="588661A9" w14:textId="77777777" w:rsidR="00405424" w:rsidRPr="00CD29D0" w:rsidRDefault="00405424" w:rsidP="004663AC">
            <w:pPr>
              <w:pStyle w:val="TableColHeadingCenter"/>
            </w:pPr>
            <w:r w:rsidRPr="00CD29D0">
              <w:t>Middle Range (4)</w:t>
            </w:r>
          </w:p>
        </w:tc>
        <w:tc>
          <w:tcPr>
            <w:tcW w:w="875" w:type="dxa"/>
          </w:tcPr>
          <w:p w14:paraId="365D7792" w14:textId="77777777" w:rsidR="00405424" w:rsidRPr="00CD29D0" w:rsidRDefault="00405424" w:rsidP="004663AC">
            <w:pPr>
              <w:pStyle w:val="TableColHeadingCenter"/>
            </w:pPr>
            <w:r w:rsidRPr="00CD29D0">
              <w:t>Middle Range (5)</w:t>
            </w:r>
          </w:p>
        </w:tc>
        <w:tc>
          <w:tcPr>
            <w:tcW w:w="874" w:type="dxa"/>
          </w:tcPr>
          <w:p w14:paraId="3AC0FA73" w14:textId="77777777" w:rsidR="00405424" w:rsidRPr="00CD29D0" w:rsidRDefault="00405424" w:rsidP="004663AC">
            <w:pPr>
              <w:pStyle w:val="TableColHeadingCenter"/>
            </w:pPr>
            <w:r w:rsidRPr="00CD29D0">
              <w:t>High Range (6)</w:t>
            </w:r>
          </w:p>
        </w:tc>
        <w:tc>
          <w:tcPr>
            <w:tcW w:w="875" w:type="dxa"/>
          </w:tcPr>
          <w:p w14:paraId="1854E286" w14:textId="77777777" w:rsidR="00405424" w:rsidRPr="00CD29D0" w:rsidRDefault="00405424" w:rsidP="004663AC">
            <w:pPr>
              <w:pStyle w:val="TableColHeadingCenter"/>
            </w:pPr>
            <w:r w:rsidRPr="00CD29D0">
              <w:t>High Range (7)</w:t>
            </w:r>
          </w:p>
        </w:tc>
        <w:tc>
          <w:tcPr>
            <w:tcW w:w="900" w:type="dxa"/>
          </w:tcPr>
          <w:p w14:paraId="0B82F2DE" w14:textId="77777777" w:rsidR="00405424" w:rsidRPr="00CD29D0" w:rsidRDefault="00405424" w:rsidP="004663AC">
            <w:pPr>
              <w:pStyle w:val="TableColHeadingCenter"/>
            </w:pPr>
            <w:r w:rsidRPr="00CD29D0">
              <w:t>n</w:t>
            </w:r>
          </w:p>
        </w:tc>
        <w:tc>
          <w:tcPr>
            <w:tcW w:w="892" w:type="dxa"/>
          </w:tcPr>
          <w:p w14:paraId="39ABED5D" w14:textId="77777777" w:rsidR="00405424" w:rsidRPr="00CD29D0" w:rsidRDefault="00405424" w:rsidP="004663AC">
            <w:pPr>
              <w:pStyle w:val="TableColHeadingCenter"/>
            </w:pPr>
            <w:r w:rsidRPr="00CD29D0">
              <w:t>Average</w:t>
            </w:r>
          </w:p>
        </w:tc>
      </w:tr>
      <w:tr w:rsidR="00405424" w:rsidRPr="00CD29D0" w14:paraId="4244E677" w14:textId="77777777" w:rsidTr="004663AC">
        <w:trPr>
          <w:cnfStyle w:val="000000100000" w:firstRow="0" w:lastRow="0" w:firstColumn="0" w:lastColumn="0" w:oddVBand="0" w:evenVBand="0" w:oddHBand="1" w:evenHBand="0" w:firstRowFirstColumn="0" w:firstRowLastColumn="0" w:lastRowFirstColumn="0" w:lastRowLastColumn="0"/>
        </w:trPr>
        <w:tc>
          <w:tcPr>
            <w:tcW w:w="1431" w:type="dxa"/>
          </w:tcPr>
          <w:p w14:paraId="76DCC398" w14:textId="77777777" w:rsidR="00405424" w:rsidRPr="00CD29D0" w:rsidRDefault="00405424" w:rsidP="004663AC">
            <w:pPr>
              <w:pStyle w:val="TableText"/>
            </w:pPr>
            <w:r w:rsidRPr="00CD29D0">
              <w:t>Grades PK-5</w:t>
            </w:r>
          </w:p>
        </w:tc>
        <w:tc>
          <w:tcPr>
            <w:tcW w:w="874" w:type="dxa"/>
          </w:tcPr>
          <w:p w14:paraId="0E48A4A5" w14:textId="77777777" w:rsidR="00405424" w:rsidRPr="00CD29D0" w:rsidRDefault="00405424" w:rsidP="004663AC">
            <w:pPr>
              <w:pStyle w:val="TableTextCentered"/>
            </w:pPr>
            <w:r w:rsidRPr="00CD29D0">
              <w:t>0</w:t>
            </w:r>
          </w:p>
        </w:tc>
        <w:tc>
          <w:tcPr>
            <w:tcW w:w="874" w:type="dxa"/>
          </w:tcPr>
          <w:p w14:paraId="13E0FC53" w14:textId="77777777" w:rsidR="00405424" w:rsidRPr="00CD29D0" w:rsidRDefault="00405424" w:rsidP="004663AC">
            <w:pPr>
              <w:pStyle w:val="TableTextCentered"/>
            </w:pPr>
            <w:r w:rsidRPr="00CD29D0">
              <w:t>0</w:t>
            </w:r>
          </w:p>
        </w:tc>
        <w:tc>
          <w:tcPr>
            <w:tcW w:w="874" w:type="dxa"/>
          </w:tcPr>
          <w:p w14:paraId="393CC056" w14:textId="77777777" w:rsidR="00405424" w:rsidRPr="00CD29D0" w:rsidRDefault="00405424" w:rsidP="004663AC">
            <w:pPr>
              <w:pStyle w:val="TableTextCentered"/>
            </w:pPr>
            <w:r w:rsidRPr="00CD29D0">
              <w:t>0</w:t>
            </w:r>
          </w:p>
        </w:tc>
        <w:tc>
          <w:tcPr>
            <w:tcW w:w="875" w:type="dxa"/>
          </w:tcPr>
          <w:p w14:paraId="6AAB8851" w14:textId="77777777" w:rsidR="00405424" w:rsidRPr="00CD29D0" w:rsidRDefault="00405424" w:rsidP="004663AC">
            <w:pPr>
              <w:pStyle w:val="TableTextCentered"/>
            </w:pPr>
            <w:r w:rsidRPr="00CD29D0">
              <w:t>4</w:t>
            </w:r>
          </w:p>
        </w:tc>
        <w:tc>
          <w:tcPr>
            <w:tcW w:w="875" w:type="dxa"/>
          </w:tcPr>
          <w:p w14:paraId="51998CE7" w14:textId="77777777" w:rsidR="00405424" w:rsidRPr="00CD29D0" w:rsidRDefault="00405424" w:rsidP="004663AC">
            <w:pPr>
              <w:pStyle w:val="TableTextCentered"/>
            </w:pPr>
            <w:r w:rsidRPr="00CD29D0">
              <w:t>6</w:t>
            </w:r>
          </w:p>
        </w:tc>
        <w:tc>
          <w:tcPr>
            <w:tcW w:w="874" w:type="dxa"/>
          </w:tcPr>
          <w:p w14:paraId="0ABF4EF7" w14:textId="77777777" w:rsidR="00405424" w:rsidRPr="00CD29D0" w:rsidRDefault="00405424" w:rsidP="004663AC">
            <w:pPr>
              <w:pStyle w:val="TableTextCentered"/>
            </w:pPr>
            <w:r w:rsidRPr="00CD29D0">
              <w:t>13</w:t>
            </w:r>
          </w:p>
        </w:tc>
        <w:tc>
          <w:tcPr>
            <w:tcW w:w="875" w:type="dxa"/>
          </w:tcPr>
          <w:p w14:paraId="6845136C" w14:textId="77777777" w:rsidR="00405424" w:rsidRPr="00CD29D0" w:rsidRDefault="00405424" w:rsidP="004663AC">
            <w:pPr>
              <w:pStyle w:val="TableTextCentered"/>
            </w:pPr>
            <w:r w:rsidRPr="00CD29D0">
              <w:t>10</w:t>
            </w:r>
          </w:p>
        </w:tc>
        <w:tc>
          <w:tcPr>
            <w:tcW w:w="900" w:type="dxa"/>
          </w:tcPr>
          <w:p w14:paraId="3D071131" w14:textId="77777777" w:rsidR="00405424" w:rsidRPr="00CD29D0" w:rsidRDefault="00405424" w:rsidP="004663AC">
            <w:pPr>
              <w:pStyle w:val="TableTextCentered"/>
            </w:pPr>
            <w:r w:rsidRPr="00CD29D0">
              <w:t>33</w:t>
            </w:r>
          </w:p>
        </w:tc>
        <w:tc>
          <w:tcPr>
            <w:tcW w:w="892" w:type="dxa"/>
          </w:tcPr>
          <w:p w14:paraId="532B6169" w14:textId="77777777" w:rsidR="00405424" w:rsidRPr="00CD29D0" w:rsidRDefault="00405424" w:rsidP="004663AC">
            <w:pPr>
              <w:pStyle w:val="TableTextCentered"/>
            </w:pPr>
            <w:r w:rsidRPr="00CD29D0">
              <w:t>5.9</w:t>
            </w:r>
          </w:p>
        </w:tc>
      </w:tr>
      <w:tr w:rsidR="00405424" w:rsidRPr="00CD29D0" w14:paraId="501D94F4" w14:textId="77777777" w:rsidTr="004663AC">
        <w:tc>
          <w:tcPr>
            <w:tcW w:w="1431" w:type="dxa"/>
          </w:tcPr>
          <w:p w14:paraId="684A3D98" w14:textId="77777777" w:rsidR="00405424" w:rsidRPr="00CD29D0" w:rsidRDefault="00405424" w:rsidP="004663AC">
            <w:pPr>
              <w:pStyle w:val="TableText"/>
            </w:pPr>
            <w:r w:rsidRPr="00CD29D0">
              <w:t>Grades 6-8</w:t>
            </w:r>
          </w:p>
        </w:tc>
        <w:tc>
          <w:tcPr>
            <w:tcW w:w="874" w:type="dxa"/>
          </w:tcPr>
          <w:p w14:paraId="0329CC4F" w14:textId="77777777" w:rsidR="00405424" w:rsidRPr="00CD29D0" w:rsidRDefault="00405424" w:rsidP="004663AC">
            <w:pPr>
              <w:pStyle w:val="TableTextCentered"/>
            </w:pPr>
            <w:r w:rsidRPr="00CD29D0">
              <w:t>0</w:t>
            </w:r>
          </w:p>
        </w:tc>
        <w:tc>
          <w:tcPr>
            <w:tcW w:w="874" w:type="dxa"/>
          </w:tcPr>
          <w:p w14:paraId="758FAF3D" w14:textId="77777777" w:rsidR="00405424" w:rsidRPr="00CD29D0" w:rsidRDefault="00405424" w:rsidP="004663AC">
            <w:pPr>
              <w:pStyle w:val="TableTextCentered"/>
            </w:pPr>
            <w:r w:rsidRPr="00CD29D0">
              <w:t>0</w:t>
            </w:r>
          </w:p>
        </w:tc>
        <w:tc>
          <w:tcPr>
            <w:tcW w:w="874" w:type="dxa"/>
          </w:tcPr>
          <w:p w14:paraId="2442AE60" w14:textId="77777777" w:rsidR="00405424" w:rsidRPr="00CD29D0" w:rsidRDefault="00405424" w:rsidP="004663AC">
            <w:pPr>
              <w:pStyle w:val="TableTextCentered"/>
            </w:pPr>
            <w:r w:rsidRPr="00CD29D0">
              <w:t>1</w:t>
            </w:r>
          </w:p>
        </w:tc>
        <w:tc>
          <w:tcPr>
            <w:tcW w:w="875" w:type="dxa"/>
          </w:tcPr>
          <w:p w14:paraId="2D2862FB" w14:textId="77777777" w:rsidR="00405424" w:rsidRPr="00CD29D0" w:rsidRDefault="00405424" w:rsidP="004663AC">
            <w:pPr>
              <w:pStyle w:val="TableTextCentered"/>
            </w:pPr>
            <w:r w:rsidRPr="00CD29D0">
              <w:t>7</w:t>
            </w:r>
          </w:p>
        </w:tc>
        <w:tc>
          <w:tcPr>
            <w:tcW w:w="875" w:type="dxa"/>
          </w:tcPr>
          <w:p w14:paraId="016A0351" w14:textId="77777777" w:rsidR="00405424" w:rsidRPr="00CD29D0" w:rsidRDefault="00405424" w:rsidP="004663AC">
            <w:pPr>
              <w:pStyle w:val="TableTextCentered"/>
            </w:pPr>
            <w:r w:rsidRPr="00CD29D0">
              <w:t>3</w:t>
            </w:r>
          </w:p>
        </w:tc>
        <w:tc>
          <w:tcPr>
            <w:tcW w:w="874" w:type="dxa"/>
          </w:tcPr>
          <w:p w14:paraId="5B0DDC84" w14:textId="77777777" w:rsidR="00405424" w:rsidRPr="00CD29D0" w:rsidRDefault="00405424" w:rsidP="004663AC">
            <w:pPr>
              <w:pStyle w:val="TableTextCentered"/>
            </w:pPr>
            <w:r w:rsidRPr="00CD29D0">
              <w:t>5</w:t>
            </w:r>
          </w:p>
        </w:tc>
        <w:tc>
          <w:tcPr>
            <w:tcW w:w="875" w:type="dxa"/>
          </w:tcPr>
          <w:p w14:paraId="3DD1A698" w14:textId="77777777" w:rsidR="00405424" w:rsidRPr="00CD29D0" w:rsidRDefault="00405424" w:rsidP="004663AC">
            <w:pPr>
              <w:pStyle w:val="TableTextCentered"/>
            </w:pPr>
            <w:r w:rsidRPr="00CD29D0">
              <w:t>4</w:t>
            </w:r>
          </w:p>
        </w:tc>
        <w:tc>
          <w:tcPr>
            <w:tcW w:w="900" w:type="dxa"/>
          </w:tcPr>
          <w:p w14:paraId="2EF0F714" w14:textId="77777777" w:rsidR="00405424" w:rsidRPr="00CD29D0" w:rsidRDefault="00405424" w:rsidP="004663AC">
            <w:pPr>
              <w:pStyle w:val="TableTextCentered"/>
            </w:pPr>
            <w:r w:rsidRPr="00CD29D0">
              <w:t>20</w:t>
            </w:r>
          </w:p>
        </w:tc>
        <w:tc>
          <w:tcPr>
            <w:tcW w:w="892" w:type="dxa"/>
          </w:tcPr>
          <w:p w14:paraId="6D437648" w14:textId="77777777" w:rsidR="00405424" w:rsidRPr="00CD29D0" w:rsidRDefault="00405424" w:rsidP="004663AC">
            <w:pPr>
              <w:pStyle w:val="TableTextCentered"/>
            </w:pPr>
            <w:r w:rsidRPr="00CD29D0">
              <w:t>5.2</w:t>
            </w:r>
          </w:p>
        </w:tc>
      </w:tr>
      <w:tr w:rsidR="00405424" w:rsidRPr="00CD29D0" w14:paraId="7B9AE465" w14:textId="77777777" w:rsidTr="004663AC">
        <w:trPr>
          <w:cnfStyle w:val="000000100000" w:firstRow="0" w:lastRow="0" w:firstColumn="0" w:lastColumn="0" w:oddVBand="0" w:evenVBand="0" w:oddHBand="1" w:evenHBand="0" w:firstRowFirstColumn="0" w:firstRowLastColumn="0" w:lastRowFirstColumn="0" w:lastRowLastColumn="0"/>
        </w:trPr>
        <w:tc>
          <w:tcPr>
            <w:tcW w:w="1431" w:type="dxa"/>
          </w:tcPr>
          <w:p w14:paraId="19E82497" w14:textId="77777777" w:rsidR="00405424" w:rsidRPr="00CD29D0" w:rsidRDefault="00405424" w:rsidP="004663AC">
            <w:pPr>
              <w:pStyle w:val="TableText"/>
            </w:pPr>
            <w:r w:rsidRPr="00CD29D0">
              <w:t>Grades 9-12</w:t>
            </w:r>
          </w:p>
        </w:tc>
        <w:tc>
          <w:tcPr>
            <w:tcW w:w="874" w:type="dxa"/>
          </w:tcPr>
          <w:p w14:paraId="79D0876C" w14:textId="77777777" w:rsidR="00405424" w:rsidRPr="00CD29D0" w:rsidRDefault="00405424" w:rsidP="004663AC">
            <w:pPr>
              <w:pStyle w:val="TableTextCentered"/>
            </w:pPr>
            <w:r w:rsidRPr="00CD29D0">
              <w:t>0</w:t>
            </w:r>
          </w:p>
        </w:tc>
        <w:tc>
          <w:tcPr>
            <w:tcW w:w="874" w:type="dxa"/>
          </w:tcPr>
          <w:p w14:paraId="4FE840E1" w14:textId="77777777" w:rsidR="00405424" w:rsidRPr="00CD29D0" w:rsidRDefault="00405424" w:rsidP="004663AC">
            <w:pPr>
              <w:pStyle w:val="TableTextCentered"/>
            </w:pPr>
            <w:r w:rsidRPr="00CD29D0">
              <w:t>2</w:t>
            </w:r>
          </w:p>
        </w:tc>
        <w:tc>
          <w:tcPr>
            <w:tcW w:w="874" w:type="dxa"/>
          </w:tcPr>
          <w:p w14:paraId="1C0DE151" w14:textId="77777777" w:rsidR="00405424" w:rsidRPr="00CD29D0" w:rsidRDefault="00405424" w:rsidP="004663AC">
            <w:pPr>
              <w:pStyle w:val="TableTextCentered"/>
            </w:pPr>
            <w:r w:rsidRPr="00CD29D0">
              <w:t>1</w:t>
            </w:r>
          </w:p>
        </w:tc>
        <w:tc>
          <w:tcPr>
            <w:tcW w:w="875" w:type="dxa"/>
          </w:tcPr>
          <w:p w14:paraId="5B899147" w14:textId="77777777" w:rsidR="00405424" w:rsidRPr="00CD29D0" w:rsidRDefault="00405424" w:rsidP="004663AC">
            <w:pPr>
              <w:pStyle w:val="TableTextCentered"/>
            </w:pPr>
            <w:r w:rsidRPr="00CD29D0">
              <w:t>2</w:t>
            </w:r>
          </w:p>
        </w:tc>
        <w:tc>
          <w:tcPr>
            <w:tcW w:w="875" w:type="dxa"/>
          </w:tcPr>
          <w:p w14:paraId="47973B1E" w14:textId="77777777" w:rsidR="00405424" w:rsidRPr="00CD29D0" w:rsidRDefault="00405424" w:rsidP="004663AC">
            <w:pPr>
              <w:pStyle w:val="TableTextCentered"/>
            </w:pPr>
            <w:r w:rsidRPr="00CD29D0">
              <w:t>8</w:t>
            </w:r>
          </w:p>
        </w:tc>
        <w:tc>
          <w:tcPr>
            <w:tcW w:w="874" w:type="dxa"/>
          </w:tcPr>
          <w:p w14:paraId="0FC3BE13" w14:textId="77777777" w:rsidR="00405424" w:rsidRPr="00CD29D0" w:rsidRDefault="00405424" w:rsidP="004663AC">
            <w:pPr>
              <w:pStyle w:val="TableTextCentered"/>
            </w:pPr>
            <w:r w:rsidRPr="00CD29D0">
              <w:t>4</w:t>
            </w:r>
          </w:p>
        </w:tc>
        <w:tc>
          <w:tcPr>
            <w:tcW w:w="875" w:type="dxa"/>
          </w:tcPr>
          <w:p w14:paraId="635FA003" w14:textId="77777777" w:rsidR="00405424" w:rsidRPr="00CD29D0" w:rsidRDefault="00405424" w:rsidP="004663AC">
            <w:pPr>
              <w:pStyle w:val="TableTextCentered"/>
            </w:pPr>
            <w:r w:rsidRPr="00CD29D0">
              <w:t>3</w:t>
            </w:r>
          </w:p>
        </w:tc>
        <w:tc>
          <w:tcPr>
            <w:tcW w:w="900" w:type="dxa"/>
          </w:tcPr>
          <w:p w14:paraId="668A8D5F" w14:textId="77777777" w:rsidR="00405424" w:rsidRPr="00CD29D0" w:rsidRDefault="00405424" w:rsidP="004663AC">
            <w:pPr>
              <w:pStyle w:val="TableTextCentered"/>
            </w:pPr>
            <w:r w:rsidRPr="00CD29D0">
              <w:t>20</w:t>
            </w:r>
          </w:p>
        </w:tc>
        <w:tc>
          <w:tcPr>
            <w:tcW w:w="892" w:type="dxa"/>
          </w:tcPr>
          <w:p w14:paraId="6C5E6022" w14:textId="77777777" w:rsidR="00405424" w:rsidRPr="00CD29D0" w:rsidRDefault="00405424" w:rsidP="004663AC">
            <w:pPr>
              <w:pStyle w:val="TableTextCentered"/>
            </w:pPr>
            <w:r w:rsidRPr="00CD29D0">
              <w:t>5.0</w:t>
            </w:r>
          </w:p>
        </w:tc>
      </w:tr>
      <w:tr w:rsidR="00405424" w:rsidRPr="00CD29D0" w14:paraId="3DB8E741" w14:textId="77777777" w:rsidTr="004663AC">
        <w:tc>
          <w:tcPr>
            <w:tcW w:w="1431" w:type="dxa"/>
          </w:tcPr>
          <w:p w14:paraId="0038F433" w14:textId="77777777" w:rsidR="00405424" w:rsidRPr="00CD29D0" w:rsidRDefault="00405424" w:rsidP="004663AC">
            <w:pPr>
              <w:pStyle w:val="TableText"/>
              <w:rPr>
                <w:b/>
                <w:bCs/>
              </w:rPr>
            </w:pPr>
            <w:r w:rsidRPr="00CD29D0">
              <w:rPr>
                <w:b/>
                <w:bCs/>
              </w:rPr>
              <w:t>Totals</w:t>
            </w:r>
          </w:p>
        </w:tc>
        <w:tc>
          <w:tcPr>
            <w:tcW w:w="874" w:type="dxa"/>
          </w:tcPr>
          <w:p w14:paraId="23FD0599" w14:textId="77777777" w:rsidR="00405424" w:rsidRPr="00CD29D0" w:rsidRDefault="00405424" w:rsidP="004663AC">
            <w:pPr>
              <w:pStyle w:val="TableTextCentered"/>
              <w:rPr>
                <w:b/>
                <w:bCs/>
              </w:rPr>
            </w:pPr>
            <w:r w:rsidRPr="00CD29D0">
              <w:rPr>
                <w:b/>
                <w:bCs/>
              </w:rPr>
              <w:t>0</w:t>
            </w:r>
          </w:p>
        </w:tc>
        <w:tc>
          <w:tcPr>
            <w:tcW w:w="874" w:type="dxa"/>
          </w:tcPr>
          <w:p w14:paraId="3CCC737C" w14:textId="77777777" w:rsidR="00405424" w:rsidRPr="00CD29D0" w:rsidRDefault="00405424" w:rsidP="004663AC">
            <w:pPr>
              <w:pStyle w:val="TableTextCentered"/>
              <w:rPr>
                <w:b/>
                <w:bCs/>
              </w:rPr>
            </w:pPr>
            <w:r w:rsidRPr="00CD29D0">
              <w:rPr>
                <w:b/>
                <w:bCs/>
              </w:rPr>
              <w:t>2</w:t>
            </w:r>
          </w:p>
        </w:tc>
        <w:tc>
          <w:tcPr>
            <w:tcW w:w="874" w:type="dxa"/>
          </w:tcPr>
          <w:p w14:paraId="0A77270E" w14:textId="77777777" w:rsidR="00405424" w:rsidRPr="00CD29D0" w:rsidRDefault="00405424" w:rsidP="004663AC">
            <w:pPr>
              <w:pStyle w:val="TableTextCentered"/>
              <w:rPr>
                <w:b/>
                <w:bCs/>
              </w:rPr>
            </w:pPr>
            <w:r w:rsidRPr="00CD29D0">
              <w:rPr>
                <w:b/>
                <w:bCs/>
              </w:rPr>
              <w:t>2</w:t>
            </w:r>
          </w:p>
        </w:tc>
        <w:tc>
          <w:tcPr>
            <w:tcW w:w="875" w:type="dxa"/>
          </w:tcPr>
          <w:p w14:paraId="1821F0BF" w14:textId="77777777" w:rsidR="00405424" w:rsidRPr="00CD29D0" w:rsidRDefault="00405424" w:rsidP="004663AC">
            <w:pPr>
              <w:pStyle w:val="TableTextCentered"/>
              <w:rPr>
                <w:b/>
                <w:bCs/>
              </w:rPr>
            </w:pPr>
            <w:r w:rsidRPr="00CD29D0">
              <w:rPr>
                <w:b/>
                <w:bCs/>
              </w:rPr>
              <w:t>13</w:t>
            </w:r>
          </w:p>
        </w:tc>
        <w:tc>
          <w:tcPr>
            <w:tcW w:w="875" w:type="dxa"/>
          </w:tcPr>
          <w:p w14:paraId="691D8CC0" w14:textId="77777777" w:rsidR="00405424" w:rsidRPr="00CD29D0" w:rsidRDefault="00405424" w:rsidP="004663AC">
            <w:pPr>
              <w:pStyle w:val="TableTextCentered"/>
              <w:rPr>
                <w:b/>
                <w:bCs/>
              </w:rPr>
            </w:pPr>
            <w:r w:rsidRPr="00CD29D0">
              <w:rPr>
                <w:b/>
                <w:bCs/>
              </w:rPr>
              <w:t>17</w:t>
            </w:r>
          </w:p>
        </w:tc>
        <w:tc>
          <w:tcPr>
            <w:tcW w:w="874" w:type="dxa"/>
          </w:tcPr>
          <w:p w14:paraId="2DAD98E3" w14:textId="77777777" w:rsidR="00405424" w:rsidRPr="00CD29D0" w:rsidRDefault="00405424" w:rsidP="004663AC">
            <w:pPr>
              <w:pStyle w:val="TableTextCentered"/>
              <w:rPr>
                <w:b/>
                <w:bCs/>
              </w:rPr>
            </w:pPr>
            <w:r w:rsidRPr="00CD29D0">
              <w:rPr>
                <w:b/>
                <w:bCs/>
              </w:rPr>
              <w:t>22</w:t>
            </w:r>
          </w:p>
        </w:tc>
        <w:tc>
          <w:tcPr>
            <w:tcW w:w="875" w:type="dxa"/>
          </w:tcPr>
          <w:p w14:paraId="77CF0EF5" w14:textId="77777777" w:rsidR="00405424" w:rsidRPr="00CD29D0" w:rsidRDefault="00405424" w:rsidP="004663AC">
            <w:pPr>
              <w:pStyle w:val="TableTextCentered"/>
              <w:rPr>
                <w:b/>
                <w:bCs/>
              </w:rPr>
            </w:pPr>
            <w:r w:rsidRPr="00CD29D0">
              <w:rPr>
                <w:b/>
                <w:bCs/>
              </w:rPr>
              <w:t>17</w:t>
            </w:r>
          </w:p>
        </w:tc>
        <w:tc>
          <w:tcPr>
            <w:tcW w:w="900" w:type="dxa"/>
          </w:tcPr>
          <w:p w14:paraId="5D7DCCAE" w14:textId="77777777" w:rsidR="00405424" w:rsidRPr="00CD29D0" w:rsidRDefault="00405424" w:rsidP="004663AC">
            <w:pPr>
              <w:pStyle w:val="TableTextCentered"/>
              <w:rPr>
                <w:b/>
                <w:bCs/>
              </w:rPr>
            </w:pPr>
            <w:r w:rsidRPr="00CD29D0">
              <w:rPr>
                <w:b/>
                <w:bCs/>
              </w:rPr>
              <w:t>73</w:t>
            </w:r>
          </w:p>
        </w:tc>
        <w:tc>
          <w:tcPr>
            <w:tcW w:w="892" w:type="dxa"/>
          </w:tcPr>
          <w:p w14:paraId="3E221CD5" w14:textId="77777777" w:rsidR="00405424" w:rsidRPr="00CD29D0" w:rsidRDefault="00405424" w:rsidP="004663AC">
            <w:pPr>
              <w:pStyle w:val="TableTextCentered"/>
              <w:rPr>
                <w:b/>
                <w:bCs/>
              </w:rPr>
            </w:pPr>
            <w:r w:rsidRPr="00CD29D0">
              <w:rPr>
                <w:b/>
                <w:bCs/>
              </w:rPr>
              <w:t>5.5</w:t>
            </w:r>
          </w:p>
        </w:tc>
      </w:tr>
    </w:tbl>
    <w:bookmarkEnd w:id="101"/>
    <w:p w14:paraId="798C7436" w14:textId="24201B7F" w:rsidR="00405424" w:rsidRPr="00CD29D0" w:rsidRDefault="00405424" w:rsidP="004663AC">
      <w:pPr>
        <w:pStyle w:val="TableNote"/>
      </w:pPr>
      <w:r w:rsidRPr="00CD29D0">
        <w:t xml:space="preserve">*The district average is an average of the observation scores. In Table 4, the district average is computed as: </w:t>
      </w:r>
      <w:bookmarkStart w:id="102" w:name="Dist_TS_Calc"/>
      <w:r w:rsidRPr="00CD29D0">
        <w:t>([2 x 2] + [3 x 2] + [4 x 13] + [5 x 17] + [6 x 22] + [7 x 17]) ÷ 73 observations = 5.5</w:t>
      </w:r>
      <w:bookmarkEnd w:id="102"/>
    </w:p>
    <w:p w14:paraId="1C534663" w14:textId="77777777" w:rsidR="00405424" w:rsidRPr="00CD29D0" w:rsidRDefault="00405424" w:rsidP="0059418B">
      <w:pPr>
        <w:pStyle w:val="BodyText"/>
        <w:spacing w:before="220"/>
      </w:pPr>
      <w:r w:rsidRPr="00CD29D0">
        <w:rPr>
          <w:rStyle w:val="BodyTextDemiChar"/>
        </w:rPr>
        <w:t>Ratings in the Low Range.</w:t>
      </w:r>
      <w:r w:rsidRPr="00CD29D0">
        <w:t xml:space="preserve"> In these sessions, the teacher has not been aware of students who </w:t>
      </w:r>
      <w:r w:rsidRPr="00CD29D0">
        <w:rPr>
          <w:spacing w:val="-4"/>
        </w:rPr>
        <w:t xml:space="preserve">need extra support and pays little attention to students’ </w:t>
      </w:r>
      <w:r w:rsidRPr="00CD29D0">
        <w:t>needs</w:t>
      </w:r>
      <w:r w:rsidRPr="00CD29D0">
        <w:rPr>
          <w:spacing w:val="-4"/>
        </w:rPr>
        <w:t>. As a result, students are frustrated</w:t>
      </w:r>
      <w:r w:rsidRPr="00CD29D0">
        <w:t xml:space="preserve">, confused, and disengaged. The teacher is unresponsive to and dismissive of students and may ignore students, squash their enthusiasm, and not allow them to share their moods or feelings. </w:t>
      </w:r>
      <w:r w:rsidRPr="00CD29D0">
        <w:rPr>
          <w:spacing w:val="-4"/>
        </w:rPr>
        <w:t>The teacher is not effective in addressing students’ needs and does not appropriately acknowledge situations that may be upsetting to students. Students rarely seek support from the teacher</w:t>
      </w:r>
      <w:r w:rsidRPr="00CD29D0">
        <w:t xml:space="preserve"> and minimize conversations with the teacher, not sharing ideas or responding to questions.</w:t>
      </w:r>
    </w:p>
    <w:p w14:paraId="41C006BA" w14:textId="7EBFEE26" w:rsidR="00405424" w:rsidRPr="00CD29D0" w:rsidRDefault="00405424" w:rsidP="004663AC">
      <w:pPr>
        <w:pStyle w:val="BodyTextposthead"/>
      </w:pPr>
      <w:r w:rsidRPr="00CD29D0">
        <w:rPr>
          <w:rStyle w:val="BodyTextDemiChar"/>
        </w:rPr>
        <w:t>Ratings in the Middle Range.</w:t>
      </w:r>
      <w:r w:rsidRPr="00CD29D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7ECEE156" w14:textId="4B35882E" w:rsidR="00405424" w:rsidRPr="00CD29D0" w:rsidRDefault="00405424" w:rsidP="0059418B">
      <w:pPr>
        <w:pStyle w:val="BodyTextposthead"/>
        <w:spacing w:after="0"/>
      </w:pPr>
      <w:r w:rsidRPr="00CD29D0">
        <w:rPr>
          <w:rStyle w:val="BodyTextDemiChar"/>
        </w:rPr>
        <w:t>Ratings in the High Range.</w:t>
      </w:r>
      <w:r w:rsidRPr="00CD29D0">
        <w:t xml:space="preserve"> The teacher’s awareness of students and their needs is consistent </w:t>
      </w:r>
      <w:r w:rsidRPr="00CD29D0">
        <w:rPr>
          <w:spacing w:val="-4"/>
        </w:rPr>
        <w:t>and accurate. The teacher may predict how difficult a new task is for a student and acknowledge</w:t>
      </w:r>
      <w:r w:rsidRPr="00CD29D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rsidRPr="00CD29D0">
        <w:br w:type="page"/>
      </w:r>
    </w:p>
    <w:p w14:paraId="61A7A34A" w14:textId="77777777" w:rsidR="00405424" w:rsidRPr="00CD29D0" w:rsidRDefault="00405424" w:rsidP="00272891">
      <w:pPr>
        <w:pStyle w:val="DIORDimensions"/>
      </w:pPr>
      <w:bookmarkStart w:id="103" w:name="_Toc411329829"/>
      <w:bookmarkStart w:id="104" w:name="_Toc430114877"/>
      <w:bookmarkStart w:id="105" w:name="_Toc227587564"/>
      <w:r w:rsidRPr="00CD29D0">
        <w:lastRenderedPageBreak/>
        <w:t>Regard for Student Perspectives</w:t>
      </w:r>
      <w:bookmarkEnd w:id="103"/>
      <w:bookmarkEnd w:id="104"/>
      <w:bookmarkEnd w:id="105"/>
    </w:p>
    <w:p w14:paraId="7730423E" w14:textId="77777777" w:rsidR="00405424" w:rsidRPr="00CD29D0" w:rsidRDefault="00405424" w:rsidP="000B7C1A">
      <w:pPr>
        <w:pStyle w:val="BodyTextDomain"/>
      </w:pPr>
      <w:r w:rsidRPr="00CD29D0">
        <w:t>Emotional Support domain, Grades PK−12</w:t>
      </w:r>
    </w:p>
    <w:p w14:paraId="116A481A" w14:textId="5127257F" w:rsidR="00405424" w:rsidRPr="00CD29D0" w:rsidRDefault="00405424" w:rsidP="000B7C1A">
      <w:pPr>
        <w:pStyle w:val="BodyTextposthead"/>
      </w:pPr>
      <w:r w:rsidRPr="00CD29D0">
        <w:t>Regard for Student Perspectives captures the degree to which the teacher’s interactions with students and classroom activities place an emphasis on students’ interests, motivations, and points of view and encourage student responsibility and autonomy (</w:t>
      </w:r>
      <w:r w:rsidRPr="00CD29D0">
        <w:rPr>
          <w:i/>
        </w:rPr>
        <w:t>CLASS PK–3 Manual,</w:t>
      </w:r>
      <w:r w:rsidRPr="00CD29D0">
        <w:t xml:space="preserve"> p. 38, </w:t>
      </w:r>
      <w:r w:rsidRPr="00CD29D0">
        <w:rPr>
          <w:i/>
        </w:rPr>
        <w:t xml:space="preserve">CLASS Upper Elementary Manual, </w:t>
      </w:r>
      <w:r w:rsidRPr="00CD29D0">
        <w:t xml:space="preserve">p. 35, </w:t>
      </w:r>
      <w:r w:rsidRPr="00CD29D0">
        <w:rPr>
          <w:i/>
          <w:spacing w:val="-4"/>
        </w:rPr>
        <w:t>CLASS Secondary Manual</w:t>
      </w:r>
      <w:r w:rsidRPr="00CD29D0">
        <w:rPr>
          <w:spacing w:val="-4"/>
        </w:rPr>
        <w:t>, p. 35</w:t>
      </w:r>
      <w:r w:rsidRPr="00CD29D0">
        <w:t>).</w:t>
      </w:r>
    </w:p>
    <w:p w14:paraId="355CBF6C" w14:textId="0CABDB5B" w:rsidR="00405424" w:rsidRPr="00CD29D0" w:rsidRDefault="00405424" w:rsidP="000B7C1A">
      <w:pPr>
        <w:pStyle w:val="TableTitle0"/>
      </w:pPr>
      <w:r w:rsidRPr="00CD29D0">
        <w:t>Table 5. Regard for Student Perspectives: Number of Classrooms for Each Rating and District</w:t>
      </w:r>
      <w:r w:rsidR="000B7C1A" w:rsidRPr="00CD29D0">
        <w:t> </w:t>
      </w:r>
      <w:r w:rsidRPr="00CD29D0">
        <w:t>Average</w:t>
      </w:r>
    </w:p>
    <w:p w14:paraId="422871FE" w14:textId="77777777" w:rsidR="00405424" w:rsidRPr="00CD29D0" w:rsidRDefault="00405424" w:rsidP="000B7C1A">
      <w:pPr>
        <w:pStyle w:val="BodyTextDemi"/>
      </w:pPr>
      <w:r w:rsidRPr="00CD29D0">
        <w:t xml:space="preserve">Regard for Student Perspectives District Average*: </w:t>
      </w:r>
      <w:bookmarkStart w:id="106" w:name="Dist_RSP_Avg"/>
      <w:r w:rsidRPr="00CD29D0">
        <w:t>3.2</w:t>
      </w:r>
      <w:bookmarkEnd w:id="106"/>
    </w:p>
    <w:tbl>
      <w:tblPr>
        <w:tblStyle w:val="MSVTable1"/>
        <w:tblW w:w="5000" w:type="pct"/>
        <w:tblLook w:val="04A0" w:firstRow="1" w:lastRow="0" w:firstColumn="1" w:lastColumn="0" w:noHBand="0" w:noVBand="1"/>
        <w:tblCaption w:val="Table 5. Regard for Student Perspectives: Number of Classrooms for Each Rating and District Average"/>
        <w:tblDescription w:val="Regard for Student Perspectives: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44B95718" w14:textId="77777777" w:rsidTr="000B7C1A">
        <w:trPr>
          <w:cnfStyle w:val="100000000000" w:firstRow="1" w:lastRow="0" w:firstColumn="0" w:lastColumn="0" w:oddVBand="0" w:evenVBand="0" w:oddHBand="0" w:evenHBand="0" w:firstRowFirstColumn="0" w:firstRowLastColumn="0" w:lastRowFirstColumn="0" w:lastRowLastColumn="0"/>
          <w:tblHeader/>
        </w:trPr>
        <w:tc>
          <w:tcPr>
            <w:tcW w:w="1431" w:type="dxa"/>
          </w:tcPr>
          <w:p w14:paraId="24A9FC5C" w14:textId="77777777" w:rsidR="00405424" w:rsidRPr="00CD29D0" w:rsidRDefault="00405424" w:rsidP="000B7C1A">
            <w:pPr>
              <w:pStyle w:val="TableColHeadingCenter"/>
            </w:pPr>
            <w:bookmarkStart w:id="107" w:name="Tbl_RSP"/>
            <w:r w:rsidRPr="00CD29D0">
              <w:t>Grade Band</w:t>
            </w:r>
          </w:p>
        </w:tc>
        <w:tc>
          <w:tcPr>
            <w:tcW w:w="874" w:type="dxa"/>
          </w:tcPr>
          <w:p w14:paraId="28431C28" w14:textId="77777777" w:rsidR="00405424" w:rsidRPr="00CD29D0" w:rsidRDefault="00405424" w:rsidP="000B7C1A">
            <w:pPr>
              <w:pStyle w:val="TableColHeadingCenter"/>
            </w:pPr>
            <w:r w:rsidRPr="00CD29D0">
              <w:t>Low Range (1)</w:t>
            </w:r>
          </w:p>
        </w:tc>
        <w:tc>
          <w:tcPr>
            <w:tcW w:w="874" w:type="dxa"/>
          </w:tcPr>
          <w:p w14:paraId="319BEFFE" w14:textId="77777777" w:rsidR="00405424" w:rsidRPr="00CD29D0" w:rsidRDefault="00405424" w:rsidP="000B7C1A">
            <w:pPr>
              <w:pStyle w:val="TableColHeadingCenter"/>
            </w:pPr>
            <w:r w:rsidRPr="00CD29D0">
              <w:t>Low Range (2)</w:t>
            </w:r>
          </w:p>
        </w:tc>
        <w:tc>
          <w:tcPr>
            <w:tcW w:w="874" w:type="dxa"/>
          </w:tcPr>
          <w:p w14:paraId="4652A55C" w14:textId="77777777" w:rsidR="00405424" w:rsidRPr="00CD29D0" w:rsidRDefault="00405424" w:rsidP="000B7C1A">
            <w:pPr>
              <w:pStyle w:val="TableColHeadingCenter"/>
            </w:pPr>
            <w:r w:rsidRPr="00CD29D0">
              <w:t>Middle Range (3)</w:t>
            </w:r>
          </w:p>
        </w:tc>
        <w:tc>
          <w:tcPr>
            <w:tcW w:w="875" w:type="dxa"/>
          </w:tcPr>
          <w:p w14:paraId="6B9E9C33" w14:textId="77777777" w:rsidR="00405424" w:rsidRPr="00CD29D0" w:rsidRDefault="00405424" w:rsidP="000B7C1A">
            <w:pPr>
              <w:pStyle w:val="TableColHeadingCenter"/>
            </w:pPr>
            <w:r w:rsidRPr="00CD29D0">
              <w:t>Middle Range (4)</w:t>
            </w:r>
          </w:p>
        </w:tc>
        <w:tc>
          <w:tcPr>
            <w:tcW w:w="875" w:type="dxa"/>
          </w:tcPr>
          <w:p w14:paraId="3EDB524E" w14:textId="77777777" w:rsidR="00405424" w:rsidRPr="00CD29D0" w:rsidRDefault="00405424" w:rsidP="000B7C1A">
            <w:pPr>
              <w:pStyle w:val="TableColHeadingCenter"/>
            </w:pPr>
            <w:r w:rsidRPr="00CD29D0">
              <w:t>Middle Range (5)</w:t>
            </w:r>
          </w:p>
        </w:tc>
        <w:tc>
          <w:tcPr>
            <w:tcW w:w="874" w:type="dxa"/>
          </w:tcPr>
          <w:p w14:paraId="7EF144E3" w14:textId="77777777" w:rsidR="00405424" w:rsidRPr="00CD29D0" w:rsidRDefault="00405424" w:rsidP="000B7C1A">
            <w:pPr>
              <w:pStyle w:val="TableColHeadingCenter"/>
            </w:pPr>
            <w:r w:rsidRPr="00CD29D0">
              <w:t>High Range (6)</w:t>
            </w:r>
          </w:p>
        </w:tc>
        <w:tc>
          <w:tcPr>
            <w:tcW w:w="875" w:type="dxa"/>
          </w:tcPr>
          <w:p w14:paraId="08ECAE68" w14:textId="77777777" w:rsidR="00405424" w:rsidRPr="00CD29D0" w:rsidRDefault="00405424" w:rsidP="000B7C1A">
            <w:pPr>
              <w:pStyle w:val="TableColHeadingCenter"/>
            </w:pPr>
            <w:r w:rsidRPr="00CD29D0">
              <w:t>High Range (7)</w:t>
            </w:r>
          </w:p>
        </w:tc>
        <w:tc>
          <w:tcPr>
            <w:tcW w:w="900" w:type="dxa"/>
          </w:tcPr>
          <w:p w14:paraId="7AEB7BA8" w14:textId="77777777" w:rsidR="00405424" w:rsidRPr="00CD29D0" w:rsidRDefault="00405424" w:rsidP="000B7C1A">
            <w:pPr>
              <w:pStyle w:val="TableColHeadingCenter"/>
            </w:pPr>
            <w:r w:rsidRPr="00CD29D0">
              <w:t>n</w:t>
            </w:r>
          </w:p>
        </w:tc>
        <w:tc>
          <w:tcPr>
            <w:tcW w:w="892" w:type="dxa"/>
          </w:tcPr>
          <w:p w14:paraId="36F3DEDB" w14:textId="77777777" w:rsidR="00405424" w:rsidRPr="00CD29D0" w:rsidRDefault="00405424" w:rsidP="000B7C1A">
            <w:pPr>
              <w:pStyle w:val="TableColHeadingCenter"/>
            </w:pPr>
            <w:r w:rsidRPr="00CD29D0">
              <w:t>Average</w:t>
            </w:r>
          </w:p>
        </w:tc>
      </w:tr>
      <w:tr w:rsidR="00405424" w:rsidRPr="00CD29D0" w14:paraId="57315718" w14:textId="77777777" w:rsidTr="000B7C1A">
        <w:trPr>
          <w:cnfStyle w:val="000000100000" w:firstRow="0" w:lastRow="0" w:firstColumn="0" w:lastColumn="0" w:oddVBand="0" w:evenVBand="0" w:oddHBand="1" w:evenHBand="0" w:firstRowFirstColumn="0" w:firstRowLastColumn="0" w:lastRowFirstColumn="0" w:lastRowLastColumn="0"/>
        </w:trPr>
        <w:tc>
          <w:tcPr>
            <w:tcW w:w="1431" w:type="dxa"/>
          </w:tcPr>
          <w:p w14:paraId="154EFDE7" w14:textId="77777777" w:rsidR="00405424" w:rsidRPr="00CD29D0" w:rsidRDefault="00405424" w:rsidP="000B7C1A">
            <w:pPr>
              <w:pStyle w:val="TableText"/>
            </w:pPr>
            <w:r w:rsidRPr="00CD29D0">
              <w:t>Grades PK-5</w:t>
            </w:r>
          </w:p>
        </w:tc>
        <w:tc>
          <w:tcPr>
            <w:tcW w:w="874" w:type="dxa"/>
          </w:tcPr>
          <w:p w14:paraId="126F33A7" w14:textId="77777777" w:rsidR="00405424" w:rsidRPr="00CD29D0" w:rsidRDefault="00405424" w:rsidP="000B7C1A">
            <w:pPr>
              <w:pStyle w:val="TableTextCentered"/>
            </w:pPr>
            <w:r w:rsidRPr="00CD29D0">
              <w:t>3</w:t>
            </w:r>
          </w:p>
        </w:tc>
        <w:tc>
          <w:tcPr>
            <w:tcW w:w="874" w:type="dxa"/>
          </w:tcPr>
          <w:p w14:paraId="4F1D5201" w14:textId="77777777" w:rsidR="00405424" w:rsidRPr="00CD29D0" w:rsidRDefault="00405424" w:rsidP="000B7C1A">
            <w:pPr>
              <w:pStyle w:val="TableTextCentered"/>
            </w:pPr>
            <w:r w:rsidRPr="00CD29D0">
              <w:t>10</w:t>
            </w:r>
          </w:p>
        </w:tc>
        <w:tc>
          <w:tcPr>
            <w:tcW w:w="874" w:type="dxa"/>
          </w:tcPr>
          <w:p w14:paraId="32DFBD04" w14:textId="77777777" w:rsidR="00405424" w:rsidRPr="00CD29D0" w:rsidRDefault="00405424" w:rsidP="000B7C1A">
            <w:pPr>
              <w:pStyle w:val="TableTextCentered"/>
            </w:pPr>
            <w:r w:rsidRPr="00CD29D0">
              <w:t>6</w:t>
            </w:r>
          </w:p>
        </w:tc>
        <w:tc>
          <w:tcPr>
            <w:tcW w:w="875" w:type="dxa"/>
          </w:tcPr>
          <w:p w14:paraId="4C631553" w14:textId="77777777" w:rsidR="00405424" w:rsidRPr="00CD29D0" w:rsidRDefault="00405424" w:rsidP="000B7C1A">
            <w:pPr>
              <w:pStyle w:val="TableTextCentered"/>
            </w:pPr>
            <w:r w:rsidRPr="00CD29D0">
              <w:t>5</w:t>
            </w:r>
          </w:p>
        </w:tc>
        <w:tc>
          <w:tcPr>
            <w:tcW w:w="875" w:type="dxa"/>
          </w:tcPr>
          <w:p w14:paraId="1035E6F3" w14:textId="77777777" w:rsidR="00405424" w:rsidRPr="00CD29D0" w:rsidRDefault="00405424" w:rsidP="000B7C1A">
            <w:pPr>
              <w:pStyle w:val="TableTextCentered"/>
            </w:pPr>
            <w:r w:rsidRPr="00CD29D0">
              <w:t>5</w:t>
            </w:r>
          </w:p>
        </w:tc>
        <w:tc>
          <w:tcPr>
            <w:tcW w:w="874" w:type="dxa"/>
          </w:tcPr>
          <w:p w14:paraId="7EE9AAED" w14:textId="77777777" w:rsidR="00405424" w:rsidRPr="00CD29D0" w:rsidRDefault="00405424" w:rsidP="000B7C1A">
            <w:pPr>
              <w:pStyle w:val="TableTextCentered"/>
            </w:pPr>
            <w:r w:rsidRPr="00CD29D0">
              <w:t>4</w:t>
            </w:r>
          </w:p>
        </w:tc>
        <w:tc>
          <w:tcPr>
            <w:tcW w:w="875" w:type="dxa"/>
          </w:tcPr>
          <w:p w14:paraId="654F3E35" w14:textId="77777777" w:rsidR="00405424" w:rsidRPr="00CD29D0" w:rsidRDefault="00405424" w:rsidP="000B7C1A">
            <w:pPr>
              <w:pStyle w:val="TableTextCentered"/>
            </w:pPr>
            <w:r w:rsidRPr="00CD29D0">
              <w:t>0</w:t>
            </w:r>
          </w:p>
        </w:tc>
        <w:tc>
          <w:tcPr>
            <w:tcW w:w="900" w:type="dxa"/>
          </w:tcPr>
          <w:p w14:paraId="2C1257B0" w14:textId="77777777" w:rsidR="00405424" w:rsidRPr="00CD29D0" w:rsidRDefault="00405424" w:rsidP="000B7C1A">
            <w:pPr>
              <w:pStyle w:val="TableTextCentered"/>
            </w:pPr>
            <w:r w:rsidRPr="00CD29D0">
              <w:t>33</w:t>
            </w:r>
          </w:p>
        </w:tc>
        <w:tc>
          <w:tcPr>
            <w:tcW w:w="892" w:type="dxa"/>
          </w:tcPr>
          <w:p w14:paraId="56BACC02" w14:textId="77777777" w:rsidR="00405424" w:rsidRPr="00CD29D0" w:rsidRDefault="00405424" w:rsidP="000B7C1A">
            <w:pPr>
              <w:pStyle w:val="TableTextCentered"/>
            </w:pPr>
            <w:r w:rsidRPr="00CD29D0">
              <w:t>3.3</w:t>
            </w:r>
          </w:p>
        </w:tc>
      </w:tr>
      <w:tr w:rsidR="00405424" w:rsidRPr="00CD29D0" w14:paraId="2158AE51" w14:textId="77777777" w:rsidTr="000B7C1A">
        <w:tc>
          <w:tcPr>
            <w:tcW w:w="1431" w:type="dxa"/>
          </w:tcPr>
          <w:p w14:paraId="1AE722EA" w14:textId="77777777" w:rsidR="00405424" w:rsidRPr="00CD29D0" w:rsidRDefault="00405424" w:rsidP="000B7C1A">
            <w:pPr>
              <w:pStyle w:val="TableText"/>
            </w:pPr>
            <w:r w:rsidRPr="00CD29D0">
              <w:t>Grades 6-8</w:t>
            </w:r>
          </w:p>
        </w:tc>
        <w:tc>
          <w:tcPr>
            <w:tcW w:w="874" w:type="dxa"/>
          </w:tcPr>
          <w:p w14:paraId="303333C4" w14:textId="77777777" w:rsidR="00405424" w:rsidRPr="00CD29D0" w:rsidRDefault="00405424" w:rsidP="000B7C1A">
            <w:pPr>
              <w:pStyle w:val="TableTextCentered"/>
            </w:pPr>
            <w:r w:rsidRPr="00CD29D0">
              <w:t>1</w:t>
            </w:r>
          </w:p>
        </w:tc>
        <w:tc>
          <w:tcPr>
            <w:tcW w:w="874" w:type="dxa"/>
          </w:tcPr>
          <w:p w14:paraId="3755A7FE" w14:textId="77777777" w:rsidR="00405424" w:rsidRPr="00CD29D0" w:rsidRDefault="00405424" w:rsidP="000B7C1A">
            <w:pPr>
              <w:pStyle w:val="TableTextCentered"/>
            </w:pPr>
            <w:r w:rsidRPr="00CD29D0">
              <w:t>8</w:t>
            </w:r>
          </w:p>
        </w:tc>
        <w:tc>
          <w:tcPr>
            <w:tcW w:w="874" w:type="dxa"/>
          </w:tcPr>
          <w:p w14:paraId="6C1A812E" w14:textId="77777777" w:rsidR="00405424" w:rsidRPr="00CD29D0" w:rsidRDefault="00405424" w:rsidP="000B7C1A">
            <w:pPr>
              <w:pStyle w:val="TableTextCentered"/>
            </w:pPr>
            <w:r w:rsidRPr="00CD29D0">
              <w:t>6</w:t>
            </w:r>
          </w:p>
        </w:tc>
        <w:tc>
          <w:tcPr>
            <w:tcW w:w="875" w:type="dxa"/>
          </w:tcPr>
          <w:p w14:paraId="4FDAAD9B" w14:textId="77777777" w:rsidR="00405424" w:rsidRPr="00CD29D0" w:rsidRDefault="00405424" w:rsidP="000B7C1A">
            <w:pPr>
              <w:pStyle w:val="TableTextCentered"/>
            </w:pPr>
            <w:r w:rsidRPr="00CD29D0">
              <w:t>4</w:t>
            </w:r>
          </w:p>
        </w:tc>
        <w:tc>
          <w:tcPr>
            <w:tcW w:w="875" w:type="dxa"/>
          </w:tcPr>
          <w:p w14:paraId="134302BB" w14:textId="77777777" w:rsidR="00405424" w:rsidRPr="00CD29D0" w:rsidRDefault="00405424" w:rsidP="000B7C1A">
            <w:pPr>
              <w:pStyle w:val="TableTextCentered"/>
            </w:pPr>
            <w:r w:rsidRPr="00CD29D0">
              <w:t>1</w:t>
            </w:r>
          </w:p>
        </w:tc>
        <w:tc>
          <w:tcPr>
            <w:tcW w:w="874" w:type="dxa"/>
          </w:tcPr>
          <w:p w14:paraId="0CCC773C" w14:textId="77777777" w:rsidR="00405424" w:rsidRPr="00CD29D0" w:rsidRDefault="00405424" w:rsidP="000B7C1A">
            <w:pPr>
              <w:pStyle w:val="TableTextCentered"/>
            </w:pPr>
            <w:r w:rsidRPr="00CD29D0">
              <w:t>0</w:t>
            </w:r>
          </w:p>
        </w:tc>
        <w:tc>
          <w:tcPr>
            <w:tcW w:w="875" w:type="dxa"/>
          </w:tcPr>
          <w:p w14:paraId="1B06EE39" w14:textId="77777777" w:rsidR="00405424" w:rsidRPr="00CD29D0" w:rsidRDefault="00405424" w:rsidP="000B7C1A">
            <w:pPr>
              <w:pStyle w:val="TableTextCentered"/>
            </w:pPr>
            <w:r w:rsidRPr="00CD29D0">
              <w:t>0</w:t>
            </w:r>
          </w:p>
        </w:tc>
        <w:tc>
          <w:tcPr>
            <w:tcW w:w="900" w:type="dxa"/>
          </w:tcPr>
          <w:p w14:paraId="73EDC7BC" w14:textId="77777777" w:rsidR="00405424" w:rsidRPr="00CD29D0" w:rsidRDefault="00405424" w:rsidP="000B7C1A">
            <w:pPr>
              <w:pStyle w:val="TableTextCentered"/>
            </w:pPr>
            <w:r w:rsidRPr="00CD29D0">
              <w:t>20</w:t>
            </w:r>
          </w:p>
        </w:tc>
        <w:tc>
          <w:tcPr>
            <w:tcW w:w="892" w:type="dxa"/>
          </w:tcPr>
          <w:p w14:paraId="04147EFF" w14:textId="77777777" w:rsidR="00405424" w:rsidRPr="00CD29D0" w:rsidRDefault="00405424" w:rsidP="000B7C1A">
            <w:pPr>
              <w:pStyle w:val="TableTextCentered"/>
            </w:pPr>
            <w:r w:rsidRPr="00CD29D0">
              <w:t>2.8</w:t>
            </w:r>
          </w:p>
        </w:tc>
      </w:tr>
      <w:tr w:rsidR="00405424" w:rsidRPr="00CD29D0" w14:paraId="23D5BF16" w14:textId="77777777" w:rsidTr="000B7C1A">
        <w:trPr>
          <w:cnfStyle w:val="000000100000" w:firstRow="0" w:lastRow="0" w:firstColumn="0" w:lastColumn="0" w:oddVBand="0" w:evenVBand="0" w:oddHBand="1" w:evenHBand="0" w:firstRowFirstColumn="0" w:firstRowLastColumn="0" w:lastRowFirstColumn="0" w:lastRowLastColumn="0"/>
        </w:trPr>
        <w:tc>
          <w:tcPr>
            <w:tcW w:w="1431" w:type="dxa"/>
          </w:tcPr>
          <w:p w14:paraId="62241D4F" w14:textId="77777777" w:rsidR="00405424" w:rsidRPr="00CD29D0" w:rsidRDefault="00405424" w:rsidP="000B7C1A">
            <w:pPr>
              <w:pStyle w:val="TableText"/>
            </w:pPr>
            <w:r w:rsidRPr="00CD29D0">
              <w:t>Grades 9-12</w:t>
            </w:r>
          </w:p>
        </w:tc>
        <w:tc>
          <w:tcPr>
            <w:tcW w:w="874" w:type="dxa"/>
          </w:tcPr>
          <w:p w14:paraId="1E854F45" w14:textId="77777777" w:rsidR="00405424" w:rsidRPr="00CD29D0" w:rsidRDefault="00405424" w:rsidP="000B7C1A">
            <w:pPr>
              <w:pStyle w:val="TableTextCentered"/>
            </w:pPr>
            <w:r w:rsidRPr="00CD29D0">
              <w:t>1</w:t>
            </w:r>
          </w:p>
        </w:tc>
        <w:tc>
          <w:tcPr>
            <w:tcW w:w="874" w:type="dxa"/>
          </w:tcPr>
          <w:p w14:paraId="7B3ECF4C" w14:textId="77777777" w:rsidR="00405424" w:rsidRPr="00CD29D0" w:rsidRDefault="00405424" w:rsidP="000B7C1A">
            <w:pPr>
              <w:pStyle w:val="TableTextCentered"/>
            </w:pPr>
            <w:r w:rsidRPr="00CD29D0">
              <w:t>6</w:t>
            </w:r>
          </w:p>
        </w:tc>
        <w:tc>
          <w:tcPr>
            <w:tcW w:w="874" w:type="dxa"/>
          </w:tcPr>
          <w:p w14:paraId="33A39085" w14:textId="77777777" w:rsidR="00405424" w:rsidRPr="00CD29D0" w:rsidRDefault="00405424" w:rsidP="000B7C1A">
            <w:pPr>
              <w:pStyle w:val="TableTextCentered"/>
            </w:pPr>
            <w:r w:rsidRPr="00CD29D0">
              <w:t>2</w:t>
            </w:r>
          </w:p>
        </w:tc>
        <w:tc>
          <w:tcPr>
            <w:tcW w:w="875" w:type="dxa"/>
          </w:tcPr>
          <w:p w14:paraId="24EC062D" w14:textId="77777777" w:rsidR="00405424" w:rsidRPr="00CD29D0" w:rsidRDefault="00405424" w:rsidP="000B7C1A">
            <w:pPr>
              <w:pStyle w:val="TableTextCentered"/>
            </w:pPr>
            <w:r w:rsidRPr="00CD29D0">
              <w:t>4</w:t>
            </w:r>
          </w:p>
        </w:tc>
        <w:tc>
          <w:tcPr>
            <w:tcW w:w="875" w:type="dxa"/>
          </w:tcPr>
          <w:p w14:paraId="0DB5A73F" w14:textId="77777777" w:rsidR="00405424" w:rsidRPr="00CD29D0" w:rsidRDefault="00405424" w:rsidP="000B7C1A">
            <w:pPr>
              <w:pStyle w:val="TableTextCentered"/>
            </w:pPr>
            <w:r w:rsidRPr="00CD29D0">
              <w:t>6</w:t>
            </w:r>
          </w:p>
        </w:tc>
        <w:tc>
          <w:tcPr>
            <w:tcW w:w="874" w:type="dxa"/>
          </w:tcPr>
          <w:p w14:paraId="0CDDC686" w14:textId="77777777" w:rsidR="00405424" w:rsidRPr="00CD29D0" w:rsidRDefault="00405424" w:rsidP="000B7C1A">
            <w:pPr>
              <w:pStyle w:val="TableTextCentered"/>
            </w:pPr>
            <w:r w:rsidRPr="00CD29D0">
              <w:t>1</w:t>
            </w:r>
          </w:p>
        </w:tc>
        <w:tc>
          <w:tcPr>
            <w:tcW w:w="875" w:type="dxa"/>
          </w:tcPr>
          <w:p w14:paraId="3315C3B8" w14:textId="77777777" w:rsidR="00405424" w:rsidRPr="00CD29D0" w:rsidRDefault="00405424" w:rsidP="000B7C1A">
            <w:pPr>
              <w:pStyle w:val="TableTextCentered"/>
            </w:pPr>
            <w:r w:rsidRPr="00CD29D0">
              <w:t>0</w:t>
            </w:r>
          </w:p>
        </w:tc>
        <w:tc>
          <w:tcPr>
            <w:tcW w:w="900" w:type="dxa"/>
          </w:tcPr>
          <w:p w14:paraId="650236CB" w14:textId="77777777" w:rsidR="00405424" w:rsidRPr="00CD29D0" w:rsidRDefault="00405424" w:rsidP="000B7C1A">
            <w:pPr>
              <w:pStyle w:val="TableTextCentered"/>
            </w:pPr>
            <w:r w:rsidRPr="00CD29D0">
              <w:t>20</w:t>
            </w:r>
          </w:p>
        </w:tc>
        <w:tc>
          <w:tcPr>
            <w:tcW w:w="892" w:type="dxa"/>
          </w:tcPr>
          <w:p w14:paraId="20FCF87E" w14:textId="77777777" w:rsidR="00405424" w:rsidRPr="00CD29D0" w:rsidRDefault="00405424" w:rsidP="000B7C1A">
            <w:pPr>
              <w:pStyle w:val="TableTextCentered"/>
            </w:pPr>
            <w:r w:rsidRPr="00CD29D0">
              <w:t>3.6</w:t>
            </w:r>
          </w:p>
        </w:tc>
      </w:tr>
      <w:tr w:rsidR="00405424" w:rsidRPr="00CD29D0" w14:paraId="7AE1B71B" w14:textId="77777777" w:rsidTr="000B7C1A">
        <w:tc>
          <w:tcPr>
            <w:tcW w:w="1431" w:type="dxa"/>
          </w:tcPr>
          <w:p w14:paraId="5A106324" w14:textId="77777777" w:rsidR="00405424" w:rsidRPr="00CD29D0" w:rsidRDefault="00405424" w:rsidP="000B7C1A">
            <w:pPr>
              <w:pStyle w:val="TableText"/>
              <w:rPr>
                <w:b/>
                <w:bCs/>
              </w:rPr>
            </w:pPr>
            <w:r w:rsidRPr="00CD29D0">
              <w:rPr>
                <w:b/>
                <w:bCs/>
              </w:rPr>
              <w:t>Totals</w:t>
            </w:r>
          </w:p>
        </w:tc>
        <w:tc>
          <w:tcPr>
            <w:tcW w:w="874" w:type="dxa"/>
          </w:tcPr>
          <w:p w14:paraId="41B8461A" w14:textId="77777777" w:rsidR="00405424" w:rsidRPr="00CD29D0" w:rsidRDefault="00405424" w:rsidP="000B7C1A">
            <w:pPr>
              <w:pStyle w:val="TableTextCentered"/>
              <w:rPr>
                <w:b/>
                <w:bCs/>
              </w:rPr>
            </w:pPr>
            <w:r w:rsidRPr="00CD29D0">
              <w:rPr>
                <w:b/>
                <w:bCs/>
              </w:rPr>
              <w:t>5</w:t>
            </w:r>
          </w:p>
        </w:tc>
        <w:tc>
          <w:tcPr>
            <w:tcW w:w="874" w:type="dxa"/>
          </w:tcPr>
          <w:p w14:paraId="55662E1C" w14:textId="77777777" w:rsidR="00405424" w:rsidRPr="00CD29D0" w:rsidRDefault="00405424" w:rsidP="000B7C1A">
            <w:pPr>
              <w:pStyle w:val="TableTextCentered"/>
              <w:rPr>
                <w:b/>
                <w:bCs/>
              </w:rPr>
            </w:pPr>
            <w:r w:rsidRPr="00CD29D0">
              <w:rPr>
                <w:b/>
                <w:bCs/>
              </w:rPr>
              <w:t>24</w:t>
            </w:r>
          </w:p>
        </w:tc>
        <w:tc>
          <w:tcPr>
            <w:tcW w:w="874" w:type="dxa"/>
          </w:tcPr>
          <w:p w14:paraId="4C03B9C5" w14:textId="77777777" w:rsidR="00405424" w:rsidRPr="00CD29D0" w:rsidRDefault="00405424" w:rsidP="000B7C1A">
            <w:pPr>
              <w:pStyle w:val="TableTextCentered"/>
              <w:rPr>
                <w:b/>
                <w:bCs/>
              </w:rPr>
            </w:pPr>
            <w:r w:rsidRPr="00CD29D0">
              <w:rPr>
                <w:b/>
                <w:bCs/>
              </w:rPr>
              <w:t>14</w:t>
            </w:r>
          </w:p>
        </w:tc>
        <w:tc>
          <w:tcPr>
            <w:tcW w:w="875" w:type="dxa"/>
          </w:tcPr>
          <w:p w14:paraId="45FA8CFD" w14:textId="77777777" w:rsidR="00405424" w:rsidRPr="00CD29D0" w:rsidRDefault="00405424" w:rsidP="000B7C1A">
            <w:pPr>
              <w:pStyle w:val="TableTextCentered"/>
              <w:rPr>
                <w:b/>
                <w:bCs/>
              </w:rPr>
            </w:pPr>
            <w:r w:rsidRPr="00CD29D0">
              <w:rPr>
                <w:b/>
                <w:bCs/>
              </w:rPr>
              <w:t>13</w:t>
            </w:r>
          </w:p>
        </w:tc>
        <w:tc>
          <w:tcPr>
            <w:tcW w:w="875" w:type="dxa"/>
          </w:tcPr>
          <w:p w14:paraId="37FF9842" w14:textId="77777777" w:rsidR="00405424" w:rsidRPr="00CD29D0" w:rsidRDefault="00405424" w:rsidP="000B7C1A">
            <w:pPr>
              <w:pStyle w:val="TableTextCentered"/>
              <w:rPr>
                <w:b/>
                <w:bCs/>
              </w:rPr>
            </w:pPr>
            <w:r w:rsidRPr="00CD29D0">
              <w:rPr>
                <w:b/>
                <w:bCs/>
              </w:rPr>
              <w:t>12</w:t>
            </w:r>
          </w:p>
        </w:tc>
        <w:tc>
          <w:tcPr>
            <w:tcW w:w="874" w:type="dxa"/>
          </w:tcPr>
          <w:p w14:paraId="6380E75A" w14:textId="77777777" w:rsidR="00405424" w:rsidRPr="00CD29D0" w:rsidRDefault="00405424" w:rsidP="000B7C1A">
            <w:pPr>
              <w:pStyle w:val="TableTextCentered"/>
              <w:rPr>
                <w:b/>
                <w:bCs/>
              </w:rPr>
            </w:pPr>
            <w:r w:rsidRPr="00CD29D0">
              <w:rPr>
                <w:b/>
                <w:bCs/>
              </w:rPr>
              <w:t>5</w:t>
            </w:r>
          </w:p>
        </w:tc>
        <w:tc>
          <w:tcPr>
            <w:tcW w:w="875" w:type="dxa"/>
          </w:tcPr>
          <w:p w14:paraId="63385D8E" w14:textId="77777777" w:rsidR="00405424" w:rsidRPr="00CD29D0" w:rsidRDefault="00405424" w:rsidP="000B7C1A">
            <w:pPr>
              <w:pStyle w:val="TableTextCentered"/>
              <w:rPr>
                <w:b/>
                <w:bCs/>
              </w:rPr>
            </w:pPr>
            <w:r w:rsidRPr="00CD29D0">
              <w:rPr>
                <w:b/>
                <w:bCs/>
              </w:rPr>
              <w:t>0</w:t>
            </w:r>
          </w:p>
        </w:tc>
        <w:tc>
          <w:tcPr>
            <w:tcW w:w="900" w:type="dxa"/>
          </w:tcPr>
          <w:p w14:paraId="046A0614" w14:textId="77777777" w:rsidR="00405424" w:rsidRPr="00CD29D0" w:rsidRDefault="00405424" w:rsidP="000B7C1A">
            <w:pPr>
              <w:pStyle w:val="TableTextCentered"/>
              <w:rPr>
                <w:b/>
                <w:bCs/>
              </w:rPr>
            </w:pPr>
            <w:r w:rsidRPr="00CD29D0">
              <w:rPr>
                <w:b/>
                <w:bCs/>
              </w:rPr>
              <w:t>73</w:t>
            </w:r>
          </w:p>
        </w:tc>
        <w:tc>
          <w:tcPr>
            <w:tcW w:w="892" w:type="dxa"/>
          </w:tcPr>
          <w:p w14:paraId="7277D98C" w14:textId="77777777" w:rsidR="00405424" w:rsidRPr="00CD29D0" w:rsidRDefault="00405424" w:rsidP="000B7C1A">
            <w:pPr>
              <w:pStyle w:val="TableTextCentered"/>
              <w:rPr>
                <w:b/>
                <w:bCs/>
              </w:rPr>
            </w:pPr>
            <w:r w:rsidRPr="00CD29D0">
              <w:rPr>
                <w:b/>
                <w:bCs/>
              </w:rPr>
              <w:t>3.2</w:t>
            </w:r>
          </w:p>
        </w:tc>
      </w:tr>
    </w:tbl>
    <w:bookmarkEnd w:id="107"/>
    <w:p w14:paraId="403A92B3" w14:textId="2E05AA1A" w:rsidR="00405424" w:rsidRPr="00CD29D0" w:rsidRDefault="00405424" w:rsidP="000B7C1A">
      <w:pPr>
        <w:pStyle w:val="TableNote"/>
      </w:pPr>
      <w:r w:rsidRPr="00CD29D0">
        <w:t xml:space="preserve">*The district average is an average of the observation scores. In Table 5, the district average is computed as: </w:t>
      </w:r>
      <w:bookmarkStart w:id="108" w:name="Dist_RSP_Calc"/>
      <w:r w:rsidRPr="00CD29D0">
        <w:t>([1 x 5] + [2 x 24] + [3 x 14] + [4 x 13] + [5 x 12] + [6 x 5]) ÷ 73 observations = 3.2</w:t>
      </w:r>
      <w:bookmarkEnd w:id="108"/>
    </w:p>
    <w:p w14:paraId="221ABBAA" w14:textId="48D6E921" w:rsidR="00405424" w:rsidRPr="00CD29D0" w:rsidRDefault="00405424" w:rsidP="000B7C1A">
      <w:pPr>
        <w:pStyle w:val="BodyText"/>
      </w:pPr>
      <w:r w:rsidRPr="00CD29D0">
        <w:rPr>
          <w:rStyle w:val="BodyTextDemiChar"/>
        </w:rPr>
        <w:t>Ratings in the Low Range.</w:t>
      </w:r>
      <w:r w:rsidRPr="00CD29D0">
        <w:t xml:space="preserve"> At the low range, the teacher exhibits an inflexible, rigid adherence to his or her plan, without considering student ideas or allowing students to make contributions.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769E2C0A" w14:textId="73254B87" w:rsidR="00405424" w:rsidRPr="00CD29D0" w:rsidRDefault="00405424" w:rsidP="000B7C1A">
      <w:pPr>
        <w:pStyle w:val="BodyTextposthead"/>
      </w:pPr>
      <w:r w:rsidRPr="00CD29D0">
        <w:rPr>
          <w:rStyle w:val="BodyTextDemiChar"/>
        </w:rPr>
        <w:t>Ratings in the Middle Range.</w:t>
      </w:r>
      <w:r w:rsidRPr="00CD29D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539E4AFD" w14:textId="7E4EB7B1" w:rsidR="00405424" w:rsidRPr="00CD29D0" w:rsidRDefault="00405424" w:rsidP="000B7C1A">
      <w:pPr>
        <w:pStyle w:val="BodyTextposthead"/>
        <w:rPr>
          <w:rFonts w:eastAsiaTheme="majorEastAsia"/>
        </w:rPr>
      </w:pPr>
      <w:r w:rsidRPr="00CD29D0">
        <w:rPr>
          <w:rStyle w:val="BodyTextDemiChar"/>
        </w:rPr>
        <w:t xml:space="preserve">Ratings in the High Range. </w:t>
      </w:r>
      <w:r w:rsidRPr="00CD29D0">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sidRPr="00CD29D0">
        <w:rPr>
          <w:rFonts w:eastAsiaTheme="majorEastAsia"/>
        </w:rPr>
        <w:br w:type="page"/>
      </w:r>
    </w:p>
    <w:p w14:paraId="7AAFA36C" w14:textId="77777777" w:rsidR="00405424" w:rsidRPr="00CD29D0" w:rsidRDefault="00405424" w:rsidP="00272891">
      <w:pPr>
        <w:pStyle w:val="DIORDimensions"/>
      </w:pPr>
      <w:bookmarkStart w:id="109" w:name="_Toc430114878"/>
      <w:bookmarkStart w:id="110" w:name="_Toc227587565"/>
      <w:r w:rsidRPr="00CD29D0">
        <w:lastRenderedPageBreak/>
        <w:t>Negative Climate</w:t>
      </w:r>
      <w:bookmarkEnd w:id="109"/>
      <w:bookmarkEnd w:id="110"/>
    </w:p>
    <w:p w14:paraId="09A943C3" w14:textId="0521566D" w:rsidR="00424417" w:rsidRPr="00CD29D0" w:rsidRDefault="00405424" w:rsidP="0059418B">
      <w:pPr>
        <w:pStyle w:val="BodyTextDomain"/>
      </w:pPr>
      <w:r w:rsidRPr="00CD29D0">
        <w:t>Emotional Support domain, Grades PK</w:t>
      </w:r>
      <w:r w:rsidRPr="00CD29D0">
        <w:rPr>
          <w:rFonts w:ascii="Vijaya" w:hAnsi="Vijaya" w:cs="Vijaya"/>
        </w:rPr>
        <w:t>−</w:t>
      </w:r>
      <w:r w:rsidRPr="00CD29D0">
        <w:t>3</w:t>
      </w:r>
    </w:p>
    <w:p w14:paraId="3F1D6C6E" w14:textId="3D994663" w:rsidR="00405424" w:rsidRPr="00CD29D0" w:rsidRDefault="00405424" w:rsidP="0059418B">
      <w:pPr>
        <w:pStyle w:val="BodyTextDomain"/>
      </w:pPr>
      <w:r w:rsidRPr="00CD29D0">
        <w:t>Classroom Organization domain, Grades 4</w:t>
      </w:r>
      <w:r w:rsidRPr="00CD29D0">
        <w:rPr>
          <w:rFonts w:ascii="Vijaya" w:hAnsi="Vijaya" w:cs="Vijaya"/>
        </w:rPr>
        <w:t>−</w:t>
      </w:r>
      <w:r w:rsidRPr="00CD29D0">
        <w:t>12</w:t>
      </w:r>
    </w:p>
    <w:p w14:paraId="66D59E16" w14:textId="6AFD5289" w:rsidR="00405424" w:rsidRPr="00CD29D0" w:rsidRDefault="00405424" w:rsidP="0059418B">
      <w:pPr>
        <w:pStyle w:val="BodyTextposthead"/>
      </w:pPr>
      <w:r w:rsidRPr="00CD29D0">
        <w:t>Negative Climate reflects the overall level of expressed negativity in the classroom. The frequency, quality, and intensity of teacher and student negativity are key to this dimension (</w:t>
      </w:r>
      <w:r w:rsidRPr="00CD29D0">
        <w:rPr>
          <w:i/>
        </w:rPr>
        <w:t>CLASS PK–3 Manual</w:t>
      </w:r>
      <w:r w:rsidRPr="00CD29D0">
        <w:t xml:space="preserve">, p. 28, </w:t>
      </w:r>
      <w:r w:rsidRPr="00CD29D0">
        <w:rPr>
          <w:i/>
        </w:rPr>
        <w:t xml:space="preserve">CLASS Upper Elementary Manual, </w:t>
      </w:r>
      <w:r w:rsidRPr="00CD29D0">
        <w:t xml:space="preserve">p. 55, </w:t>
      </w:r>
      <w:r w:rsidRPr="00CD29D0">
        <w:rPr>
          <w:i/>
        </w:rPr>
        <w:t>CLASS Secondary Manual,</w:t>
      </w:r>
      <w:r w:rsidRPr="00CD29D0">
        <w:t xml:space="preserve"> p. 55). For the purposes of this report, we have inversed the observers scores, to be consistent with the range scores across all dimensions. Therefore, a high range score in this dimension indicates an absence of negative climate, and a low range score indicates the presence of negative climate.</w:t>
      </w:r>
      <w:r w:rsidRPr="00CD29D0">
        <w:rPr>
          <w:rStyle w:val="FootnoteReference"/>
        </w:rPr>
        <w:footnoteReference w:id="6"/>
      </w:r>
      <w:r w:rsidRPr="00CD29D0">
        <w:t xml:space="preserve"> </w:t>
      </w:r>
    </w:p>
    <w:p w14:paraId="2C1EA1F0" w14:textId="77777777" w:rsidR="00405424" w:rsidRPr="00CD29D0" w:rsidRDefault="00405424" w:rsidP="0059418B">
      <w:pPr>
        <w:pStyle w:val="TableTitle0"/>
      </w:pPr>
      <w:r w:rsidRPr="00CD29D0">
        <w:t>Table 6. Negative Climate: Number of Classrooms for Each Rating and District Average</w:t>
      </w:r>
    </w:p>
    <w:p w14:paraId="2E3735E7" w14:textId="77777777" w:rsidR="00405424" w:rsidRPr="00CD29D0" w:rsidRDefault="00405424" w:rsidP="0059418B">
      <w:pPr>
        <w:pStyle w:val="BodyTextDemi"/>
      </w:pPr>
      <w:r w:rsidRPr="00CD29D0">
        <w:t xml:space="preserve">Negative Climate District Average*: </w:t>
      </w:r>
      <w:bookmarkStart w:id="111" w:name="Dist_NC_Avg"/>
      <w:r w:rsidRPr="00CD29D0">
        <w:t>7.0</w:t>
      </w:r>
      <w:bookmarkEnd w:id="111"/>
    </w:p>
    <w:tbl>
      <w:tblPr>
        <w:tblStyle w:val="MSVTable1"/>
        <w:tblW w:w="5000" w:type="pct"/>
        <w:tblLook w:val="04A0" w:firstRow="1" w:lastRow="0" w:firstColumn="1" w:lastColumn="0" w:noHBand="0" w:noVBand="1"/>
        <w:tblCaption w:val="Table 6. Negative Climate: Number of Classrooms for Each Rating and District Average"/>
        <w:tblDescription w:val="Negative Climate: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7F296137" w14:textId="77777777" w:rsidTr="0059418B">
        <w:trPr>
          <w:cnfStyle w:val="100000000000" w:firstRow="1" w:lastRow="0" w:firstColumn="0" w:lastColumn="0" w:oddVBand="0" w:evenVBand="0" w:oddHBand="0" w:evenHBand="0" w:firstRowFirstColumn="0" w:firstRowLastColumn="0" w:lastRowFirstColumn="0" w:lastRowLastColumn="0"/>
          <w:tblHeader/>
        </w:trPr>
        <w:tc>
          <w:tcPr>
            <w:tcW w:w="1431" w:type="dxa"/>
          </w:tcPr>
          <w:p w14:paraId="171B9DDC" w14:textId="77777777" w:rsidR="00405424" w:rsidRPr="00CD29D0" w:rsidRDefault="00405424" w:rsidP="0059418B">
            <w:pPr>
              <w:pStyle w:val="TableColHeadingCenter"/>
            </w:pPr>
            <w:bookmarkStart w:id="112" w:name="Tbl_NC"/>
            <w:r w:rsidRPr="00CD29D0">
              <w:t>Grade Band</w:t>
            </w:r>
          </w:p>
        </w:tc>
        <w:tc>
          <w:tcPr>
            <w:tcW w:w="874" w:type="dxa"/>
          </w:tcPr>
          <w:p w14:paraId="1983CA94" w14:textId="77777777" w:rsidR="00405424" w:rsidRPr="00CD29D0" w:rsidRDefault="00405424" w:rsidP="0059418B">
            <w:pPr>
              <w:pStyle w:val="TableColHeadingCenter"/>
            </w:pPr>
            <w:r w:rsidRPr="00CD29D0">
              <w:t>Low Range (1)</w:t>
            </w:r>
          </w:p>
        </w:tc>
        <w:tc>
          <w:tcPr>
            <w:tcW w:w="874" w:type="dxa"/>
          </w:tcPr>
          <w:p w14:paraId="6FFF5872" w14:textId="77777777" w:rsidR="00405424" w:rsidRPr="00CD29D0" w:rsidRDefault="00405424" w:rsidP="0059418B">
            <w:pPr>
              <w:pStyle w:val="TableColHeadingCenter"/>
            </w:pPr>
            <w:r w:rsidRPr="00CD29D0">
              <w:t>Low Range (2)</w:t>
            </w:r>
          </w:p>
        </w:tc>
        <w:tc>
          <w:tcPr>
            <w:tcW w:w="874" w:type="dxa"/>
          </w:tcPr>
          <w:p w14:paraId="31F0EE99" w14:textId="77777777" w:rsidR="00405424" w:rsidRPr="00CD29D0" w:rsidRDefault="00405424" w:rsidP="0059418B">
            <w:pPr>
              <w:pStyle w:val="TableColHeadingCenter"/>
            </w:pPr>
            <w:r w:rsidRPr="00CD29D0">
              <w:t>Middle Range (3)</w:t>
            </w:r>
          </w:p>
        </w:tc>
        <w:tc>
          <w:tcPr>
            <w:tcW w:w="875" w:type="dxa"/>
          </w:tcPr>
          <w:p w14:paraId="02FE2DB1" w14:textId="77777777" w:rsidR="00405424" w:rsidRPr="00CD29D0" w:rsidRDefault="00405424" w:rsidP="0059418B">
            <w:pPr>
              <w:pStyle w:val="TableColHeadingCenter"/>
            </w:pPr>
            <w:r w:rsidRPr="00CD29D0">
              <w:t>Middle Range (4)</w:t>
            </w:r>
          </w:p>
        </w:tc>
        <w:tc>
          <w:tcPr>
            <w:tcW w:w="875" w:type="dxa"/>
          </w:tcPr>
          <w:p w14:paraId="6C2B8510" w14:textId="77777777" w:rsidR="00405424" w:rsidRPr="00CD29D0" w:rsidRDefault="00405424" w:rsidP="0059418B">
            <w:pPr>
              <w:pStyle w:val="TableColHeadingCenter"/>
            </w:pPr>
            <w:r w:rsidRPr="00CD29D0">
              <w:t>Middle Range (5)</w:t>
            </w:r>
          </w:p>
        </w:tc>
        <w:tc>
          <w:tcPr>
            <w:tcW w:w="874" w:type="dxa"/>
          </w:tcPr>
          <w:p w14:paraId="5C9CA5A2" w14:textId="77777777" w:rsidR="00405424" w:rsidRPr="00CD29D0" w:rsidRDefault="00405424" w:rsidP="0059418B">
            <w:pPr>
              <w:pStyle w:val="TableColHeadingCenter"/>
            </w:pPr>
            <w:r w:rsidRPr="00CD29D0">
              <w:t>High Range (6)</w:t>
            </w:r>
          </w:p>
        </w:tc>
        <w:tc>
          <w:tcPr>
            <w:tcW w:w="875" w:type="dxa"/>
          </w:tcPr>
          <w:p w14:paraId="008B1B23" w14:textId="77777777" w:rsidR="00405424" w:rsidRPr="00CD29D0" w:rsidRDefault="00405424" w:rsidP="0059418B">
            <w:pPr>
              <w:pStyle w:val="TableColHeadingCenter"/>
            </w:pPr>
            <w:r w:rsidRPr="00CD29D0">
              <w:t>High Range (7)</w:t>
            </w:r>
          </w:p>
        </w:tc>
        <w:tc>
          <w:tcPr>
            <w:tcW w:w="900" w:type="dxa"/>
          </w:tcPr>
          <w:p w14:paraId="739CB4AD" w14:textId="77777777" w:rsidR="00405424" w:rsidRPr="00CD29D0" w:rsidRDefault="00405424" w:rsidP="0059418B">
            <w:pPr>
              <w:pStyle w:val="TableColHeadingCenter"/>
            </w:pPr>
            <w:r w:rsidRPr="00CD29D0">
              <w:t>n</w:t>
            </w:r>
          </w:p>
        </w:tc>
        <w:tc>
          <w:tcPr>
            <w:tcW w:w="892" w:type="dxa"/>
          </w:tcPr>
          <w:p w14:paraId="5DCC3C12" w14:textId="77777777" w:rsidR="00405424" w:rsidRPr="00CD29D0" w:rsidRDefault="00405424" w:rsidP="0059418B">
            <w:pPr>
              <w:pStyle w:val="TableColHeadingCenter"/>
            </w:pPr>
            <w:r w:rsidRPr="00CD29D0">
              <w:t>Average</w:t>
            </w:r>
          </w:p>
        </w:tc>
      </w:tr>
      <w:tr w:rsidR="00405424" w:rsidRPr="00CD29D0" w14:paraId="2B74B808" w14:textId="77777777" w:rsidTr="0059418B">
        <w:trPr>
          <w:cnfStyle w:val="000000100000" w:firstRow="0" w:lastRow="0" w:firstColumn="0" w:lastColumn="0" w:oddVBand="0" w:evenVBand="0" w:oddHBand="1" w:evenHBand="0" w:firstRowFirstColumn="0" w:firstRowLastColumn="0" w:lastRowFirstColumn="0" w:lastRowLastColumn="0"/>
        </w:trPr>
        <w:tc>
          <w:tcPr>
            <w:tcW w:w="1431" w:type="dxa"/>
          </w:tcPr>
          <w:p w14:paraId="718383A6" w14:textId="77777777" w:rsidR="00405424" w:rsidRPr="00CD29D0" w:rsidRDefault="00405424" w:rsidP="0059418B">
            <w:pPr>
              <w:pStyle w:val="TableText"/>
            </w:pPr>
            <w:r w:rsidRPr="00CD29D0">
              <w:t>Grades PK-5</w:t>
            </w:r>
          </w:p>
        </w:tc>
        <w:tc>
          <w:tcPr>
            <w:tcW w:w="874" w:type="dxa"/>
          </w:tcPr>
          <w:p w14:paraId="5D5E5D21" w14:textId="77777777" w:rsidR="00405424" w:rsidRPr="00CD29D0" w:rsidRDefault="00405424" w:rsidP="0059418B">
            <w:pPr>
              <w:pStyle w:val="TableTextCentered"/>
            </w:pPr>
            <w:r w:rsidRPr="00CD29D0">
              <w:t>0</w:t>
            </w:r>
          </w:p>
        </w:tc>
        <w:tc>
          <w:tcPr>
            <w:tcW w:w="874" w:type="dxa"/>
          </w:tcPr>
          <w:p w14:paraId="0827B580" w14:textId="77777777" w:rsidR="00405424" w:rsidRPr="00CD29D0" w:rsidRDefault="00405424" w:rsidP="0059418B">
            <w:pPr>
              <w:pStyle w:val="TableTextCentered"/>
            </w:pPr>
            <w:r w:rsidRPr="00CD29D0">
              <w:t>0</w:t>
            </w:r>
          </w:p>
        </w:tc>
        <w:tc>
          <w:tcPr>
            <w:tcW w:w="874" w:type="dxa"/>
          </w:tcPr>
          <w:p w14:paraId="766AA24C" w14:textId="77777777" w:rsidR="00405424" w:rsidRPr="00CD29D0" w:rsidRDefault="00405424" w:rsidP="0059418B">
            <w:pPr>
              <w:pStyle w:val="TableTextCentered"/>
            </w:pPr>
            <w:r w:rsidRPr="00CD29D0">
              <w:t>0</w:t>
            </w:r>
          </w:p>
        </w:tc>
        <w:tc>
          <w:tcPr>
            <w:tcW w:w="875" w:type="dxa"/>
          </w:tcPr>
          <w:p w14:paraId="73E143A7" w14:textId="77777777" w:rsidR="00405424" w:rsidRPr="00CD29D0" w:rsidRDefault="00405424" w:rsidP="0059418B">
            <w:pPr>
              <w:pStyle w:val="TableTextCentered"/>
            </w:pPr>
            <w:r w:rsidRPr="00CD29D0">
              <w:t>0</w:t>
            </w:r>
          </w:p>
        </w:tc>
        <w:tc>
          <w:tcPr>
            <w:tcW w:w="875" w:type="dxa"/>
          </w:tcPr>
          <w:p w14:paraId="23ED5C39" w14:textId="77777777" w:rsidR="00405424" w:rsidRPr="00CD29D0" w:rsidRDefault="00405424" w:rsidP="0059418B">
            <w:pPr>
              <w:pStyle w:val="TableTextCentered"/>
            </w:pPr>
            <w:r w:rsidRPr="00CD29D0">
              <w:t>0</w:t>
            </w:r>
          </w:p>
        </w:tc>
        <w:tc>
          <w:tcPr>
            <w:tcW w:w="874" w:type="dxa"/>
          </w:tcPr>
          <w:p w14:paraId="63F7C89A" w14:textId="77777777" w:rsidR="00405424" w:rsidRPr="00CD29D0" w:rsidRDefault="00405424" w:rsidP="0059418B">
            <w:pPr>
              <w:pStyle w:val="TableTextCentered"/>
            </w:pPr>
            <w:r w:rsidRPr="00CD29D0">
              <w:t>2</w:t>
            </w:r>
          </w:p>
        </w:tc>
        <w:tc>
          <w:tcPr>
            <w:tcW w:w="875" w:type="dxa"/>
          </w:tcPr>
          <w:p w14:paraId="33D7AA3E" w14:textId="77777777" w:rsidR="00405424" w:rsidRPr="00CD29D0" w:rsidRDefault="00405424" w:rsidP="0059418B">
            <w:pPr>
              <w:pStyle w:val="TableTextCentered"/>
            </w:pPr>
            <w:r w:rsidRPr="00CD29D0">
              <w:t>31</w:t>
            </w:r>
          </w:p>
        </w:tc>
        <w:tc>
          <w:tcPr>
            <w:tcW w:w="900" w:type="dxa"/>
          </w:tcPr>
          <w:p w14:paraId="73AACE62" w14:textId="77777777" w:rsidR="00405424" w:rsidRPr="00CD29D0" w:rsidRDefault="00405424" w:rsidP="0059418B">
            <w:pPr>
              <w:pStyle w:val="TableTextCentered"/>
            </w:pPr>
            <w:r w:rsidRPr="00CD29D0">
              <w:t>33</w:t>
            </w:r>
          </w:p>
        </w:tc>
        <w:tc>
          <w:tcPr>
            <w:tcW w:w="892" w:type="dxa"/>
          </w:tcPr>
          <w:p w14:paraId="7ABC78D7" w14:textId="77777777" w:rsidR="00405424" w:rsidRPr="00CD29D0" w:rsidRDefault="00405424" w:rsidP="0059418B">
            <w:pPr>
              <w:pStyle w:val="TableTextCentered"/>
            </w:pPr>
            <w:r w:rsidRPr="00CD29D0">
              <w:t>6.9</w:t>
            </w:r>
          </w:p>
        </w:tc>
      </w:tr>
      <w:tr w:rsidR="00405424" w:rsidRPr="00CD29D0" w14:paraId="6135F526" w14:textId="77777777" w:rsidTr="0059418B">
        <w:tc>
          <w:tcPr>
            <w:tcW w:w="1431" w:type="dxa"/>
          </w:tcPr>
          <w:p w14:paraId="37C4E259" w14:textId="77777777" w:rsidR="00405424" w:rsidRPr="00CD29D0" w:rsidRDefault="00405424" w:rsidP="0059418B">
            <w:pPr>
              <w:pStyle w:val="TableText"/>
            </w:pPr>
            <w:r w:rsidRPr="00CD29D0">
              <w:t>Grades 6-8</w:t>
            </w:r>
          </w:p>
        </w:tc>
        <w:tc>
          <w:tcPr>
            <w:tcW w:w="874" w:type="dxa"/>
          </w:tcPr>
          <w:p w14:paraId="172C4933" w14:textId="77777777" w:rsidR="00405424" w:rsidRPr="00CD29D0" w:rsidRDefault="00405424" w:rsidP="0059418B">
            <w:pPr>
              <w:pStyle w:val="TableTextCentered"/>
            </w:pPr>
            <w:r w:rsidRPr="00CD29D0">
              <w:t>0</w:t>
            </w:r>
          </w:p>
        </w:tc>
        <w:tc>
          <w:tcPr>
            <w:tcW w:w="874" w:type="dxa"/>
          </w:tcPr>
          <w:p w14:paraId="1900ED57" w14:textId="77777777" w:rsidR="00405424" w:rsidRPr="00CD29D0" w:rsidRDefault="00405424" w:rsidP="0059418B">
            <w:pPr>
              <w:pStyle w:val="TableTextCentered"/>
            </w:pPr>
            <w:r w:rsidRPr="00CD29D0">
              <w:t>0</w:t>
            </w:r>
          </w:p>
        </w:tc>
        <w:tc>
          <w:tcPr>
            <w:tcW w:w="874" w:type="dxa"/>
          </w:tcPr>
          <w:p w14:paraId="539DE4D7" w14:textId="77777777" w:rsidR="00405424" w:rsidRPr="00CD29D0" w:rsidRDefault="00405424" w:rsidP="0059418B">
            <w:pPr>
              <w:pStyle w:val="TableTextCentered"/>
            </w:pPr>
            <w:r w:rsidRPr="00CD29D0">
              <w:t>0</w:t>
            </w:r>
          </w:p>
        </w:tc>
        <w:tc>
          <w:tcPr>
            <w:tcW w:w="875" w:type="dxa"/>
          </w:tcPr>
          <w:p w14:paraId="6B60FBD2" w14:textId="77777777" w:rsidR="00405424" w:rsidRPr="00CD29D0" w:rsidRDefault="00405424" w:rsidP="0059418B">
            <w:pPr>
              <w:pStyle w:val="TableTextCentered"/>
            </w:pPr>
            <w:r w:rsidRPr="00CD29D0">
              <w:t>0</w:t>
            </w:r>
          </w:p>
        </w:tc>
        <w:tc>
          <w:tcPr>
            <w:tcW w:w="875" w:type="dxa"/>
          </w:tcPr>
          <w:p w14:paraId="02A9A0D4" w14:textId="77777777" w:rsidR="00405424" w:rsidRPr="00CD29D0" w:rsidRDefault="00405424" w:rsidP="0059418B">
            <w:pPr>
              <w:pStyle w:val="TableTextCentered"/>
            </w:pPr>
            <w:r w:rsidRPr="00CD29D0">
              <w:t>0</w:t>
            </w:r>
          </w:p>
        </w:tc>
        <w:tc>
          <w:tcPr>
            <w:tcW w:w="874" w:type="dxa"/>
          </w:tcPr>
          <w:p w14:paraId="408B8A1B" w14:textId="77777777" w:rsidR="00405424" w:rsidRPr="00CD29D0" w:rsidRDefault="00405424" w:rsidP="0059418B">
            <w:pPr>
              <w:pStyle w:val="TableTextCentered"/>
            </w:pPr>
            <w:r w:rsidRPr="00CD29D0">
              <w:t>0</w:t>
            </w:r>
          </w:p>
        </w:tc>
        <w:tc>
          <w:tcPr>
            <w:tcW w:w="875" w:type="dxa"/>
          </w:tcPr>
          <w:p w14:paraId="443E0447" w14:textId="77777777" w:rsidR="00405424" w:rsidRPr="00CD29D0" w:rsidRDefault="00405424" w:rsidP="0059418B">
            <w:pPr>
              <w:pStyle w:val="TableTextCentered"/>
            </w:pPr>
            <w:r w:rsidRPr="00CD29D0">
              <w:t>20</w:t>
            </w:r>
          </w:p>
        </w:tc>
        <w:tc>
          <w:tcPr>
            <w:tcW w:w="900" w:type="dxa"/>
          </w:tcPr>
          <w:p w14:paraId="1A36F9CD" w14:textId="77777777" w:rsidR="00405424" w:rsidRPr="00CD29D0" w:rsidRDefault="00405424" w:rsidP="0059418B">
            <w:pPr>
              <w:pStyle w:val="TableTextCentered"/>
            </w:pPr>
            <w:r w:rsidRPr="00CD29D0">
              <w:t>20</w:t>
            </w:r>
          </w:p>
        </w:tc>
        <w:tc>
          <w:tcPr>
            <w:tcW w:w="892" w:type="dxa"/>
          </w:tcPr>
          <w:p w14:paraId="4A19F76D" w14:textId="77777777" w:rsidR="00405424" w:rsidRPr="00CD29D0" w:rsidRDefault="00405424" w:rsidP="0059418B">
            <w:pPr>
              <w:pStyle w:val="TableTextCentered"/>
            </w:pPr>
            <w:r w:rsidRPr="00CD29D0">
              <w:t>7.0</w:t>
            </w:r>
          </w:p>
        </w:tc>
      </w:tr>
      <w:tr w:rsidR="00405424" w:rsidRPr="00CD29D0" w14:paraId="2FA931E9" w14:textId="77777777" w:rsidTr="0059418B">
        <w:trPr>
          <w:cnfStyle w:val="000000100000" w:firstRow="0" w:lastRow="0" w:firstColumn="0" w:lastColumn="0" w:oddVBand="0" w:evenVBand="0" w:oddHBand="1" w:evenHBand="0" w:firstRowFirstColumn="0" w:firstRowLastColumn="0" w:lastRowFirstColumn="0" w:lastRowLastColumn="0"/>
        </w:trPr>
        <w:tc>
          <w:tcPr>
            <w:tcW w:w="1431" w:type="dxa"/>
          </w:tcPr>
          <w:p w14:paraId="6E0AA9DD" w14:textId="77777777" w:rsidR="00405424" w:rsidRPr="00CD29D0" w:rsidRDefault="00405424" w:rsidP="0059418B">
            <w:pPr>
              <w:pStyle w:val="TableText"/>
            </w:pPr>
            <w:r w:rsidRPr="00CD29D0">
              <w:t>Grades 9-12</w:t>
            </w:r>
          </w:p>
        </w:tc>
        <w:tc>
          <w:tcPr>
            <w:tcW w:w="874" w:type="dxa"/>
          </w:tcPr>
          <w:p w14:paraId="2A23752E" w14:textId="77777777" w:rsidR="00405424" w:rsidRPr="00CD29D0" w:rsidRDefault="00405424" w:rsidP="0059418B">
            <w:pPr>
              <w:pStyle w:val="TableTextCentered"/>
            </w:pPr>
            <w:r w:rsidRPr="00CD29D0">
              <w:t>0</w:t>
            </w:r>
          </w:p>
        </w:tc>
        <w:tc>
          <w:tcPr>
            <w:tcW w:w="874" w:type="dxa"/>
          </w:tcPr>
          <w:p w14:paraId="2D531CC9" w14:textId="77777777" w:rsidR="00405424" w:rsidRPr="00CD29D0" w:rsidRDefault="00405424" w:rsidP="0059418B">
            <w:pPr>
              <w:pStyle w:val="TableTextCentered"/>
            </w:pPr>
            <w:r w:rsidRPr="00CD29D0">
              <w:t>0</w:t>
            </w:r>
          </w:p>
        </w:tc>
        <w:tc>
          <w:tcPr>
            <w:tcW w:w="874" w:type="dxa"/>
          </w:tcPr>
          <w:p w14:paraId="688411E6" w14:textId="77777777" w:rsidR="00405424" w:rsidRPr="00CD29D0" w:rsidRDefault="00405424" w:rsidP="0059418B">
            <w:pPr>
              <w:pStyle w:val="TableTextCentered"/>
            </w:pPr>
            <w:r w:rsidRPr="00CD29D0">
              <w:t>0</w:t>
            </w:r>
          </w:p>
        </w:tc>
        <w:tc>
          <w:tcPr>
            <w:tcW w:w="875" w:type="dxa"/>
          </w:tcPr>
          <w:p w14:paraId="2DAF9E51" w14:textId="77777777" w:rsidR="00405424" w:rsidRPr="00CD29D0" w:rsidRDefault="00405424" w:rsidP="0059418B">
            <w:pPr>
              <w:pStyle w:val="TableTextCentered"/>
            </w:pPr>
            <w:r w:rsidRPr="00CD29D0">
              <w:t>0</w:t>
            </w:r>
          </w:p>
        </w:tc>
        <w:tc>
          <w:tcPr>
            <w:tcW w:w="875" w:type="dxa"/>
          </w:tcPr>
          <w:p w14:paraId="45594345" w14:textId="77777777" w:rsidR="00405424" w:rsidRPr="00CD29D0" w:rsidRDefault="00405424" w:rsidP="0059418B">
            <w:pPr>
              <w:pStyle w:val="TableTextCentered"/>
            </w:pPr>
            <w:r w:rsidRPr="00CD29D0">
              <w:t>0</w:t>
            </w:r>
          </w:p>
        </w:tc>
        <w:tc>
          <w:tcPr>
            <w:tcW w:w="874" w:type="dxa"/>
          </w:tcPr>
          <w:p w14:paraId="0C76909A" w14:textId="77777777" w:rsidR="00405424" w:rsidRPr="00CD29D0" w:rsidRDefault="00405424" w:rsidP="0059418B">
            <w:pPr>
              <w:pStyle w:val="TableTextCentered"/>
            </w:pPr>
            <w:r w:rsidRPr="00CD29D0">
              <w:t>0</w:t>
            </w:r>
          </w:p>
        </w:tc>
        <w:tc>
          <w:tcPr>
            <w:tcW w:w="875" w:type="dxa"/>
          </w:tcPr>
          <w:p w14:paraId="3B9611F4" w14:textId="77777777" w:rsidR="00405424" w:rsidRPr="00CD29D0" w:rsidRDefault="00405424" w:rsidP="0059418B">
            <w:pPr>
              <w:pStyle w:val="TableTextCentered"/>
            </w:pPr>
            <w:r w:rsidRPr="00CD29D0">
              <w:t>20</w:t>
            </w:r>
          </w:p>
        </w:tc>
        <w:tc>
          <w:tcPr>
            <w:tcW w:w="900" w:type="dxa"/>
          </w:tcPr>
          <w:p w14:paraId="073B855A" w14:textId="77777777" w:rsidR="00405424" w:rsidRPr="00CD29D0" w:rsidRDefault="00405424" w:rsidP="0059418B">
            <w:pPr>
              <w:pStyle w:val="TableTextCentered"/>
            </w:pPr>
            <w:r w:rsidRPr="00CD29D0">
              <w:t>20</w:t>
            </w:r>
          </w:p>
        </w:tc>
        <w:tc>
          <w:tcPr>
            <w:tcW w:w="892" w:type="dxa"/>
          </w:tcPr>
          <w:p w14:paraId="11777AA8" w14:textId="77777777" w:rsidR="00405424" w:rsidRPr="00CD29D0" w:rsidRDefault="00405424" w:rsidP="0059418B">
            <w:pPr>
              <w:pStyle w:val="TableTextCentered"/>
            </w:pPr>
            <w:r w:rsidRPr="00CD29D0">
              <w:t>7.0</w:t>
            </w:r>
          </w:p>
        </w:tc>
      </w:tr>
      <w:tr w:rsidR="00405424" w:rsidRPr="00CD29D0" w14:paraId="61FE1B9A" w14:textId="77777777" w:rsidTr="0059418B">
        <w:tc>
          <w:tcPr>
            <w:tcW w:w="1431" w:type="dxa"/>
          </w:tcPr>
          <w:p w14:paraId="08EC77F0" w14:textId="77777777" w:rsidR="00405424" w:rsidRPr="00CD29D0" w:rsidRDefault="00405424" w:rsidP="0059418B">
            <w:pPr>
              <w:pStyle w:val="TableText"/>
              <w:rPr>
                <w:b/>
                <w:bCs/>
              </w:rPr>
            </w:pPr>
            <w:r w:rsidRPr="00CD29D0">
              <w:rPr>
                <w:b/>
                <w:bCs/>
              </w:rPr>
              <w:t>Totals</w:t>
            </w:r>
          </w:p>
        </w:tc>
        <w:tc>
          <w:tcPr>
            <w:tcW w:w="874" w:type="dxa"/>
          </w:tcPr>
          <w:p w14:paraId="72C1DFD1" w14:textId="77777777" w:rsidR="00405424" w:rsidRPr="00CD29D0" w:rsidRDefault="00405424" w:rsidP="0059418B">
            <w:pPr>
              <w:pStyle w:val="TableTextCentered"/>
              <w:rPr>
                <w:b/>
                <w:bCs/>
              </w:rPr>
            </w:pPr>
            <w:r w:rsidRPr="00CD29D0">
              <w:rPr>
                <w:b/>
                <w:bCs/>
              </w:rPr>
              <w:t>0</w:t>
            </w:r>
          </w:p>
        </w:tc>
        <w:tc>
          <w:tcPr>
            <w:tcW w:w="874" w:type="dxa"/>
          </w:tcPr>
          <w:p w14:paraId="12B44685" w14:textId="77777777" w:rsidR="00405424" w:rsidRPr="00CD29D0" w:rsidRDefault="00405424" w:rsidP="0059418B">
            <w:pPr>
              <w:pStyle w:val="TableTextCentered"/>
              <w:rPr>
                <w:b/>
                <w:bCs/>
              </w:rPr>
            </w:pPr>
            <w:r w:rsidRPr="00CD29D0">
              <w:rPr>
                <w:b/>
                <w:bCs/>
              </w:rPr>
              <w:t>0</w:t>
            </w:r>
          </w:p>
        </w:tc>
        <w:tc>
          <w:tcPr>
            <w:tcW w:w="874" w:type="dxa"/>
          </w:tcPr>
          <w:p w14:paraId="29021DE1" w14:textId="77777777" w:rsidR="00405424" w:rsidRPr="00CD29D0" w:rsidRDefault="00405424" w:rsidP="0059418B">
            <w:pPr>
              <w:pStyle w:val="TableTextCentered"/>
              <w:rPr>
                <w:b/>
                <w:bCs/>
              </w:rPr>
            </w:pPr>
            <w:r w:rsidRPr="00CD29D0">
              <w:rPr>
                <w:b/>
                <w:bCs/>
              </w:rPr>
              <w:t>0</w:t>
            </w:r>
          </w:p>
        </w:tc>
        <w:tc>
          <w:tcPr>
            <w:tcW w:w="875" w:type="dxa"/>
          </w:tcPr>
          <w:p w14:paraId="5141181B" w14:textId="77777777" w:rsidR="00405424" w:rsidRPr="00CD29D0" w:rsidRDefault="00405424" w:rsidP="0059418B">
            <w:pPr>
              <w:pStyle w:val="TableTextCentered"/>
              <w:rPr>
                <w:b/>
                <w:bCs/>
              </w:rPr>
            </w:pPr>
            <w:r w:rsidRPr="00CD29D0">
              <w:rPr>
                <w:b/>
                <w:bCs/>
              </w:rPr>
              <w:t>0</w:t>
            </w:r>
          </w:p>
        </w:tc>
        <w:tc>
          <w:tcPr>
            <w:tcW w:w="875" w:type="dxa"/>
          </w:tcPr>
          <w:p w14:paraId="494695B4" w14:textId="77777777" w:rsidR="00405424" w:rsidRPr="00CD29D0" w:rsidRDefault="00405424" w:rsidP="0059418B">
            <w:pPr>
              <w:pStyle w:val="TableTextCentered"/>
              <w:rPr>
                <w:b/>
                <w:bCs/>
              </w:rPr>
            </w:pPr>
            <w:r w:rsidRPr="00CD29D0">
              <w:rPr>
                <w:b/>
                <w:bCs/>
              </w:rPr>
              <w:t>0</w:t>
            </w:r>
          </w:p>
        </w:tc>
        <w:tc>
          <w:tcPr>
            <w:tcW w:w="874" w:type="dxa"/>
          </w:tcPr>
          <w:p w14:paraId="33EA08B0" w14:textId="77777777" w:rsidR="00405424" w:rsidRPr="00CD29D0" w:rsidRDefault="00405424" w:rsidP="0059418B">
            <w:pPr>
              <w:pStyle w:val="TableTextCentered"/>
              <w:rPr>
                <w:b/>
                <w:bCs/>
              </w:rPr>
            </w:pPr>
            <w:r w:rsidRPr="00CD29D0">
              <w:rPr>
                <w:b/>
                <w:bCs/>
              </w:rPr>
              <w:t>2</w:t>
            </w:r>
          </w:p>
        </w:tc>
        <w:tc>
          <w:tcPr>
            <w:tcW w:w="875" w:type="dxa"/>
          </w:tcPr>
          <w:p w14:paraId="345C09CD" w14:textId="77777777" w:rsidR="00405424" w:rsidRPr="00CD29D0" w:rsidRDefault="00405424" w:rsidP="0059418B">
            <w:pPr>
              <w:pStyle w:val="TableTextCentered"/>
              <w:rPr>
                <w:b/>
                <w:bCs/>
              </w:rPr>
            </w:pPr>
            <w:r w:rsidRPr="00CD29D0">
              <w:rPr>
                <w:b/>
                <w:bCs/>
              </w:rPr>
              <w:t>71</w:t>
            </w:r>
          </w:p>
        </w:tc>
        <w:tc>
          <w:tcPr>
            <w:tcW w:w="900" w:type="dxa"/>
          </w:tcPr>
          <w:p w14:paraId="49F0CA59" w14:textId="77777777" w:rsidR="00405424" w:rsidRPr="00CD29D0" w:rsidRDefault="00405424" w:rsidP="0059418B">
            <w:pPr>
              <w:pStyle w:val="TableTextCentered"/>
              <w:rPr>
                <w:b/>
                <w:bCs/>
              </w:rPr>
            </w:pPr>
            <w:r w:rsidRPr="00CD29D0">
              <w:rPr>
                <w:b/>
                <w:bCs/>
              </w:rPr>
              <w:t>73</w:t>
            </w:r>
          </w:p>
        </w:tc>
        <w:tc>
          <w:tcPr>
            <w:tcW w:w="892" w:type="dxa"/>
          </w:tcPr>
          <w:p w14:paraId="358FA01C" w14:textId="77777777" w:rsidR="00405424" w:rsidRPr="00CD29D0" w:rsidRDefault="00405424" w:rsidP="0059418B">
            <w:pPr>
              <w:pStyle w:val="TableTextCentered"/>
              <w:rPr>
                <w:b/>
                <w:bCs/>
              </w:rPr>
            </w:pPr>
            <w:r w:rsidRPr="00CD29D0">
              <w:rPr>
                <w:b/>
                <w:bCs/>
              </w:rPr>
              <w:t>7.0</w:t>
            </w:r>
          </w:p>
        </w:tc>
      </w:tr>
    </w:tbl>
    <w:bookmarkEnd w:id="112"/>
    <w:p w14:paraId="6C75BD15" w14:textId="3E1FC7C0" w:rsidR="00405424" w:rsidRPr="00CD29D0" w:rsidRDefault="00405424" w:rsidP="0059418B">
      <w:pPr>
        <w:pStyle w:val="TableNote"/>
      </w:pPr>
      <w:r w:rsidRPr="00CD29D0">
        <w:t xml:space="preserve">*The district average is an average of the observation scores. In Table 6, the district average is computed as: </w:t>
      </w:r>
      <w:bookmarkStart w:id="113" w:name="Dist_NC_Calc"/>
      <w:r w:rsidRPr="00CD29D0">
        <w:t>([6 x 2] + [7 x 71]) ÷ 73 observations = 7.0</w:t>
      </w:r>
      <w:bookmarkEnd w:id="113"/>
    </w:p>
    <w:p w14:paraId="7BE3BC2C" w14:textId="5ED21FEE" w:rsidR="00405424" w:rsidRPr="00CD29D0" w:rsidRDefault="00405424" w:rsidP="0059418B">
      <w:pPr>
        <w:pStyle w:val="BodyText"/>
      </w:pPr>
      <w:r w:rsidRPr="00CD29D0">
        <w:rPr>
          <w:rStyle w:val="BodyTextDemiChar"/>
        </w:rPr>
        <w:t>Ratings in the Low Range.</w:t>
      </w:r>
      <w:r w:rsidRPr="00CD29D0">
        <w:rPr>
          <w:b/>
        </w:rPr>
        <w:t xml:space="preserve"> </w:t>
      </w:r>
      <w:r w:rsidRPr="00CD29D0">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6AB6D367" w14:textId="045C2A5F" w:rsidR="00405424" w:rsidRPr="00CD29D0" w:rsidRDefault="00405424" w:rsidP="0059418B">
      <w:pPr>
        <w:pStyle w:val="BodyTextposthead"/>
      </w:pPr>
      <w:r w:rsidRPr="00CD29D0">
        <w:rPr>
          <w:rStyle w:val="BodyTextDemiChar"/>
        </w:rPr>
        <w:t>Ratings in the Middle Range.</w:t>
      </w:r>
      <w:r w:rsidRPr="00CD29D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02D8F428" w14:textId="77777777" w:rsidR="00405424" w:rsidRPr="00CD29D0" w:rsidRDefault="00405424" w:rsidP="0059418B">
      <w:pPr>
        <w:pStyle w:val="BodyTextposthead"/>
        <w:spacing w:after="0"/>
        <w:rPr>
          <w:rFonts w:eastAsiaTheme="majorEastAsia"/>
        </w:rPr>
      </w:pPr>
      <w:r w:rsidRPr="00CD29D0">
        <w:rPr>
          <w:rStyle w:val="BodyTextDemiChar"/>
        </w:rPr>
        <w:t>Ratings in the High Range.</w:t>
      </w:r>
      <w:r w:rsidRPr="00CD29D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rsidRPr="00CD29D0">
        <w:br w:type="page"/>
      </w:r>
    </w:p>
    <w:p w14:paraId="581B5EEC" w14:textId="77777777" w:rsidR="00405424" w:rsidRPr="00CD29D0" w:rsidRDefault="00405424" w:rsidP="00272891">
      <w:pPr>
        <w:pStyle w:val="DIORDimensions"/>
      </w:pPr>
      <w:bookmarkStart w:id="114" w:name="_Toc430114879"/>
      <w:bookmarkStart w:id="115" w:name="_Toc227587566"/>
      <w:r w:rsidRPr="00CD29D0">
        <w:lastRenderedPageBreak/>
        <w:t>Behavior Management</w:t>
      </w:r>
      <w:bookmarkEnd w:id="114"/>
      <w:bookmarkEnd w:id="115"/>
    </w:p>
    <w:p w14:paraId="2D156D03" w14:textId="77777777" w:rsidR="00405424" w:rsidRPr="00CD29D0" w:rsidRDefault="00405424" w:rsidP="0059418B">
      <w:pPr>
        <w:pStyle w:val="BodyTextDomain"/>
      </w:pPr>
      <w:r w:rsidRPr="00CD29D0">
        <w:t>Classroom Organization domain, Grades PK−12</w:t>
      </w:r>
    </w:p>
    <w:p w14:paraId="2A03DE70" w14:textId="77777777" w:rsidR="00405424" w:rsidRPr="00CD29D0" w:rsidRDefault="00405424" w:rsidP="0059418B">
      <w:pPr>
        <w:pStyle w:val="BodyTextposthead"/>
      </w:pPr>
      <w:r w:rsidRPr="00CD29D0">
        <w:t>Behavior Management refers to the teacher’s ability to provide clear behavioral expectations and use effective methods to prevent and redirect misbehavior (</w:t>
      </w:r>
      <w:r w:rsidRPr="00CD29D0">
        <w:rPr>
          <w:i/>
        </w:rPr>
        <w:t>CLASS PK–3 Manual</w:t>
      </w:r>
      <w:r w:rsidRPr="00CD29D0">
        <w:t xml:space="preserve">, p. 45, </w:t>
      </w:r>
      <w:r w:rsidRPr="00CD29D0">
        <w:rPr>
          <w:i/>
        </w:rPr>
        <w:t xml:space="preserve">CLASS Upper Elementary Manual, </w:t>
      </w:r>
      <w:r w:rsidRPr="00CD29D0">
        <w:t xml:space="preserve">p. 41, </w:t>
      </w:r>
      <w:r w:rsidRPr="00CD29D0">
        <w:rPr>
          <w:i/>
        </w:rPr>
        <w:t>CLASS Secondary Manual</w:t>
      </w:r>
      <w:r w:rsidRPr="00CD29D0">
        <w:t>, p. 41).</w:t>
      </w:r>
    </w:p>
    <w:p w14:paraId="71793A10" w14:textId="77777777" w:rsidR="00405424" w:rsidRPr="00CD29D0" w:rsidRDefault="00405424" w:rsidP="0059418B">
      <w:pPr>
        <w:pStyle w:val="TableTitle0"/>
      </w:pPr>
      <w:r w:rsidRPr="00CD29D0">
        <w:t>Table 7. Behavior Management: Number of Classrooms for Each Rating and District Average</w:t>
      </w:r>
    </w:p>
    <w:p w14:paraId="52B56DAD" w14:textId="77777777" w:rsidR="00405424" w:rsidRPr="00CD29D0" w:rsidRDefault="00405424" w:rsidP="0059418B">
      <w:pPr>
        <w:pStyle w:val="BodyTextDemi"/>
      </w:pPr>
      <w:r w:rsidRPr="00CD29D0">
        <w:t xml:space="preserve">Behavior Management District Average*: </w:t>
      </w:r>
      <w:bookmarkStart w:id="116" w:name="Dist_BM_Avg"/>
      <w:r w:rsidRPr="00CD29D0">
        <w:t>6.3</w:t>
      </w:r>
      <w:bookmarkEnd w:id="116"/>
    </w:p>
    <w:tbl>
      <w:tblPr>
        <w:tblStyle w:val="MSVTable1"/>
        <w:tblW w:w="5000" w:type="pct"/>
        <w:tblLook w:val="04A0" w:firstRow="1" w:lastRow="0" w:firstColumn="1" w:lastColumn="0" w:noHBand="0" w:noVBand="1"/>
        <w:tblCaption w:val="Table 7. Behavior Management: Number of Classrooms for Each Rating and District Average"/>
        <w:tblDescription w:val="Behavior Management: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4532EB36" w14:textId="77777777" w:rsidTr="0059418B">
        <w:trPr>
          <w:cnfStyle w:val="100000000000" w:firstRow="1" w:lastRow="0" w:firstColumn="0" w:lastColumn="0" w:oddVBand="0" w:evenVBand="0" w:oddHBand="0" w:evenHBand="0" w:firstRowFirstColumn="0" w:firstRowLastColumn="0" w:lastRowFirstColumn="0" w:lastRowLastColumn="0"/>
          <w:tblHeader/>
        </w:trPr>
        <w:tc>
          <w:tcPr>
            <w:tcW w:w="1431" w:type="dxa"/>
          </w:tcPr>
          <w:p w14:paraId="153D550D" w14:textId="77777777" w:rsidR="00405424" w:rsidRPr="00CD29D0" w:rsidRDefault="00405424" w:rsidP="0059418B">
            <w:pPr>
              <w:pStyle w:val="TableColHeadingCenter"/>
            </w:pPr>
            <w:bookmarkStart w:id="117" w:name="Tbl_BM"/>
            <w:r w:rsidRPr="00CD29D0">
              <w:t>Grade Band</w:t>
            </w:r>
          </w:p>
        </w:tc>
        <w:tc>
          <w:tcPr>
            <w:tcW w:w="874" w:type="dxa"/>
          </w:tcPr>
          <w:p w14:paraId="6CF486F9" w14:textId="77777777" w:rsidR="00405424" w:rsidRPr="00CD29D0" w:rsidRDefault="00405424" w:rsidP="0059418B">
            <w:pPr>
              <w:pStyle w:val="TableColHeadingCenter"/>
            </w:pPr>
            <w:r w:rsidRPr="00CD29D0">
              <w:t>Low Range (1)</w:t>
            </w:r>
          </w:p>
        </w:tc>
        <w:tc>
          <w:tcPr>
            <w:tcW w:w="874" w:type="dxa"/>
          </w:tcPr>
          <w:p w14:paraId="7BEAE195" w14:textId="77777777" w:rsidR="00405424" w:rsidRPr="00CD29D0" w:rsidRDefault="00405424" w:rsidP="0059418B">
            <w:pPr>
              <w:pStyle w:val="TableColHeadingCenter"/>
            </w:pPr>
            <w:r w:rsidRPr="00CD29D0">
              <w:t>Low Range (2)</w:t>
            </w:r>
          </w:p>
        </w:tc>
        <w:tc>
          <w:tcPr>
            <w:tcW w:w="874" w:type="dxa"/>
          </w:tcPr>
          <w:p w14:paraId="7CDD1D51" w14:textId="77777777" w:rsidR="00405424" w:rsidRPr="00CD29D0" w:rsidRDefault="00405424" w:rsidP="0059418B">
            <w:pPr>
              <w:pStyle w:val="TableColHeadingCenter"/>
            </w:pPr>
            <w:r w:rsidRPr="00CD29D0">
              <w:t>Middle Range (3)</w:t>
            </w:r>
          </w:p>
        </w:tc>
        <w:tc>
          <w:tcPr>
            <w:tcW w:w="875" w:type="dxa"/>
          </w:tcPr>
          <w:p w14:paraId="49BAA6EF" w14:textId="77777777" w:rsidR="00405424" w:rsidRPr="00CD29D0" w:rsidRDefault="00405424" w:rsidP="0059418B">
            <w:pPr>
              <w:pStyle w:val="TableColHeadingCenter"/>
            </w:pPr>
            <w:r w:rsidRPr="00CD29D0">
              <w:t>Middle Range (4)</w:t>
            </w:r>
          </w:p>
        </w:tc>
        <w:tc>
          <w:tcPr>
            <w:tcW w:w="875" w:type="dxa"/>
          </w:tcPr>
          <w:p w14:paraId="18A2F811" w14:textId="77777777" w:rsidR="00405424" w:rsidRPr="00CD29D0" w:rsidRDefault="00405424" w:rsidP="0059418B">
            <w:pPr>
              <w:pStyle w:val="TableColHeadingCenter"/>
            </w:pPr>
            <w:r w:rsidRPr="00CD29D0">
              <w:t>Middle Range (5)</w:t>
            </w:r>
          </w:p>
        </w:tc>
        <w:tc>
          <w:tcPr>
            <w:tcW w:w="874" w:type="dxa"/>
          </w:tcPr>
          <w:p w14:paraId="3F136477" w14:textId="77777777" w:rsidR="00405424" w:rsidRPr="00CD29D0" w:rsidRDefault="00405424" w:rsidP="0059418B">
            <w:pPr>
              <w:pStyle w:val="TableColHeadingCenter"/>
            </w:pPr>
            <w:r w:rsidRPr="00CD29D0">
              <w:t>High Range (6)</w:t>
            </w:r>
          </w:p>
        </w:tc>
        <w:tc>
          <w:tcPr>
            <w:tcW w:w="875" w:type="dxa"/>
          </w:tcPr>
          <w:p w14:paraId="6601FD39" w14:textId="77777777" w:rsidR="00405424" w:rsidRPr="00CD29D0" w:rsidRDefault="00405424" w:rsidP="0059418B">
            <w:pPr>
              <w:pStyle w:val="TableColHeadingCenter"/>
            </w:pPr>
            <w:r w:rsidRPr="00CD29D0">
              <w:t>High Range (7)</w:t>
            </w:r>
          </w:p>
        </w:tc>
        <w:tc>
          <w:tcPr>
            <w:tcW w:w="900" w:type="dxa"/>
          </w:tcPr>
          <w:p w14:paraId="755C654C" w14:textId="77777777" w:rsidR="00405424" w:rsidRPr="00CD29D0" w:rsidRDefault="00405424" w:rsidP="0059418B">
            <w:pPr>
              <w:pStyle w:val="TableColHeadingCenter"/>
            </w:pPr>
            <w:r w:rsidRPr="00CD29D0">
              <w:t>n</w:t>
            </w:r>
          </w:p>
        </w:tc>
        <w:tc>
          <w:tcPr>
            <w:tcW w:w="892" w:type="dxa"/>
          </w:tcPr>
          <w:p w14:paraId="74A6FC88" w14:textId="77777777" w:rsidR="00405424" w:rsidRPr="00CD29D0" w:rsidRDefault="00405424" w:rsidP="0059418B">
            <w:pPr>
              <w:pStyle w:val="TableColHeadingCenter"/>
            </w:pPr>
            <w:r w:rsidRPr="00CD29D0">
              <w:t>Average</w:t>
            </w:r>
          </w:p>
        </w:tc>
      </w:tr>
      <w:tr w:rsidR="00405424" w:rsidRPr="00CD29D0" w14:paraId="51981123" w14:textId="77777777" w:rsidTr="0059418B">
        <w:trPr>
          <w:cnfStyle w:val="000000100000" w:firstRow="0" w:lastRow="0" w:firstColumn="0" w:lastColumn="0" w:oddVBand="0" w:evenVBand="0" w:oddHBand="1" w:evenHBand="0" w:firstRowFirstColumn="0" w:firstRowLastColumn="0" w:lastRowFirstColumn="0" w:lastRowLastColumn="0"/>
        </w:trPr>
        <w:tc>
          <w:tcPr>
            <w:tcW w:w="1431" w:type="dxa"/>
          </w:tcPr>
          <w:p w14:paraId="4D764F8E" w14:textId="77777777" w:rsidR="00405424" w:rsidRPr="00CD29D0" w:rsidRDefault="00405424" w:rsidP="0059418B">
            <w:pPr>
              <w:pStyle w:val="TableText"/>
            </w:pPr>
            <w:r w:rsidRPr="00CD29D0">
              <w:t>Grades PK-5</w:t>
            </w:r>
          </w:p>
        </w:tc>
        <w:tc>
          <w:tcPr>
            <w:tcW w:w="874" w:type="dxa"/>
          </w:tcPr>
          <w:p w14:paraId="4ED6EBBA" w14:textId="77777777" w:rsidR="00405424" w:rsidRPr="00CD29D0" w:rsidRDefault="00405424" w:rsidP="0059418B">
            <w:pPr>
              <w:pStyle w:val="TableTextCentered"/>
            </w:pPr>
            <w:r w:rsidRPr="00CD29D0">
              <w:t>0</w:t>
            </w:r>
          </w:p>
        </w:tc>
        <w:tc>
          <w:tcPr>
            <w:tcW w:w="874" w:type="dxa"/>
          </w:tcPr>
          <w:p w14:paraId="261E230D" w14:textId="77777777" w:rsidR="00405424" w:rsidRPr="00CD29D0" w:rsidRDefault="00405424" w:rsidP="0059418B">
            <w:pPr>
              <w:pStyle w:val="TableTextCentered"/>
            </w:pPr>
            <w:r w:rsidRPr="00CD29D0">
              <w:t>0</w:t>
            </w:r>
          </w:p>
        </w:tc>
        <w:tc>
          <w:tcPr>
            <w:tcW w:w="874" w:type="dxa"/>
          </w:tcPr>
          <w:p w14:paraId="6D337373" w14:textId="77777777" w:rsidR="00405424" w:rsidRPr="00CD29D0" w:rsidRDefault="00405424" w:rsidP="0059418B">
            <w:pPr>
              <w:pStyle w:val="TableTextCentered"/>
            </w:pPr>
            <w:r w:rsidRPr="00CD29D0">
              <w:t>0</w:t>
            </w:r>
          </w:p>
        </w:tc>
        <w:tc>
          <w:tcPr>
            <w:tcW w:w="875" w:type="dxa"/>
          </w:tcPr>
          <w:p w14:paraId="69E0F8CA" w14:textId="77777777" w:rsidR="00405424" w:rsidRPr="00CD29D0" w:rsidRDefault="00405424" w:rsidP="0059418B">
            <w:pPr>
              <w:pStyle w:val="TableTextCentered"/>
            </w:pPr>
            <w:r w:rsidRPr="00CD29D0">
              <w:t>2</w:t>
            </w:r>
          </w:p>
        </w:tc>
        <w:tc>
          <w:tcPr>
            <w:tcW w:w="875" w:type="dxa"/>
          </w:tcPr>
          <w:p w14:paraId="76B53A84" w14:textId="77777777" w:rsidR="00405424" w:rsidRPr="00CD29D0" w:rsidRDefault="00405424" w:rsidP="0059418B">
            <w:pPr>
              <w:pStyle w:val="TableTextCentered"/>
            </w:pPr>
            <w:r w:rsidRPr="00CD29D0">
              <w:t>3</w:t>
            </w:r>
          </w:p>
        </w:tc>
        <w:tc>
          <w:tcPr>
            <w:tcW w:w="874" w:type="dxa"/>
          </w:tcPr>
          <w:p w14:paraId="2192D1B1" w14:textId="77777777" w:rsidR="00405424" w:rsidRPr="00CD29D0" w:rsidRDefault="00405424" w:rsidP="0059418B">
            <w:pPr>
              <w:pStyle w:val="TableTextCentered"/>
            </w:pPr>
            <w:r w:rsidRPr="00CD29D0">
              <w:t>12</w:t>
            </w:r>
          </w:p>
        </w:tc>
        <w:tc>
          <w:tcPr>
            <w:tcW w:w="875" w:type="dxa"/>
          </w:tcPr>
          <w:p w14:paraId="188330F8" w14:textId="77777777" w:rsidR="00405424" w:rsidRPr="00CD29D0" w:rsidRDefault="00405424" w:rsidP="0059418B">
            <w:pPr>
              <w:pStyle w:val="TableTextCentered"/>
            </w:pPr>
            <w:r w:rsidRPr="00CD29D0">
              <w:t>16</w:t>
            </w:r>
          </w:p>
        </w:tc>
        <w:tc>
          <w:tcPr>
            <w:tcW w:w="900" w:type="dxa"/>
          </w:tcPr>
          <w:p w14:paraId="7BFA6060" w14:textId="77777777" w:rsidR="00405424" w:rsidRPr="00CD29D0" w:rsidRDefault="00405424" w:rsidP="0059418B">
            <w:pPr>
              <w:pStyle w:val="TableTextCentered"/>
            </w:pPr>
            <w:r w:rsidRPr="00CD29D0">
              <w:t>33</w:t>
            </w:r>
          </w:p>
        </w:tc>
        <w:tc>
          <w:tcPr>
            <w:tcW w:w="892" w:type="dxa"/>
          </w:tcPr>
          <w:p w14:paraId="4F502B40" w14:textId="77777777" w:rsidR="00405424" w:rsidRPr="00CD29D0" w:rsidRDefault="00405424" w:rsidP="0059418B">
            <w:pPr>
              <w:pStyle w:val="TableTextCentered"/>
            </w:pPr>
            <w:r w:rsidRPr="00CD29D0">
              <w:t>6.3</w:t>
            </w:r>
          </w:p>
        </w:tc>
      </w:tr>
      <w:tr w:rsidR="00405424" w:rsidRPr="00CD29D0" w14:paraId="00C15E1F" w14:textId="77777777" w:rsidTr="0059418B">
        <w:tc>
          <w:tcPr>
            <w:tcW w:w="1431" w:type="dxa"/>
          </w:tcPr>
          <w:p w14:paraId="51D65237" w14:textId="77777777" w:rsidR="00405424" w:rsidRPr="00CD29D0" w:rsidRDefault="00405424" w:rsidP="0059418B">
            <w:pPr>
              <w:pStyle w:val="TableText"/>
            </w:pPr>
            <w:r w:rsidRPr="00CD29D0">
              <w:t>Grades 6-8</w:t>
            </w:r>
          </w:p>
        </w:tc>
        <w:tc>
          <w:tcPr>
            <w:tcW w:w="874" w:type="dxa"/>
          </w:tcPr>
          <w:p w14:paraId="261CF467" w14:textId="77777777" w:rsidR="00405424" w:rsidRPr="00CD29D0" w:rsidRDefault="00405424" w:rsidP="0059418B">
            <w:pPr>
              <w:pStyle w:val="TableTextCentered"/>
            </w:pPr>
            <w:r w:rsidRPr="00CD29D0">
              <w:t>0</w:t>
            </w:r>
          </w:p>
        </w:tc>
        <w:tc>
          <w:tcPr>
            <w:tcW w:w="874" w:type="dxa"/>
          </w:tcPr>
          <w:p w14:paraId="3FD8E6E3" w14:textId="77777777" w:rsidR="00405424" w:rsidRPr="00CD29D0" w:rsidRDefault="00405424" w:rsidP="0059418B">
            <w:pPr>
              <w:pStyle w:val="TableTextCentered"/>
            </w:pPr>
            <w:r w:rsidRPr="00CD29D0">
              <w:t>0</w:t>
            </w:r>
          </w:p>
        </w:tc>
        <w:tc>
          <w:tcPr>
            <w:tcW w:w="874" w:type="dxa"/>
          </w:tcPr>
          <w:p w14:paraId="7F1E79A3" w14:textId="77777777" w:rsidR="00405424" w:rsidRPr="00CD29D0" w:rsidRDefault="00405424" w:rsidP="0059418B">
            <w:pPr>
              <w:pStyle w:val="TableTextCentered"/>
            </w:pPr>
            <w:r w:rsidRPr="00CD29D0">
              <w:t>0</w:t>
            </w:r>
          </w:p>
        </w:tc>
        <w:tc>
          <w:tcPr>
            <w:tcW w:w="875" w:type="dxa"/>
          </w:tcPr>
          <w:p w14:paraId="4F2D66FD" w14:textId="77777777" w:rsidR="00405424" w:rsidRPr="00CD29D0" w:rsidRDefault="00405424" w:rsidP="0059418B">
            <w:pPr>
              <w:pStyle w:val="TableTextCentered"/>
            </w:pPr>
            <w:r w:rsidRPr="00CD29D0">
              <w:t>1</w:t>
            </w:r>
          </w:p>
        </w:tc>
        <w:tc>
          <w:tcPr>
            <w:tcW w:w="875" w:type="dxa"/>
          </w:tcPr>
          <w:p w14:paraId="1BD4CCA8" w14:textId="77777777" w:rsidR="00405424" w:rsidRPr="00CD29D0" w:rsidRDefault="00405424" w:rsidP="0059418B">
            <w:pPr>
              <w:pStyle w:val="TableTextCentered"/>
            </w:pPr>
            <w:r w:rsidRPr="00CD29D0">
              <w:t>2</w:t>
            </w:r>
          </w:p>
        </w:tc>
        <w:tc>
          <w:tcPr>
            <w:tcW w:w="874" w:type="dxa"/>
          </w:tcPr>
          <w:p w14:paraId="4DBC0D37" w14:textId="77777777" w:rsidR="00405424" w:rsidRPr="00CD29D0" w:rsidRDefault="00405424" w:rsidP="0059418B">
            <w:pPr>
              <w:pStyle w:val="TableTextCentered"/>
            </w:pPr>
            <w:r w:rsidRPr="00CD29D0">
              <w:t>2</w:t>
            </w:r>
          </w:p>
        </w:tc>
        <w:tc>
          <w:tcPr>
            <w:tcW w:w="875" w:type="dxa"/>
          </w:tcPr>
          <w:p w14:paraId="4253DC0F" w14:textId="77777777" w:rsidR="00405424" w:rsidRPr="00CD29D0" w:rsidRDefault="00405424" w:rsidP="0059418B">
            <w:pPr>
              <w:pStyle w:val="TableTextCentered"/>
            </w:pPr>
            <w:r w:rsidRPr="00CD29D0">
              <w:t>15</w:t>
            </w:r>
          </w:p>
        </w:tc>
        <w:tc>
          <w:tcPr>
            <w:tcW w:w="900" w:type="dxa"/>
          </w:tcPr>
          <w:p w14:paraId="262E0690" w14:textId="77777777" w:rsidR="00405424" w:rsidRPr="00CD29D0" w:rsidRDefault="00405424" w:rsidP="0059418B">
            <w:pPr>
              <w:pStyle w:val="TableTextCentered"/>
            </w:pPr>
            <w:r w:rsidRPr="00CD29D0">
              <w:t>20</w:t>
            </w:r>
          </w:p>
        </w:tc>
        <w:tc>
          <w:tcPr>
            <w:tcW w:w="892" w:type="dxa"/>
          </w:tcPr>
          <w:p w14:paraId="4EBE975B" w14:textId="77777777" w:rsidR="00405424" w:rsidRPr="00CD29D0" w:rsidRDefault="00405424" w:rsidP="0059418B">
            <w:pPr>
              <w:pStyle w:val="TableTextCentered"/>
            </w:pPr>
            <w:r w:rsidRPr="00CD29D0">
              <w:t>6.6</w:t>
            </w:r>
          </w:p>
        </w:tc>
      </w:tr>
      <w:tr w:rsidR="00405424" w:rsidRPr="00CD29D0" w14:paraId="77C80E2A" w14:textId="77777777" w:rsidTr="0059418B">
        <w:trPr>
          <w:cnfStyle w:val="000000100000" w:firstRow="0" w:lastRow="0" w:firstColumn="0" w:lastColumn="0" w:oddVBand="0" w:evenVBand="0" w:oddHBand="1" w:evenHBand="0" w:firstRowFirstColumn="0" w:firstRowLastColumn="0" w:lastRowFirstColumn="0" w:lastRowLastColumn="0"/>
        </w:trPr>
        <w:tc>
          <w:tcPr>
            <w:tcW w:w="1431" w:type="dxa"/>
          </w:tcPr>
          <w:p w14:paraId="1544797F" w14:textId="77777777" w:rsidR="00405424" w:rsidRPr="00CD29D0" w:rsidRDefault="00405424" w:rsidP="0059418B">
            <w:pPr>
              <w:pStyle w:val="TableText"/>
            </w:pPr>
            <w:r w:rsidRPr="00CD29D0">
              <w:t>Grades 9-12</w:t>
            </w:r>
          </w:p>
        </w:tc>
        <w:tc>
          <w:tcPr>
            <w:tcW w:w="874" w:type="dxa"/>
          </w:tcPr>
          <w:p w14:paraId="7EF5B362" w14:textId="77777777" w:rsidR="00405424" w:rsidRPr="00CD29D0" w:rsidRDefault="00405424" w:rsidP="0059418B">
            <w:pPr>
              <w:pStyle w:val="TableTextCentered"/>
            </w:pPr>
            <w:r w:rsidRPr="00CD29D0">
              <w:t>0</w:t>
            </w:r>
          </w:p>
        </w:tc>
        <w:tc>
          <w:tcPr>
            <w:tcW w:w="874" w:type="dxa"/>
          </w:tcPr>
          <w:p w14:paraId="32EFAF6D" w14:textId="77777777" w:rsidR="00405424" w:rsidRPr="00CD29D0" w:rsidRDefault="00405424" w:rsidP="0059418B">
            <w:pPr>
              <w:pStyle w:val="TableTextCentered"/>
            </w:pPr>
            <w:r w:rsidRPr="00CD29D0">
              <w:t>0</w:t>
            </w:r>
          </w:p>
        </w:tc>
        <w:tc>
          <w:tcPr>
            <w:tcW w:w="874" w:type="dxa"/>
          </w:tcPr>
          <w:p w14:paraId="3029AB5C" w14:textId="77777777" w:rsidR="00405424" w:rsidRPr="00CD29D0" w:rsidRDefault="00405424" w:rsidP="0059418B">
            <w:pPr>
              <w:pStyle w:val="TableTextCentered"/>
            </w:pPr>
            <w:r w:rsidRPr="00CD29D0">
              <w:t>0</w:t>
            </w:r>
          </w:p>
        </w:tc>
        <w:tc>
          <w:tcPr>
            <w:tcW w:w="875" w:type="dxa"/>
          </w:tcPr>
          <w:p w14:paraId="499FBC31" w14:textId="77777777" w:rsidR="00405424" w:rsidRPr="00CD29D0" w:rsidRDefault="00405424" w:rsidP="0059418B">
            <w:pPr>
              <w:pStyle w:val="TableTextCentered"/>
            </w:pPr>
            <w:r w:rsidRPr="00CD29D0">
              <w:t>1</w:t>
            </w:r>
          </w:p>
        </w:tc>
        <w:tc>
          <w:tcPr>
            <w:tcW w:w="875" w:type="dxa"/>
          </w:tcPr>
          <w:p w14:paraId="1003807E" w14:textId="77777777" w:rsidR="00405424" w:rsidRPr="00CD29D0" w:rsidRDefault="00405424" w:rsidP="0059418B">
            <w:pPr>
              <w:pStyle w:val="TableTextCentered"/>
            </w:pPr>
            <w:r w:rsidRPr="00CD29D0">
              <w:t>2</w:t>
            </w:r>
          </w:p>
        </w:tc>
        <w:tc>
          <w:tcPr>
            <w:tcW w:w="874" w:type="dxa"/>
          </w:tcPr>
          <w:p w14:paraId="71650955" w14:textId="77777777" w:rsidR="00405424" w:rsidRPr="00CD29D0" w:rsidRDefault="00405424" w:rsidP="0059418B">
            <w:pPr>
              <w:pStyle w:val="TableTextCentered"/>
            </w:pPr>
            <w:r w:rsidRPr="00CD29D0">
              <w:t>8</w:t>
            </w:r>
          </w:p>
        </w:tc>
        <w:tc>
          <w:tcPr>
            <w:tcW w:w="875" w:type="dxa"/>
          </w:tcPr>
          <w:p w14:paraId="4C23FE7C" w14:textId="77777777" w:rsidR="00405424" w:rsidRPr="00CD29D0" w:rsidRDefault="00405424" w:rsidP="0059418B">
            <w:pPr>
              <w:pStyle w:val="TableTextCentered"/>
            </w:pPr>
            <w:r w:rsidRPr="00CD29D0">
              <w:t>9</w:t>
            </w:r>
          </w:p>
        </w:tc>
        <w:tc>
          <w:tcPr>
            <w:tcW w:w="900" w:type="dxa"/>
          </w:tcPr>
          <w:p w14:paraId="1BE6B796" w14:textId="77777777" w:rsidR="00405424" w:rsidRPr="00CD29D0" w:rsidRDefault="00405424" w:rsidP="0059418B">
            <w:pPr>
              <w:pStyle w:val="TableTextCentered"/>
            </w:pPr>
            <w:r w:rsidRPr="00CD29D0">
              <w:t>20</w:t>
            </w:r>
          </w:p>
        </w:tc>
        <w:tc>
          <w:tcPr>
            <w:tcW w:w="892" w:type="dxa"/>
          </w:tcPr>
          <w:p w14:paraId="7D1DB57A" w14:textId="77777777" w:rsidR="00405424" w:rsidRPr="00CD29D0" w:rsidRDefault="00405424" w:rsidP="0059418B">
            <w:pPr>
              <w:pStyle w:val="TableTextCentered"/>
            </w:pPr>
            <w:r w:rsidRPr="00CD29D0">
              <w:t>6.3</w:t>
            </w:r>
          </w:p>
        </w:tc>
      </w:tr>
      <w:tr w:rsidR="00405424" w:rsidRPr="00CD29D0" w14:paraId="0431A2C3" w14:textId="77777777" w:rsidTr="0059418B">
        <w:tc>
          <w:tcPr>
            <w:tcW w:w="1431" w:type="dxa"/>
          </w:tcPr>
          <w:p w14:paraId="50D46368" w14:textId="77777777" w:rsidR="00405424" w:rsidRPr="00CD29D0" w:rsidRDefault="00405424" w:rsidP="0059418B">
            <w:pPr>
              <w:pStyle w:val="TableText"/>
              <w:rPr>
                <w:b/>
                <w:bCs/>
              </w:rPr>
            </w:pPr>
            <w:r w:rsidRPr="00CD29D0">
              <w:rPr>
                <w:b/>
                <w:bCs/>
              </w:rPr>
              <w:t>Totals</w:t>
            </w:r>
          </w:p>
        </w:tc>
        <w:tc>
          <w:tcPr>
            <w:tcW w:w="874" w:type="dxa"/>
          </w:tcPr>
          <w:p w14:paraId="7EF67A3F" w14:textId="77777777" w:rsidR="00405424" w:rsidRPr="00CD29D0" w:rsidRDefault="00405424" w:rsidP="0059418B">
            <w:pPr>
              <w:pStyle w:val="TableTextCentered"/>
              <w:rPr>
                <w:b/>
                <w:bCs/>
              </w:rPr>
            </w:pPr>
            <w:r w:rsidRPr="00CD29D0">
              <w:rPr>
                <w:b/>
                <w:bCs/>
              </w:rPr>
              <w:t>0</w:t>
            </w:r>
          </w:p>
        </w:tc>
        <w:tc>
          <w:tcPr>
            <w:tcW w:w="874" w:type="dxa"/>
          </w:tcPr>
          <w:p w14:paraId="50BCD18D" w14:textId="77777777" w:rsidR="00405424" w:rsidRPr="00CD29D0" w:rsidRDefault="00405424" w:rsidP="0059418B">
            <w:pPr>
              <w:pStyle w:val="TableTextCentered"/>
              <w:rPr>
                <w:b/>
                <w:bCs/>
              </w:rPr>
            </w:pPr>
            <w:r w:rsidRPr="00CD29D0">
              <w:rPr>
                <w:b/>
                <w:bCs/>
              </w:rPr>
              <w:t>0</w:t>
            </w:r>
          </w:p>
        </w:tc>
        <w:tc>
          <w:tcPr>
            <w:tcW w:w="874" w:type="dxa"/>
          </w:tcPr>
          <w:p w14:paraId="76BFE210" w14:textId="77777777" w:rsidR="00405424" w:rsidRPr="00CD29D0" w:rsidRDefault="00405424" w:rsidP="0059418B">
            <w:pPr>
              <w:pStyle w:val="TableTextCentered"/>
              <w:rPr>
                <w:b/>
                <w:bCs/>
              </w:rPr>
            </w:pPr>
            <w:r w:rsidRPr="00CD29D0">
              <w:rPr>
                <w:b/>
                <w:bCs/>
              </w:rPr>
              <w:t>0</w:t>
            </w:r>
          </w:p>
        </w:tc>
        <w:tc>
          <w:tcPr>
            <w:tcW w:w="875" w:type="dxa"/>
          </w:tcPr>
          <w:p w14:paraId="3A5089D5" w14:textId="77777777" w:rsidR="00405424" w:rsidRPr="00CD29D0" w:rsidRDefault="00405424" w:rsidP="0059418B">
            <w:pPr>
              <w:pStyle w:val="TableTextCentered"/>
              <w:rPr>
                <w:b/>
                <w:bCs/>
              </w:rPr>
            </w:pPr>
            <w:r w:rsidRPr="00CD29D0">
              <w:rPr>
                <w:b/>
                <w:bCs/>
              </w:rPr>
              <w:t>4</w:t>
            </w:r>
          </w:p>
        </w:tc>
        <w:tc>
          <w:tcPr>
            <w:tcW w:w="875" w:type="dxa"/>
          </w:tcPr>
          <w:p w14:paraId="3EC47A55" w14:textId="77777777" w:rsidR="00405424" w:rsidRPr="00CD29D0" w:rsidRDefault="00405424" w:rsidP="0059418B">
            <w:pPr>
              <w:pStyle w:val="TableTextCentered"/>
              <w:rPr>
                <w:b/>
                <w:bCs/>
              </w:rPr>
            </w:pPr>
            <w:r w:rsidRPr="00CD29D0">
              <w:rPr>
                <w:b/>
                <w:bCs/>
              </w:rPr>
              <w:t>7</w:t>
            </w:r>
          </w:p>
        </w:tc>
        <w:tc>
          <w:tcPr>
            <w:tcW w:w="874" w:type="dxa"/>
          </w:tcPr>
          <w:p w14:paraId="1295F370" w14:textId="77777777" w:rsidR="00405424" w:rsidRPr="00CD29D0" w:rsidRDefault="00405424" w:rsidP="0059418B">
            <w:pPr>
              <w:pStyle w:val="TableTextCentered"/>
              <w:rPr>
                <w:b/>
                <w:bCs/>
              </w:rPr>
            </w:pPr>
            <w:r w:rsidRPr="00CD29D0">
              <w:rPr>
                <w:b/>
                <w:bCs/>
              </w:rPr>
              <w:t>22</w:t>
            </w:r>
          </w:p>
        </w:tc>
        <w:tc>
          <w:tcPr>
            <w:tcW w:w="875" w:type="dxa"/>
          </w:tcPr>
          <w:p w14:paraId="1DA8BA06" w14:textId="77777777" w:rsidR="00405424" w:rsidRPr="00CD29D0" w:rsidRDefault="00405424" w:rsidP="0059418B">
            <w:pPr>
              <w:pStyle w:val="TableTextCentered"/>
              <w:rPr>
                <w:b/>
                <w:bCs/>
              </w:rPr>
            </w:pPr>
            <w:r w:rsidRPr="00CD29D0">
              <w:rPr>
                <w:b/>
                <w:bCs/>
              </w:rPr>
              <w:t>40</w:t>
            </w:r>
          </w:p>
        </w:tc>
        <w:tc>
          <w:tcPr>
            <w:tcW w:w="900" w:type="dxa"/>
          </w:tcPr>
          <w:p w14:paraId="6CF543B4" w14:textId="77777777" w:rsidR="00405424" w:rsidRPr="00CD29D0" w:rsidRDefault="00405424" w:rsidP="0059418B">
            <w:pPr>
              <w:pStyle w:val="TableTextCentered"/>
              <w:rPr>
                <w:b/>
                <w:bCs/>
              </w:rPr>
            </w:pPr>
            <w:r w:rsidRPr="00CD29D0">
              <w:rPr>
                <w:b/>
                <w:bCs/>
              </w:rPr>
              <w:t>73</w:t>
            </w:r>
          </w:p>
        </w:tc>
        <w:tc>
          <w:tcPr>
            <w:tcW w:w="892" w:type="dxa"/>
          </w:tcPr>
          <w:p w14:paraId="18335431" w14:textId="77777777" w:rsidR="00405424" w:rsidRPr="00CD29D0" w:rsidRDefault="00405424" w:rsidP="0059418B">
            <w:pPr>
              <w:pStyle w:val="TableTextCentered"/>
              <w:rPr>
                <w:b/>
                <w:bCs/>
              </w:rPr>
            </w:pPr>
            <w:r w:rsidRPr="00CD29D0">
              <w:rPr>
                <w:b/>
                <w:bCs/>
              </w:rPr>
              <w:t>6.3</w:t>
            </w:r>
          </w:p>
        </w:tc>
      </w:tr>
    </w:tbl>
    <w:bookmarkEnd w:id="117"/>
    <w:p w14:paraId="7F3DC6D6" w14:textId="2B7360FA" w:rsidR="00405424" w:rsidRPr="00CD29D0" w:rsidRDefault="00405424" w:rsidP="0059418B">
      <w:pPr>
        <w:pStyle w:val="TableNote"/>
      </w:pPr>
      <w:r w:rsidRPr="00CD29D0">
        <w:t xml:space="preserve">*The district average is an average of the observation scores. In Table 7, the district average is computed as: </w:t>
      </w:r>
      <w:bookmarkStart w:id="118" w:name="Dist_BM_Calc"/>
      <w:r w:rsidRPr="00CD29D0">
        <w:t>([4 x 4] + [5 x 7] + [6 x 22] + [7 x 40]) ÷ 73 observations = 6.3</w:t>
      </w:r>
      <w:bookmarkEnd w:id="118"/>
    </w:p>
    <w:p w14:paraId="00020232" w14:textId="42A412D6" w:rsidR="00405424" w:rsidRPr="00CD29D0" w:rsidRDefault="00405424" w:rsidP="0059418B">
      <w:pPr>
        <w:pStyle w:val="BodyText"/>
      </w:pPr>
      <w:r w:rsidRPr="00CD29D0">
        <w:rPr>
          <w:rStyle w:val="BodyTextDemiChar"/>
        </w:rPr>
        <w:t>Ratings in the Low Range.</w:t>
      </w:r>
      <w:r w:rsidRPr="00CD29D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681AF4C7" w14:textId="77777777" w:rsidR="00405424" w:rsidRPr="00CD29D0" w:rsidRDefault="00405424" w:rsidP="0059418B">
      <w:pPr>
        <w:pStyle w:val="BodyTextposthead"/>
      </w:pPr>
      <w:r w:rsidRPr="00CD29D0">
        <w:rPr>
          <w:rStyle w:val="BodyTextDemiChar"/>
        </w:rPr>
        <w:t>Ratings in the Middle Range.</w:t>
      </w:r>
      <w:r w:rsidRPr="00CD29D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03DA292B" w14:textId="67DA7414" w:rsidR="00405424" w:rsidRPr="00CD29D0" w:rsidRDefault="00405424" w:rsidP="0059418B">
      <w:pPr>
        <w:pStyle w:val="BodyTextposthead"/>
      </w:pPr>
      <w:r w:rsidRPr="00CD29D0">
        <w:rPr>
          <w:rStyle w:val="BodyTextDemiChar"/>
        </w:rPr>
        <w:t>Ratings in the High Range.</w:t>
      </w:r>
      <w:r w:rsidRPr="00CD29D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rsidRPr="00CD29D0">
        <w:br w:type="page"/>
      </w:r>
    </w:p>
    <w:p w14:paraId="6369F69D" w14:textId="77777777" w:rsidR="00405424" w:rsidRPr="00CD29D0" w:rsidRDefault="00405424" w:rsidP="00272891">
      <w:pPr>
        <w:pStyle w:val="DIORDimensions"/>
      </w:pPr>
      <w:bookmarkStart w:id="119" w:name="_Toc411329831"/>
      <w:bookmarkStart w:id="120" w:name="_Toc430114880"/>
      <w:bookmarkStart w:id="121" w:name="_Toc227587567"/>
      <w:r w:rsidRPr="00CD29D0">
        <w:lastRenderedPageBreak/>
        <w:t>Productivity</w:t>
      </w:r>
      <w:bookmarkEnd w:id="119"/>
      <w:bookmarkEnd w:id="120"/>
      <w:bookmarkEnd w:id="121"/>
    </w:p>
    <w:p w14:paraId="7326D460" w14:textId="77777777" w:rsidR="00405424" w:rsidRPr="00CD29D0" w:rsidRDefault="00405424" w:rsidP="0059418B">
      <w:pPr>
        <w:pStyle w:val="BodyTextDomain"/>
      </w:pPr>
      <w:r w:rsidRPr="00CD29D0">
        <w:t>Classroom Organization domain, Grades PK−12</w:t>
      </w:r>
    </w:p>
    <w:p w14:paraId="33AE63EE" w14:textId="188F086E" w:rsidR="00405424" w:rsidRPr="00CD29D0" w:rsidRDefault="00405424" w:rsidP="00845803">
      <w:pPr>
        <w:pStyle w:val="BodyTextposthead"/>
      </w:pPr>
      <w:r w:rsidRPr="00CD29D0">
        <w:t>Productivity considers how well the teacher manages instructional time and routines and provides activities for students so that they have the opportunity to be involved in learning activities (</w:t>
      </w:r>
      <w:r w:rsidRPr="00CD29D0">
        <w:rPr>
          <w:i/>
        </w:rPr>
        <w:t>CLASS PK–3 Manual,</w:t>
      </w:r>
      <w:r w:rsidRPr="00CD29D0">
        <w:t xml:space="preserve"> p. 51, </w:t>
      </w:r>
      <w:r w:rsidRPr="00CD29D0">
        <w:rPr>
          <w:i/>
        </w:rPr>
        <w:t xml:space="preserve">CLASS Upper Elementary Manual, </w:t>
      </w:r>
      <w:r w:rsidRPr="00CD29D0">
        <w:t xml:space="preserve">p. 49, </w:t>
      </w:r>
      <w:r w:rsidRPr="00CD29D0">
        <w:rPr>
          <w:i/>
        </w:rPr>
        <w:t>CLASS Secondary Manual</w:t>
      </w:r>
      <w:r w:rsidRPr="00CD29D0">
        <w:t>, p. 49).</w:t>
      </w:r>
    </w:p>
    <w:p w14:paraId="443C8172" w14:textId="77777777" w:rsidR="00405424" w:rsidRPr="00CD29D0" w:rsidRDefault="00405424" w:rsidP="00845803">
      <w:pPr>
        <w:pStyle w:val="TableTitle0"/>
      </w:pPr>
      <w:r w:rsidRPr="00CD29D0">
        <w:t>Table 8. Productivity: Number of Classrooms for Each Rating and District Average</w:t>
      </w:r>
    </w:p>
    <w:p w14:paraId="603EC00A" w14:textId="77777777" w:rsidR="00405424" w:rsidRPr="00CD29D0" w:rsidRDefault="00405424" w:rsidP="00845803">
      <w:pPr>
        <w:pStyle w:val="BodyTextDemi"/>
      </w:pPr>
      <w:r w:rsidRPr="00CD29D0">
        <w:t xml:space="preserve">Productivity District Average*: </w:t>
      </w:r>
      <w:bookmarkStart w:id="122" w:name="Dist_PD_Avg"/>
      <w:r w:rsidRPr="00CD29D0">
        <w:t>6.7</w:t>
      </w:r>
      <w:bookmarkEnd w:id="122"/>
    </w:p>
    <w:tbl>
      <w:tblPr>
        <w:tblStyle w:val="MSVTable1"/>
        <w:tblW w:w="5000" w:type="pct"/>
        <w:tblLook w:val="04A0" w:firstRow="1" w:lastRow="0" w:firstColumn="1" w:lastColumn="0" w:noHBand="0" w:noVBand="1"/>
        <w:tblCaption w:val="Table 8. Productivity: Number of Classrooms for Each Rating and District Average"/>
        <w:tblDescription w:val="Productivity: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3777D7F0" w14:textId="77777777" w:rsidTr="00845803">
        <w:trPr>
          <w:cnfStyle w:val="100000000000" w:firstRow="1" w:lastRow="0" w:firstColumn="0" w:lastColumn="0" w:oddVBand="0" w:evenVBand="0" w:oddHBand="0" w:evenHBand="0" w:firstRowFirstColumn="0" w:firstRowLastColumn="0" w:lastRowFirstColumn="0" w:lastRowLastColumn="0"/>
          <w:tblHeader/>
        </w:trPr>
        <w:tc>
          <w:tcPr>
            <w:tcW w:w="1431" w:type="dxa"/>
          </w:tcPr>
          <w:p w14:paraId="625A205D" w14:textId="77777777" w:rsidR="00405424" w:rsidRPr="00CD29D0" w:rsidRDefault="00405424" w:rsidP="00845803">
            <w:pPr>
              <w:pStyle w:val="TableColHeadingCenter"/>
            </w:pPr>
            <w:bookmarkStart w:id="123" w:name="Tbl_PD"/>
            <w:r w:rsidRPr="00CD29D0">
              <w:t>Grade Band</w:t>
            </w:r>
          </w:p>
        </w:tc>
        <w:tc>
          <w:tcPr>
            <w:tcW w:w="874" w:type="dxa"/>
          </w:tcPr>
          <w:p w14:paraId="36987CBB" w14:textId="77777777" w:rsidR="00405424" w:rsidRPr="00CD29D0" w:rsidRDefault="00405424" w:rsidP="00845803">
            <w:pPr>
              <w:pStyle w:val="TableColHeadingCenter"/>
            </w:pPr>
            <w:r w:rsidRPr="00CD29D0">
              <w:t>Low Range (1)</w:t>
            </w:r>
          </w:p>
        </w:tc>
        <w:tc>
          <w:tcPr>
            <w:tcW w:w="874" w:type="dxa"/>
          </w:tcPr>
          <w:p w14:paraId="12F5EFD2" w14:textId="77777777" w:rsidR="00405424" w:rsidRPr="00CD29D0" w:rsidRDefault="00405424" w:rsidP="00845803">
            <w:pPr>
              <w:pStyle w:val="TableColHeadingCenter"/>
            </w:pPr>
            <w:r w:rsidRPr="00CD29D0">
              <w:t>Low Range (2)</w:t>
            </w:r>
          </w:p>
        </w:tc>
        <w:tc>
          <w:tcPr>
            <w:tcW w:w="874" w:type="dxa"/>
          </w:tcPr>
          <w:p w14:paraId="7FFE159D" w14:textId="77777777" w:rsidR="00405424" w:rsidRPr="00CD29D0" w:rsidRDefault="00405424" w:rsidP="00845803">
            <w:pPr>
              <w:pStyle w:val="TableColHeadingCenter"/>
            </w:pPr>
            <w:r w:rsidRPr="00CD29D0">
              <w:t>Middle Range (3)</w:t>
            </w:r>
          </w:p>
        </w:tc>
        <w:tc>
          <w:tcPr>
            <w:tcW w:w="875" w:type="dxa"/>
          </w:tcPr>
          <w:p w14:paraId="51902F6E" w14:textId="77777777" w:rsidR="00405424" w:rsidRPr="00CD29D0" w:rsidRDefault="00405424" w:rsidP="00845803">
            <w:pPr>
              <w:pStyle w:val="TableColHeadingCenter"/>
            </w:pPr>
            <w:r w:rsidRPr="00CD29D0">
              <w:t>Middle Range (4)</w:t>
            </w:r>
          </w:p>
        </w:tc>
        <w:tc>
          <w:tcPr>
            <w:tcW w:w="875" w:type="dxa"/>
          </w:tcPr>
          <w:p w14:paraId="2378717E" w14:textId="77777777" w:rsidR="00405424" w:rsidRPr="00CD29D0" w:rsidRDefault="00405424" w:rsidP="00845803">
            <w:pPr>
              <w:pStyle w:val="TableColHeadingCenter"/>
            </w:pPr>
            <w:r w:rsidRPr="00CD29D0">
              <w:t>Middle Range (5)</w:t>
            </w:r>
          </w:p>
        </w:tc>
        <w:tc>
          <w:tcPr>
            <w:tcW w:w="874" w:type="dxa"/>
          </w:tcPr>
          <w:p w14:paraId="5EA6C324" w14:textId="77777777" w:rsidR="00405424" w:rsidRPr="00CD29D0" w:rsidRDefault="00405424" w:rsidP="00845803">
            <w:pPr>
              <w:pStyle w:val="TableColHeadingCenter"/>
            </w:pPr>
            <w:r w:rsidRPr="00CD29D0">
              <w:t>High Range (6)</w:t>
            </w:r>
          </w:p>
        </w:tc>
        <w:tc>
          <w:tcPr>
            <w:tcW w:w="875" w:type="dxa"/>
          </w:tcPr>
          <w:p w14:paraId="3E992A26" w14:textId="77777777" w:rsidR="00405424" w:rsidRPr="00CD29D0" w:rsidRDefault="00405424" w:rsidP="00845803">
            <w:pPr>
              <w:pStyle w:val="TableColHeadingCenter"/>
            </w:pPr>
            <w:r w:rsidRPr="00CD29D0">
              <w:t>High Range (7)</w:t>
            </w:r>
          </w:p>
        </w:tc>
        <w:tc>
          <w:tcPr>
            <w:tcW w:w="900" w:type="dxa"/>
          </w:tcPr>
          <w:p w14:paraId="14F2C721" w14:textId="77777777" w:rsidR="00405424" w:rsidRPr="00CD29D0" w:rsidRDefault="00405424" w:rsidP="00845803">
            <w:pPr>
              <w:pStyle w:val="TableColHeadingCenter"/>
            </w:pPr>
            <w:r w:rsidRPr="00CD29D0">
              <w:t>n</w:t>
            </w:r>
          </w:p>
        </w:tc>
        <w:tc>
          <w:tcPr>
            <w:tcW w:w="892" w:type="dxa"/>
          </w:tcPr>
          <w:p w14:paraId="40CDEFDD" w14:textId="77777777" w:rsidR="00405424" w:rsidRPr="00CD29D0" w:rsidRDefault="00405424" w:rsidP="00845803">
            <w:pPr>
              <w:pStyle w:val="TableColHeadingCenter"/>
            </w:pPr>
            <w:r w:rsidRPr="00CD29D0">
              <w:t>Average</w:t>
            </w:r>
          </w:p>
        </w:tc>
      </w:tr>
      <w:tr w:rsidR="00405424" w:rsidRPr="00CD29D0" w14:paraId="37D2E323" w14:textId="77777777" w:rsidTr="00845803">
        <w:trPr>
          <w:cnfStyle w:val="000000100000" w:firstRow="0" w:lastRow="0" w:firstColumn="0" w:lastColumn="0" w:oddVBand="0" w:evenVBand="0" w:oddHBand="1" w:evenHBand="0" w:firstRowFirstColumn="0" w:firstRowLastColumn="0" w:lastRowFirstColumn="0" w:lastRowLastColumn="0"/>
        </w:trPr>
        <w:tc>
          <w:tcPr>
            <w:tcW w:w="1431" w:type="dxa"/>
          </w:tcPr>
          <w:p w14:paraId="0BA3E630" w14:textId="77777777" w:rsidR="00405424" w:rsidRPr="00CD29D0" w:rsidRDefault="00405424" w:rsidP="00845803">
            <w:pPr>
              <w:pStyle w:val="TableText"/>
            </w:pPr>
            <w:r w:rsidRPr="00CD29D0">
              <w:t>Grades PK-5</w:t>
            </w:r>
          </w:p>
        </w:tc>
        <w:tc>
          <w:tcPr>
            <w:tcW w:w="874" w:type="dxa"/>
          </w:tcPr>
          <w:p w14:paraId="29C2644E" w14:textId="77777777" w:rsidR="00405424" w:rsidRPr="00CD29D0" w:rsidRDefault="00405424" w:rsidP="00845803">
            <w:pPr>
              <w:pStyle w:val="TableTextCentered"/>
            </w:pPr>
            <w:r w:rsidRPr="00CD29D0">
              <w:t>0</w:t>
            </w:r>
          </w:p>
        </w:tc>
        <w:tc>
          <w:tcPr>
            <w:tcW w:w="874" w:type="dxa"/>
          </w:tcPr>
          <w:p w14:paraId="218EC5E6" w14:textId="77777777" w:rsidR="00405424" w:rsidRPr="00CD29D0" w:rsidRDefault="00405424" w:rsidP="00845803">
            <w:pPr>
              <w:pStyle w:val="TableTextCentered"/>
            </w:pPr>
            <w:r w:rsidRPr="00CD29D0">
              <w:t>0</w:t>
            </w:r>
          </w:p>
        </w:tc>
        <w:tc>
          <w:tcPr>
            <w:tcW w:w="874" w:type="dxa"/>
          </w:tcPr>
          <w:p w14:paraId="7D4ADFEB" w14:textId="77777777" w:rsidR="00405424" w:rsidRPr="00CD29D0" w:rsidRDefault="00405424" w:rsidP="00845803">
            <w:pPr>
              <w:pStyle w:val="TableTextCentered"/>
            </w:pPr>
            <w:r w:rsidRPr="00CD29D0">
              <w:t>0</w:t>
            </w:r>
          </w:p>
        </w:tc>
        <w:tc>
          <w:tcPr>
            <w:tcW w:w="875" w:type="dxa"/>
          </w:tcPr>
          <w:p w14:paraId="3C7D32A2" w14:textId="77777777" w:rsidR="00405424" w:rsidRPr="00CD29D0" w:rsidRDefault="00405424" w:rsidP="00845803">
            <w:pPr>
              <w:pStyle w:val="TableTextCentered"/>
            </w:pPr>
            <w:r w:rsidRPr="00CD29D0">
              <w:t>0</w:t>
            </w:r>
          </w:p>
        </w:tc>
        <w:tc>
          <w:tcPr>
            <w:tcW w:w="875" w:type="dxa"/>
          </w:tcPr>
          <w:p w14:paraId="2A0C38DC" w14:textId="77777777" w:rsidR="00405424" w:rsidRPr="00CD29D0" w:rsidRDefault="00405424" w:rsidP="00845803">
            <w:pPr>
              <w:pStyle w:val="TableTextCentered"/>
            </w:pPr>
            <w:r w:rsidRPr="00CD29D0">
              <w:t>1</w:t>
            </w:r>
          </w:p>
        </w:tc>
        <w:tc>
          <w:tcPr>
            <w:tcW w:w="874" w:type="dxa"/>
          </w:tcPr>
          <w:p w14:paraId="31EE18C1" w14:textId="77777777" w:rsidR="00405424" w:rsidRPr="00CD29D0" w:rsidRDefault="00405424" w:rsidP="00845803">
            <w:pPr>
              <w:pStyle w:val="TableTextCentered"/>
            </w:pPr>
            <w:r w:rsidRPr="00CD29D0">
              <w:t>11</w:t>
            </w:r>
          </w:p>
        </w:tc>
        <w:tc>
          <w:tcPr>
            <w:tcW w:w="875" w:type="dxa"/>
          </w:tcPr>
          <w:p w14:paraId="16386CDF" w14:textId="77777777" w:rsidR="00405424" w:rsidRPr="00CD29D0" w:rsidRDefault="00405424" w:rsidP="00845803">
            <w:pPr>
              <w:pStyle w:val="TableTextCentered"/>
            </w:pPr>
            <w:r w:rsidRPr="00CD29D0">
              <w:t>21</w:t>
            </w:r>
          </w:p>
        </w:tc>
        <w:tc>
          <w:tcPr>
            <w:tcW w:w="900" w:type="dxa"/>
          </w:tcPr>
          <w:p w14:paraId="0DB568CD" w14:textId="77777777" w:rsidR="00405424" w:rsidRPr="00CD29D0" w:rsidRDefault="00405424" w:rsidP="00845803">
            <w:pPr>
              <w:pStyle w:val="TableTextCentered"/>
            </w:pPr>
            <w:r w:rsidRPr="00CD29D0">
              <w:t>33</w:t>
            </w:r>
          </w:p>
        </w:tc>
        <w:tc>
          <w:tcPr>
            <w:tcW w:w="892" w:type="dxa"/>
          </w:tcPr>
          <w:p w14:paraId="03824663" w14:textId="77777777" w:rsidR="00405424" w:rsidRPr="00CD29D0" w:rsidRDefault="00405424" w:rsidP="00845803">
            <w:pPr>
              <w:pStyle w:val="TableTextCentered"/>
            </w:pPr>
            <w:r w:rsidRPr="00CD29D0">
              <w:t>6.6</w:t>
            </w:r>
          </w:p>
        </w:tc>
      </w:tr>
      <w:tr w:rsidR="00405424" w:rsidRPr="00CD29D0" w14:paraId="58628C5C" w14:textId="77777777" w:rsidTr="00845803">
        <w:tc>
          <w:tcPr>
            <w:tcW w:w="1431" w:type="dxa"/>
          </w:tcPr>
          <w:p w14:paraId="30607EC5" w14:textId="77777777" w:rsidR="00405424" w:rsidRPr="00CD29D0" w:rsidRDefault="00405424" w:rsidP="00845803">
            <w:pPr>
              <w:pStyle w:val="TableText"/>
            </w:pPr>
            <w:r w:rsidRPr="00CD29D0">
              <w:t>Grades 6-8</w:t>
            </w:r>
          </w:p>
        </w:tc>
        <w:tc>
          <w:tcPr>
            <w:tcW w:w="874" w:type="dxa"/>
          </w:tcPr>
          <w:p w14:paraId="00EC293B" w14:textId="77777777" w:rsidR="00405424" w:rsidRPr="00CD29D0" w:rsidRDefault="00405424" w:rsidP="00845803">
            <w:pPr>
              <w:pStyle w:val="TableTextCentered"/>
            </w:pPr>
            <w:r w:rsidRPr="00CD29D0">
              <w:t>0</w:t>
            </w:r>
          </w:p>
        </w:tc>
        <w:tc>
          <w:tcPr>
            <w:tcW w:w="874" w:type="dxa"/>
          </w:tcPr>
          <w:p w14:paraId="7EF671DB" w14:textId="77777777" w:rsidR="00405424" w:rsidRPr="00CD29D0" w:rsidRDefault="00405424" w:rsidP="00845803">
            <w:pPr>
              <w:pStyle w:val="TableTextCentered"/>
            </w:pPr>
            <w:r w:rsidRPr="00CD29D0">
              <w:t>0</w:t>
            </w:r>
          </w:p>
        </w:tc>
        <w:tc>
          <w:tcPr>
            <w:tcW w:w="874" w:type="dxa"/>
          </w:tcPr>
          <w:p w14:paraId="4F7ACBF4" w14:textId="77777777" w:rsidR="00405424" w:rsidRPr="00CD29D0" w:rsidRDefault="00405424" w:rsidP="00845803">
            <w:pPr>
              <w:pStyle w:val="TableTextCentered"/>
            </w:pPr>
            <w:r w:rsidRPr="00CD29D0">
              <w:t>0</w:t>
            </w:r>
          </w:p>
        </w:tc>
        <w:tc>
          <w:tcPr>
            <w:tcW w:w="875" w:type="dxa"/>
          </w:tcPr>
          <w:p w14:paraId="34EF3C83" w14:textId="77777777" w:rsidR="00405424" w:rsidRPr="00CD29D0" w:rsidRDefault="00405424" w:rsidP="00845803">
            <w:pPr>
              <w:pStyle w:val="TableTextCentered"/>
            </w:pPr>
            <w:r w:rsidRPr="00CD29D0">
              <w:t>0</w:t>
            </w:r>
          </w:p>
        </w:tc>
        <w:tc>
          <w:tcPr>
            <w:tcW w:w="875" w:type="dxa"/>
          </w:tcPr>
          <w:p w14:paraId="58F14481" w14:textId="77777777" w:rsidR="00405424" w:rsidRPr="00CD29D0" w:rsidRDefault="00405424" w:rsidP="00845803">
            <w:pPr>
              <w:pStyle w:val="TableTextCentered"/>
            </w:pPr>
            <w:r w:rsidRPr="00CD29D0">
              <w:t>0</w:t>
            </w:r>
          </w:p>
        </w:tc>
        <w:tc>
          <w:tcPr>
            <w:tcW w:w="874" w:type="dxa"/>
          </w:tcPr>
          <w:p w14:paraId="3ADDFDAD" w14:textId="77777777" w:rsidR="00405424" w:rsidRPr="00CD29D0" w:rsidRDefault="00405424" w:rsidP="00845803">
            <w:pPr>
              <w:pStyle w:val="TableTextCentered"/>
            </w:pPr>
            <w:r w:rsidRPr="00CD29D0">
              <w:t>2</w:t>
            </w:r>
          </w:p>
        </w:tc>
        <w:tc>
          <w:tcPr>
            <w:tcW w:w="875" w:type="dxa"/>
          </w:tcPr>
          <w:p w14:paraId="7159B681" w14:textId="77777777" w:rsidR="00405424" w:rsidRPr="00CD29D0" w:rsidRDefault="00405424" w:rsidP="00845803">
            <w:pPr>
              <w:pStyle w:val="TableTextCentered"/>
            </w:pPr>
            <w:r w:rsidRPr="00CD29D0">
              <w:t>18</w:t>
            </w:r>
          </w:p>
        </w:tc>
        <w:tc>
          <w:tcPr>
            <w:tcW w:w="900" w:type="dxa"/>
          </w:tcPr>
          <w:p w14:paraId="19BB58D8" w14:textId="77777777" w:rsidR="00405424" w:rsidRPr="00CD29D0" w:rsidRDefault="00405424" w:rsidP="00845803">
            <w:pPr>
              <w:pStyle w:val="TableTextCentered"/>
            </w:pPr>
            <w:r w:rsidRPr="00CD29D0">
              <w:t>20</w:t>
            </w:r>
          </w:p>
        </w:tc>
        <w:tc>
          <w:tcPr>
            <w:tcW w:w="892" w:type="dxa"/>
          </w:tcPr>
          <w:p w14:paraId="434C1230" w14:textId="77777777" w:rsidR="00405424" w:rsidRPr="00CD29D0" w:rsidRDefault="00405424" w:rsidP="00845803">
            <w:pPr>
              <w:pStyle w:val="TableTextCentered"/>
            </w:pPr>
            <w:r w:rsidRPr="00CD29D0">
              <w:t>6.9</w:t>
            </w:r>
          </w:p>
        </w:tc>
      </w:tr>
      <w:tr w:rsidR="00405424" w:rsidRPr="00CD29D0" w14:paraId="651B5D98" w14:textId="77777777" w:rsidTr="00845803">
        <w:trPr>
          <w:cnfStyle w:val="000000100000" w:firstRow="0" w:lastRow="0" w:firstColumn="0" w:lastColumn="0" w:oddVBand="0" w:evenVBand="0" w:oddHBand="1" w:evenHBand="0" w:firstRowFirstColumn="0" w:firstRowLastColumn="0" w:lastRowFirstColumn="0" w:lastRowLastColumn="0"/>
        </w:trPr>
        <w:tc>
          <w:tcPr>
            <w:tcW w:w="1431" w:type="dxa"/>
          </w:tcPr>
          <w:p w14:paraId="57AF85DA" w14:textId="77777777" w:rsidR="00405424" w:rsidRPr="00CD29D0" w:rsidRDefault="00405424" w:rsidP="00845803">
            <w:pPr>
              <w:pStyle w:val="TableText"/>
            </w:pPr>
            <w:r w:rsidRPr="00CD29D0">
              <w:t>Grades 9-12</w:t>
            </w:r>
          </w:p>
        </w:tc>
        <w:tc>
          <w:tcPr>
            <w:tcW w:w="874" w:type="dxa"/>
          </w:tcPr>
          <w:p w14:paraId="03AEF3A3" w14:textId="77777777" w:rsidR="00405424" w:rsidRPr="00CD29D0" w:rsidRDefault="00405424" w:rsidP="00845803">
            <w:pPr>
              <w:pStyle w:val="TableTextCentered"/>
            </w:pPr>
            <w:r w:rsidRPr="00CD29D0">
              <w:t>0</w:t>
            </w:r>
          </w:p>
        </w:tc>
        <w:tc>
          <w:tcPr>
            <w:tcW w:w="874" w:type="dxa"/>
          </w:tcPr>
          <w:p w14:paraId="69C555DB" w14:textId="77777777" w:rsidR="00405424" w:rsidRPr="00CD29D0" w:rsidRDefault="00405424" w:rsidP="00845803">
            <w:pPr>
              <w:pStyle w:val="TableTextCentered"/>
            </w:pPr>
            <w:r w:rsidRPr="00CD29D0">
              <w:t>0</w:t>
            </w:r>
          </w:p>
        </w:tc>
        <w:tc>
          <w:tcPr>
            <w:tcW w:w="874" w:type="dxa"/>
          </w:tcPr>
          <w:p w14:paraId="527BA1C0" w14:textId="77777777" w:rsidR="00405424" w:rsidRPr="00CD29D0" w:rsidRDefault="00405424" w:rsidP="00845803">
            <w:pPr>
              <w:pStyle w:val="TableTextCentered"/>
            </w:pPr>
            <w:r w:rsidRPr="00CD29D0">
              <w:t>0</w:t>
            </w:r>
          </w:p>
        </w:tc>
        <w:tc>
          <w:tcPr>
            <w:tcW w:w="875" w:type="dxa"/>
          </w:tcPr>
          <w:p w14:paraId="6BF931DE" w14:textId="77777777" w:rsidR="00405424" w:rsidRPr="00CD29D0" w:rsidRDefault="00405424" w:rsidP="00845803">
            <w:pPr>
              <w:pStyle w:val="TableTextCentered"/>
            </w:pPr>
            <w:r w:rsidRPr="00CD29D0">
              <w:t>0</w:t>
            </w:r>
          </w:p>
        </w:tc>
        <w:tc>
          <w:tcPr>
            <w:tcW w:w="875" w:type="dxa"/>
          </w:tcPr>
          <w:p w14:paraId="51FAF9CC" w14:textId="77777777" w:rsidR="00405424" w:rsidRPr="00CD29D0" w:rsidRDefault="00405424" w:rsidP="00845803">
            <w:pPr>
              <w:pStyle w:val="TableTextCentered"/>
            </w:pPr>
            <w:r w:rsidRPr="00CD29D0">
              <w:t>0</w:t>
            </w:r>
          </w:p>
        </w:tc>
        <w:tc>
          <w:tcPr>
            <w:tcW w:w="874" w:type="dxa"/>
          </w:tcPr>
          <w:p w14:paraId="244DF388" w14:textId="77777777" w:rsidR="00405424" w:rsidRPr="00CD29D0" w:rsidRDefault="00405424" w:rsidP="00845803">
            <w:pPr>
              <w:pStyle w:val="TableTextCentered"/>
            </w:pPr>
            <w:r w:rsidRPr="00CD29D0">
              <w:t>10</w:t>
            </w:r>
          </w:p>
        </w:tc>
        <w:tc>
          <w:tcPr>
            <w:tcW w:w="875" w:type="dxa"/>
          </w:tcPr>
          <w:p w14:paraId="5D847BE0" w14:textId="77777777" w:rsidR="00405424" w:rsidRPr="00CD29D0" w:rsidRDefault="00405424" w:rsidP="00845803">
            <w:pPr>
              <w:pStyle w:val="TableTextCentered"/>
            </w:pPr>
            <w:r w:rsidRPr="00CD29D0">
              <w:t>10</w:t>
            </w:r>
          </w:p>
        </w:tc>
        <w:tc>
          <w:tcPr>
            <w:tcW w:w="900" w:type="dxa"/>
          </w:tcPr>
          <w:p w14:paraId="3E91278D" w14:textId="77777777" w:rsidR="00405424" w:rsidRPr="00CD29D0" w:rsidRDefault="00405424" w:rsidP="00845803">
            <w:pPr>
              <w:pStyle w:val="TableTextCentered"/>
            </w:pPr>
            <w:r w:rsidRPr="00CD29D0">
              <w:t>20</w:t>
            </w:r>
          </w:p>
        </w:tc>
        <w:tc>
          <w:tcPr>
            <w:tcW w:w="892" w:type="dxa"/>
          </w:tcPr>
          <w:p w14:paraId="61A72AA1" w14:textId="77777777" w:rsidR="00405424" w:rsidRPr="00CD29D0" w:rsidRDefault="00405424" w:rsidP="00845803">
            <w:pPr>
              <w:pStyle w:val="TableTextCentered"/>
            </w:pPr>
            <w:r w:rsidRPr="00CD29D0">
              <w:t>6.5</w:t>
            </w:r>
          </w:p>
        </w:tc>
      </w:tr>
      <w:tr w:rsidR="00405424" w:rsidRPr="00CD29D0" w14:paraId="6730A0CA" w14:textId="77777777" w:rsidTr="00845803">
        <w:tc>
          <w:tcPr>
            <w:tcW w:w="1431" w:type="dxa"/>
          </w:tcPr>
          <w:p w14:paraId="65E27AC4" w14:textId="77777777" w:rsidR="00405424" w:rsidRPr="00CD29D0" w:rsidRDefault="00405424" w:rsidP="00845803">
            <w:pPr>
              <w:pStyle w:val="TableText"/>
              <w:rPr>
                <w:b/>
                <w:bCs/>
              </w:rPr>
            </w:pPr>
            <w:r w:rsidRPr="00CD29D0">
              <w:rPr>
                <w:b/>
                <w:bCs/>
              </w:rPr>
              <w:t>Totals</w:t>
            </w:r>
          </w:p>
        </w:tc>
        <w:tc>
          <w:tcPr>
            <w:tcW w:w="874" w:type="dxa"/>
          </w:tcPr>
          <w:p w14:paraId="3C8C9648" w14:textId="77777777" w:rsidR="00405424" w:rsidRPr="00CD29D0" w:rsidRDefault="00405424" w:rsidP="00845803">
            <w:pPr>
              <w:pStyle w:val="TableTextCentered"/>
              <w:rPr>
                <w:b/>
                <w:bCs/>
              </w:rPr>
            </w:pPr>
            <w:r w:rsidRPr="00CD29D0">
              <w:rPr>
                <w:b/>
                <w:bCs/>
              </w:rPr>
              <w:t>0</w:t>
            </w:r>
          </w:p>
        </w:tc>
        <w:tc>
          <w:tcPr>
            <w:tcW w:w="874" w:type="dxa"/>
          </w:tcPr>
          <w:p w14:paraId="786E2344" w14:textId="77777777" w:rsidR="00405424" w:rsidRPr="00CD29D0" w:rsidRDefault="00405424" w:rsidP="00845803">
            <w:pPr>
              <w:pStyle w:val="TableTextCentered"/>
              <w:rPr>
                <w:b/>
                <w:bCs/>
              </w:rPr>
            </w:pPr>
            <w:r w:rsidRPr="00CD29D0">
              <w:rPr>
                <w:b/>
                <w:bCs/>
              </w:rPr>
              <w:t>0</w:t>
            </w:r>
          </w:p>
        </w:tc>
        <w:tc>
          <w:tcPr>
            <w:tcW w:w="874" w:type="dxa"/>
          </w:tcPr>
          <w:p w14:paraId="344BE31C" w14:textId="77777777" w:rsidR="00405424" w:rsidRPr="00CD29D0" w:rsidRDefault="00405424" w:rsidP="00845803">
            <w:pPr>
              <w:pStyle w:val="TableTextCentered"/>
              <w:rPr>
                <w:b/>
                <w:bCs/>
              </w:rPr>
            </w:pPr>
            <w:r w:rsidRPr="00CD29D0">
              <w:rPr>
                <w:b/>
                <w:bCs/>
              </w:rPr>
              <w:t>0</w:t>
            </w:r>
          </w:p>
        </w:tc>
        <w:tc>
          <w:tcPr>
            <w:tcW w:w="875" w:type="dxa"/>
          </w:tcPr>
          <w:p w14:paraId="5E54894E" w14:textId="77777777" w:rsidR="00405424" w:rsidRPr="00CD29D0" w:rsidRDefault="00405424" w:rsidP="00845803">
            <w:pPr>
              <w:pStyle w:val="TableTextCentered"/>
              <w:rPr>
                <w:b/>
                <w:bCs/>
              </w:rPr>
            </w:pPr>
            <w:r w:rsidRPr="00CD29D0">
              <w:rPr>
                <w:b/>
                <w:bCs/>
              </w:rPr>
              <w:t>0</w:t>
            </w:r>
          </w:p>
        </w:tc>
        <w:tc>
          <w:tcPr>
            <w:tcW w:w="875" w:type="dxa"/>
          </w:tcPr>
          <w:p w14:paraId="6C2450E5" w14:textId="77777777" w:rsidR="00405424" w:rsidRPr="00CD29D0" w:rsidRDefault="00405424" w:rsidP="00845803">
            <w:pPr>
              <w:pStyle w:val="TableTextCentered"/>
              <w:rPr>
                <w:b/>
                <w:bCs/>
              </w:rPr>
            </w:pPr>
            <w:r w:rsidRPr="00CD29D0">
              <w:rPr>
                <w:b/>
                <w:bCs/>
              </w:rPr>
              <w:t>1</w:t>
            </w:r>
          </w:p>
        </w:tc>
        <w:tc>
          <w:tcPr>
            <w:tcW w:w="874" w:type="dxa"/>
          </w:tcPr>
          <w:p w14:paraId="4840600B" w14:textId="77777777" w:rsidR="00405424" w:rsidRPr="00CD29D0" w:rsidRDefault="00405424" w:rsidP="00845803">
            <w:pPr>
              <w:pStyle w:val="TableTextCentered"/>
              <w:rPr>
                <w:b/>
                <w:bCs/>
              </w:rPr>
            </w:pPr>
            <w:r w:rsidRPr="00CD29D0">
              <w:rPr>
                <w:b/>
                <w:bCs/>
              </w:rPr>
              <w:t>23</w:t>
            </w:r>
          </w:p>
        </w:tc>
        <w:tc>
          <w:tcPr>
            <w:tcW w:w="875" w:type="dxa"/>
          </w:tcPr>
          <w:p w14:paraId="68B173C4" w14:textId="77777777" w:rsidR="00405424" w:rsidRPr="00CD29D0" w:rsidRDefault="00405424" w:rsidP="00845803">
            <w:pPr>
              <w:pStyle w:val="TableTextCentered"/>
              <w:rPr>
                <w:b/>
                <w:bCs/>
              </w:rPr>
            </w:pPr>
            <w:r w:rsidRPr="00CD29D0">
              <w:rPr>
                <w:b/>
                <w:bCs/>
              </w:rPr>
              <w:t>49</w:t>
            </w:r>
          </w:p>
        </w:tc>
        <w:tc>
          <w:tcPr>
            <w:tcW w:w="900" w:type="dxa"/>
          </w:tcPr>
          <w:p w14:paraId="7AB30403" w14:textId="77777777" w:rsidR="00405424" w:rsidRPr="00CD29D0" w:rsidRDefault="00405424" w:rsidP="00845803">
            <w:pPr>
              <w:pStyle w:val="TableTextCentered"/>
              <w:rPr>
                <w:b/>
                <w:bCs/>
              </w:rPr>
            </w:pPr>
            <w:r w:rsidRPr="00CD29D0">
              <w:rPr>
                <w:b/>
                <w:bCs/>
              </w:rPr>
              <w:t>73</w:t>
            </w:r>
          </w:p>
        </w:tc>
        <w:tc>
          <w:tcPr>
            <w:tcW w:w="892" w:type="dxa"/>
          </w:tcPr>
          <w:p w14:paraId="40ADD0D0" w14:textId="77777777" w:rsidR="00405424" w:rsidRPr="00CD29D0" w:rsidRDefault="00405424" w:rsidP="00845803">
            <w:pPr>
              <w:pStyle w:val="TableTextCentered"/>
              <w:rPr>
                <w:b/>
                <w:bCs/>
              </w:rPr>
            </w:pPr>
            <w:r w:rsidRPr="00CD29D0">
              <w:rPr>
                <w:b/>
                <w:bCs/>
              </w:rPr>
              <w:t>6.7</w:t>
            </w:r>
          </w:p>
        </w:tc>
      </w:tr>
    </w:tbl>
    <w:bookmarkEnd w:id="123"/>
    <w:p w14:paraId="4F954E6F" w14:textId="46146C64" w:rsidR="00405424" w:rsidRPr="00CD29D0" w:rsidRDefault="00405424" w:rsidP="00845803">
      <w:pPr>
        <w:pStyle w:val="TableNote"/>
      </w:pPr>
      <w:r w:rsidRPr="00CD29D0">
        <w:t xml:space="preserve">*The district average is an average of the observation scores. In Table 8, the district average is computed as: </w:t>
      </w:r>
      <w:bookmarkStart w:id="124" w:name="Dist_PD_Calc"/>
      <w:r w:rsidRPr="00CD29D0">
        <w:t>([5 x 1] + [6 x 23] + [7 x 49]) ÷ 73 observations = 6.7</w:t>
      </w:r>
      <w:bookmarkEnd w:id="124"/>
    </w:p>
    <w:p w14:paraId="2DEEC521" w14:textId="77777777" w:rsidR="00405424" w:rsidRPr="00CD29D0" w:rsidRDefault="00405424" w:rsidP="00845803">
      <w:pPr>
        <w:pStyle w:val="BodyText"/>
      </w:pPr>
      <w:r w:rsidRPr="00CD29D0">
        <w:rPr>
          <w:rStyle w:val="BodyTextDemiChar"/>
        </w:rPr>
        <w:t xml:space="preserve">Ratings in the Low Range. </w:t>
      </w:r>
      <w:r w:rsidRPr="00CD29D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3C0D3D6F" w14:textId="77777777" w:rsidR="00405424" w:rsidRPr="00CD29D0" w:rsidRDefault="00405424" w:rsidP="00845803">
      <w:pPr>
        <w:pStyle w:val="BodyTextposthead"/>
      </w:pPr>
      <w:r w:rsidRPr="00CD29D0">
        <w:rPr>
          <w:rStyle w:val="BodyTextDemiChar"/>
        </w:rPr>
        <w:t xml:space="preserve">Ratings in the Middle Range. </w:t>
      </w:r>
      <w:r w:rsidRPr="00CD29D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42C7A324" w14:textId="5A3F3656" w:rsidR="00405424" w:rsidRPr="00CD29D0" w:rsidRDefault="00405424" w:rsidP="00845803">
      <w:pPr>
        <w:pStyle w:val="BodyTextposthead"/>
      </w:pPr>
      <w:r w:rsidRPr="00CD29D0">
        <w:rPr>
          <w:rStyle w:val="BodyTextDemiChar"/>
        </w:rPr>
        <w:t xml:space="preserve">Ratings in the High Range. </w:t>
      </w:r>
      <w:r w:rsidRPr="00CD29D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rsidRPr="00CD29D0">
        <w:br w:type="page"/>
      </w:r>
    </w:p>
    <w:p w14:paraId="7FCA66C7" w14:textId="77777777" w:rsidR="00405424" w:rsidRPr="00CD29D0" w:rsidRDefault="00405424" w:rsidP="00272891">
      <w:pPr>
        <w:pStyle w:val="DIORDimensions"/>
      </w:pPr>
      <w:bookmarkStart w:id="125" w:name="_Toc411329832"/>
      <w:bookmarkStart w:id="126" w:name="_Toc430114881"/>
      <w:bookmarkStart w:id="127" w:name="_Toc227587568"/>
      <w:r w:rsidRPr="00CD29D0">
        <w:lastRenderedPageBreak/>
        <w:t>Instructional Learning Formats</w:t>
      </w:r>
      <w:bookmarkEnd w:id="125"/>
      <w:bookmarkEnd w:id="126"/>
      <w:bookmarkEnd w:id="127"/>
    </w:p>
    <w:p w14:paraId="12D5E42B" w14:textId="7E221BC4" w:rsidR="00405424" w:rsidRPr="00CD29D0" w:rsidRDefault="00405424" w:rsidP="00845803">
      <w:pPr>
        <w:pStyle w:val="BodyTextDomain"/>
      </w:pPr>
      <w:r w:rsidRPr="00CD29D0">
        <w:t>Classroom Organization domain, Grades PK</w:t>
      </w:r>
      <w:r w:rsidRPr="00CD29D0">
        <w:rPr>
          <w:rFonts w:ascii="Vijaya" w:hAnsi="Vijaya" w:cs="Vijaya"/>
        </w:rPr>
        <w:t>−</w:t>
      </w:r>
      <w:r w:rsidRPr="00CD29D0">
        <w:t>3</w:t>
      </w:r>
    </w:p>
    <w:p w14:paraId="329F1379" w14:textId="77777777" w:rsidR="00405424" w:rsidRPr="00CD29D0" w:rsidRDefault="00405424" w:rsidP="00845803">
      <w:pPr>
        <w:pStyle w:val="BodyTextDomain"/>
      </w:pPr>
      <w:r w:rsidRPr="00CD29D0">
        <w:t>Instructional Support domain, Grades 4</w:t>
      </w:r>
      <w:r w:rsidRPr="00CD29D0">
        <w:rPr>
          <w:rFonts w:ascii="Vijaya" w:hAnsi="Vijaya" w:cs="Vijaya"/>
        </w:rPr>
        <w:t>−</w:t>
      </w:r>
      <w:r w:rsidRPr="00CD29D0">
        <w:t>12</w:t>
      </w:r>
    </w:p>
    <w:p w14:paraId="1BBAD83C" w14:textId="65475F5B" w:rsidR="00405424" w:rsidRPr="00CD29D0" w:rsidRDefault="00405424" w:rsidP="00845803">
      <w:pPr>
        <w:pStyle w:val="BodyTextposthead"/>
      </w:pPr>
      <w:r w:rsidRPr="00CD29D0">
        <w:t>Instructional Learning Formats refer to the ways in which the teacher maximizes students’ interest, engagement, and abilities to learn from the lesson and activities (</w:t>
      </w:r>
      <w:r w:rsidRPr="00CD29D0">
        <w:rPr>
          <w:i/>
        </w:rPr>
        <w:t>CLASS PK–3 Manual</w:t>
      </w:r>
      <w:r w:rsidRPr="00CD29D0">
        <w:t xml:space="preserve">, p. 57; </w:t>
      </w:r>
      <w:r w:rsidRPr="00CD29D0">
        <w:rPr>
          <w:i/>
        </w:rPr>
        <w:t>CLASS Upper Elementary Manual</w:t>
      </w:r>
      <w:r w:rsidRPr="00CD29D0">
        <w:t xml:space="preserve">, p. 63, </w:t>
      </w:r>
      <w:r w:rsidRPr="00CD29D0">
        <w:rPr>
          <w:i/>
        </w:rPr>
        <w:t>CLASS Secondary Manual,</w:t>
      </w:r>
      <w:r w:rsidRPr="00CD29D0">
        <w:t xml:space="preserve"> p. 61).</w:t>
      </w:r>
    </w:p>
    <w:p w14:paraId="6A063004" w14:textId="3356B78E" w:rsidR="00405424" w:rsidRPr="00CD29D0" w:rsidRDefault="00405424" w:rsidP="00845803">
      <w:pPr>
        <w:pStyle w:val="TableTitle0"/>
      </w:pPr>
      <w:r w:rsidRPr="00CD29D0">
        <w:t>Table 9. Instructional Learning Formats: Number of Classrooms for Each Rating and District</w:t>
      </w:r>
      <w:r w:rsidR="00845803" w:rsidRPr="00CD29D0">
        <w:t> </w:t>
      </w:r>
      <w:r w:rsidRPr="00CD29D0">
        <w:t>Average</w:t>
      </w:r>
    </w:p>
    <w:p w14:paraId="0A6CE877" w14:textId="77777777" w:rsidR="00405424" w:rsidRPr="00CD29D0" w:rsidRDefault="00405424" w:rsidP="00BF0B5C">
      <w:pPr>
        <w:pStyle w:val="BodyTextDemi"/>
      </w:pPr>
      <w:r w:rsidRPr="00CD29D0">
        <w:t xml:space="preserve">Instructional Learning Formats District Average*: </w:t>
      </w:r>
      <w:bookmarkStart w:id="128" w:name="Dist_ILF_Avg"/>
      <w:r w:rsidRPr="00CD29D0">
        <w:t>5.1</w:t>
      </w:r>
      <w:bookmarkEnd w:id="128"/>
    </w:p>
    <w:tbl>
      <w:tblPr>
        <w:tblStyle w:val="MSVTable1"/>
        <w:tblW w:w="5000" w:type="pct"/>
        <w:tblLook w:val="04A0" w:firstRow="1" w:lastRow="0" w:firstColumn="1" w:lastColumn="0" w:noHBand="0" w:noVBand="1"/>
        <w:tblCaption w:val="Table 9. Instructional Learning Formats: Number of Classrooms for Each Rating and District Average"/>
        <w:tblDescription w:val="Instructional Learning Formats: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3BBFB915" w14:textId="77777777" w:rsidTr="00845803">
        <w:trPr>
          <w:cnfStyle w:val="100000000000" w:firstRow="1" w:lastRow="0" w:firstColumn="0" w:lastColumn="0" w:oddVBand="0" w:evenVBand="0" w:oddHBand="0" w:evenHBand="0" w:firstRowFirstColumn="0" w:firstRowLastColumn="0" w:lastRowFirstColumn="0" w:lastRowLastColumn="0"/>
          <w:tblHeader/>
        </w:trPr>
        <w:tc>
          <w:tcPr>
            <w:tcW w:w="1431" w:type="dxa"/>
          </w:tcPr>
          <w:p w14:paraId="0F1EDCFF" w14:textId="77777777" w:rsidR="00405424" w:rsidRPr="00CD29D0" w:rsidRDefault="00405424" w:rsidP="00845803">
            <w:pPr>
              <w:pStyle w:val="TableColHeadingCenter"/>
            </w:pPr>
            <w:bookmarkStart w:id="129" w:name="Tbl_ILF"/>
            <w:r w:rsidRPr="00CD29D0">
              <w:t>Grade Band</w:t>
            </w:r>
          </w:p>
        </w:tc>
        <w:tc>
          <w:tcPr>
            <w:tcW w:w="874" w:type="dxa"/>
          </w:tcPr>
          <w:p w14:paraId="2E10EC38" w14:textId="77777777" w:rsidR="00405424" w:rsidRPr="00CD29D0" w:rsidRDefault="00405424" w:rsidP="00845803">
            <w:pPr>
              <w:pStyle w:val="TableColHeadingCenter"/>
            </w:pPr>
            <w:r w:rsidRPr="00CD29D0">
              <w:t>Low Range (1)</w:t>
            </w:r>
          </w:p>
        </w:tc>
        <w:tc>
          <w:tcPr>
            <w:tcW w:w="874" w:type="dxa"/>
          </w:tcPr>
          <w:p w14:paraId="5A42E20E" w14:textId="77777777" w:rsidR="00405424" w:rsidRPr="00CD29D0" w:rsidRDefault="00405424" w:rsidP="00845803">
            <w:pPr>
              <w:pStyle w:val="TableColHeadingCenter"/>
            </w:pPr>
            <w:r w:rsidRPr="00CD29D0">
              <w:t>Low Range (2)</w:t>
            </w:r>
          </w:p>
        </w:tc>
        <w:tc>
          <w:tcPr>
            <w:tcW w:w="874" w:type="dxa"/>
          </w:tcPr>
          <w:p w14:paraId="52E71863" w14:textId="77777777" w:rsidR="00405424" w:rsidRPr="00CD29D0" w:rsidRDefault="00405424" w:rsidP="00845803">
            <w:pPr>
              <w:pStyle w:val="TableColHeadingCenter"/>
            </w:pPr>
            <w:r w:rsidRPr="00CD29D0">
              <w:t>Middle Range (3)</w:t>
            </w:r>
          </w:p>
        </w:tc>
        <w:tc>
          <w:tcPr>
            <w:tcW w:w="875" w:type="dxa"/>
          </w:tcPr>
          <w:p w14:paraId="069F7DFD" w14:textId="77777777" w:rsidR="00405424" w:rsidRPr="00CD29D0" w:rsidRDefault="00405424" w:rsidP="00845803">
            <w:pPr>
              <w:pStyle w:val="TableColHeadingCenter"/>
            </w:pPr>
            <w:r w:rsidRPr="00CD29D0">
              <w:t>Middle Range (4)</w:t>
            </w:r>
          </w:p>
        </w:tc>
        <w:tc>
          <w:tcPr>
            <w:tcW w:w="875" w:type="dxa"/>
          </w:tcPr>
          <w:p w14:paraId="2FB0F53B" w14:textId="77777777" w:rsidR="00405424" w:rsidRPr="00CD29D0" w:rsidRDefault="00405424" w:rsidP="00845803">
            <w:pPr>
              <w:pStyle w:val="TableColHeadingCenter"/>
            </w:pPr>
            <w:r w:rsidRPr="00CD29D0">
              <w:t>Middle Range (5)</w:t>
            </w:r>
          </w:p>
        </w:tc>
        <w:tc>
          <w:tcPr>
            <w:tcW w:w="874" w:type="dxa"/>
          </w:tcPr>
          <w:p w14:paraId="32BC9341" w14:textId="77777777" w:rsidR="00405424" w:rsidRPr="00CD29D0" w:rsidRDefault="00405424" w:rsidP="00845803">
            <w:pPr>
              <w:pStyle w:val="TableColHeadingCenter"/>
            </w:pPr>
            <w:r w:rsidRPr="00CD29D0">
              <w:t>High Range (6)</w:t>
            </w:r>
          </w:p>
        </w:tc>
        <w:tc>
          <w:tcPr>
            <w:tcW w:w="875" w:type="dxa"/>
          </w:tcPr>
          <w:p w14:paraId="0769EEA5" w14:textId="77777777" w:rsidR="00405424" w:rsidRPr="00CD29D0" w:rsidRDefault="00405424" w:rsidP="00845803">
            <w:pPr>
              <w:pStyle w:val="TableColHeadingCenter"/>
            </w:pPr>
            <w:r w:rsidRPr="00CD29D0">
              <w:t>High Range (7)</w:t>
            </w:r>
          </w:p>
        </w:tc>
        <w:tc>
          <w:tcPr>
            <w:tcW w:w="900" w:type="dxa"/>
          </w:tcPr>
          <w:p w14:paraId="05F4F51B" w14:textId="77777777" w:rsidR="00405424" w:rsidRPr="00CD29D0" w:rsidRDefault="00405424" w:rsidP="00845803">
            <w:pPr>
              <w:pStyle w:val="TableColHeadingCenter"/>
            </w:pPr>
            <w:r w:rsidRPr="00CD29D0">
              <w:t>n</w:t>
            </w:r>
          </w:p>
        </w:tc>
        <w:tc>
          <w:tcPr>
            <w:tcW w:w="892" w:type="dxa"/>
          </w:tcPr>
          <w:p w14:paraId="216BB306" w14:textId="77777777" w:rsidR="00405424" w:rsidRPr="00CD29D0" w:rsidRDefault="00405424" w:rsidP="00845803">
            <w:pPr>
              <w:pStyle w:val="TableColHeadingCenter"/>
            </w:pPr>
            <w:r w:rsidRPr="00CD29D0">
              <w:t>Average</w:t>
            </w:r>
          </w:p>
        </w:tc>
      </w:tr>
      <w:tr w:rsidR="00405424" w:rsidRPr="00CD29D0" w14:paraId="4EA6E86E" w14:textId="77777777" w:rsidTr="00845803">
        <w:trPr>
          <w:cnfStyle w:val="000000100000" w:firstRow="0" w:lastRow="0" w:firstColumn="0" w:lastColumn="0" w:oddVBand="0" w:evenVBand="0" w:oddHBand="1" w:evenHBand="0" w:firstRowFirstColumn="0" w:firstRowLastColumn="0" w:lastRowFirstColumn="0" w:lastRowLastColumn="0"/>
        </w:trPr>
        <w:tc>
          <w:tcPr>
            <w:tcW w:w="1431" w:type="dxa"/>
          </w:tcPr>
          <w:p w14:paraId="452C348B" w14:textId="77777777" w:rsidR="00405424" w:rsidRPr="00CD29D0" w:rsidRDefault="00405424" w:rsidP="00845803">
            <w:pPr>
              <w:pStyle w:val="TableText"/>
            </w:pPr>
            <w:r w:rsidRPr="00CD29D0">
              <w:t>Grades PK-5</w:t>
            </w:r>
          </w:p>
        </w:tc>
        <w:tc>
          <w:tcPr>
            <w:tcW w:w="874" w:type="dxa"/>
          </w:tcPr>
          <w:p w14:paraId="4BE89123" w14:textId="77777777" w:rsidR="00405424" w:rsidRPr="00CD29D0" w:rsidRDefault="00405424" w:rsidP="00845803">
            <w:pPr>
              <w:pStyle w:val="TableTextCentered"/>
            </w:pPr>
            <w:r w:rsidRPr="00CD29D0">
              <w:t>0</w:t>
            </w:r>
          </w:p>
        </w:tc>
        <w:tc>
          <w:tcPr>
            <w:tcW w:w="874" w:type="dxa"/>
          </w:tcPr>
          <w:p w14:paraId="3414C0FC" w14:textId="77777777" w:rsidR="00405424" w:rsidRPr="00CD29D0" w:rsidRDefault="00405424" w:rsidP="00845803">
            <w:pPr>
              <w:pStyle w:val="TableTextCentered"/>
            </w:pPr>
            <w:r w:rsidRPr="00CD29D0">
              <w:t>0</w:t>
            </w:r>
          </w:p>
        </w:tc>
        <w:tc>
          <w:tcPr>
            <w:tcW w:w="874" w:type="dxa"/>
          </w:tcPr>
          <w:p w14:paraId="1B3C5226" w14:textId="77777777" w:rsidR="00405424" w:rsidRPr="00CD29D0" w:rsidRDefault="00405424" w:rsidP="00845803">
            <w:pPr>
              <w:pStyle w:val="TableTextCentered"/>
            </w:pPr>
            <w:r w:rsidRPr="00CD29D0">
              <w:t>3</w:t>
            </w:r>
          </w:p>
        </w:tc>
        <w:tc>
          <w:tcPr>
            <w:tcW w:w="875" w:type="dxa"/>
          </w:tcPr>
          <w:p w14:paraId="74284408" w14:textId="77777777" w:rsidR="00405424" w:rsidRPr="00CD29D0" w:rsidRDefault="00405424" w:rsidP="00845803">
            <w:pPr>
              <w:pStyle w:val="TableTextCentered"/>
            </w:pPr>
            <w:r w:rsidRPr="00CD29D0">
              <w:t>3</w:t>
            </w:r>
          </w:p>
        </w:tc>
        <w:tc>
          <w:tcPr>
            <w:tcW w:w="875" w:type="dxa"/>
          </w:tcPr>
          <w:p w14:paraId="47C6EB01" w14:textId="77777777" w:rsidR="00405424" w:rsidRPr="00CD29D0" w:rsidRDefault="00405424" w:rsidP="00845803">
            <w:pPr>
              <w:pStyle w:val="TableTextCentered"/>
            </w:pPr>
            <w:r w:rsidRPr="00CD29D0">
              <w:t>11</w:t>
            </w:r>
          </w:p>
        </w:tc>
        <w:tc>
          <w:tcPr>
            <w:tcW w:w="874" w:type="dxa"/>
          </w:tcPr>
          <w:p w14:paraId="35326832" w14:textId="77777777" w:rsidR="00405424" w:rsidRPr="00CD29D0" w:rsidRDefault="00405424" w:rsidP="00845803">
            <w:pPr>
              <w:pStyle w:val="TableTextCentered"/>
            </w:pPr>
            <w:r w:rsidRPr="00CD29D0">
              <w:t>10</w:t>
            </w:r>
          </w:p>
        </w:tc>
        <w:tc>
          <w:tcPr>
            <w:tcW w:w="875" w:type="dxa"/>
          </w:tcPr>
          <w:p w14:paraId="69D4100B" w14:textId="77777777" w:rsidR="00405424" w:rsidRPr="00CD29D0" w:rsidRDefault="00405424" w:rsidP="00845803">
            <w:pPr>
              <w:pStyle w:val="TableTextCentered"/>
            </w:pPr>
            <w:r w:rsidRPr="00CD29D0">
              <w:t>6</w:t>
            </w:r>
          </w:p>
        </w:tc>
        <w:tc>
          <w:tcPr>
            <w:tcW w:w="900" w:type="dxa"/>
          </w:tcPr>
          <w:p w14:paraId="07785396" w14:textId="77777777" w:rsidR="00405424" w:rsidRPr="00CD29D0" w:rsidRDefault="00405424" w:rsidP="00845803">
            <w:pPr>
              <w:pStyle w:val="TableTextCentered"/>
            </w:pPr>
            <w:r w:rsidRPr="00CD29D0">
              <w:t>33</w:t>
            </w:r>
          </w:p>
        </w:tc>
        <w:tc>
          <w:tcPr>
            <w:tcW w:w="892" w:type="dxa"/>
          </w:tcPr>
          <w:p w14:paraId="2E2B4FF3" w14:textId="77777777" w:rsidR="00405424" w:rsidRPr="00CD29D0" w:rsidRDefault="00405424" w:rsidP="00845803">
            <w:pPr>
              <w:pStyle w:val="TableTextCentered"/>
            </w:pPr>
            <w:r w:rsidRPr="00CD29D0">
              <w:t>5.4</w:t>
            </w:r>
          </w:p>
        </w:tc>
      </w:tr>
      <w:tr w:rsidR="00405424" w:rsidRPr="00CD29D0" w14:paraId="181A682C" w14:textId="77777777" w:rsidTr="00845803">
        <w:tc>
          <w:tcPr>
            <w:tcW w:w="1431" w:type="dxa"/>
          </w:tcPr>
          <w:p w14:paraId="742FA4EA" w14:textId="77777777" w:rsidR="00405424" w:rsidRPr="00CD29D0" w:rsidRDefault="00405424" w:rsidP="00845803">
            <w:pPr>
              <w:pStyle w:val="TableText"/>
            </w:pPr>
            <w:r w:rsidRPr="00CD29D0">
              <w:t>Grades 6-8</w:t>
            </w:r>
          </w:p>
        </w:tc>
        <w:tc>
          <w:tcPr>
            <w:tcW w:w="874" w:type="dxa"/>
          </w:tcPr>
          <w:p w14:paraId="62D6A6DB" w14:textId="77777777" w:rsidR="00405424" w:rsidRPr="00CD29D0" w:rsidRDefault="00405424" w:rsidP="00845803">
            <w:pPr>
              <w:pStyle w:val="TableTextCentered"/>
            </w:pPr>
            <w:r w:rsidRPr="00CD29D0">
              <w:t>0</w:t>
            </w:r>
          </w:p>
        </w:tc>
        <w:tc>
          <w:tcPr>
            <w:tcW w:w="874" w:type="dxa"/>
          </w:tcPr>
          <w:p w14:paraId="5FCC1784" w14:textId="77777777" w:rsidR="00405424" w:rsidRPr="00CD29D0" w:rsidRDefault="00405424" w:rsidP="00845803">
            <w:pPr>
              <w:pStyle w:val="TableTextCentered"/>
            </w:pPr>
            <w:r w:rsidRPr="00CD29D0">
              <w:t>0</w:t>
            </w:r>
          </w:p>
        </w:tc>
        <w:tc>
          <w:tcPr>
            <w:tcW w:w="874" w:type="dxa"/>
          </w:tcPr>
          <w:p w14:paraId="33AF1BBD" w14:textId="77777777" w:rsidR="00405424" w:rsidRPr="00CD29D0" w:rsidRDefault="00405424" w:rsidP="00845803">
            <w:pPr>
              <w:pStyle w:val="TableTextCentered"/>
            </w:pPr>
            <w:r w:rsidRPr="00CD29D0">
              <w:t>1</w:t>
            </w:r>
          </w:p>
        </w:tc>
        <w:tc>
          <w:tcPr>
            <w:tcW w:w="875" w:type="dxa"/>
          </w:tcPr>
          <w:p w14:paraId="5FC7F401" w14:textId="77777777" w:rsidR="00405424" w:rsidRPr="00CD29D0" w:rsidRDefault="00405424" w:rsidP="00845803">
            <w:pPr>
              <w:pStyle w:val="TableTextCentered"/>
            </w:pPr>
            <w:r w:rsidRPr="00CD29D0">
              <w:t>4</w:t>
            </w:r>
          </w:p>
        </w:tc>
        <w:tc>
          <w:tcPr>
            <w:tcW w:w="875" w:type="dxa"/>
          </w:tcPr>
          <w:p w14:paraId="14E8BC1B" w14:textId="77777777" w:rsidR="00405424" w:rsidRPr="00CD29D0" w:rsidRDefault="00405424" w:rsidP="00845803">
            <w:pPr>
              <w:pStyle w:val="TableTextCentered"/>
            </w:pPr>
            <w:r w:rsidRPr="00CD29D0">
              <w:t>9</w:t>
            </w:r>
          </w:p>
        </w:tc>
        <w:tc>
          <w:tcPr>
            <w:tcW w:w="874" w:type="dxa"/>
          </w:tcPr>
          <w:p w14:paraId="3F85274F" w14:textId="77777777" w:rsidR="00405424" w:rsidRPr="00CD29D0" w:rsidRDefault="00405424" w:rsidP="00845803">
            <w:pPr>
              <w:pStyle w:val="TableTextCentered"/>
            </w:pPr>
            <w:r w:rsidRPr="00CD29D0">
              <w:t>6</w:t>
            </w:r>
          </w:p>
        </w:tc>
        <w:tc>
          <w:tcPr>
            <w:tcW w:w="875" w:type="dxa"/>
          </w:tcPr>
          <w:p w14:paraId="7241D0D2" w14:textId="77777777" w:rsidR="00405424" w:rsidRPr="00CD29D0" w:rsidRDefault="00405424" w:rsidP="00845803">
            <w:pPr>
              <w:pStyle w:val="TableTextCentered"/>
            </w:pPr>
            <w:r w:rsidRPr="00CD29D0">
              <w:t>0</w:t>
            </w:r>
          </w:p>
        </w:tc>
        <w:tc>
          <w:tcPr>
            <w:tcW w:w="900" w:type="dxa"/>
          </w:tcPr>
          <w:p w14:paraId="61F5014C" w14:textId="77777777" w:rsidR="00405424" w:rsidRPr="00CD29D0" w:rsidRDefault="00405424" w:rsidP="00845803">
            <w:pPr>
              <w:pStyle w:val="TableTextCentered"/>
            </w:pPr>
            <w:r w:rsidRPr="00CD29D0">
              <w:t>20</w:t>
            </w:r>
          </w:p>
        </w:tc>
        <w:tc>
          <w:tcPr>
            <w:tcW w:w="892" w:type="dxa"/>
          </w:tcPr>
          <w:p w14:paraId="0F3FA7F0" w14:textId="77777777" w:rsidR="00405424" w:rsidRPr="00CD29D0" w:rsidRDefault="00405424" w:rsidP="00845803">
            <w:pPr>
              <w:pStyle w:val="TableTextCentered"/>
            </w:pPr>
            <w:r w:rsidRPr="00CD29D0">
              <w:t>5.0</w:t>
            </w:r>
          </w:p>
        </w:tc>
      </w:tr>
      <w:tr w:rsidR="00405424" w:rsidRPr="00CD29D0" w14:paraId="0CD23C39" w14:textId="77777777" w:rsidTr="00845803">
        <w:trPr>
          <w:cnfStyle w:val="000000100000" w:firstRow="0" w:lastRow="0" w:firstColumn="0" w:lastColumn="0" w:oddVBand="0" w:evenVBand="0" w:oddHBand="1" w:evenHBand="0" w:firstRowFirstColumn="0" w:firstRowLastColumn="0" w:lastRowFirstColumn="0" w:lastRowLastColumn="0"/>
        </w:trPr>
        <w:tc>
          <w:tcPr>
            <w:tcW w:w="1431" w:type="dxa"/>
          </w:tcPr>
          <w:p w14:paraId="481B2C7C" w14:textId="77777777" w:rsidR="00405424" w:rsidRPr="00CD29D0" w:rsidRDefault="00405424" w:rsidP="00845803">
            <w:pPr>
              <w:pStyle w:val="TableText"/>
            </w:pPr>
            <w:r w:rsidRPr="00CD29D0">
              <w:t>Grades 9-12</w:t>
            </w:r>
          </w:p>
        </w:tc>
        <w:tc>
          <w:tcPr>
            <w:tcW w:w="874" w:type="dxa"/>
          </w:tcPr>
          <w:p w14:paraId="55867C58" w14:textId="77777777" w:rsidR="00405424" w:rsidRPr="00CD29D0" w:rsidRDefault="00405424" w:rsidP="00845803">
            <w:pPr>
              <w:pStyle w:val="TableTextCentered"/>
            </w:pPr>
            <w:r w:rsidRPr="00CD29D0">
              <w:t>0</w:t>
            </w:r>
          </w:p>
        </w:tc>
        <w:tc>
          <w:tcPr>
            <w:tcW w:w="874" w:type="dxa"/>
          </w:tcPr>
          <w:p w14:paraId="235D1A01" w14:textId="77777777" w:rsidR="00405424" w:rsidRPr="00CD29D0" w:rsidRDefault="00405424" w:rsidP="00845803">
            <w:pPr>
              <w:pStyle w:val="TableTextCentered"/>
            </w:pPr>
            <w:r w:rsidRPr="00CD29D0">
              <w:t>0</w:t>
            </w:r>
          </w:p>
        </w:tc>
        <w:tc>
          <w:tcPr>
            <w:tcW w:w="874" w:type="dxa"/>
          </w:tcPr>
          <w:p w14:paraId="45BB70A1" w14:textId="77777777" w:rsidR="00405424" w:rsidRPr="00CD29D0" w:rsidRDefault="00405424" w:rsidP="00845803">
            <w:pPr>
              <w:pStyle w:val="TableTextCentered"/>
            </w:pPr>
            <w:r w:rsidRPr="00CD29D0">
              <w:t>2</w:t>
            </w:r>
          </w:p>
        </w:tc>
        <w:tc>
          <w:tcPr>
            <w:tcW w:w="875" w:type="dxa"/>
          </w:tcPr>
          <w:p w14:paraId="42DCA947" w14:textId="77777777" w:rsidR="00405424" w:rsidRPr="00CD29D0" w:rsidRDefault="00405424" w:rsidP="00845803">
            <w:pPr>
              <w:pStyle w:val="TableTextCentered"/>
            </w:pPr>
            <w:r w:rsidRPr="00CD29D0">
              <w:t>2</w:t>
            </w:r>
          </w:p>
        </w:tc>
        <w:tc>
          <w:tcPr>
            <w:tcW w:w="875" w:type="dxa"/>
          </w:tcPr>
          <w:p w14:paraId="2656EC00" w14:textId="77777777" w:rsidR="00405424" w:rsidRPr="00CD29D0" w:rsidRDefault="00405424" w:rsidP="00845803">
            <w:pPr>
              <w:pStyle w:val="TableTextCentered"/>
            </w:pPr>
            <w:r w:rsidRPr="00CD29D0">
              <w:t>15</w:t>
            </w:r>
          </w:p>
        </w:tc>
        <w:tc>
          <w:tcPr>
            <w:tcW w:w="874" w:type="dxa"/>
          </w:tcPr>
          <w:p w14:paraId="6FA8825B" w14:textId="77777777" w:rsidR="00405424" w:rsidRPr="00CD29D0" w:rsidRDefault="00405424" w:rsidP="00845803">
            <w:pPr>
              <w:pStyle w:val="TableTextCentered"/>
            </w:pPr>
            <w:r w:rsidRPr="00CD29D0">
              <w:t>1</w:t>
            </w:r>
          </w:p>
        </w:tc>
        <w:tc>
          <w:tcPr>
            <w:tcW w:w="875" w:type="dxa"/>
          </w:tcPr>
          <w:p w14:paraId="2E9DCC67" w14:textId="77777777" w:rsidR="00405424" w:rsidRPr="00CD29D0" w:rsidRDefault="00405424" w:rsidP="00845803">
            <w:pPr>
              <w:pStyle w:val="TableTextCentered"/>
            </w:pPr>
            <w:r w:rsidRPr="00CD29D0">
              <w:t>0</w:t>
            </w:r>
          </w:p>
        </w:tc>
        <w:tc>
          <w:tcPr>
            <w:tcW w:w="900" w:type="dxa"/>
          </w:tcPr>
          <w:p w14:paraId="76B76242" w14:textId="77777777" w:rsidR="00405424" w:rsidRPr="00CD29D0" w:rsidRDefault="00405424" w:rsidP="00845803">
            <w:pPr>
              <w:pStyle w:val="TableTextCentered"/>
            </w:pPr>
            <w:r w:rsidRPr="00CD29D0">
              <w:t>20</w:t>
            </w:r>
          </w:p>
        </w:tc>
        <w:tc>
          <w:tcPr>
            <w:tcW w:w="892" w:type="dxa"/>
          </w:tcPr>
          <w:p w14:paraId="74416BD2" w14:textId="77777777" w:rsidR="00405424" w:rsidRPr="00CD29D0" w:rsidRDefault="00405424" w:rsidP="00845803">
            <w:pPr>
              <w:pStyle w:val="TableTextCentered"/>
            </w:pPr>
            <w:r w:rsidRPr="00CD29D0">
              <w:t>4.8</w:t>
            </w:r>
          </w:p>
        </w:tc>
      </w:tr>
      <w:tr w:rsidR="00405424" w:rsidRPr="00CD29D0" w14:paraId="2AB2C7E2" w14:textId="77777777" w:rsidTr="00845803">
        <w:tc>
          <w:tcPr>
            <w:tcW w:w="1431" w:type="dxa"/>
          </w:tcPr>
          <w:p w14:paraId="785CFD97" w14:textId="77777777" w:rsidR="00405424" w:rsidRPr="00CD29D0" w:rsidRDefault="00405424" w:rsidP="00845803">
            <w:pPr>
              <w:pStyle w:val="TableText"/>
              <w:rPr>
                <w:b/>
                <w:bCs/>
              </w:rPr>
            </w:pPr>
            <w:r w:rsidRPr="00CD29D0">
              <w:rPr>
                <w:b/>
                <w:bCs/>
              </w:rPr>
              <w:t>Totals</w:t>
            </w:r>
          </w:p>
        </w:tc>
        <w:tc>
          <w:tcPr>
            <w:tcW w:w="874" w:type="dxa"/>
          </w:tcPr>
          <w:p w14:paraId="2279947A" w14:textId="77777777" w:rsidR="00405424" w:rsidRPr="00CD29D0" w:rsidRDefault="00405424" w:rsidP="00845803">
            <w:pPr>
              <w:pStyle w:val="TableTextCentered"/>
              <w:rPr>
                <w:b/>
                <w:bCs/>
              </w:rPr>
            </w:pPr>
            <w:r w:rsidRPr="00CD29D0">
              <w:rPr>
                <w:b/>
                <w:bCs/>
              </w:rPr>
              <w:t>0</w:t>
            </w:r>
          </w:p>
        </w:tc>
        <w:tc>
          <w:tcPr>
            <w:tcW w:w="874" w:type="dxa"/>
          </w:tcPr>
          <w:p w14:paraId="2D41C14C" w14:textId="77777777" w:rsidR="00405424" w:rsidRPr="00CD29D0" w:rsidRDefault="00405424" w:rsidP="00845803">
            <w:pPr>
              <w:pStyle w:val="TableTextCentered"/>
              <w:rPr>
                <w:b/>
                <w:bCs/>
              </w:rPr>
            </w:pPr>
            <w:r w:rsidRPr="00CD29D0">
              <w:rPr>
                <w:b/>
                <w:bCs/>
              </w:rPr>
              <w:t>0</w:t>
            </w:r>
          </w:p>
        </w:tc>
        <w:tc>
          <w:tcPr>
            <w:tcW w:w="874" w:type="dxa"/>
          </w:tcPr>
          <w:p w14:paraId="4EA14432" w14:textId="77777777" w:rsidR="00405424" w:rsidRPr="00CD29D0" w:rsidRDefault="00405424" w:rsidP="00845803">
            <w:pPr>
              <w:pStyle w:val="TableTextCentered"/>
              <w:rPr>
                <w:b/>
                <w:bCs/>
              </w:rPr>
            </w:pPr>
            <w:r w:rsidRPr="00CD29D0">
              <w:rPr>
                <w:b/>
                <w:bCs/>
              </w:rPr>
              <w:t>6</w:t>
            </w:r>
          </w:p>
        </w:tc>
        <w:tc>
          <w:tcPr>
            <w:tcW w:w="875" w:type="dxa"/>
          </w:tcPr>
          <w:p w14:paraId="1BC205DD" w14:textId="77777777" w:rsidR="00405424" w:rsidRPr="00CD29D0" w:rsidRDefault="00405424" w:rsidP="00845803">
            <w:pPr>
              <w:pStyle w:val="TableTextCentered"/>
              <w:rPr>
                <w:b/>
                <w:bCs/>
              </w:rPr>
            </w:pPr>
            <w:r w:rsidRPr="00CD29D0">
              <w:rPr>
                <w:b/>
                <w:bCs/>
              </w:rPr>
              <w:t>9</w:t>
            </w:r>
          </w:p>
        </w:tc>
        <w:tc>
          <w:tcPr>
            <w:tcW w:w="875" w:type="dxa"/>
          </w:tcPr>
          <w:p w14:paraId="7D679EA3" w14:textId="77777777" w:rsidR="00405424" w:rsidRPr="00CD29D0" w:rsidRDefault="00405424" w:rsidP="00845803">
            <w:pPr>
              <w:pStyle w:val="TableTextCentered"/>
              <w:rPr>
                <w:b/>
                <w:bCs/>
              </w:rPr>
            </w:pPr>
            <w:r w:rsidRPr="00CD29D0">
              <w:rPr>
                <w:b/>
                <w:bCs/>
              </w:rPr>
              <w:t>35</w:t>
            </w:r>
          </w:p>
        </w:tc>
        <w:tc>
          <w:tcPr>
            <w:tcW w:w="874" w:type="dxa"/>
          </w:tcPr>
          <w:p w14:paraId="0B3DCBA1" w14:textId="77777777" w:rsidR="00405424" w:rsidRPr="00CD29D0" w:rsidRDefault="00405424" w:rsidP="00845803">
            <w:pPr>
              <w:pStyle w:val="TableTextCentered"/>
              <w:rPr>
                <w:b/>
                <w:bCs/>
              </w:rPr>
            </w:pPr>
            <w:r w:rsidRPr="00CD29D0">
              <w:rPr>
                <w:b/>
                <w:bCs/>
              </w:rPr>
              <w:t>17</w:t>
            </w:r>
          </w:p>
        </w:tc>
        <w:tc>
          <w:tcPr>
            <w:tcW w:w="875" w:type="dxa"/>
          </w:tcPr>
          <w:p w14:paraId="5CB98F11" w14:textId="77777777" w:rsidR="00405424" w:rsidRPr="00CD29D0" w:rsidRDefault="00405424" w:rsidP="00845803">
            <w:pPr>
              <w:pStyle w:val="TableTextCentered"/>
              <w:rPr>
                <w:b/>
                <w:bCs/>
              </w:rPr>
            </w:pPr>
            <w:r w:rsidRPr="00CD29D0">
              <w:rPr>
                <w:b/>
                <w:bCs/>
              </w:rPr>
              <w:t>6</w:t>
            </w:r>
          </w:p>
        </w:tc>
        <w:tc>
          <w:tcPr>
            <w:tcW w:w="900" w:type="dxa"/>
          </w:tcPr>
          <w:p w14:paraId="55B26620" w14:textId="77777777" w:rsidR="00405424" w:rsidRPr="00CD29D0" w:rsidRDefault="00405424" w:rsidP="00845803">
            <w:pPr>
              <w:pStyle w:val="TableTextCentered"/>
              <w:rPr>
                <w:b/>
                <w:bCs/>
              </w:rPr>
            </w:pPr>
            <w:r w:rsidRPr="00CD29D0">
              <w:rPr>
                <w:b/>
                <w:bCs/>
              </w:rPr>
              <w:t>73</w:t>
            </w:r>
          </w:p>
        </w:tc>
        <w:tc>
          <w:tcPr>
            <w:tcW w:w="892" w:type="dxa"/>
          </w:tcPr>
          <w:p w14:paraId="3804C97E" w14:textId="77777777" w:rsidR="00405424" w:rsidRPr="00CD29D0" w:rsidRDefault="00405424" w:rsidP="00845803">
            <w:pPr>
              <w:pStyle w:val="TableTextCentered"/>
              <w:rPr>
                <w:b/>
                <w:bCs/>
              </w:rPr>
            </w:pPr>
            <w:r w:rsidRPr="00CD29D0">
              <w:rPr>
                <w:b/>
                <w:bCs/>
              </w:rPr>
              <w:t>5.1</w:t>
            </w:r>
          </w:p>
        </w:tc>
      </w:tr>
    </w:tbl>
    <w:bookmarkEnd w:id="129"/>
    <w:p w14:paraId="27AAEC2A" w14:textId="7FC28A7A" w:rsidR="00405424" w:rsidRPr="00CD29D0" w:rsidRDefault="00405424" w:rsidP="00845803">
      <w:pPr>
        <w:pStyle w:val="TableNote"/>
      </w:pPr>
      <w:r w:rsidRPr="00CD29D0">
        <w:t xml:space="preserve">*The district average is an average of the observation scores. In Table 9, the district average is computed as: </w:t>
      </w:r>
      <w:bookmarkStart w:id="130" w:name="Dist_ILF_Calc"/>
      <w:r w:rsidRPr="00CD29D0">
        <w:t>([3 x 6] + [4 x 9] + [5 x 35] + [6 x 17] + [7 x 6]) ÷ 73 observations = 5.1</w:t>
      </w:r>
      <w:bookmarkEnd w:id="130"/>
    </w:p>
    <w:p w14:paraId="6332D089" w14:textId="77777777" w:rsidR="00405424" w:rsidRPr="00CD29D0" w:rsidRDefault="00405424" w:rsidP="00845803">
      <w:pPr>
        <w:pStyle w:val="BodyText"/>
      </w:pPr>
      <w:r w:rsidRPr="00CD29D0">
        <w:rPr>
          <w:rStyle w:val="BodyTextDemiChar"/>
        </w:rPr>
        <w:t>Ratings in the Low Range.</w:t>
      </w:r>
      <w:r w:rsidRPr="00CD29D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2F770A56" w14:textId="77777777" w:rsidR="00405424" w:rsidRPr="00CD29D0" w:rsidRDefault="00405424" w:rsidP="00845803">
      <w:pPr>
        <w:pStyle w:val="BodyTextposthead"/>
      </w:pPr>
      <w:r w:rsidRPr="00CD29D0">
        <w:rPr>
          <w:rStyle w:val="BodyTextDemiChar"/>
        </w:rPr>
        <w:t>Ratings in the Middle Range.</w:t>
      </w:r>
      <w:r w:rsidRPr="00CD29D0">
        <w:rPr>
          <w:spacing w:val="-4"/>
        </w:rPr>
        <w:t xml:space="preserve"> At the middle range, the teacher sometimes facilitates engagement</w:t>
      </w:r>
      <w:r w:rsidRPr="00CD29D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04D454AC" w14:textId="626DF4FD" w:rsidR="00424417" w:rsidRPr="00CD29D0" w:rsidRDefault="00405424" w:rsidP="00845803">
      <w:pPr>
        <w:pStyle w:val="BodyTextposthead"/>
        <w:spacing w:after="0"/>
      </w:pPr>
      <w:r w:rsidRPr="00CD29D0">
        <w:rPr>
          <w:rStyle w:val="BodyTextDemiChar"/>
        </w:rPr>
        <w:t>Ratings in the High Range.</w:t>
      </w:r>
      <w:r w:rsidRPr="00CD29D0">
        <w:rPr>
          <w:b/>
        </w:rPr>
        <w:t xml:space="preserve"> </w:t>
      </w:r>
      <w:r w:rsidRPr="00CD29D0">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w:t>
      </w:r>
      <w:r w:rsidRPr="00CD29D0">
        <w:lastRenderedPageBreak/>
        <w:t>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r w:rsidR="00424417" w:rsidRPr="00CD29D0">
        <w:br w:type="page"/>
      </w:r>
    </w:p>
    <w:p w14:paraId="60C0EC46" w14:textId="77777777" w:rsidR="00405424" w:rsidRPr="00CD29D0" w:rsidRDefault="00405424" w:rsidP="00272891">
      <w:pPr>
        <w:pStyle w:val="DIORDimensions"/>
      </w:pPr>
      <w:bookmarkStart w:id="131" w:name="_Toc411329833"/>
      <w:bookmarkStart w:id="132" w:name="_Toc430114882"/>
      <w:bookmarkStart w:id="133" w:name="_Toc227587569"/>
      <w:r w:rsidRPr="00CD29D0">
        <w:lastRenderedPageBreak/>
        <w:t>Concept Development</w:t>
      </w:r>
      <w:bookmarkEnd w:id="131"/>
      <w:bookmarkEnd w:id="132"/>
      <w:bookmarkEnd w:id="133"/>
    </w:p>
    <w:p w14:paraId="6435368F" w14:textId="75D26952" w:rsidR="00405424" w:rsidRPr="00CD29D0" w:rsidRDefault="00405424" w:rsidP="00BF0B5C">
      <w:pPr>
        <w:pStyle w:val="BodyTextDomain"/>
      </w:pPr>
      <w:r w:rsidRPr="00CD29D0">
        <w:t>Instructional Support domain, Grades PK</w:t>
      </w:r>
      <w:r w:rsidRPr="00CD29D0">
        <w:rPr>
          <w:rFonts w:ascii="Vijaya" w:hAnsi="Vijaya" w:cs="Vijaya"/>
        </w:rPr>
        <w:t>−</w:t>
      </w:r>
      <w:r w:rsidRPr="00CD29D0">
        <w:t>3</w:t>
      </w:r>
    </w:p>
    <w:p w14:paraId="687AF2D3" w14:textId="77777777" w:rsidR="00405424" w:rsidRPr="00CD29D0" w:rsidRDefault="00405424" w:rsidP="00845803">
      <w:pPr>
        <w:pStyle w:val="BodyTextposthead"/>
      </w:pPr>
      <w:r w:rsidRPr="00CD29D0">
        <w:t>Concept Development refers to the teacher’s use of instructional discussions and activities to promote students’ higher order thinking skills and cognition and the teacher’s focus on understanding rather than on rote instruction (</w:t>
      </w:r>
      <w:r w:rsidRPr="00CD29D0">
        <w:rPr>
          <w:i/>
        </w:rPr>
        <w:t>CLASS PK–3 Manual</w:t>
      </w:r>
      <w:r w:rsidRPr="00CD29D0">
        <w:t>, p. 64).</w:t>
      </w:r>
    </w:p>
    <w:p w14:paraId="4FC2718D" w14:textId="77777777" w:rsidR="00405424" w:rsidRPr="00CD29D0" w:rsidRDefault="00405424" w:rsidP="00BF0B5C">
      <w:pPr>
        <w:pStyle w:val="TableTitle0"/>
      </w:pPr>
      <w:r w:rsidRPr="00CD29D0">
        <w:t>Table 10. Concept Development: Number of Classrooms for Each Rating and District Average</w:t>
      </w:r>
    </w:p>
    <w:p w14:paraId="718B1373" w14:textId="77777777" w:rsidR="00405424" w:rsidRPr="00CD29D0" w:rsidRDefault="00405424" w:rsidP="00BF0B5C">
      <w:pPr>
        <w:pStyle w:val="BodyTextDemi"/>
      </w:pPr>
      <w:r w:rsidRPr="00CD29D0">
        <w:t xml:space="preserve">Concept Development District Average*: </w:t>
      </w:r>
      <w:bookmarkStart w:id="134" w:name="Dist_CD_Avg"/>
      <w:r w:rsidRPr="00CD29D0">
        <w:t>3.8</w:t>
      </w:r>
      <w:bookmarkEnd w:id="134"/>
    </w:p>
    <w:tbl>
      <w:tblPr>
        <w:tblStyle w:val="MSVTable1"/>
        <w:tblW w:w="5000" w:type="pct"/>
        <w:tblLook w:val="04A0" w:firstRow="1" w:lastRow="0" w:firstColumn="1" w:lastColumn="0" w:noHBand="0" w:noVBand="1"/>
        <w:tblCaption w:val="Table 10. Concept Development: Number of Classrooms for Each Rating and District Average"/>
        <w:tblDescription w:val="Concept Development: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537DA18F" w14:textId="77777777" w:rsidTr="00845803">
        <w:trPr>
          <w:cnfStyle w:val="100000000000" w:firstRow="1" w:lastRow="0" w:firstColumn="0" w:lastColumn="0" w:oddVBand="0" w:evenVBand="0" w:oddHBand="0" w:evenHBand="0" w:firstRowFirstColumn="0" w:firstRowLastColumn="0" w:lastRowFirstColumn="0" w:lastRowLastColumn="0"/>
          <w:tblHeader/>
        </w:trPr>
        <w:tc>
          <w:tcPr>
            <w:tcW w:w="1431" w:type="dxa"/>
          </w:tcPr>
          <w:p w14:paraId="7F760BD3" w14:textId="77777777" w:rsidR="00405424" w:rsidRPr="00CD29D0" w:rsidRDefault="00405424" w:rsidP="00845803">
            <w:pPr>
              <w:pStyle w:val="TableColHeadingCenter"/>
            </w:pPr>
            <w:bookmarkStart w:id="135" w:name="Tbl_CD"/>
            <w:r w:rsidRPr="00CD29D0">
              <w:t>Grade Band</w:t>
            </w:r>
          </w:p>
        </w:tc>
        <w:tc>
          <w:tcPr>
            <w:tcW w:w="874" w:type="dxa"/>
          </w:tcPr>
          <w:p w14:paraId="6EB090F7" w14:textId="77777777" w:rsidR="00405424" w:rsidRPr="00CD29D0" w:rsidRDefault="00405424" w:rsidP="00845803">
            <w:pPr>
              <w:pStyle w:val="TableColHeadingCenter"/>
            </w:pPr>
            <w:r w:rsidRPr="00CD29D0">
              <w:t>Low Range (1)</w:t>
            </w:r>
          </w:p>
        </w:tc>
        <w:tc>
          <w:tcPr>
            <w:tcW w:w="874" w:type="dxa"/>
          </w:tcPr>
          <w:p w14:paraId="06B6428E" w14:textId="77777777" w:rsidR="00405424" w:rsidRPr="00CD29D0" w:rsidRDefault="00405424" w:rsidP="00845803">
            <w:pPr>
              <w:pStyle w:val="TableColHeadingCenter"/>
            </w:pPr>
            <w:r w:rsidRPr="00CD29D0">
              <w:t>Low Range (2)</w:t>
            </w:r>
          </w:p>
        </w:tc>
        <w:tc>
          <w:tcPr>
            <w:tcW w:w="874" w:type="dxa"/>
          </w:tcPr>
          <w:p w14:paraId="1923E794" w14:textId="77777777" w:rsidR="00405424" w:rsidRPr="00CD29D0" w:rsidRDefault="00405424" w:rsidP="00845803">
            <w:pPr>
              <w:pStyle w:val="TableColHeadingCenter"/>
            </w:pPr>
            <w:r w:rsidRPr="00CD29D0">
              <w:t>Middle Range (3)</w:t>
            </w:r>
          </w:p>
        </w:tc>
        <w:tc>
          <w:tcPr>
            <w:tcW w:w="875" w:type="dxa"/>
          </w:tcPr>
          <w:p w14:paraId="1177CFC4" w14:textId="77777777" w:rsidR="00405424" w:rsidRPr="00CD29D0" w:rsidRDefault="00405424" w:rsidP="00845803">
            <w:pPr>
              <w:pStyle w:val="TableColHeadingCenter"/>
            </w:pPr>
            <w:r w:rsidRPr="00CD29D0">
              <w:t>Middle Range (4)</w:t>
            </w:r>
          </w:p>
        </w:tc>
        <w:tc>
          <w:tcPr>
            <w:tcW w:w="875" w:type="dxa"/>
          </w:tcPr>
          <w:p w14:paraId="3C6A521E" w14:textId="77777777" w:rsidR="00405424" w:rsidRPr="00CD29D0" w:rsidRDefault="00405424" w:rsidP="00845803">
            <w:pPr>
              <w:pStyle w:val="TableColHeadingCenter"/>
            </w:pPr>
            <w:r w:rsidRPr="00CD29D0">
              <w:t>Middle Range (5)</w:t>
            </w:r>
          </w:p>
        </w:tc>
        <w:tc>
          <w:tcPr>
            <w:tcW w:w="874" w:type="dxa"/>
          </w:tcPr>
          <w:p w14:paraId="55DD206A" w14:textId="77777777" w:rsidR="00405424" w:rsidRPr="00CD29D0" w:rsidRDefault="00405424" w:rsidP="00845803">
            <w:pPr>
              <w:pStyle w:val="TableColHeadingCenter"/>
            </w:pPr>
            <w:r w:rsidRPr="00CD29D0">
              <w:t>High Range (6)</w:t>
            </w:r>
          </w:p>
        </w:tc>
        <w:tc>
          <w:tcPr>
            <w:tcW w:w="875" w:type="dxa"/>
          </w:tcPr>
          <w:p w14:paraId="1F316258" w14:textId="77777777" w:rsidR="00405424" w:rsidRPr="00CD29D0" w:rsidRDefault="00405424" w:rsidP="00845803">
            <w:pPr>
              <w:pStyle w:val="TableColHeadingCenter"/>
            </w:pPr>
            <w:r w:rsidRPr="00CD29D0">
              <w:t>High Range (7)</w:t>
            </w:r>
          </w:p>
        </w:tc>
        <w:tc>
          <w:tcPr>
            <w:tcW w:w="900" w:type="dxa"/>
          </w:tcPr>
          <w:p w14:paraId="449689A8" w14:textId="77777777" w:rsidR="00405424" w:rsidRPr="00CD29D0" w:rsidRDefault="00405424" w:rsidP="00845803">
            <w:pPr>
              <w:pStyle w:val="TableColHeadingCenter"/>
            </w:pPr>
            <w:r w:rsidRPr="00CD29D0">
              <w:t>n</w:t>
            </w:r>
          </w:p>
        </w:tc>
        <w:tc>
          <w:tcPr>
            <w:tcW w:w="892" w:type="dxa"/>
          </w:tcPr>
          <w:p w14:paraId="5E2BDB01" w14:textId="77777777" w:rsidR="00405424" w:rsidRPr="00CD29D0" w:rsidRDefault="00405424" w:rsidP="00845803">
            <w:pPr>
              <w:pStyle w:val="TableColHeadingCenter"/>
            </w:pPr>
            <w:r w:rsidRPr="00CD29D0">
              <w:t>Average</w:t>
            </w:r>
          </w:p>
        </w:tc>
      </w:tr>
      <w:tr w:rsidR="00405424" w:rsidRPr="00CD29D0" w14:paraId="7E91E184" w14:textId="77777777" w:rsidTr="00845803">
        <w:trPr>
          <w:cnfStyle w:val="000000100000" w:firstRow="0" w:lastRow="0" w:firstColumn="0" w:lastColumn="0" w:oddVBand="0" w:evenVBand="0" w:oddHBand="1" w:evenHBand="0" w:firstRowFirstColumn="0" w:firstRowLastColumn="0" w:lastRowFirstColumn="0" w:lastRowLastColumn="0"/>
        </w:trPr>
        <w:tc>
          <w:tcPr>
            <w:tcW w:w="1431" w:type="dxa"/>
          </w:tcPr>
          <w:p w14:paraId="15ABCFE1" w14:textId="77777777" w:rsidR="00405424" w:rsidRPr="00CD29D0" w:rsidRDefault="00405424" w:rsidP="00845803">
            <w:pPr>
              <w:pStyle w:val="TableText"/>
            </w:pPr>
            <w:r w:rsidRPr="00CD29D0">
              <w:t>Grades PK-3**</w:t>
            </w:r>
          </w:p>
        </w:tc>
        <w:tc>
          <w:tcPr>
            <w:tcW w:w="874" w:type="dxa"/>
          </w:tcPr>
          <w:p w14:paraId="7B52B7E9" w14:textId="77777777" w:rsidR="00405424" w:rsidRPr="00CD29D0" w:rsidRDefault="00405424" w:rsidP="00845803">
            <w:pPr>
              <w:pStyle w:val="TableTextCentered"/>
            </w:pPr>
            <w:r w:rsidRPr="00CD29D0">
              <w:t>0</w:t>
            </w:r>
          </w:p>
        </w:tc>
        <w:tc>
          <w:tcPr>
            <w:tcW w:w="874" w:type="dxa"/>
          </w:tcPr>
          <w:p w14:paraId="2F66694B" w14:textId="77777777" w:rsidR="00405424" w:rsidRPr="00CD29D0" w:rsidRDefault="00405424" w:rsidP="00845803">
            <w:pPr>
              <w:pStyle w:val="TableTextCentered"/>
            </w:pPr>
            <w:r w:rsidRPr="00CD29D0">
              <w:t>5</w:t>
            </w:r>
          </w:p>
        </w:tc>
        <w:tc>
          <w:tcPr>
            <w:tcW w:w="874" w:type="dxa"/>
          </w:tcPr>
          <w:p w14:paraId="06E241A2" w14:textId="77777777" w:rsidR="00405424" w:rsidRPr="00CD29D0" w:rsidRDefault="00405424" w:rsidP="00845803">
            <w:pPr>
              <w:pStyle w:val="TableTextCentered"/>
            </w:pPr>
            <w:r w:rsidRPr="00CD29D0">
              <w:t>6</w:t>
            </w:r>
          </w:p>
        </w:tc>
        <w:tc>
          <w:tcPr>
            <w:tcW w:w="875" w:type="dxa"/>
          </w:tcPr>
          <w:p w14:paraId="30FCA018" w14:textId="77777777" w:rsidR="00405424" w:rsidRPr="00CD29D0" w:rsidRDefault="00405424" w:rsidP="00845803">
            <w:pPr>
              <w:pStyle w:val="TableTextCentered"/>
            </w:pPr>
            <w:r w:rsidRPr="00CD29D0">
              <w:t>6</w:t>
            </w:r>
          </w:p>
        </w:tc>
        <w:tc>
          <w:tcPr>
            <w:tcW w:w="875" w:type="dxa"/>
          </w:tcPr>
          <w:p w14:paraId="6696940E" w14:textId="77777777" w:rsidR="00405424" w:rsidRPr="00CD29D0" w:rsidRDefault="00405424" w:rsidP="00845803">
            <w:pPr>
              <w:pStyle w:val="TableTextCentered"/>
            </w:pPr>
            <w:r w:rsidRPr="00CD29D0">
              <w:t>1</w:t>
            </w:r>
          </w:p>
        </w:tc>
        <w:tc>
          <w:tcPr>
            <w:tcW w:w="874" w:type="dxa"/>
          </w:tcPr>
          <w:p w14:paraId="39BAC709" w14:textId="77777777" w:rsidR="00405424" w:rsidRPr="00CD29D0" w:rsidRDefault="00405424" w:rsidP="00845803">
            <w:pPr>
              <w:pStyle w:val="TableTextCentered"/>
            </w:pPr>
            <w:r w:rsidRPr="00CD29D0">
              <w:t>5</w:t>
            </w:r>
          </w:p>
        </w:tc>
        <w:tc>
          <w:tcPr>
            <w:tcW w:w="875" w:type="dxa"/>
          </w:tcPr>
          <w:p w14:paraId="4D7277F7" w14:textId="77777777" w:rsidR="00405424" w:rsidRPr="00CD29D0" w:rsidRDefault="00405424" w:rsidP="00845803">
            <w:pPr>
              <w:pStyle w:val="TableTextCentered"/>
            </w:pPr>
            <w:r w:rsidRPr="00CD29D0">
              <w:t>0</w:t>
            </w:r>
          </w:p>
        </w:tc>
        <w:tc>
          <w:tcPr>
            <w:tcW w:w="900" w:type="dxa"/>
          </w:tcPr>
          <w:p w14:paraId="3B711473" w14:textId="77777777" w:rsidR="00405424" w:rsidRPr="00CD29D0" w:rsidRDefault="00405424" w:rsidP="00845803">
            <w:pPr>
              <w:pStyle w:val="TableTextCentered"/>
            </w:pPr>
            <w:r w:rsidRPr="00CD29D0">
              <w:t>23</w:t>
            </w:r>
          </w:p>
        </w:tc>
        <w:tc>
          <w:tcPr>
            <w:tcW w:w="892" w:type="dxa"/>
          </w:tcPr>
          <w:p w14:paraId="7C2A51D2" w14:textId="77777777" w:rsidR="00405424" w:rsidRPr="00CD29D0" w:rsidRDefault="00405424" w:rsidP="00845803">
            <w:pPr>
              <w:pStyle w:val="TableTextCentered"/>
            </w:pPr>
            <w:r w:rsidRPr="00CD29D0">
              <w:t>3.8</w:t>
            </w:r>
          </w:p>
        </w:tc>
      </w:tr>
    </w:tbl>
    <w:bookmarkEnd w:id="135"/>
    <w:p w14:paraId="3D858B73" w14:textId="70152251" w:rsidR="00405424" w:rsidRPr="00CD29D0" w:rsidRDefault="00405424" w:rsidP="00845803">
      <w:pPr>
        <w:pStyle w:val="TableNote"/>
      </w:pPr>
      <w:r w:rsidRPr="00CD29D0">
        <w:t xml:space="preserve">*The district average is an average of the observation scores. In Table 10, the district average is computed as: </w:t>
      </w:r>
      <w:bookmarkStart w:id="136" w:name="Dist_CD_Calc"/>
      <w:r w:rsidRPr="00CD29D0">
        <w:t>([2 x 5] + [3 x 6] + [4 x 6] + [5 x 1] + [6 x 5]) ÷ 23 observations = 3.8</w:t>
      </w:r>
      <w:bookmarkEnd w:id="136"/>
    </w:p>
    <w:p w14:paraId="4743966A" w14:textId="77777777" w:rsidR="00405424" w:rsidRPr="00CD29D0" w:rsidRDefault="00405424" w:rsidP="00845803">
      <w:pPr>
        <w:pStyle w:val="TableNote"/>
      </w:pPr>
      <w:r w:rsidRPr="00CD29D0">
        <w:t>**Concept Development does not appear in the CLASS Upper Elementary Manual, therefore scores for the Elementary School Level represent grades PK-3 only.</w:t>
      </w:r>
    </w:p>
    <w:p w14:paraId="06EE3FF8" w14:textId="77777777" w:rsidR="00405424" w:rsidRPr="00CD29D0" w:rsidRDefault="00405424" w:rsidP="00845803">
      <w:pPr>
        <w:pStyle w:val="BodyText"/>
      </w:pPr>
      <w:r w:rsidRPr="00CD29D0">
        <w:rPr>
          <w:rStyle w:val="BodyTextDemiChar"/>
        </w:rPr>
        <w:t>Ratings in the Low Range.</w:t>
      </w:r>
      <w:r w:rsidRPr="00CD29D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7D18D04D" w14:textId="77777777" w:rsidR="00405424" w:rsidRPr="00CD29D0" w:rsidRDefault="00405424" w:rsidP="00845803">
      <w:pPr>
        <w:pStyle w:val="BodyTextposthead"/>
      </w:pPr>
      <w:r w:rsidRPr="00CD29D0">
        <w:rPr>
          <w:rStyle w:val="BodyTextDemiChar"/>
        </w:rPr>
        <w:t xml:space="preserve">Ratings in the Middle Range. </w:t>
      </w:r>
      <w:r w:rsidRPr="00CD29D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5120668C" w14:textId="5C10157C" w:rsidR="00405424" w:rsidRPr="00CD29D0" w:rsidRDefault="00405424" w:rsidP="00845803">
      <w:pPr>
        <w:pStyle w:val="BodyTextposthead"/>
      </w:pPr>
      <w:r w:rsidRPr="00CD29D0">
        <w:rPr>
          <w:rStyle w:val="BodyTextDemiChar"/>
        </w:rPr>
        <w:t>Ratings in the High Range.</w:t>
      </w:r>
      <w:r w:rsidRPr="00CD29D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rsidRPr="00CD29D0">
        <w:br w:type="page"/>
      </w:r>
    </w:p>
    <w:p w14:paraId="630AD908" w14:textId="77777777" w:rsidR="00405424" w:rsidRPr="00CD29D0" w:rsidRDefault="00405424" w:rsidP="00272891">
      <w:pPr>
        <w:pStyle w:val="DIORDimensions"/>
      </w:pPr>
      <w:bookmarkStart w:id="137" w:name="_Toc379881742"/>
      <w:bookmarkStart w:id="138" w:name="_Toc411329834"/>
      <w:bookmarkStart w:id="139" w:name="_Toc430114883"/>
      <w:bookmarkStart w:id="140" w:name="_Toc227587570"/>
      <w:r w:rsidRPr="00CD29D0">
        <w:lastRenderedPageBreak/>
        <w:t>Content Understanding</w:t>
      </w:r>
      <w:bookmarkEnd w:id="137"/>
      <w:bookmarkEnd w:id="138"/>
      <w:bookmarkEnd w:id="139"/>
      <w:bookmarkEnd w:id="140"/>
    </w:p>
    <w:p w14:paraId="3234EF62" w14:textId="77777777" w:rsidR="00405424" w:rsidRPr="00CD29D0" w:rsidRDefault="00405424" w:rsidP="00BF0B5C">
      <w:pPr>
        <w:pStyle w:val="BodyTextDomain"/>
      </w:pPr>
      <w:r w:rsidRPr="00CD29D0">
        <w:t>Instructional Support domain, Grades 4</w:t>
      </w:r>
      <w:r w:rsidRPr="00CD29D0">
        <w:rPr>
          <w:rFonts w:ascii="Vijaya" w:hAnsi="Vijaya" w:cs="Vijaya"/>
        </w:rPr>
        <w:t>−</w:t>
      </w:r>
      <w:r w:rsidRPr="00CD29D0">
        <w:t>12</w:t>
      </w:r>
    </w:p>
    <w:p w14:paraId="33D05686" w14:textId="77777777" w:rsidR="00405424" w:rsidRPr="00CD29D0" w:rsidRDefault="00405424" w:rsidP="00460478">
      <w:pPr>
        <w:pStyle w:val="BodyTextposthead"/>
      </w:pPr>
      <w:r w:rsidRPr="00CD29D0">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CD29D0">
        <w:rPr>
          <w:i/>
        </w:rPr>
        <w:t>CLASS Upper Elementary Manual</w:t>
      </w:r>
      <w:r w:rsidRPr="00CD29D0">
        <w:t xml:space="preserve">, p. 70, </w:t>
      </w:r>
      <w:r w:rsidRPr="00CD29D0">
        <w:rPr>
          <w:i/>
        </w:rPr>
        <w:t>CLASS Secondary Manual,</w:t>
      </w:r>
      <w:r w:rsidRPr="00CD29D0">
        <w:t xml:space="preserve"> p. 68).</w:t>
      </w:r>
    </w:p>
    <w:p w14:paraId="5A9416F0" w14:textId="77777777" w:rsidR="00405424" w:rsidRPr="00CD29D0" w:rsidRDefault="00405424" w:rsidP="00460478">
      <w:pPr>
        <w:pStyle w:val="TableTitle0"/>
      </w:pPr>
      <w:r w:rsidRPr="00CD29D0">
        <w:t>Table 11. Content Understanding: Number of Classrooms for Each Rating and District Average</w:t>
      </w:r>
    </w:p>
    <w:p w14:paraId="7E40E13B" w14:textId="77777777" w:rsidR="00405424" w:rsidRPr="00CD29D0" w:rsidRDefault="00405424" w:rsidP="00BF0B5C">
      <w:pPr>
        <w:pStyle w:val="BodyTextDemi"/>
      </w:pPr>
      <w:r w:rsidRPr="00CD29D0">
        <w:t xml:space="preserve">Content Understanding District Average*: </w:t>
      </w:r>
      <w:bookmarkStart w:id="141" w:name="Dist_CU_Avg"/>
      <w:r w:rsidRPr="00CD29D0">
        <w:t>3.6</w:t>
      </w:r>
      <w:bookmarkEnd w:id="141"/>
    </w:p>
    <w:tbl>
      <w:tblPr>
        <w:tblStyle w:val="MSVTable1"/>
        <w:tblW w:w="5000" w:type="pct"/>
        <w:tblLook w:val="04A0" w:firstRow="1" w:lastRow="0" w:firstColumn="1" w:lastColumn="0" w:noHBand="0" w:noVBand="1"/>
        <w:tblCaption w:val="Table 11. Content Understanding: Number of Classrooms for Each Rating and District Average"/>
        <w:tblDescription w:val="Content Understanding: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085650AE"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1A0D91CB" w14:textId="77777777" w:rsidR="00405424" w:rsidRPr="00CD29D0" w:rsidRDefault="00405424" w:rsidP="00460478">
            <w:pPr>
              <w:pStyle w:val="TableColHeadingCenter"/>
            </w:pPr>
            <w:bookmarkStart w:id="142" w:name="Tbl_CU"/>
            <w:r w:rsidRPr="00CD29D0">
              <w:t>Grade Band</w:t>
            </w:r>
          </w:p>
        </w:tc>
        <w:tc>
          <w:tcPr>
            <w:tcW w:w="874" w:type="dxa"/>
          </w:tcPr>
          <w:p w14:paraId="159EC7E1" w14:textId="77777777" w:rsidR="00405424" w:rsidRPr="00CD29D0" w:rsidRDefault="00405424" w:rsidP="00460478">
            <w:pPr>
              <w:pStyle w:val="TableColHeadingCenter"/>
            </w:pPr>
            <w:r w:rsidRPr="00CD29D0">
              <w:t>Low Range (1)</w:t>
            </w:r>
          </w:p>
        </w:tc>
        <w:tc>
          <w:tcPr>
            <w:tcW w:w="874" w:type="dxa"/>
          </w:tcPr>
          <w:p w14:paraId="0766BFE2" w14:textId="77777777" w:rsidR="00405424" w:rsidRPr="00CD29D0" w:rsidRDefault="00405424" w:rsidP="00460478">
            <w:pPr>
              <w:pStyle w:val="TableColHeadingCenter"/>
            </w:pPr>
            <w:r w:rsidRPr="00CD29D0">
              <w:t>Low Range (2)</w:t>
            </w:r>
          </w:p>
        </w:tc>
        <w:tc>
          <w:tcPr>
            <w:tcW w:w="874" w:type="dxa"/>
          </w:tcPr>
          <w:p w14:paraId="0BDBFCF9" w14:textId="77777777" w:rsidR="00405424" w:rsidRPr="00CD29D0" w:rsidRDefault="00405424" w:rsidP="00460478">
            <w:pPr>
              <w:pStyle w:val="TableColHeadingCenter"/>
            </w:pPr>
            <w:r w:rsidRPr="00CD29D0">
              <w:t>Middle Range (3)</w:t>
            </w:r>
          </w:p>
        </w:tc>
        <w:tc>
          <w:tcPr>
            <w:tcW w:w="875" w:type="dxa"/>
          </w:tcPr>
          <w:p w14:paraId="118494F5" w14:textId="77777777" w:rsidR="00405424" w:rsidRPr="00CD29D0" w:rsidRDefault="00405424" w:rsidP="00460478">
            <w:pPr>
              <w:pStyle w:val="TableColHeadingCenter"/>
            </w:pPr>
            <w:r w:rsidRPr="00CD29D0">
              <w:t>Middle Range (4)</w:t>
            </w:r>
          </w:p>
        </w:tc>
        <w:tc>
          <w:tcPr>
            <w:tcW w:w="875" w:type="dxa"/>
          </w:tcPr>
          <w:p w14:paraId="26532CD5" w14:textId="77777777" w:rsidR="00405424" w:rsidRPr="00CD29D0" w:rsidRDefault="00405424" w:rsidP="00460478">
            <w:pPr>
              <w:pStyle w:val="TableColHeadingCenter"/>
            </w:pPr>
            <w:r w:rsidRPr="00CD29D0">
              <w:t>Middle Range (5)</w:t>
            </w:r>
          </w:p>
        </w:tc>
        <w:tc>
          <w:tcPr>
            <w:tcW w:w="874" w:type="dxa"/>
          </w:tcPr>
          <w:p w14:paraId="5FEBB933" w14:textId="77777777" w:rsidR="00405424" w:rsidRPr="00CD29D0" w:rsidRDefault="00405424" w:rsidP="00460478">
            <w:pPr>
              <w:pStyle w:val="TableColHeadingCenter"/>
            </w:pPr>
            <w:r w:rsidRPr="00CD29D0">
              <w:t>High Range (6)</w:t>
            </w:r>
          </w:p>
        </w:tc>
        <w:tc>
          <w:tcPr>
            <w:tcW w:w="875" w:type="dxa"/>
          </w:tcPr>
          <w:p w14:paraId="712CC0DA" w14:textId="77777777" w:rsidR="00405424" w:rsidRPr="00CD29D0" w:rsidRDefault="00405424" w:rsidP="00460478">
            <w:pPr>
              <w:pStyle w:val="TableColHeadingCenter"/>
            </w:pPr>
            <w:r w:rsidRPr="00CD29D0">
              <w:t>High Range (7)</w:t>
            </w:r>
          </w:p>
        </w:tc>
        <w:tc>
          <w:tcPr>
            <w:tcW w:w="900" w:type="dxa"/>
          </w:tcPr>
          <w:p w14:paraId="5CEF578A" w14:textId="77777777" w:rsidR="00405424" w:rsidRPr="00CD29D0" w:rsidRDefault="00405424" w:rsidP="00460478">
            <w:pPr>
              <w:pStyle w:val="TableColHeadingCenter"/>
            </w:pPr>
            <w:r w:rsidRPr="00CD29D0">
              <w:t>n</w:t>
            </w:r>
          </w:p>
        </w:tc>
        <w:tc>
          <w:tcPr>
            <w:tcW w:w="892" w:type="dxa"/>
          </w:tcPr>
          <w:p w14:paraId="64FE3C25" w14:textId="77777777" w:rsidR="00405424" w:rsidRPr="00CD29D0" w:rsidRDefault="00405424" w:rsidP="00460478">
            <w:pPr>
              <w:pStyle w:val="TableColHeadingCenter"/>
            </w:pPr>
            <w:r w:rsidRPr="00CD29D0">
              <w:t>Average</w:t>
            </w:r>
          </w:p>
        </w:tc>
      </w:tr>
      <w:tr w:rsidR="00405424" w:rsidRPr="00CD29D0" w14:paraId="22B38975"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7261D2A3" w14:textId="77777777" w:rsidR="00405424" w:rsidRPr="00CD29D0" w:rsidRDefault="00405424" w:rsidP="00460478">
            <w:pPr>
              <w:pStyle w:val="TableText"/>
            </w:pPr>
            <w:r w:rsidRPr="00CD29D0">
              <w:t>Grades 4-5**</w:t>
            </w:r>
          </w:p>
        </w:tc>
        <w:tc>
          <w:tcPr>
            <w:tcW w:w="874" w:type="dxa"/>
          </w:tcPr>
          <w:p w14:paraId="2DDAB698" w14:textId="77777777" w:rsidR="00405424" w:rsidRPr="00CD29D0" w:rsidRDefault="00405424" w:rsidP="00460478">
            <w:pPr>
              <w:pStyle w:val="TableTextCentered"/>
            </w:pPr>
            <w:r w:rsidRPr="00CD29D0">
              <w:t>0</w:t>
            </w:r>
          </w:p>
        </w:tc>
        <w:tc>
          <w:tcPr>
            <w:tcW w:w="874" w:type="dxa"/>
          </w:tcPr>
          <w:p w14:paraId="3A9BB6F7" w14:textId="77777777" w:rsidR="00405424" w:rsidRPr="00CD29D0" w:rsidRDefault="00405424" w:rsidP="00460478">
            <w:pPr>
              <w:pStyle w:val="TableTextCentered"/>
            </w:pPr>
            <w:r w:rsidRPr="00CD29D0">
              <w:t>0</w:t>
            </w:r>
          </w:p>
        </w:tc>
        <w:tc>
          <w:tcPr>
            <w:tcW w:w="874" w:type="dxa"/>
          </w:tcPr>
          <w:p w14:paraId="02C70218" w14:textId="77777777" w:rsidR="00405424" w:rsidRPr="00CD29D0" w:rsidRDefault="00405424" w:rsidP="00460478">
            <w:pPr>
              <w:pStyle w:val="TableTextCentered"/>
            </w:pPr>
            <w:r w:rsidRPr="00CD29D0">
              <w:t>0</w:t>
            </w:r>
          </w:p>
        </w:tc>
        <w:tc>
          <w:tcPr>
            <w:tcW w:w="875" w:type="dxa"/>
          </w:tcPr>
          <w:p w14:paraId="27A7F676" w14:textId="77777777" w:rsidR="00405424" w:rsidRPr="00CD29D0" w:rsidRDefault="00405424" w:rsidP="00460478">
            <w:pPr>
              <w:pStyle w:val="TableTextCentered"/>
            </w:pPr>
            <w:r w:rsidRPr="00CD29D0">
              <w:t>7</w:t>
            </w:r>
          </w:p>
        </w:tc>
        <w:tc>
          <w:tcPr>
            <w:tcW w:w="875" w:type="dxa"/>
          </w:tcPr>
          <w:p w14:paraId="71A6D8FE" w14:textId="77777777" w:rsidR="00405424" w:rsidRPr="00CD29D0" w:rsidRDefault="00405424" w:rsidP="00460478">
            <w:pPr>
              <w:pStyle w:val="TableTextCentered"/>
            </w:pPr>
            <w:r w:rsidRPr="00CD29D0">
              <w:t>3</w:t>
            </w:r>
          </w:p>
        </w:tc>
        <w:tc>
          <w:tcPr>
            <w:tcW w:w="874" w:type="dxa"/>
          </w:tcPr>
          <w:p w14:paraId="28DF8E19" w14:textId="77777777" w:rsidR="00405424" w:rsidRPr="00CD29D0" w:rsidRDefault="00405424" w:rsidP="00460478">
            <w:pPr>
              <w:pStyle w:val="TableTextCentered"/>
            </w:pPr>
            <w:r w:rsidRPr="00CD29D0">
              <w:t>0</w:t>
            </w:r>
          </w:p>
        </w:tc>
        <w:tc>
          <w:tcPr>
            <w:tcW w:w="875" w:type="dxa"/>
          </w:tcPr>
          <w:p w14:paraId="235B1872" w14:textId="77777777" w:rsidR="00405424" w:rsidRPr="00CD29D0" w:rsidRDefault="00405424" w:rsidP="00460478">
            <w:pPr>
              <w:pStyle w:val="TableTextCentered"/>
            </w:pPr>
            <w:r w:rsidRPr="00CD29D0">
              <w:t>0</w:t>
            </w:r>
          </w:p>
        </w:tc>
        <w:tc>
          <w:tcPr>
            <w:tcW w:w="900" w:type="dxa"/>
          </w:tcPr>
          <w:p w14:paraId="78C58C33" w14:textId="77777777" w:rsidR="00405424" w:rsidRPr="00CD29D0" w:rsidRDefault="00405424" w:rsidP="00460478">
            <w:pPr>
              <w:pStyle w:val="TableTextCentered"/>
            </w:pPr>
            <w:r w:rsidRPr="00CD29D0">
              <w:t>10</w:t>
            </w:r>
          </w:p>
        </w:tc>
        <w:tc>
          <w:tcPr>
            <w:tcW w:w="892" w:type="dxa"/>
          </w:tcPr>
          <w:p w14:paraId="4DA088F9" w14:textId="77777777" w:rsidR="00405424" w:rsidRPr="00CD29D0" w:rsidRDefault="00405424" w:rsidP="00460478">
            <w:pPr>
              <w:pStyle w:val="TableTextCentered"/>
            </w:pPr>
            <w:r w:rsidRPr="00CD29D0">
              <w:t>4.3</w:t>
            </w:r>
          </w:p>
        </w:tc>
      </w:tr>
      <w:tr w:rsidR="00405424" w:rsidRPr="00CD29D0" w14:paraId="6210FAE5" w14:textId="77777777" w:rsidTr="00460478">
        <w:tc>
          <w:tcPr>
            <w:tcW w:w="1431" w:type="dxa"/>
          </w:tcPr>
          <w:p w14:paraId="5CAD0E8A" w14:textId="77777777" w:rsidR="00405424" w:rsidRPr="00CD29D0" w:rsidRDefault="00405424" w:rsidP="00460478">
            <w:pPr>
              <w:pStyle w:val="TableText"/>
            </w:pPr>
            <w:r w:rsidRPr="00CD29D0">
              <w:t>Grades 6-8</w:t>
            </w:r>
          </w:p>
        </w:tc>
        <w:tc>
          <w:tcPr>
            <w:tcW w:w="874" w:type="dxa"/>
          </w:tcPr>
          <w:p w14:paraId="7613B772" w14:textId="77777777" w:rsidR="00405424" w:rsidRPr="00CD29D0" w:rsidRDefault="00405424" w:rsidP="00460478">
            <w:pPr>
              <w:pStyle w:val="TableTextCentered"/>
            </w:pPr>
            <w:r w:rsidRPr="00CD29D0">
              <w:t>0</w:t>
            </w:r>
          </w:p>
        </w:tc>
        <w:tc>
          <w:tcPr>
            <w:tcW w:w="874" w:type="dxa"/>
          </w:tcPr>
          <w:p w14:paraId="6D717F28" w14:textId="77777777" w:rsidR="00405424" w:rsidRPr="00CD29D0" w:rsidRDefault="00405424" w:rsidP="00460478">
            <w:pPr>
              <w:pStyle w:val="TableTextCentered"/>
            </w:pPr>
            <w:r w:rsidRPr="00CD29D0">
              <w:t>2</w:t>
            </w:r>
          </w:p>
        </w:tc>
        <w:tc>
          <w:tcPr>
            <w:tcW w:w="874" w:type="dxa"/>
          </w:tcPr>
          <w:p w14:paraId="36280D5B" w14:textId="77777777" w:rsidR="00405424" w:rsidRPr="00CD29D0" w:rsidRDefault="00405424" w:rsidP="00460478">
            <w:pPr>
              <w:pStyle w:val="TableTextCentered"/>
            </w:pPr>
            <w:r w:rsidRPr="00CD29D0">
              <w:t>11</w:t>
            </w:r>
          </w:p>
        </w:tc>
        <w:tc>
          <w:tcPr>
            <w:tcW w:w="875" w:type="dxa"/>
          </w:tcPr>
          <w:p w14:paraId="39951E39" w14:textId="77777777" w:rsidR="00405424" w:rsidRPr="00CD29D0" w:rsidRDefault="00405424" w:rsidP="00460478">
            <w:pPr>
              <w:pStyle w:val="TableTextCentered"/>
            </w:pPr>
            <w:r w:rsidRPr="00CD29D0">
              <w:t>7</w:t>
            </w:r>
          </w:p>
        </w:tc>
        <w:tc>
          <w:tcPr>
            <w:tcW w:w="875" w:type="dxa"/>
          </w:tcPr>
          <w:p w14:paraId="28B53318" w14:textId="77777777" w:rsidR="00405424" w:rsidRPr="00CD29D0" w:rsidRDefault="00405424" w:rsidP="00460478">
            <w:pPr>
              <w:pStyle w:val="TableTextCentered"/>
            </w:pPr>
            <w:r w:rsidRPr="00CD29D0">
              <w:t>0</w:t>
            </w:r>
          </w:p>
        </w:tc>
        <w:tc>
          <w:tcPr>
            <w:tcW w:w="874" w:type="dxa"/>
          </w:tcPr>
          <w:p w14:paraId="4A75F703" w14:textId="77777777" w:rsidR="00405424" w:rsidRPr="00CD29D0" w:rsidRDefault="00405424" w:rsidP="00460478">
            <w:pPr>
              <w:pStyle w:val="TableTextCentered"/>
            </w:pPr>
            <w:r w:rsidRPr="00CD29D0">
              <w:t>0</w:t>
            </w:r>
          </w:p>
        </w:tc>
        <w:tc>
          <w:tcPr>
            <w:tcW w:w="875" w:type="dxa"/>
          </w:tcPr>
          <w:p w14:paraId="2A91F905" w14:textId="77777777" w:rsidR="00405424" w:rsidRPr="00CD29D0" w:rsidRDefault="00405424" w:rsidP="00460478">
            <w:pPr>
              <w:pStyle w:val="TableTextCentered"/>
            </w:pPr>
            <w:r w:rsidRPr="00CD29D0">
              <w:t>0</w:t>
            </w:r>
          </w:p>
        </w:tc>
        <w:tc>
          <w:tcPr>
            <w:tcW w:w="900" w:type="dxa"/>
          </w:tcPr>
          <w:p w14:paraId="3D0B00DE" w14:textId="77777777" w:rsidR="00405424" w:rsidRPr="00CD29D0" w:rsidRDefault="00405424" w:rsidP="00460478">
            <w:pPr>
              <w:pStyle w:val="TableTextCentered"/>
            </w:pPr>
            <w:r w:rsidRPr="00CD29D0">
              <w:t>20</w:t>
            </w:r>
          </w:p>
        </w:tc>
        <w:tc>
          <w:tcPr>
            <w:tcW w:w="892" w:type="dxa"/>
          </w:tcPr>
          <w:p w14:paraId="6A2D2C7F" w14:textId="77777777" w:rsidR="00405424" w:rsidRPr="00CD29D0" w:rsidRDefault="00405424" w:rsidP="00460478">
            <w:pPr>
              <w:pStyle w:val="TableTextCentered"/>
            </w:pPr>
            <w:r w:rsidRPr="00CD29D0">
              <w:t>3.3</w:t>
            </w:r>
          </w:p>
        </w:tc>
      </w:tr>
      <w:tr w:rsidR="00405424" w:rsidRPr="00CD29D0" w14:paraId="586DF2F3"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40761F93" w14:textId="77777777" w:rsidR="00405424" w:rsidRPr="00CD29D0" w:rsidRDefault="00405424" w:rsidP="00460478">
            <w:pPr>
              <w:pStyle w:val="TableText"/>
            </w:pPr>
            <w:r w:rsidRPr="00CD29D0">
              <w:t>Grades 9-12</w:t>
            </w:r>
          </w:p>
        </w:tc>
        <w:tc>
          <w:tcPr>
            <w:tcW w:w="874" w:type="dxa"/>
          </w:tcPr>
          <w:p w14:paraId="0EA611F6" w14:textId="77777777" w:rsidR="00405424" w:rsidRPr="00CD29D0" w:rsidRDefault="00405424" w:rsidP="00460478">
            <w:pPr>
              <w:pStyle w:val="TableTextCentered"/>
            </w:pPr>
            <w:r w:rsidRPr="00CD29D0">
              <w:t>0</w:t>
            </w:r>
          </w:p>
        </w:tc>
        <w:tc>
          <w:tcPr>
            <w:tcW w:w="874" w:type="dxa"/>
          </w:tcPr>
          <w:p w14:paraId="140BCFC1" w14:textId="77777777" w:rsidR="00405424" w:rsidRPr="00CD29D0" w:rsidRDefault="00405424" w:rsidP="00460478">
            <w:pPr>
              <w:pStyle w:val="TableTextCentered"/>
            </w:pPr>
            <w:r w:rsidRPr="00CD29D0">
              <w:t>2</w:t>
            </w:r>
          </w:p>
        </w:tc>
        <w:tc>
          <w:tcPr>
            <w:tcW w:w="874" w:type="dxa"/>
          </w:tcPr>
          <w:p w14:paraId="242DDA3C" w14:textId="77777777" w:rsidR="00405424" w:rsidRPr="00CD29D0" w:rsidRDefault="00405424" w:rsidP="00460478">
            <w:pPr>
              <w:pStyle w:val="TableTextCentered"/>
            </w:pPr>
            <w:r w:rsidRPr="00CD29D0">
              <w:t>4</w:t>
            </w:r>
          </w:p>
        </w:tc>
        <w:tc>
          <w:tcPr>
            <w:tcW w:w="875" w:type="dxa"/>
          </w:tcPr>
          <w:p w14:paraId="0E19EF57" w14:textId="77777777" w:rsidR="00405424" w:rsidRPr="00CD29D0" w:rsidRDefault="00405424" w:rsidP="00460478">
            <w:pPr>
              <w:pStyle w:val="TableTextCentered"/>
            </w:pPr>
            <w:r w:rsidRPr="00CD29D0">
              <w:t>12</w:t>
            </w:r>
          </w:p>
        </w:tc>
        <w:tc>
          <w:tcPr>
            <w:tcW w:w="875" w:type="dxa"/>
          </w:tcPr>
          <w:p w14:paraId="13FF9148" w14:textId="77777777" w:rsidR="00405424" w:rsidRPr="00CD29D0" w:rsidRDefault="00405424" w:rsidP="00460478">
            <w:pPr>
              <w:pStyle w:val="TableTextCentered"/>
            </w:pPr>
            <w:r w:rsidRPr="00CD29D0">
              <w:t>2</w:t>
            </w:r>
          </w:p>
        </w:tc>
        <w:tc>
          <w:tcPr>
            <w:tcW w:w="874" w:type="dxa"/>
          </w:tcPr>
          <w:p w14:paraId="4E75453B" w14:textId="77777777" w:rsidR="00405424" w:rsidRPr="00CD29D0" w:rsidRDefault="00405424" w:rsidP="00460478">
            <w:pPr>
              <w:pStyle w:val="TableTextCentered"/>
            </w:pPr>
            <w:r w:rsidRPr="00CD29D0">
              <w:t>0</w:t>
            </w:r>
          </w:p>
        </w:tc>
        <w:tc>
          <w:tcPr>
            <w:tcW w:w="875" w:type="dxa"/>
          </w:tcPr>
          <w:p w14:paraId="03EDCC9E" w14:textId="77777777" w:rsidR="00405424" w:rsidRPr="00CD29D0" w:rsidRDefault="00405424" w:rsidP="00460478">
            <w:pPr>
              <w:pStyle w:val="TableTextCentered"/>
            </w:pPr>
            <w:r w:rsidRPr="00CD29D0">
              <w:t>0</w:t>
            </w:r>
          </w:p>
        </w:tc>
        <w:tc>
          <w:tcPr>
            <w:tcW w:w="900" w:type="dxa"/>
          </w:tcPr>
          <w:p w14:paraId="54CF7741" w14:textId="77777777" w:rsidR="00405424" w:rsidRPr="00CD29D0" w:rsidRDefault="00405424" w:rsidP="00460478">
            <w:pPr>
              <w:pStyle w:val="TableTextCentered"/>
            </w:pPr>
            <w:r w:rsidRPr="00CD29D0">
              <w:t>20</w:t>
            </w:r>
          </w:p>
        </w:tc>
        <w:tc>
          <w:tcPr>
            <w:tcW w:w="892" w:type="dxa"/>
          </w:tcPr>
          <w:p w14:paraId="361ED8BF" w14:textId="77777777" w:rsidR="00405424" w:rsidRPr="00CD29D0" w:rsidRDefault="00405424" w:rsidP="00460478">
            <w:pPr>
              <w:pStyle w:val="TableTextCentered"/>
            </w:pPr>
            <w:r w:rsidRPr="00CD29D0">
              <w:t>3.7</w:t>
            </w:r>
          </w:p>
        </w:tc>
      </w:tr>
      <w:tr w:rsidR="00405424" w:rsidRPr="00CD29D0" w14:paraId="0A7E19F5" w14:textId="77777777" w:rsidTr="00460478">
        <w:tc>
          <w:tcPr>
            <w:tcW w:w="1431" w:type="dxa"/>
          </w:tcPr>
          <w:p w14:paraId="0D0E2CC5" w14:textId="77777777" w:rsidR="00405424" w:rsidRPr="00CD29D0" w:rsidRDefault="00405424" w:rsidP="00460478">
            <w:pPr>
              <w:pStyle w:val="TableText"/>
              <w:rPr>
                <w:b/>
                <w:bCs/>
              </w:rPr>
            </w:pPr>
            <w:r w:rsidRPr="00CD29D0">
              <w:rPr>
                <w:b/>
                <w:bCs/>
              </w:rPr>
              <w:t>Totals</w:t>
            </w:r>
          </w:p>
        </w:tc>
        <w:tc>
          <w:tcPr>
            <w:tcW w:w="874" w:type="dxa"/>
          </w:tcPr>
          <w:p w14:paraId="73D848E5" w14:textId="77777777" w:rsidR="00405424" w:rsidRPr="00CD29D0" w:rsidRDefault="00405424" w:rsidP="00460478">
            <w:pPr>
              <w:pStyle w:val="TableTextCentered"/>
              <w:rPr>
                <w:b/>
                <w:bCs/>
              </w:rPr>
            </w:pPr>
            <w:r w:rsidRPr="00CD29D0">
              <w:rPr>
                <w:b/>
                <w:bCs/>
              </w:rPr>
              <w:t>0</w:t>
            </w:r>
          </w:p>
        </w:tc>
        <w:tc>
          <w:tcPr>
            <w:tcW w:w="874" w:type="dxa"/>
          </w:tcPr>
          <w:p w14:paraId="4B717665" w14:textId="77777777" w:rsidR="00405424" w:rsidRPr="00CD29D0" w:rsidRDefault="00405424" w:rsidP="00460478">
            <w:pPr>
              <w:pStyle w:val="TableTextCentered"/>
              <w:rPr>
                <w:b/>
                <w:bCs/>
              </w:rPr>
            </w:pPr>
            <w:r w:rsidRPr="00CD29D0">
              <w:rPr>
                <w:b/>
                <w:bCs/>
              </w:rPr>
              <w:t>4</w:t>
            </w:r>
          </w:p>
        </w:tc>
        <w:tc>
          <w:tcPr>
            <w:tcW w:w="874" w:type="dxa"/>
          </w:tcPr>
          <w:p w14:paraId="5AD7EE9C" w14:textId="77777777" w:rsidR="00405424" w:rsidRPr="00CD29D0" w:rsidRDefault="00405424" w:rsidP="00460478">
            <w:pPr>
              <w:pStyle w:val="TableTextCentered"/>
              <w:rPr>
                <w:b/>
                <w:bCs/>
              </w:rPr>
            </w:pPr>
            <w:r w:rsidRPr="00CD29D0">
              <w:rPr>
                <w:b/>
                <w:bCs/>
              </w:rPr>
              <w:t>15</w:t>
            </w:r>
          </w:p>
        </w:tc>
        <w:tc>
          <w:tcPr>
            <w:tcW w:w="875" w:type="dxa"/>
          </w:tcPr>
          <w:p w14:paraId="28E9C26C" w14:textId="77777777" w:rsidR="00405424" w:rsidRPr="00CD29D0" w:rsidRDefault="00405424" w:rsidP="00460478">
            <w:pPr>
              <w:pStyle w:val="TableTextCentered"/>
              <w:rPr>
                <w:b/>
                <w:bCs/>
              </w:rPr>
            </w:pPr>
            <w:r w:rsidRPr="00CD29D0">
              <w:rPr>
                <w:b/>
                <w:bCs/>
              </w:rPr>
              <w:t>26</w:t>
            </w:r>
          </w:p>
        </w:tc>
        <w:tc>
          <w:tcPr>
            <w:tcW w:w="875" w:type="dxa"/>
          </w:tcPr>
          <w:p w14:paraId="2AD4645B" w14:textId="77777777" w:rsidR="00405424" w:rsidRPr="00CD29D0" w:rsidRDefault="00405424" w:rsidP="00460478">
            <w:pPr>
              <w:pStyle w:val="TableTextCentered"/>
              <w:rPr>
                <w:b/>
                <w:bCs/>
              </w:rPr>
            </w:pPr>
            <w:r w:rsidRPr="00CD29D0">
              <w:rPr>
                <w:b/>
                <w:bCs/>
              </w:rPr>
              <w:t>5</w:t>
            </w:r>
          </w:p>
        </w:tc>
        <w:tc>
          <w:tcPr>
            <w:tcW w:w="874" w:type="dxa"/>
          </w:tcPr>
          <w:p w14:paraId="311AB699" w14:textId="77777777" w:rsidR="00405424" w:rsidRPr="00CD29D0" w:rsidRDefault="00405424" w:rsidP="00460478">
            <w:pPr>
              <w:pStyle w:val="TableTextCentered"/>
              <w:rPr>
                <w:b/>
                <w:bCs/>
              </w:rPr>
            </w:pPr>
            <w:r w:rsidRPr="00CD29D0">
              <w:rPr>
                <w:b/>
                <w:bCs/>
              </w:rPr>
              <w:t>0</w:t>
            </w:r>
          </w:p>
        </w:tc>
        <w:tc>
          <w:tcPr>
            <w:tcW w:w="875" w:type="dxa"/>
          </w:tcPr>
          <w:p w14:paraId="68DBE69E" w14:textId="77777777" w:rsidR="00405424" w:rsidRPr="00CD29D0" w:rsidRDefault="00405424" w:rsidP="00460478">
            <w:pPr>
              <w:pStyle w:val="TableTextCentered"/>
              <w:rPr>
                <w:b/>
                <w:bCs/>
              </w:rPr>
            </w:pPr>
            <w:r w:rsidRPr="00CD29D0">
              <w:rPr>
                <w:b/>
                <w:bCs/>
              </w:rPr>
              <w:t>0</w:t>
            </w:r>
          </w:p>
        </w:tc>
        <w:tc>
          <w:tcPr>
            <w:tcW w:w="900" w:type="dxa"/>
          </w:tcPr>
          <w:p w14:paraId="572B2FD6" w14:textId="77777777" w:rsidR="00405424" w:rsidRPr="00CD29D0" w:rsidRDefault="00405424" w:rsidP="00460478">
            <w:pPr>
              <w:pStyle w:val="TableTextCentered"/>
              <w:rPr>
                <w:b/>
                <w:bCs/>
              </w:rPr>
            </w:pPr>
            <w:r w:rsidRPr="00CD29D0">
              <w:rPr>
                <w:b/>
                <w:bCs/>
              </w:rPr>
              <w:t>50</w:t>
            </w:r>
          </w:p>
        </w:tc>
        <w:tc>
          <w:tcPr>
            <w:tcW w:w="892" w:type="dxa"/>
          </w:tcPr>
          <w:p w14:paraId="2ED708EC" w14:textId="77777777" w:rsidR="00405424" w:rsidRPr="00CD29D0" w:rsidRDefault="00405424" w:rsidP="00460478">
            <w:pPr>
              <w:pStyle w:val="TableTextCentered"/>
              <w:rPr>
                <w:b/>
                <w:bCs/>
              </w:rPr>
            </w:pPr>
            <w:r w:rsidRPr="00CD29D0">
              <w:rPr>
                <w:b/>
                <w:bCs/>
              </w:rPr>
              <w:t>3.6</w:t>
            </w:r>
          </w:p>
        </w:tc>
      </w:tr>
    </w:tbl>
    <w:bookmarkEnd w:id="142"/>
    <w:p w14:paraId="22B685C7" w14:textId="6D8F41CB" w:rsidR="00405424" w:rsidRPr="00CD29D0" w:rsidRDefault="00405424" w:rsidP="00460478">
      <w:pPr>
        <w:pStyle w:val="TableNote"/>
      </w:pPr>
      <w:r w:rsidRPr="00CD29D0">
        <w:t xml:space="preserve">*The district average is an average of the observation scores. In Table 11, the district average is computed as: </w:t>
      </w:r>
      <w:bookmarkStart w:id="143" w:name="Dist_CU_Calc"/>
      <w:r w:rsidRPr="00CD29D0">
        <w:t>([2 x 4] + [3 x 15] + [4 x 26] + [5 x 5]) ÷ 50 observations = 3.6</w:t>
      </w:r>
      <w:bookmarkEnd w:id="143"/>
    </w:p>
    <w:p w14:paraId="4F36D87E" w14:textId="77777777" w:rsidR="00405424" w:rsidRPr="00CD29D0" w:rsidRDefault="00405424" w:rsidP="00460478">
      <w:pPr>
        <w:pStyle w:val="TableNote"/>
      </w:pPr>
      <w:r w:rsidRPr="00CD29D0">
        <w:t>**Content Understanding does not appear in the CLASS PK-3 Manual, therefore scores for the Elementary School Level represent grades 4-5 only.</w:t>
      </w:r>
    </w:p>
    <w:p w14:paraId="061C3245" w14:textId="77777777" w:rsidR="00405424" w:rsidRPr="00CD29D0" w:rsidRDefault="00405424" w:rsidP="00460478">
      <w:pPr>
        <w:pStyle w:val="BodyText"/>
      </w:pPr>
      <w:r w:rsidRPr="00CD29D0">
        <w:rPr>
          <w:rStyle w:val="BodyTextDemiChar"/>
        </w:rPr>
        <w:t>Ratings in the Low Range.</w:t>
      </w:r>
      <w:r w:rsidRPr="00CD29D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02C1220A" w14:textId="77777777" w:rsidR="00405424" w:rsidRPr="00CD29D0" w:rsidRDefault="00405424" w:rsidP="00460478">
      <w:pPr>
        <w:pStyle w:val="BodyTextposthead"/>
      </w:pPr>
      <w:r w:rsidRPr="00CD29D0">
        <w:rPr>
          <w:rStyle w:val="BodyTextDemiChar"/>
        </w:rPr>
        <w:t>Ratings in the Middle Range.</w:t>
      </w:r>
      <w:r w:rsidRPr="00CD29D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46438A1D" w14:textId="1D1134E6" w:rsidR="00424417" w:rsidRPr="00CD29D0" w:rsidRDefault="00405424" w:rsidP="00460478">
      <w:pPr>
        <w:pStyle w:val="BodyTextposthead"/>
      </w:pPr>
      <w:r w:rsidRPr="00CD29D0">
        <w:rPr>
          <w:rStyle w:val="BodyTextDemiChar"/>
        </w:rPr>
        <w:t>Ratings in the High Range.</w:t>
      </w:r>
      <w:r w:rsidRPr="00CD29D0">
        <w:t xml:space="preserve"> At the high range, the focus of the class is on encouraging deep understanding of content through the provision of meaningful, interactive discussion and explanation of broad, organizing ideas. Class discussion and materials consistently communicate the essential attributes of concepts and procedures to students. New concepts and procedures and broad ideas are consistently linked to students’ prior knowledge in ways that advance their understanding and clarify misconceptions.</w:t>
      </w:r>
      <w:r w:rsidR="00424417" w:rsidRPr="00CD29D0">
        <w:br w:type="page"/>
      </w:r>
    </w:p>
    <w:p w14:paraId="28164205" w14:textId="77777777" w:rsidR="00405424" w:rsidRPr="00CD29D0" w:rsidRDefault="00405424" w:rsidP="00272891">
      <w:pPr>
        <w:pStyle w:val="DIORDimensions"/>
      </w:pPr>
      <w:bookmarkStart w:id="144" w:name="_Toc379881743"/>
      <w:bookmarkStart w:id="145" w:name="_Toc411329835"/>
      <w:bookmarkStart w:id="146" w:name="_Toc430114884"/>
      <w:bookmarkStart w:id="147" w:name="_Toc227587571"/>
      <w:r w:rsidRPr="00CD29D0">
        <w:lastRenderedPageBreak/>
        <w:t>Analysis and Inquiry</w:t>
      </w:r>
      <w:bookmarkEnd w:id="144"/>
      <w:bookmarkEnd w:id="145"/>
      <w:bookmarkEnd w:id="146"/>
      <w:bookmarkEnd w:id="147"/>
    </w:p>
    <w:p w14:paraId="78EF8F3B" w14:textId="77777777" w:rsidR="00405424" w:rsidRPr="00CD29D0" w:rsidRDefault="00405424" w:rsidP="00BF0B5C">
      <w:pPr>
        <w:pStyle w:val="BodyTextDomain"/>
      </w:pPr>
      <w:r w:rsidRPr="00CD29D0">
        <w:t>Instructional Support domain, Grades 4</w:t>
      </w:r>
      <w:r w:rsidRPr="00CD29D0">
        <w:rPr>
          <w:rFonts w:ascii="Vijaya" w:hAnsi="Vijaya" w:cs="Vijaya"/>
        </w:rPr>
        <w:t>−</w:t>
      </w:r>
      <w:r w:rsidRPr="00CD29D0">
        <w:t>12</w:t>
      </w:r>
    </w:p>
    <w:p w14:paraId="1956CD56" w14:textId="77777777" w:rsidR="00405424" w:rsidRPr="00CD29D0" w:rsidRDefault="00405424" w:rsidP="00460478">
      <w:pPr>
        <w:pStyle w:val="BodyTextposthead"/>
      </w:pPr>
      <w:r w:rsidRPr="00CD29D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CD29D0">
        <w:rPr>
          <w:i/>
        </w:rPr>
        <w:t>CLASS Upper Elementary Manual</w:t>
      </w:r>
      <w:r w:rsidRPr="00CD29D0">
        <w:t>, p. 81,</w:t>
      </w:r>
      <w:r w:rsidRPr="00CD29D0">
        <w:rPr>
          <w:i/>
        </w:rPr>
        <w:t xml:space="preserve"> CLASS Secondary Manual</w:t>
      </w:r>
      <w:r w:rsidRPr="00CD29D0">
        <w:t>, p. 76).</w:t>
      </w:r>
    </w:p>
    <w:p w14:paraId="32101C4F" w14:textId="77777777" w:rsidR="00405424" w:rsidRPr="00CD29D0" w:rsidRDefault="00405424" w:rsidP="00460478">
      <w:pPr>
        <w:pStyle w:val="TableTitle0"/>
      </w:pPr>
      <w:r w:rsidRPr="00CD29D0">
        <w:t>Table 12. Analysis and Inquiry: Number of Classrooms for Each Rating and District Average</w:t>
      </w:r>
    </w:p>
    <w:p w14:paraId="2F1AC1CA" w14:textId="77777777" w:rsidR="00405424" w:rsidRPr="00CD29D0" w:rsidRDefault="00405424" w:rsidP="00BF0B5C">
      <w:pPr>
        <w:pStyle w:val="BodyTextDemi"/>
      </w:pPr>
      <w:r w:rsidRPr="00CD29D0">
        <w:t xml:space="preserve">Analysis and Inquiry District Average*: </w:t>
      </w:r>
      <w:bookmarkStart w:id="148" w:name="Dist_AI_Avg"/>
      <w:r w:rsidRPr="00CD29D0">
        <w:t>2.5</w:t>
      </w:r>
      <w:bookmarkEnd w:id="148"/>
    </w:p>
    <w:tbl>
      <w:tblPr>
        <w:tblStyle w:val="MSVTable1"/>
        <w:tblW w:w="5000" w:type="pct"/>
        <w:tblLook w:val="04A0" w:firstRow="1" w:lastRow="0" w:firstColumn="1" w:lastColumn="0" w:noHBand="0" w:noVBand="1"/>
        <w:tblCaption w:val="Table 12. Analysis and Inquiry: Number of Classrooms for Each Rating and District Average"/>
        <w:tblDescription w:val="Analysis and Inquiry: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6F2058F1"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308939FA" w14:textId="77777777" w:rsidR="00405424" w:rsidRPr="00CD29D0" w:rsidRDefault="00405424" w:rsidP="00460478">
            <w:pPr>
              <w:pStyle w:val="TableColHeadingCenter"/>
            </w:pPr>
            <w:bookmarkStart w:id="149" w:name="Tbl_AI"/>
            <w:r w:rsidRPr="00CD29D0">
              <w:t>Grade Band</w:t>
            </w:r>
          </w:p>
        </w:tc>
        <w:tc>
          <w:tcPr>
            <w:tcW w:w="874" w:type="dxa"/>
          </w:tcPr>
          <w:p w14:paraId="1B81EC43" w14:textId="77777777" w:rsidR="00405424" w:rsidRPr="00CD29D0" w:rsidRDefault="00405424" w:rsidP="00460478">
            <w:pPr>
              <w:pStyle w:val="TableColHeadingCenter"/>
            </w:pPr>
            <w:r w:rsidRPr="00CD29D0">
              <w:t>Low Range (1)</w:t>
            </w:r>
          </w:p>
        </w:tc>
        <w:tc>
          <w:tcPr>
            <w:tcW w:w="874" w:type="dxa"/>
          </w:tcPr>
          <w:p w14:paraId="625181E8" w14:textId="77777777" w:rsidR="00405424" w:rsidRPr="00CD29D0" w:rsidRDefault="00405424" w:rsidP="00460478">
            <w:pPr>
              <w:pStyle w:val="TableColHeadingCenter"/>
            </w:pPr>
            <w:r w:rsidRPr="00CD29D0">
              <w:t>Low Range (2)</w:t>
            </w:r>
          </w:p>
        </w:tc>
        <w:tc>
          <w:tcPr>
            <w:tcW w:w="874" w:type="dxa"/>
          </w:tcPr>
          <w:p w14:paraId="6BF18AA1" w14:textId="77777777" w:rsidR="00405424" w:rsidRPr="00CD29D0" w:rsidRDefault="00405424" w:rsidP="00460478">
            <w:pPr>
              <w:pStyle w:val="TableColHeadingCenter"/>
            </w:pPr>
            <w:r w:rsidRPr="00CD29D0">
              <w:t>Middle Range (3)</w:t>
            </w:r>
          </w:p>
        </w:tc>
        <w:tc>
          <w:tcPr>
            <w:tcW w:w="875" w:type="dxa"/>
          </w:tcPr>
          <w:p w14:paraId="2C602B2A" w14:textId="77777777" w:rsidR="00405424" w:rsidRPr="00CD29D0" w:rsidRDefault="00405424" w:rsidP="00460478">
            <w:pPr>
              <w:pStyle w:val="TableColHeadingCenter"/>
            </w:pPr>
            <w:r w:rsidRPr="00CD29D0">
              <w:t>Middle Range (4)</w:t>
            </w:r>
          </w:p>
        </w:tc>
        <w:tc>
          <w:tcPr>
            <w:tcW w:w="875" w:type="dxa"/>
          </w:tcPr>
          <w:p w14:paraId="0064BAA9" w14:textId="77777777" w:rsidR="00405424" w:rsidRPr="00CD29D0" w:rsidRDefault="00405424" w:rsidP="00460478">
            <w:pPr>
              <w:pStyle w:val="TableColHeadingCenter"/>
            </w:pPr>
            <w:r w:rsidRPr="00CD29D0">
              <w:t>Middle Range (5)</w:t>
            </w:r>
          </w:p>
        </w:tc>
        <w:tc>
          <w:tcPr>
            <w:tcW w:w="874" w:type="dxa"/>
          </w:tcPr>
          <w:p w14:paraId="3359950D" w14:textId="77777777" w:rsidR="00405424" w:rsidRPr="00CD29D0" w:rsidRDefault="00405424" w:rsidP="00460478">
            <w:pPr>
              <w:pStyle w:val="TableColHeadingCenter"/>
            </w:pPr>
            <w:r w:rsidRPr="00CD29D0">
              <w:t>High Range (6)</w:t>
            </w:r>
          </w:p>
        </w:tc>
        <w:tc>
          <w:tcPr>
            <w:tcW w:w="875" w:type="dxa"/>
          </w:tcPr>
          <w:p w14:paraId="0EB7DB49" w14:textId="77777777" w:rsidR="00405424" w:rsidRPr="00CD29D0" w:rsidRDefault="00405424" w:rsidP="00460478">
            <w:pPr>
              <w:pStyle w:val="TableColHeadingCenter"/>
            </w:pPr>
            <w:r w:rsidRPr="00CD29D0">
              <w:t>High Range (7)</w:t>
            </w:r>
          </w:p>
        </w:tc>
        <w:tc>
          <w:tcPr>
            <w:tcW w:w="900" w:type="dxa"/>
          </w:tcPr>
          <w:p w14:paraId="3E642CED" w14:textId="77777777" w:rsidR="00405424" w:rsidRPr="00CD29D0" w:rsidRDefault="00405424" w:rsidP="00460478">
            <w:pPr>
              <w:pStyle w:val="TableColHeadingCenter"/>
            </w:pPr>
            <w:r w:rsidRPr="00CD29D0">
              <w:t>n</w:t>
            </w:r>
          </w:p>
        </w:tc>
        <w:tc>
          <w:tcPr>
            <w:tcW w:w="892" w:type="dxa"/>
          </w:tcPr>
          <w:p w14:paraId="241C5CC9" w14:textId="77777777" w:rsidR="00405424" w:rsidRPr="00CD29D0" w:rsidRDefault="00405424" w:rsidP="00460478">
            <w:pPr>
              <w:pStyle w:val="TableColHeadingCenter"/>
            </w:pPr>
            <w:r w:rsidRPr="00CD29D0">
              <w:t>Average</w:t>
            </w:r>
          </w:p>
        </w:tc>
      </w:tr>
      <w:tr w:rsidR="00405424" w:rsidRPr="00CD29D0" w14:paraId="362F5D8C"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47011228" w14:textId="77777777" w:rsidR="00405424" w:rsidRPr="00CD29D0" w:rsidRDefault="00405424" w:rsidP="00460478">
            <w:pPr>
              <w:pStyle w:val="TableText"/>
            </w:pPr>
            <w:r w:rsidRPr="00CD29D0">
              <w:t>Grades 4-5**</w:t>
            </w:r>
          </w:p>
        </w:tc>
        <w:tc>
          <w:tcPr>
            <w:tcW w:w="874" w:type="dxa"/>
          </w:tcPr>
          <w:p w14:paraId="0F226512" w14:textId="77777777" w:rsidR="00405424" w:rsidRPr="00CD29D0" w:rsidRDefault="00405424" w:rsidP="00460478">
            <w:pPr>
              <w:pStyle w:val="TableTextCentered"/>
            </w:pPr>
            <w:r w:rsidRPr="00CD29D0">
              <w:t>2</w:t>
            </w:r>
          </w:p>
        </w:tc>
        <w:tc>
          <w:tcPr>
            <w:tcW w:w="874" w:type="dxa"/>
          </w:tcPr>
          <w:p w14:paraId="358C2387" w14:textId="77777777" w:rsidR="00405424" w:rsidRPr="00CD29D0" w:rsidRDefault="00405424" w:rsidP="00460478">
            <w:pPr>
              <w:pStyle w:val="TableTextCentered"/>
            </w:pPr>
            <w:r w:rsidRPr="00CD29D0">
              <w:t>2</w:t>
            </w:r>
          </w:p>
        </w:tc>
        <w:tc>
          <w:tcPr>
            <w:tcW w:w="874" w:type="dxa"/>
          </w:tcPr>
          <w:p w14:paraId="5C3BD087" w14:textId="77777777" w:rsidR="00405424" w:rsidRPr="00CD29D0" w:rsidRDefault="00405424" w:rsidP="00460478">
            <w:pPr>
              <w:pStyle w:val="TableTextCentered"/>
            </w:pPr>
            <w:r w:rsidRPr="00CD29D0">
              <w:t>2</w:t>
            </w:r>
          </w:p>
        </w:tc>
        <w:tc>
          <w:tcPr>
            <w:tcW w:w="875" w:type="dxa"/>
          </w:tcPr>
          <w:p w14:paraId="7DBBA6C0" w14:textId="77777777" w:rsidR="00405424" w:rsidRPr="00CD29D0" w:rsidRDefault="00405424" w:rsidP="00460478">
            <w:pPr>
              <w:pStyle w:val="TableTextCentered"/>
            </w:pPr>
            <w:r w:rsidRPr="00CD29D0">
              <w:t>3</w:t>
            </w:r>
          </w:p>
        </w:tc>
        <w:tc>
          <w:tcPr>
            <w:tcW w:w="875" w:type="dxa"/>
          </w:tcPr>
          <w:p w14:paraId="22F9208B" w14:textId="77777777" w:rsidR="00405424" w:rsidRPr="00CD29D0" w:rsidRDefault="00405424" w:rsidP="00460478">
            <w:pPr>
              <w:pStyle w:val="TableTextCentered"/>
            </w:pPr>
            <w:r w:rsidRPr="00CD29D0">
              <w:t>1</w:t>
            </w:r>
          </w:p>
        </w:tc>
        <w:tc>
          <w:tcPr>
            <w:tcW w:w="874" w:type="dxa"/>
          </w:tcPr>
          <w:p w14:paraId="4A6233A9" w14:textId="77777777" w:rsidR="00405424" w:rsidRPr="00CD29D0" w:rsidRDefault="00405424" w:rsidP="00460478">
            <w:pPr>
              <w:pStyle w:val="TableTextCentered"/>
            </w:pPr>
            <w:r w:rsidRPr="00CD29D0">
              <w:t>0</w:t>
            </w:r>
          </w:p>
        </w:tc>
        <w:tc>
          <w:tcPr>
            <w:tcW w:w="875" w:type="dxa"/>
          </w:tcPr>
          <w:p w14:paraId="3464B8F4" w14:textId="77777777" w:rsidR="00405424" w:rsidRPr="00CD29D0" w:rsidRDefault="00405424" w:rsidP="00460478">
            <w:pPr>
              <w:pStyle w:val="TableTextCentered"/>
            </w:pPr>
            <w:r w:rsidRPr="00CD29D0">
              <w:t>0</w:t>
            </w:r>
          </w:p>
        </w:tc>
        <w:tc>
          <w:tcPr>
            <w:tcW w:w="900" w:type="dxa"/>
          </w:tcPr>
          <w:p w14:paraId="17184B53" w14:textId="77777777" w:rsidR="00405424" w:rsidRPr="00CD29D0" w:rsidRDefault="00405424" w:rsidP="00460478">
            <w:pPr>
              <w:pStyle w:val="TableTextCentered"/>
            </w:pPr>
            <w:r w:rsidRPr="00CD29D0">
              <w:t>10</w:t>
            </w:r>
          </w:p>
        </w:tc>
        <w:tc>
          <w:tcPr>
            <w:tcW w:w="892" w:type="dxa"/>
          </w:tcPr>
          <w:p w14:paraId="1A0E6B19" w14:textId="77777777" w:rsidR="00405424" w:rsidRPr="00CD29D0" w:rsidRDefault="00405424" w:rsidP="00460478">
            <w:pPr>
              <w:pStyle w:val="TableTextCentered"/>
            </w:pPr>
            <w:r w:rsidRPr="00CD29D0">
              <w:t>2.9</w:t>
            </w:r>
          </w:p>
        </w:tc>
      </w:tr>
      <w:tr w:rsidR="00405424" w:rsidRPr="00CD29D0" w14:paraId="1B420C7D" w14:textId="77777777" w:rsidTr="00460478">
        <w:tc>
          <w:tcPr>
            <w:tcW w:w="1431" w:type="dxa"/>
          </w:tcPr>
          <w:p w14:paraId="522497EE" w14:textId="77777777" w:rsidR="00405424" w:rsidRPr="00CD29D0" w:rsidRDefault="00405424" w:rsidP="00460478">
            <w:pPr>
              <w:pStyle w:val="TableText"/>
            </w:pPr>
            <w:r w:rsidRPr="00CD29D0">
              <w:t>Grades 6-8</w:t>
            </w:r>
          </w:p>
        </w:tc>
        <w:tc>
          <w:tcPr>
            <w:tcW w:w="874" w:type="dxa"/>
          </w:tcPr>
          <w:p w14:paraId="60E557A8" w14:textId="77777777" w:rsidR="00405424" w:rsidRPr="00CD29D0" w:rsidRDefault="00405424" w:rsidP="00460478">
            <w:pPr>
              <w:pStyle w:val="TableTextCentered"/>
            </w:pPr>
            <w:r w:rsidRPr="00CD29D0">
              <w:t>2</w:t>
            </w:r>
          </w:p>
        </w:tc>
        <w:tc>
          <w:tcPr>
            <w:tcW w:w="874" w:type="dxa"/>
          </w:tcPr>
          <w:p w14:paraId="5960ABD6" w14:textId="77777777" w:rsidR="00405424" w:rsidRPr="00CD29D0" w:rsidRDefault="00405424" w:rsidP="00460478">
            <w:pPr>
              <w:pStyle w:val="TableTextCentered"/>
            </w:pPr>
            <w:r w:rsidRPr="00CD29D0">
              <w:t>10</w:t>
            </w:r>
          </w:p>
        </w:tc>
        <w:tc>
          <w:tcPr>
            <w:tcW w:w="874" w:type="dxa"/>
          </w:tcPr>
          <w:p w14:paraId="6CAD087B" w14:textId="77777777" w:rsidR="00405424" w:rsidRPr="00CD29D0" w:rsidRDefault="00405424" w:rsidP="00460478">
            <w:pPr>
              <w:pStyle w:val="TableTextCentered"/>
            </w:pPr>
            <w:r w:rsidRPr="00CD29D0">
              <w:t>4</w:t>
            </w:r>
          </w:p>
        </w:tc>
        <w:tc>
          <w:tcPr>
            <w:tcW w:w="875" w:type="dxa"/>
          </w:tcPr>
          <w:p w14:paraId="452B4B6C" w14:textId="77777777" w:rsidR="00405424" w:rsidRPr="00CD29D0" w:rsidRDefault="00405424" w:rsidP="00460478">
            <w:pPr>
              <w:pStyle w:val="TableTextCentered"/>
            </w:pPr>
            <w:r w:rsidRPr="00CD29D0">
              <w:t>3</w:t>
            </w:r>
          </w:p>
        </w:tc>
        <w:tc>
          <w:tcPr>
            <w:tcW w:w="875" w:type="dxa"/>
          </w:tcPr>
          <w:p w14:paraId="28F94813" w14:textId="77777777" w:rsidR="00405424" w:rsidRPr="00CD29D0" w:rsidRDefault="00405424" w:rsidP="00460478">
            <w:pPr>
              <w:pStyle w:val="TableTextCentered"/>
            </w:pPr>
            <w:r w:rsidRPr="00CD29D0">
              <w:t>1</w:t>
            </w:r>
          </w:p>
        </w:tc>
        <w:tc>
          <w:tcPr>
            <w:tcW w:w="874" w:type="dxa"/>
          </w:tcPr>
          <w:p w14:paraId="7E4ED292" w14:textId="77777777" w:rsidR="00405424" w:rsidRPr="00CD29D0" w:rsidRDefault="00405424" w:rsidP="00460478">
            <w:pPr>
              <w:pStyle w:val="TableTextCentered"/>
            </w:pPr>
            <w:r w:rsidRPr="00CD29D0">
              <w:t>0</w:t>
            </w:r>
          </w:p>
        </w:tc>
        <w:tc>
          <w:tcPr>
            <w:tcW w:w="875" w:type="dxa"/>
          </w:tcPr>
          <w:p w14:paraId="30F12ACB" w14:textId="77777777" w:rsidR="00405424" w:rsidRPr="00CD29D0" w:rsidRDefault="00405424" w:rsidP="00460478">
            <w:pPr>
              <w:pStyle w:val="TableTextCentered"/>
            </w:pPr>
            <w:r w:rsidRPr="00CD29D0">
              <w:t>0</w:t>
            </w:r>
          </w:p>
        </w:tc>
        <w:tc>
          <w:tcPr>
            <w:tcW w:w="900" w:type="dxa"/>
          </w:tcPr>
          <w:p w14:paraId="2F037C0C" w14:textId="77777777" w:rsidR="00405424" w:rsidRPr="00CD29D0" w:rsidRDefault="00405424" w:rsidP="00460478">
            <w:pPr>
              <w:pStyle w:val="TableTextCentered"/>
            </w:pPr>
            <w:r w:rsidRPr="00CD29D0">
              <w:t>20</w:t>
            </w:r>
          </w:p>
        </w:tc>
        <w:tc>
          <w:tcPr>
            <w:tcW w:w="892" w:type="dxa"/>
          </w:tcPr>
          <w:p w14:paraId="33BAAB15" w14:textId="77777777" w:rsidR="00405424" w:rsidRPr="00CD29D0" w:rsidRDefault="00405424" w:rsidP="00460478">
            <w:pPr>
              <w:pStyle w:val="TableTextCentered"/>
            </w:pPr>
            <w:r w:rsidRPr="00CD29D0">
              <w:t>2.6</w:t>
            </w:r>
          </w:p>
        </w:tc>
      </w:tr>
      <w:tr w:rsidR="00405424" w:rsidRPr="00CD29D0" w14:paraId="2CBD3E12"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4FE5D24E" w14:textId="77777777" w:rsidR="00405424" w:rsidRPr="00CD29D0" w:rsidRDefault="00405424" w:rsidP="00460478">
            <w:pPr>
              <w:pStyle w:val="TableText"/>
            </w:pPr>
            <w:r w:rsidRPr="00CD29D0">
              <w:t>Grades 9-12</w:t>
            </w:r>
          </w:p>
        </w:tc>
        <w:tc>
          <w:tcPr>
            <w:tcW w:w="874" w:type="dxa"/>
          </w:tcPr>
          <w:p w14:paraId="3EC1CB55" w14:textId="77777777" w:rsidR="00405424" w:rsidRPr="00CD29D0" w:rsidRDefault="00405424" w:rsidP="00460478">
            <w:pPr>
              <w:pStyle w:val="TableTextCentered"/>
            </w:pPr>
            <w:r w:rsidRPr="00CD29D0">
              <w:t>7</w:t>
            </w:r>
          </w:p>
        </w:tc>
        <w:tc>
          <w:tcPr>
            <w:tcW w:w="874" w:type="dxa"/>
          </w:tcPr>
          <w:p w14:paraId="2BA26348" w14:textId="77777777" w:rsidR="00405424" w:rsidRPr="00CD29D0" w:rsidRDefault="00405424" w:rsidP="00460478">
            <w:pPr>
              <w:pStyle w:val="TableTextCentered"/>
            </w:pPr>
            <w:r w:rsidRPr="00CD29D0">
              <w:t>6</w:t>
            </w:r>
          </w:p>
        </w:tc>
        <w:tc>
          <w:tcPr>
            <w:tcW w:w="874" w:type="dxa"/>
          </w:tcPr>
          <w:p w14:paraId="0FC78E1C" w14:textId="77777777" w:rsidR="00405424" w:rsidRPr="00CD29D0" w:rsidRDefault="00405424" w:rsidP="00460478">
            <w:pPr>
              <w:pStyle w:val="TableTextCentered"/>
            </w:pPr>
            <w:r w:rsidRPr="00CD29D0">
              <w:t>3</w:t>
            </w:r>
          </w:p>
        </w:tc>
        <w:tc>
          <w:tcPr>
            <w:tcW w:w="875" w:type="dxa"/>
          </w:tcPr>
          <w:p w14:paraId="75A3908D" w14:textId="77777777" w:rsidR="00405424" w:rsidRPr="00CD29D0" w:rsidRDefault="00405424" w:rsidP="00460478">
            <w:pPr>
              <w:pStyle w:val="TableTextCentered"/>
            </w:pPr>
            <w:r w:rsidRPr="00CD29D0">
              <w:t>3</w:t>
            </w:r>
          </w:p>
        </w:tc>
        <w:tc>
          <w:tcPr>
            <w:tcW w:w="875" w:type="dxa"/>
          </w:tcPr>
          <w:p w14:paraId="1EED5CE6" w14:textId="77777777" w:rsidR="00405424" w:rsidRPr="00CD29D0" w:rsidRDefault="00405424" w:rsidP="00460478">
            <w:pPr>
              <w:pStyle w:val="TableTextCentered"/>
            </w:pPr>
            <w:r w:rsidRPr="00CD29D0">
              <w:t>1</w:t>
            </w:r>
          </w:p>
        </w:tc>
        <w:tc>
          <w:tcPr>
            <w:tcW w:w="874" w:type="dxa"/>
          </w:tcPr>
          <w:p w14:paraId="131197C8" w14:textId="77777777" w:rsidR="00405424" w:rsidRPr="00CD29D0" w:rsidRDefault="00405424" w:rsidP="00460478">
            <w:pPr>
              <w:pStyle w:val="TableTextCentered"/>
            </w:pPr>
            <w:r w:rsidRPr="00CD29D0">
              <w:t>0</w:t>
            </w:r>
          </w:p>
        </w:tc>
        <w:tc>
          <w:tcPr>
            <w:tcW w:w="875" w:type="dxa"/>
          </w:tcPr>
          <w:p w14:paraId="24F89E49" w14:textId="77777777" w:rsidR="00405424" w:rsidRPr="00CD29D0" w:rsidRDefault="00405424" w:rsidP="00460478">
            <w:pPr>
              <w:pStyle w:val="TableTextCentered"/>
            </w:pPr>
            <w:r w:rsidRPr="00CD29D0">
              <w:t>0</w:t>
            </w:r>
          </w:p>
        </w:tc>
        <w:tc>
          <w:tcPr>
            <w:tcW w:w="900" w:type="dxa"/>
          </w:tcPr>
          <w:p w14:paraId="70DD2D0F" w14:textId="77777777" w:rsidR="00405424" w:rsidRPr="00CD29D0" w:rsidRDefault="00405424" w:rsidP="00460478">
            <w:pPr>
              <w:pStyle w:val="TableTextCentered"/>
            </w:pPr>
            <w:r w:rsidRPr="00CD29D0">
              <w:t>20</w:t>
            </w:r>
          </w:p>
        </w:tc>
        <w:tc>
          <w:tcPr>
            <w:tcW w:w="892" w:type="dxa"/>
          </w:tcPr>
          <w:p w14:paraId="701690C8" w14:textId="77777777" w:rsidR="00405424" w:rsidRPr="00CD29D0" w:rsidRDefault="00405424" w:rsidP="00460478">
            <w:pPr>
              <w:pStyle w:val="TableTextCentered"/>
            </w:pPr>
            <w:r w:rsidRPr="00CD29D0">
              <w:t>2.3</w:t>
            </w:r>
          </w:p>
        </w:tc>
      </w:tr>
      <w:tr w:rsidR="00405424" w:rsidRPr="00CD29D0" w14:paraId="1AF45611" w14:textId="77777777" w:rsidTr="00460478">
        <w:tc>
          <w:tcPr>
            <w:tcW w:w="1431" w:type="dxa"/>
          </w:tcPr>
          <w:p w14:paraId="7303044A" w14:textId="77777777" w:rsidR="00405424" w:rsidRPr="00CD29D0" w:rsidRDefault="00405424" w:rsidP="00460478">
            <w:pPr>
              <w:pStyle w:val="TableText"/>
              <w:rPr>
                <w:b/>
                <w:bCs/>
              </w:rPr>
            </w:pPr>
            <w:r w:rsidRPr="00CD29D0">
              <w:rPr>
                <w:b/>
                <w:bCs/>
              </w:rPr>
              <w:t>Totals</w:t>
            </w:r>
          </w:p>
        </w:tc>
        <w:tc>
          <w:tcPr>
            <w:tcW w:w="874" w:type="dxa"/>
          </w:tcPr>
          <w:p w14:paraId="55C87D39" w14:textId="77777777" w:rsidR="00405424" w:rsidRPr="00CD29D0" w:rsidRDefault="00405424" w:rsidP="00460478">
            <w:pPr>
              <w:pStyle w:val="TableTextCentered"/>
              <w:rPr>
                <w:b/>
                <w:bCs/>
              </w:rPr>
            </w:pPr>
            <w:r w:rsidRPr="00CD29D0">
              <w:rPr>
                <w:b/>
                <w:bCs/>
              </w:rPr>
              <w:t>11</w:t>
            </w:r>
          </w:p>
        </w:tc>
        <w:tc>
          <w:tcPr>
            <w:tcW w:w="874" w:type="dxa"/>
          </w:tcPr>
          <w:p w14:paraId="0778D4BE" w14:textId="77777777" w:rsidR="00405424" w:rsidRPr="00CD29D0" w:rsidRDefault="00405424" w:rsidP="00460478">
            <w:pPr>
              <w:pStyle w:val="TableTextCentered"/>
              <w:rPr>
                <w:b/>
                <w:bCs/>
              </w:rPr>
            </w:pPr>
            <w:r w:rsidRPr="00CD29D0">
              <w:rPr>
                <w:b/>
                <w:bCs/>
              </w:rPr>
              <w:t>18</w:t>
            </w:r>
          </w:p>
        </w:tc>
        <w:tc>
          <w:tcPr>
            <w:tcW w:w="874" w:type="dxa"/>
          </w:tcPr>
          <w:p w14:paraId="4186391E" w14:textId="77777777" w:rsidR="00405424" w:rsidRPr="00CD29D0" w:rsidRDefault="00405424" w:rsidP="00460478">
            <w:pPr>
              <w:pStyle w:val="TableTextCentered"/>
              <w:rPr>
                <w:b/>
                <w:bCs/>
              </w:rPr>
            </w:pPr>
            <w:r w:rsidRPr="00CD29D0">
              <w:rPr>
                <w:b/>
                <w:bCs/>
              </w:rPr>
              <w:t>9</w:t>
            </w:r>
          </w:p>
        </w:tc>
        <w:tc>
          <w:tcPr>
            <w:tcW w:w="875" w:type="dxa"/>
          </w:tcPr>
          <w:p w14:paraId="554A014C" w14:textId="77777777" w:rsidR="00405424" w:rsidRPr="00CD29D0" w:rsidRDefault="00405424" w:rsidP="00460478">
            <w:pPr>
              <w:pStyle w:val="TableTextCentered"/>
              <w:rPr>
                <w:b/>
                <w:bCs/>
              </w:rPr>
            </w:pPr>
            <w:r w:rsidRPr="00CD29D0">
              <w:rPr>
                <w:b/>
                <w:bCs/>
              </w:rPr>
              <w:t>9</w:t>
            </w:r>
          </w:p>
        </w:tc>
        <w:tc>
          <w:tcPr>
            <w:tcW w:w="875" w:type="dxa"/>
          </w:tcPr>
          <w:p w14:paraId="1320B2CE" w14:textId="77777777" w:rsidR="00405424" w:rsidRPr="00CD29D0" w:rsidRDefault="00405424" w:rsidP="00460478">
            <w:pPr>
              <w:pStyle w:val="TableTextCentered"/>
              <w:rPr>
                <w:b/>
                <w:bCs/>
              </w:rPr>
            </w:pPr>
            <w:r w:rsidRPr="00CD29D0">
              <w:rPr>
                <w:b/>
                <w:bCs/>
              </w:rPr>
              <w:t>3</w:t>
            </w:r>
          </w:p>
        </w:tc>
        <w:tc>
          <w:tcPr>
            <w:tcW w:w="874" w:type="dxa"/>
          </w:tcPr>
          <w:p w14:paraId="6878356B" w14:textId="77777777" w:rsidR="00405424" w:rsidRPr="00CD29D0" w:rsidRDefault="00405424" w:rsidP="00460478">
            <w:pPr>
              <w:pStyle w:val="TableTextCentered"/>
              <w:rPr>
                <w:b/>
                <w:bCs/>
              </w:rPr>
            </w:pPr>
            <w:r w:rsidRPr="00CD29D0">
              <w:rPr>
                <w:b/>
                <w:bCs/>
              </w:rPr>
              <w:t>0</w:t>
            </w:r>
          </w:p>
        </w:tc>
        <w:tc>
          <w:tcPr>
            <w:tcW w:w="875" w:type="dxa"/>
          </w:tcPr>
          <w:p w14:paraId="66A626A1" w14:textId="77777777" w:rsidR="00405424" w:rsidRPr="00CD29D0" w:rsidRDefault="00405424" w:rsidP="00460478">
            <w:pPr>
              <w:pStyle w:val="TableTextCentered"/>
              <w:rPr>
                <w:b/>
                <w:bCs/>
              </w:rPr>
            </w:pPr>
            <w:r w:rsidRPr="00CD29D0">
              <w:rPr>
                <w:b/>
                <w:bCs/>
              </w:rPr>
              <w:t>0</w:t>
            </w:r>
          </w:p>
        </w:tc>
        <w:tc>
          <w:tcPr>
            <w:tcW w:w="900" w:type="dxa"/>
          </w:tcPr>
          <w:p w14:paraId="0F24E9C0" w14:textId="77777777" w:rsidR="00405424" w:rsidRPr="00CD29D0" w:rsidRDefault="00405424" w:rsidP="00460478">
            <w:pPr>
              <w:pStyle w:val="TableTextCentered"/>
              <w:rPr>
                <w:b/>
                <w:bCs/>
              </w:rPr>
            </w:pPr>
            <w:r w:rsidRPr="00CD29D0">
              <w:rPr>
                <w:b/>
                <w:bCs/>
              </w:rPr>
              <w:t>50</w:t>
            </w:r>
          </w:p>
        </w:tc>
        <w:tc>
          <w:tcPr>
            <w:tcW w:w="892" w:type="dxa"/>
          </w:tcPr>
          <w:p w14:paraId="16281683" w14:textId="77777777" w:rsidR="00405424" w:rsidRPr="00CD29D0" w:rsidRDefault="00405424" w:rsidP="00460478">
            <w:pPr>
              <w:pStyle w:val="TableTextCentered"/>
              <w:rPr>
                <w:b/>
                <w:bCs/>
              </w:rPr>
            </w:pPr>
            <w:r w:rsidRPr="00CD29D0">
              <w:rPr>
                <w:b/>
                <w:bCs/>
              </w:rPr>
              <w:t>2.5</w:t>
            </w:r>
          </w:p>
        </w:tc>
      </w:tr>
    </w:tbl>
    <w:bookmarkEnd w:id="149"/>
    <w:p w14:paraId="2A967FAD" w14:textId="0B11A68F" w:rsidR="00405424" w:rsidRPr="00CD29D0" w:rsidRDefault="00405424" w:rsidP="00460478">
      <w:pPr>
        <w:pStyle w:val="TableNote"/>
      </w:pPr>
      <w:r w:rsidRPr="00CD29D0">
        <w:t xml:space="preserve">*The district average is an average of the observation scores. In Table 12, the district average is computed as: </w:t>
      </w:r>
      <w:bookmarkStart w:id="150" w:name="Dist_AI_Calc"/>
      <w:r w:rsidRPr="00CD29D0">
        <w:t>([1 x 11] + [2 x 18] + [3 x 9] + [4 x 9] + [5 x 3]) ÷ 50 observations = 2.5</w:t>
      </w:r>
      <w:bookmarkEnd w:id="150"/>
    </w:p>
    <w:p w14:paraId="6AACDDD9" w14:textId="77777777" w:rsidR="00405424" w:rsidRPr="00CD29D0" w:rsidRDefault="00405424" w:rsidP="00460478">
      <w:pPr>
        <w:pStyle w:val="TableNote"/>
      </w:pPr>
      <w:r w:rsidRPr="00CD29D0">
        <w:t>**Analysis and Inquiry does not appear in the CLASS PK-3 Manual, therefore scores for the Elementary School Level represent grades 4-5 only.</w:t>
      </w:r>
    </w:p>
    <w:p w14:paraId="04C7AB0C" w14:textId="77777777" w:rsidR="00405424" w:rsidRPr="00CD29D0" w:rsidRDefault="00405424" w:rsidP="00460478">
      <w:pPr>
        <w:pStyle w:val="BodyText"/>
      </w:pPr>
      <w:r w:rsidRPr="00CD29D0">
        <w:rPr>
          <w:rStyle w:val="BodyTextDemiChar"/>
        </w:rPr>
        <w:t>Ratings in the Low Range.</w:t>
      </w:r>
      <w:r w:rsidRPr="00CD29D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7AF99D55" w14:textId="77777777" w:rsidR="00405424" w:rsidRPr="00CD29D0" w:rsidRDefault="00405424" w:rsidP="00460478">
      <w:pPr>
        <w:pStyle w:val="BodyTextposthead"/>
      </w:pPr>
      <w:r w:rsidRPr="00CD29D0">
        <w:rPr>
          <w:rStyle w:val="BodyTextDemiChar"/>
        </w:rPr>
        <w:t>Ratings in the Middle Range.</w:t>
      </w:r>
      <w:r w:rsidRPr="00CD29D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403FFB3C" w14:textId="465D79AC" w:rsidR="00405424" w:rsidRPr="00CD29D0" w:rsidRDefault="00405424" w:rsidP="00460478">
      <w:pPr>
        <w:pStyle w:val="BodyTextposthead"/>
      </w:pPr>
      <w:r w:rsidRPr="00CD29D0">
        <w:rPr>
          <w:rStyle w:val="BodyTextDemiChar"/>
        </w:rPr>
        <w:t>Ratings in the High Range.</w:t>
      </w:r>
      <w:r w:rsidRPr="00CD29D0">
        <w:t xml:space="preserve"> 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rsidRPr="00CD29D0">
        <w:br w:type="page"/>
      </w:r>
    </w:p>
    <w:p w14:paraId="71960177" w14:textId="77777777" w:rsidR="00405424" w:rsidRPr="00CD29D0" w:rsidRDefault="00405424" w:rsidP="00272891">
      <w:pPr>
        <w:pStyle w:val="DIORDimensions"/>
      </w:pPr>
      <w:bookmarkStart w:id="151" w:name="_Toc411329836"/>
      <w:bookmarkStart w:id="152" w:name="_Toc430114885"/>
      <w:bookmarkStart w:id="153" w:name="_Toc227587572"/>
      <w:r w:rsidRPr="00CD29D0">
        <w:lastRenderedPageBreak/>
        <w:t>Quality of Feedback</w:t>
      </w:r>
      <w:bookmarkEnd w:id="151"/>
      <w:bookmarkEnd w:id="152"/>
      <w:bookmarkEnd w:id="153"/>
    </w:p>
    <w:p w14:paraId="22C315D0" w14:textId="77777777" w:rsidR="00405424" w:rsidRPr="00CD29D0" w:rsidRDefault="00405424" w:rsidP="00BF0B5C">
      <w:pPr>
        <w:pStyle w:val="BodyTextDomain"/>
      </w:pPr>
      <w:r w:rsidRPr="00CD29D0">
        <w:t>Instructional Support domain, Grades PK</w:t>
      </w:r>
      <w:r w:rsidRPr="00CD29D0">
        <w:rPr>
          <w:rFonts w:ascii="Vijaya" w:hAnsi="Vijaya" w:cs="Vijaya"/>
        </w:rPr>
        <w:t>−</w:t>
      </w:r>
      <w:r w:rsidRPr="00CD29D0">
        <w:t>12</w:t>
      </w:r>
    </w:p>
    <w:p w14:paraId="31288F7A" w14:textId="58A19C01" w:rsidR="00405424" w:rsidRPr="00CD29D0" w:rsidRDefault="00405424" w:rsidP="00460478">
      <w:pPr>
        <w:pStyle w:val="BodyTextposthead"/>
      </w:pPr>
      <w:r w:rsidRPr="00CD29D0">
        <w:t>Quality of Feedback refers to the degree to which the teacher provides feedback that expands learning and understanding and encourages continued participation in the learning activity (</w:t>
      </w:r>
      <w:r w:rsidRPr="00CD29D0">
        <w:rPr>
          <w:i/>
        </w:rPr>
        <w:t>CLASS PK–3 Manual</w:t>
      </w:r>
      <w:r w:rsidRPr="00CD29D0">
        <w:t>, p. 72). In the upper elementary and secondary classrooms, significant feedback also may be provided by peers (</w:t>
      </w:r>
      <w:r w:rsidRPr="00CD29D0">
        <w:rPr>
          <w:i/>
        </w:rPr>
        <w:t>CLASS Upper Elementary Manual</w:t>
      </w:r>
      <w:r w:rsidRPr="00CD29D0">
        <w:t xml:space="preserve">, p. 89, </w:t>
      </w:r>
      <w:r w:rsidRPr="00CD29D0">
        <w:rPr>
          <w:i/>
          <w:spacing w:val="-2"/>
        </w:rPr>
        <w:t>CLASS Secondary Manual</w:t>
      </w:r>
      <w:r w:rsidRPr="00CD29D0">
        <w:rPr>
          <w:spacing w:val="-2"/>
        </w:rPr>
        <w:t>, p. 93</w:t>
      </w:r>
      <w:r w:rsidRPr="00CD29D0">
        <w:t>). Regardless of the source, the focus of the feedback motivates learning.</w:t>
      </w:r>
    </w:p>
    <w:p w14:paraId="7C14F6A9" w14:textId="77777777" w:rsidR="00405424" w:rsidRPr="00CD29D0" w:rsidRDefault="00405424" w:rsidP="00460478">
      <w:pPr>
        <w:pStyle w:val="TableTitle0"/>
      </w:pPr>
      <w:r w:rsidRPr="00CD29D0">
        <w:t>Table 13. Quality of Feedback: Number of Classrooms for Each Rating and District Average</w:t>
      </w:r>
    </w:p>
    <w:p w14:paraId="4B47AC34" w14:textId="77777777" w:rsidR="00405424" w:rsidRPr="00CD29D0" w:rsidRDefault="00405424" w:rsidP="00BF0B5C">
      <w:pPr>
        <w:pStyle w:val="BodyTextDemi"/>
      </w:pPr>
      <w:r w:rsidRPr="00CD29D0">
        <w:t xml:space="preserve">Quality of Feedback District Average*: </w:t>
      </w:r>
      <w:bookmarkStart w:id="154" w:name="Dist_QF_Avg"/>
      <w:r w:rsidRPr="00CD29D0">
        <w:t>2.8</w:t>
      </w:r>
      <w:bookmarkEnd w:id="154"/>
    </w:p>
    <w:tbl>
      <w:tblPr>
        <w:tblStyle w:val="MSVTable1"/>
        <w:tblW w:w="5000" w:type="pct"/>
        <w:tblLook w:val="04A0" w:firstRow="1" w:lastRow="0" w:firstColumn="1" w:lastColumn="0" w:noHBand="0" w:noVBand="1"/>
        <w:tblCaption w:val="Table 13. Quality of Feedback: Number of Classrooms for Each Rating and District Average"/>
        <w:tblDescription w:val="Quality of Feedback: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0237DDE8"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17A615A5" w14:textId="77777777" w:rsidR="00405424" w:rsidRPr="00CD29D0" w:rsidRDefault="00405424" w:rsidP="00460478">
            <w:pPr>
              <w:pStyle w:val="TableColHeadingCenter"/>
            </w:pPr>
            <w:bookmarkStart w:id="155" w:name="Tbl_QF"/>
            <w:r w:rsidRPr="00CD29D0">
              <w:t>Grade Band</w:t>
            </w:r>
          </w:p>
        </w:tc>
        <w:tc>
          <w:tcPr>
            <w:tcW w:w="874" w:type="dxa"/>
          </w:tcPr>
          <w:p w14:paraId="59990ABF" w14:textId="77777777" w:rsidR="00405424" w:rsidRPr="00CD29D0" w:rsidRDefault="00405424" w:rsidP="00460478">
            <w:pPr>
              <w:pStyle w:val="TableColHeadingCenter"/>
            </w:pPr>
            <w:r w:rsidRPr="00CD29D0">
              <w:t>Low Range (1)</w:t>
            </w:r>
          </w:p>
        </w:tc>
        <w:tc>
          <w:tcPr>
            <w:tcW w:w="874" w:type="dxa"/>
          </w:tcPr>
          <w:p w14:paraId="5F3E16E1" w14:textId="77777777" w:rsidR="00405424" w:rsidRPr="00CD29D0" w:rsidRDefault="00405424" w:rsidP="00460478">
            <w:pPr>
              <w:pStyle w:val="TableColHeadingCenter"/>
            </w:pPr>
            <w:r w:rsidRPr="00CD29D0">
              <w:t>Low Range (2)</w:t>
            </w:r>
          </w:p>
        </w:tc>
        <w:tc>
          <w:tcPr>
            <w:tcW w:w="874" w:type="dxa"/>
          </w:tcPr>
          <w:p w14:paraId="6C00993E" w14:textId="77777777" w:rsidR="00405424" w:rsidRPr="00CD29D0" w:rsidRDefault="00405424" w:rsidP="00460478">
            <w:pPr>
              <w:pStyle w:val="TableColHeadingCenter"/>
            </w:pPr>
            <w:r w:rsidRPr="00CD29D0">
              <w:t>Middle Range (3)</w:t>
            </w:r>
          </w:p>
        </w:tc>
        <w:tc>
          <w:tcPr>
            <w:tcW w:w="875" w:type="dxa"/>
          </w:tcPr>
          <w:p w14:paraId="6E03C1C0" w14:textId="77777777" w:rsidR="00405424" w:rsidRPr="00CD29D0" w:rsidRDefault="00405424" w:rsidP="00460478">
            <w:pPr>
              <w:pStyle w:val="TableColHeadingCenter"/>
            </w:pPr>
            <w:r w:rsidRPr="00CD29D0">
              <w:t>Middle Range (4)</w:t>
            </w:r>
          </w:p>
        </w:tc>
        <w:tc>
          <w:tcPr>
            <w:tcW w:w="875" w:type="dxa"/>
          </w:tcPr>
          <w:p w14:paraId="212CE80D" w14:textId="77777777" w:rsidR="00405424" w:rsidRPr="00CD29D0" w:rsidRDefault="00405424" w:rsidP="00460478">
            <w:pPr>
              <w:pStyle w:val="TableColHeadingCenter"/>
            </w:pPr>
            <w:r w:rsidRPr="00CD29D0">
              <w:t>Middle Range (5)</w:t>
            </w:r>
          </w:p>
        </w:tc>
        <w:tc>
          <w:tcPr>
            <w:tcW w:w="874" w:type="dxa"/>
          </w:tcPr>
          <w:p w14:paraId="52CEF398" w14:textId="77777777" w:rsidR="00405424" w:rsidRPr="00CD29D0" w:rsidRDefault="00405424" w:rsidP="00460478">
            <w:pPr>
              <w:pStyle w:val="TableColHeadingCenter"/>
            </w:pPr>
            <w:r w:rsidRPr="00CD29D0">
              <w:t>High Range (6)</w:t>
            </w:r>
          </w:p>
        </w:tc>
        <w:tc>
          <w:tcPr>
            <w:tcW w:w="875" w:type="dxa"/>
          </w:tcPr>
          <w:p w14:paraId="6863E2E3" w14:textId="77777777" w:rsidR="00405424" w:rsidRPr="00CD29D0" w:rsidRDefault="00405424" w:rsidP="00460478">
            <w:pPr>
              <w:pStyle w:val="TableColHeadingCenter"/>
            </w:pPr>
            <w:r w:rsidRPr="00CD29D0">
              <w:t>High Range (7)</w:t>
            </w:r>
          </w:p>
        </w:tc>
        <w:tc>
          <w:tcPr>
            <w:tcW w:w="900" w:type="dxa"/>
          </w:tcPr>
          <w:p w14:paraId="5B04020B" w14:textId="77777777" w:rsidR="00405424" w:rsidRPr="00CD29D0" w:rsidRDefault="00405424" w:rsidP="00460478">
            <w:pPr>
              <w:pStyle w:val="TableColHeadingCenter"/>
            </w:pPr>
            <w:r w:rsidRPr="00CD29D0">
              <w:t>n</w:t>
            </w:r>
          </w:p>
        </w:tc>
        <w:tc>
          <w:tcPr>
            <w:tcW w:w="892" w:type="dxa"/>
          </w:tcPr>
          <w:p w14:paraId="43CF4932" w14:textId="77777777" w:rsidR="00405424" w:rsidRPr="00CD29D0" w:rsidRDefault="00405424" w:rsidP="00460478">
            <w:pPr>
              <w:pStyle w:val="TableColHeadingCenter"/>
            </w:pPr>
            <w:r w:rsidRPr="00CD29D0">
              <w:t>Average</w:t>
            </w:r>
          </w:p>
        </w:tc>
      </w:tr>
      <w:tr w:rsidR="00405424" w:rsidRPr="00CD29D0" w14:paraId="64076E24"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3448BF7C" w14:textId="77777777" w:rsidR="00405424" w:rsidRPr="00CD29D0" w:rsidRDefault="00405424" w:rsidP="00460478">
            <w:pPr>
              <w:pStyle w:val="TableText"/>
            </w:pPr>
            <w:r w:rsidRPr="00CD29D0">
              <w:t>Grades PK-5</w:t>
            </w:r>
          </w:p>
        </w:tc>
        <w:tc>
          <w:tcPr>
            <w:tcW w:w="874" w:type="dxa"/>
          </w:tcPr>
          <w:p w14:paraId="65E6C659" w14:textId="77777777" w:rsidR="00405424" w:rsidRPr="00CD29D0" w:rsidRDefault="00405424" w:rsidP="00460478">
            <w:pPr>
              <w:pStyle w:val="TableTextCentered"/>
            </w:pPr>
            <w:r w:rsidRPr="00CD29D0">
              <w:t>0</w:t>
            </w:r>
          </w:p>
        </w:tc>
        <w:tc>
          <w:tcPr>
            <w:tcW w:w="874" w:type="dxa"/>
          </w:tcPr>
          <w:p w14:paraId="61542E0E" w14:textId="77777777" w:rsidR="00405424" w:rsidRPr="00CD29D0" w:rsidRDefault="00405424" w:rsidP="00460478">
            <w:pPr>
              <w:pStyle w:val="TableTextCentered"/>
            </w:pPr>
            <w:r w:rsidRPr="00CD29D0">
              <w:t>5</w:t>
            </w:r>
          </w:p>
        </w:tc>
        <w:tc>
          <w:tcPr>
            <w:tcW w:w="874" w:type="dxa"/>
          </w:tcPr>
          <w:p w14:paraId="7577B43C" w14:textId="77777777" w:rsidR="00405424" w:rsidRPr="00CD29D0" w:rsidRDefault="00405424" w:rsidP="00460478">
            <w:pPr>
              <w:pStyle w:val="TableTextCentered"/>
            </w:pPr>
            <w:r w:rsidRPr="00CD29D0">
              <w:t>14</w:t>
            </w:r>
          </w:p>
        </w:tc>
        <w:tc>
          <w:tcPr>
            <w:tcW w:w="875" w:type="dxa"/>
          </w:tcPr>
          <w:p w14:paraId="0C4A6A3F" w14:textId="77777777" w:rsidR="00405424" w:rsidRPr="00CD29D0" w:rsidRDefault="00405424" w:rsidP="00460478">
            <w:pPr>
              <w:pStyle w:val="TableTextCentered"/>
            </w:pPr>
            <w:r w:rsidRPr="00CD29D0">
              <w:t>10</w:t>
            </w:r>
          </w:p>
        </w:tc>
        <w:tc>
          <w:tcPr>
            <w:tcW w:w="875" w:type="dxa"/>
          </w:tcPr>
          <w:p w14:paraId="1DDA9D86" w14:textId="77777777" w:rsidR="00405424" w:rsidRPr="00CD29D0" w:rsidRDefault="00405424" w:rsidP="00460478">
            <w:pPr>
              <w:pStyle w:val="TableTextCentered"/>
            </w:pPr>
            <w:r w:rsidRPr="00CD29D0">
              <w:t>2</w:t>
            </w:r>
          </w:p>
        </w:tc>
        <w:tc>
          <w:tcPr>
            <w:tcW w:w="874" w:type="dxa"/>
          </w:tcPr>
          <w:p w14:paraId="66D9DEB7" w14:textId="77777777" w:rsidR="00405424" w:rsidRPr="00CD29D0" w:rsidRDefault="00405424" w:rsidP="00460478">
            <w:pPr>
              <w:pStyle w:val="TableTextCentered"/>
            </w:pPr>
            <w:r w:rsidRPr="00CD29D0">
              <w:t>2</w:t>
            </w:r>
          </w:p>
        </w:tc>
        <w:tc>
          <w:tcPr>
            <w:tcW w:w="875" w:type="dxa"/>
          </w:tcPr>
          <w:p w14:paraId="4F4205CB" w14:textId="77777777" w:rsidR="00405424" w:rsidRPr="00CD29D0" w:rsidRDefault="00405424" w:rsidP="00460478">
            <w:pPr>
              <w:pStyle w:val="TableTextCentered"/>
            </w:pPr>
            <w:r w:rsidRPr="00CD29D0">
              <w:t>0</w:t>
            </w:r>
          </w:p>
        </w:tc>
        <w:tc>
          <w:tcPr>
            <w:tcW w:w="900" w:type="dxa"/>
          </w:tcPr>
          <w:p w14:paraId="32E52B7E" w14:textId="77777777" w:rsidR="00405424" w:rsidRPr="00CD29D0" w:rsidRDefault="00405424" w:rsidP="00460478">
            <w:pPr>
              <w:pStyle w:val="TableTextCentered"/>
            </w:pPr>
            <w:r w:rsidRPr="00CD29D0">
              <w:t>33</w:t>
            </w:r>
          </w:p>
        </w:tc>
        <w:tc>
          <w:tcPr>
            <w:tcW w:w="892" w:type="dxa"/>
          </w:tcPr>
          <w:p w14:paraId="1CC24616" w14:textId="77777777" w:rsidR="00405424" w:rsidRPr="00CD29D0" w:rsidRDefault="00405424" w:rsidP="00460478">
            <w:pPr>
              <w:pStyle w:val="TableTextCentered"/>
            </w:pPr>
            <w:r w:rsidRPr="00CD29D0">
              <w:t>3.5</w:t>
            </w:r>
          </w:p>
        </w:tc>
      </w:tr>
      <w:tr w:rsidR="00405424" w:rsidRPr="00CD29D0" w14:paraId="3C10298D" w14:textId="77777777" w:rsidTr="00460478">
        <w:tc>
          <w:tcPr>
            <w:tcW w:w="1431" w:type="dxa"/>
          </w:tcPr>
          <w:p w14:paraId="0C19451B" w14:textId="77777777" w:rsidR="00405424" w:rsidRPr="00CD29D0" w:rsidRDefault="00405424" w:rsidP="00460478">
            <w:pPr>
              <w:pStyle w:val="TableText"/>
            </w:pPr>
            <w:r w:rsidRPr="00CD29D0">
              <w:t>Grades 6-8</w:t>
            </w:r>
          </w:p>
        </w:tc>
        <w:tc>
          <w:tcPr>
            <w:tcW w:w="874" w:type="dxa"/>
          </w:tcPr>
          <w:p w14:paraId="407CD11C" w14:textId="77777777" w:rsidR="00405424" w:rsidRPr="00CD29D0" w:rsidRDefault="00405424" w:rsidP="00460478">
            <w:pPr>
              <w:pStyle w:val="TableTextCentered"/>
            </w:pPr>
            <w:r w:rsidRPr="00CD29D0">
              <w:t>7</w:t>
            </w:r>
          </w:p>
        </w:tc>
        <w:tc>
          <w:tcPr>
            <w:tcW w:w="874" w:type="dxa"/>
          </w:tcPr>
          <w:p w14:paraId="0F6EF0C6" w14:textId="77777777" w:rsidR="00405424" w:rsidRPr="00CD29D0" w:rsidRDefault="00405424" w:rsidP="00460478">
            <w:pPr>
              <w:pStyle w:val="TableTextCentered"/>
            </w:pPr>
            <w:r w:rsidRPr="00CD29D0">
              <w:t>4</w:t>
            </w:r>
          </w:p>
        </w:tc>
        <w:tc>
          <w:tcPr>
            <w:tcW w:w="874" w:type="dxa"/>
          </w:tcPr>
          <w:p w14:paraId="2E1787FD" w14:textId="77777777" w:rsidR="00405424" w:rsidRPr="00CD29D0" w:rsidRDefault="00405424" w:rsidP="00460478">
            <w:pPr>
              <w:pStyle w:val="TableTextCentered"/>
            </w:pPr>
            <w:r w:rsidRPr="00CD29D0">
              <w:t>7</w:t>
            </w:r>
          </w:p>
        </w:tc>
        <w:tc>
          <w:tcPr>
            <w:tcW w:w="875" w:type="dxa"/>
          </w:tcPr>
          <w:p w14:paraId="57C8C741" w14:textId="77777777" w:rsidR="00405424" w:rsidRPr="00CD29D0" w:rsidRDefault="00405424" w:rsidP="00460478">
            <w:pPr>
              <w:pStyle w:val="TableTextCentered"/>
            </w:pPr>
            <w:r w:rsidRPr="00CD29D0">
              <w:t>1</w:t>
            </w:r>
          </w:p>
        </w:tc>
        <w:tc>
          <w:tcPr>
            <w:tcW w:w="875" w:type="dxa"/>
          </w:tcPr>
          <w:p w14:paraId="4C90FA5B" w14:textId="77777777" w:rsidR="00405424" w:rsidRPr="00CD29D0" w:rsidRDefault="00405424" w:rsidP="00460478">
            <w:pPr>
              <w:pStyle w:val="TableTextCentered"/>
            </w:pPr>
            <w:r w:rsidRPr="00CD29D0">
              <w:t>1</w:t>
            </w:r>
          </w:p>
        </w:tc>
        <w:tc>
          <w:tcPr>
            <w:tcW w:w="874" w:type="dxa"/>
          </w:tcPr>
          <w:p w14:paraId="70E1448E" w14:textId="77777777" w:rsidR="00405424" w:rsidRPr="00CD29D0" w:rsidRDefault="00405424" w:rsidP="00460478">
            <w:pPr>
              <w:pStyle w:val="TableTextCentered"/>
            </w:pPr>
            <w:r w:rsidRPr="00CD29D0">
              <w:t>0</w:t>
            </w:r>
          </w:p>
        </w:tc>
        <w:tc>
          <w:tcPr>
            <w:tcW w:w="875" w:type="dxa"/>
          </w:tcPr>
          <w:p w14:paraId="0D0FF114" w14:textId="77777777" w:rsidR="00405424" w:rsidRPr="00CD29D0" w:rsidRDefault="00405424" w:rsidP="00460478">
            <w:pPr>
              <w:pStyle w:val="TableTextCentered"/>
            </w:pPr>
            <w:r w:rsidRPr="00CD29D0">
              <w:t>0</w:t>
            </w:r>
          </w:p>
        </w:tc>
        <w:tc>
          <w:tcPr>
            <w:tcW w:w="900" w:type="dxa"/>
          </w:tcPr>
          <w:p w14:paraId="37A0388D" w14:textId="77777777" w:rsidR="00405424" w:rsidRPr="00CD29D0" w:rsidRDefault="00405424" w:rsidP="00460478">
            <w:pPr>
              <w:pStyle w:val="TableTextCentered"/>
            </w:pPr>
            <w:r w:rsidRPr="00CD29D0">
              <w:t>20</w:t>
            </w:r>
          </w:p>
        </w:tc>
        <w:tc>
          <w:tcPr>
            <w:tcW w:w="892" w:type="dxa"/>
          </w:tcPr>
          <w:p w14:paraId="18A63A1D" w14:textId="77777777" w:rsidR="00405424" w:rsidRPr="00CD29D0" w:rsidRDefault="00405424" w:rsidP="00460478">
            <w:pPr>
              <w:pStyle w:val="TableTextCentered"/>
            </w:pPr>
            <w:r w:rsidRPr="00CD29D0">
              <w:t>2.3</w:t>
            </w:r>
          </w:p>
        </w:tc>
      </w:tr>
      <w:tr w:rsidR="00405424" w:rsidRPr="00CD29D0" w14:paraId="469D5DCC"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5316D6D8" w14:textId="77777777" w:rsidR="00405424" w:rsidRPr="00CD29D0" w:rsidRDefault="00405424" w:rsidP="00460478">
            <w:pPr>
              <w:pStyle w:val="TableText"/>
            </w:pPr>
            <w:r w:rsidRPr="00CD29D0">
              <w:t>Grades 9-12</w:t>
            </w:r>
          </w:p>
        </w:tc>
        <w:tc>
          <w:tcPr>
            <w:tcW w:w="874" w:type="dxa"/>
          </w:tcPr>
          <w:p w14:paraId="2E3D0765" w14:textId="77777777" w:rsidR="00405424" w:rsidRPr="00CD29D0" w:rsidRDefault="00405424" w:rsidP="00460478">
            <w:pPr>
              <w:pStyle w:val="TableTextCentered"/>
            </w:pPr>
            <w:r w:rsidRPr="00CD29D0">
              <w:t>8</w:t>
            </w:r>
          </w:p>
        </w:tc>
        <w:tc>
          <w:tcPr>
            <w:tcW w:w="874" w:type="dxa"/>
          </w:tcPr>
          <w:p w14:paraId="765168E2" w14:textId="77777777" w:rsidR="00405424" w:rsidRPr="00CD29D0" w:rsidRDefault="00405424" w:rsidP="00460478">
            <w:pPr>
              <w:pStyle w:val="TableTextCentered"/>
            </w:pPr>
            <w:r w:rsidRPr="00CD29D0">
              <w:t>4</w:t>
            </w:r>
          </w:p>
        </w:tc>
        <w:tc>
          <w:tcPr>
            <w:tcW w:w="874" w:type="dxa"/>
          </w:tcPr>
          <w:p w14:paraId="2C3192F9" w14:textId="77777777" w:rsidR="00405424" w:rsidRPr="00CD29D0" w:rsidRDefault="00405424" w:rsidP="00460478">
            <w:pPr>
              <w:pStyle w:val="TableTextCentered"/>
            </w:pPr>
            <w:r w:rsidRPr="00CD29D0">
              <w:t>4</w:t>
            </w:r>
          </w:p>
        </w:tc>
        <w:tc>
          <w:tcPr>
            <w:tcW w:w="875" w:type="dxa"/>
          </w:tcPr>
          <w:p w14:paraId="04E03174" w14:textId="77777777" w:rsidR="00405424" w:rsidRPr="00CD29D0" w:rsidRDefault="00405424" w:rsidP="00460478">
            <w:pPr>
              <w:pStyle w:val="TableTextCentered"/>
            </w:pPr>
            <w:r w:rsidRPr="00CD29D0">
              <w:t>2</w:t>
            </w:r>
          </w:p>
        </w:tc>
        <w:tc>
          <w:tcPr>
            <w:tcW w:w="875" w:type="dxa"/>
          </w:tcPr>
          <w:p w14:paraId="27D5DE33" w14:textId="77777777" w:rsidR="00405424" w:rsidRPr="00CD29D0" w:rsidRDefault="00405424" w:rsidP="00460478">
            <w:pPr>
              <w:pStyle w:val="TableTextCentered"/>
            </w:pPr>
            <w:r w:rsidRPr="00CD29D0">
              <w:t>1</w:t>
            </w:r>
          </w:p>
        </w:tc>
        <w:tc>
          <w:tcPr>
            <w:tcW w:w="874" w:type="dxa"/>
          </w:tcPr>
          <w:p w14:paraId="52BA00B3" w14:textId="77777777" w:rsidR="00405424" w:rsidRPr="00CD29D0" w:rsidRDefault="00405424" w:rsidP="00460478">
            <w:pPr>
              <w:pStyle w:val="TableTextCentered"/>
            </w:pPr>
            <w:r w:rsidRPr="00CD29D0">
              <w:t>1</w:t>
            </w:r>
          </w:p>
        </w:tc>
        <w:tc>
          <w:tcPr>
            <w:tcW w:w="875" w:type="dxa"/>
          </w:tcPr>
          <w:p w14:paraId="44B9B961" w14:textId="77777777" w:rsidR="00405424" w:rsidRPr="00CD29D0" w:rsidRDefault="00405424" w:rsidP="00460478">
            <w:pPr>
              <w:pStyle w:val="TableTextCentered"/>
            </w:pPr>
            <w:r w:rsidRPr="00CD29D0">
              <w:t>0</w:t>
            </w:r>
          </w:p>
        </w:tc>
        <w:tc>
          <w:tcPr>
            <w:tcW w:w="900" w:type="dxa"/>
          </w:tcPr>
          <w:p w14:paraId="24099CBA" w14:textId="77777777" w:rsidR="00405424" w:rsidRPr="00CD29D0" w:rsidRDefault="00405424" w:rsidP="00460478">
            <w:pPr>
              <w:pStyle w:val="TableTextCentered"/>
            </w:pPr>
            <w:r w:rsidRPr="00CD29D0">
              <w:t>20</w:t>
            </w:r>
          </w:p>
        </w:tc>
        <w:tc>
          <w:tcPr>
            <w:tcW w:w="892" w:type="dxa"/>
          </w:tcPr>
          <w:p w14:paraId="1FCE40EC" w14:textId="77777777" w:rsidR="00405424" w:rsidRPr="00CD29D0" w:rsidRDefault="00405424" w:rsidP="00460478">
            <w:pPr>
              <w:pStyle w:val="TableTextCentered"/>
            </w:pPr>
            <w:r w:rsidRPr="00CD29D0">
              <w:t>2.4</w:t>
            </w:r>
          </w:p>
        </w:tc>
      </w:tr>
      <w:tr w:rsidR="00405424" w:rsidRPr="00CD29D0" w14:paraId="791E8F74" w14:textId="77777777" w:rsidTr="00460478">
        <w:tc>
          <w:tcPr>
            <w:tcW w:w="1431" w:type="dxa"/>
          </w:tcPr>
          <w:p w14:paraId="1E244091" w14:textId="77777777" w:rsidR="00405424" w:rsidRPr="00CD29D0" w:rsidRDefault="00405424" w:rsidP="00460478">
            <w:pPr>
              <w:pStyle w:val="TableText"/>
              <w:rPr>
                <w:b/>
                <w:bCs/>
              </w:rPr>
            </w:pPr>
            <w:r w:rsidRPr="00CD29D0">
              <w:rPr>
                <w:b/>
                <w:bCs/>
              </w:rPr>
              <w:t>Totals</w:t>
            </w:r>
          </w:p>
        </w:tc>
        <w:tc>
          <w:tcPr>
            <w:tcW w:w="874" w:type="dxa"/>
          </w:tcPr>
          <w:p w14:paraId="6FCDABE7" w14:textId="77777777" w:rsidR="00405424" w:rsidRPr="00CD29D0" w:rsidRDefault="00405424" w:rsidP="00460478">
            <w:pPr>
              <w:pStyle w:val="TableTextCentered"/>
              <w:rPr>
                <w:b/>
                <w:bCs/>
              </w:rPr>
            </w:pPr>
            <w:r w:rsidRPr="00CD29D0">
              <w:rPr>
                <w:b/>
                <w:bCs/>
              </w:rPr>
              <w:t>15</w:t>
            </w:r>
          </w:p>
        </w:tc>
        <w:tc>
          <w:tcPr>
            <w:tcW w:w="874" w:type="dxa"/>
          </w:tcPr>
          <w:p w14:paraId="4048A3B8" w14:textId="77777777" w:rsidR="00405424" w:rsidRPr="00CD29D0" w:rsidRDefault="00405424" w:rsidP="00460478">
            <w:pPr>
              <w:pStyle w:val="TableTextCentered"/>
              <w:rPr>
                <w:b/>
                <w:bCs/>
              </w:rPr>
            </w:pPr>
            <w:r w:rsidRPr="00CD29D0">
              <w:rPr>
                <w:b/>
                <w:bCs/>
              </w:rPr>
              <w:t>13</w:t>
            </w:r>
          </w:p>
        </w:tc>
        <w:tc>
          <w:tcPr>
            <w:tcW w:w="874" w:type="dxa"/>
          </w:tcPr>
          <w:p w14:paraId="3DBDABC7" w14:textId="77777777" w:rsidR="00405424" w:rsidRPr="00CD29D0" w:rsidRDefault="00405424" w:rsidP="00460478">
            <w:pPr>
              <w:pStyle w:val="TableTextCentered"/>
              <w:rPr>
                <w:b/>
                <w:bCs/>
              </w:rPr>
            </w:pPr>
            <w:r w:rsidRPr="00CD29D0">
              <w:rPr>
                <w:b/>
                <w:bCs/>
              </w:rPr>
              <w:t>25</w:t>
            </w:r>
          </w:p>
        </w:tc>
        <w:tc>
          <w:tcPr>
            <w:tcW w:w="875" w:type="dxa"/>
          </w:tcPr>
          <w:p w14:paraId="3073B448" w14:textId="77777777" w:rsidR="00405424" w:rsidRPr="00CD29D0" w:rsidRDefault="00405424" w:rsidP="00460478">
            <w:pPr>
              <w:pStyle w:val="TableTextCentered"/>
              <w:rPr>
                <w:b/>
                <w:bCs/>
              </w:rPr>
            </w:pPr>
            <w:r w:rsidRPr="00CD29D0">
              <w:rPr>
                <w:b/>
                <w:bCs/>
              </w:rPr>
              <w:t>13</w:t>
            </w:r>
          </w:p>
        </w:tc>
        <w:tc>
          <w:tcPr>
            <w:tcW w:w="875" w:type="dxa"/>
          </w:tcPr>
          <w:p w14:paraId="61D7F077" w14:textId="77777777" w:rsidR="00405424" w:rsidRPr="00CD29D0" w:rsidRDefault="00405424" w:rsidP="00460478">
            <w:pPr>
              <w:pStyle w:val="TableTextCentered"/>
              <w:rPr>
                <w:b/>
                <w:bCs/>
              </w:rPr>
            </w:pPr>
            <w:r w:rsidRPr="00CD29D0">
              <w:rPr>
                <w:b/>
                <w:bCs/>
              </w:rPr>
              <w:t>4</w:t>
            </w:r>
          </w:p>
        </w:tc>
        <w:tc>
          <w:tcPr>
            <w:tcW w:w="874" w:type="dxa"/>
          </w:tcPr>
          <w:p w14:paraId="3430FBEB" w14:textId="77777777" w:rsidR="00405424" w:rsidRPr="00CD29D0" w:rsidRDefault="00405424" w:rsidP="00460478">
            <w:pPr>
              <w:pStyle w:val="TableTextCentered"/>
              <w:rPr>
                <w:b/>
                <w:bCs/>
              </w:rPr>
            </w:pPr>
            <w:r w:rsidRPr="00CD29D0">
              <w:rPr>
                <w:b/>
                <w:bCs/>
              </w:rPr>
              <w:t>3</w:t>
            </w:r>
          </w:p>
        </w:tc>
        <w:tc>
          <w:tcPr>
            <w:tcW w:w="875" w:type="dxa"/>
          </w:tcPr>
          <w:p w14:paraId="563D356B" w14:textId="77777777" w:rsidR="00405424" w:rsidRPr="00CD29D0" w:rsidRDefault="00405424" w:rsidP="00460478">
            <w:pPr>
              <w:pStyle w:val="TableTextCentered"/>
              <w:rPr>
                <w:b/>
                <w:bCs/>
              </w:rPr>
            </w:pPr>
            <w:r w:rsidRPr="00CD29D0">
              <w:rPr>
                <w:b/>
                <w:bCs/>
              </w:rPr>
              <w:t>0</w:t>
            </w:r>
          </w:p>
        </w:tc>
        <w:tc>
          <w:tcPr>
            <w:tcW w:w="900" w:type="dxa"/>
          </w:tcPr>
          <w:p w14:paraId="05373BEA" w14:textId="77777777" w:rsidR="00405424" w:rsidRPr="00CD29D0" w:rsidRDefault="00405424" w:rsidP="00460478">
            <w:pPr>
              <w:pStyle w:val="TableTextCentered"/>
              <w:rPr>
                <w:b/>
                <w:bCs/>
              </w:rPr>
            </w:pPr>
            <w:r w:rsidRPr="00CD29D0">
              <w:rPr>
                <w:b/>
                <w:bCs/>
              </w:rPr>
              <w:t>73</w:t>
            </w:r>
          </w:p>
        </w:tc>
        <w:tc>
          <w:tcPr>
            <w:tcW w:w="892" w:type="dxa"/>
          </w:tcPr>
          <w:p w14:paraId="33024505" w14:textId="77777777" w:rsidR="00405424" w:rsidRPr="00CD29D0" w:rsidRDefault="00405424" w:rsidP="00460478">
            <w:pPr>
              <w:pStyle w:val="TableTextCentered"/>
              <w:rPr>
                <w:b/>
                <w:bCs/>
              </w:rPr>
            </w:pPr>
            <w:r w:rsidRPr="00CD29D0">
              <w:rPr>
                <w:b/>
                <w:bCs/>
              </w:rPr>
              <w:t>2.8</w:t>
            </w:r>
          </w:p>
        </w:tc>
      </w:tr>
    </w:tbl>
    <w:bookmarkEnd w:id="155"/>
    <w:p w14:paraId="24724FA7" w14:textId="22F2B008" w:rsidR="00405424" w:rsidRPr="00CD29D0" w:rsidRDefault="00405424" w:rsidP="00460478">
      <w:pPr>
        <w:pStyle w:val="TableNote"/>
      </w:pPr>
      <w:r w:rsidRPr="00CD29D0">
        <w:t xml:space="preserve">*The district average is an average of the observation scores. In Table 13, the district average is computed as: </w:t>
      </w:r>
      <w:bookmarkStart w:id="156" w:name="Dist_QF_Calc"/>
      <w:r w:rsidRPr="00CD29D0">
        <w:t>([1 x 15] + [2 x 13] + [3 x 25] + [4 x 13] + [5 x 4] + [6 x 3]) ÷ 73 observations = 2.8</w:t>
      </w:r>
      <w:bookmarkEnd w:id="156"/>
    </w:p>
    <w:p w14:paraId="50666C8B" w14:textId="77777777" w:rsidR="00405424" w:rsidRPr="00CD29D0" w:rsidRDefault="00405424" w:rsidP="00460478">
      <w:pPr>
        <w:pStyle w:val="BodyText"/>
      </w:pPr>
      <w:r w:rsidRPr="00CD29D0">
        <w:rPr>
          <w:rStyle w:val="BodyTextDemiChar"/>
        </w:rPr>
        <w:t>Ratings in the Low Range.</w:t>
      </w:r>
      <w:r w:rsidRPr="00CD29D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045EF727" w14:textId="77777777" w:rsidR="00405424" w:rsidRPr="00CD29D0" w:rsidRDefault="00405424" w:rsidP="00460478">
      <w:pPr>
        <w:pStyle w:val="BodyTextposthead"/>
      </w:pPr>
      <w:r w:rsidRPr="00CD29D0">
        <w:rPr>
          <w:rStyle w:val="BodyTextDemiChar"/>
        </w:rPr>
        <w:t>Ratings in the Middle Range.</w:t>
      </w:r>
      <w:r w:rsidRPr="00CD29D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048EC3B4" w14:textId="6D34F046" w:rsidR="00405424" w:rsidRPr="00CD29D0" w:rsidRDefault="00405424" w:rsidP="00460478">
      <w:pPr>
        <w:pStyle w:val="BodyTextposthead"/>
      </w:pPr>
      <w:r w:rsidRPr="00CD29D0">
        <w:rPr>
          <w:rStyle w:val="BodyTextDemiChar"/>
        </w:rPr>
        <w:t>Ratings in the High Range.</w:t>
      </w:r>
      <w:r w:rsidRPr="00CD29D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rsidRPr="00CD29D0">
        <w:br w:type="page"/>
      </w:r>
    </w:p>
    <w:p w14:paraId="73F691F3" w14:textId="77777777" w:rsidR="00405424" w:rsidRPr="00CD29D0" w:rsidRDefault="00405424" w:rsidP="00272891">
      <w:pPr>
        <w:pStyle w:val="DIORDimensions"/>
      </w:pPr>
      <w:bookmarkStart w:id="157" w:name="_Toc411329837"/>
      <w:bookmarkStart w:id="158" w:name="_Toc430114886"/>
      <w:bookmarkStart w:id="159" w:name="_Toc227587573"/>
      <w:r w:rsidRPr="00CD29D0">
        <w:lastRenderedPageBreak/>
        <w:t>Language Modeling</w:t>
      </w:r>
      <w:bookmarkEnd w:id="157"/>
      <w:bookmarkEnd w:id="158"/>
      <w:bookmarkEnd w:id="159"/>
    </w:p>
    <w:p w14:paraId="554A1502" w14:textId="1E234437" w:rsidR="00405424" w:rsidRPr="00CD29D0" w:rsidRDefault="00405424" w:rsidP="00BF0B5C">
      <w:pPr>
        <w:pStyle w:val="BodyTextDomain"/>
      </w:pPr>
      <w:r w:rsidRPr="00CD29D0">
        <w:t>Instructional Support domain, Grades PK</w:t>
      </w:r>
      <w:r w:rsidRPr="00CD29D0">
        <w:rPr>
          <w:rFonts w:ascii="Vijaya" w:hAnsi="Vijaya" w:cs="Vijaya"/>
        </w:rPr>
        <w:t>−</w:t>
      </w:r>
      <w:r w:rsidRPr="00CD29D0">
        <w:t>3</w:t>
      </w:r>
    </w:p>
    <w:p w14:paraId="1614BFC7" w14:textId="77777777" w:rsidR="00405424" w:rsidRPr="00CD29D0" w:rsidRDefault="00405424" w:rsidP="00460478">
      <w:pPr>
        <w:pStyle w:val="BodyTextposthead"/>
      </w:pPr>
      <w:r w:rsidRPr="00CD29D0">
        <w:t>Language Modeling refers to the quality and amount of the teacher’s use of language stimulation and language facilitation techniques (</w:t>
      </w:r>
      <w:r w:rsidRPr="00CD29D0">
        <w:rPr>
          <w:i/>
        </w:rPr>
        <w:t>CLASS PK–3 Manual</w:t>
      </w:r>
      <w:r w:rsidRPr="00CD29D0">
        <w:t>, p. 79).</w:t>
      </w:r>
    </w:p>
    <w:p w14:paraId="350DE4CC" w14:textId="77777777" w:rsidR="00405424" w:rsidRPr="00CD29D0" w:rsidRDefault="00405424" w:rsidP="00460478">
      <w:pPr>
        <w:pStyle w:val="TableTitle0"/>
      </w:pPr>
      <w:r w:rsidRPr="00CD29D0">
        <w:t>Table 14. Language Modeling: Number of Classrooms for Each Rating and District Average</w:t>
      </w:r>
    </w:p>
    <w:p w14:paraId="710F4617" w14:textId="77777777" w:rsidR="00405424" w:rsidRPr="00CD29D0" w:rsidRDefault="00405424" w:rsidP="00BF0B5C">
      <w:pPr>
        <w:pStyle w:val="BodyTextDemi"/>
      </w:pPr>
      <w:r w:rsidRPr="00CD29D0">
        <w:t xml:space="preserve">Language Modeling District Average*: </w:t>
      </w:r>
      <w:bookmarkStart w:id="160" w:name="Dist_LM_Avg"/>
      <w:r w:rsidRPr="00CD29D0">
        <w:t>3.7</w:t>
      </w:r>
      <w:bookmarkEnd w:id="160"/>
    </w:p>
    <w:tbl>
      <w:tblPr>
        <w:tblStyle w:val="MSVTable1"/>
        <w:tblW w:w="5000" w:type="pct"/>
        <w:tblLook w:val="04A0" w:firstRow="1" w:lastRow="0" w:firstColumn="1" w:lastColumn="0" w:noHBand="0" w:noVBand="1"/>
        <w:tblCaption w:val="Table 14. Language Modeling: Number of Classrooms for Each Rating and District Average"/>
        <w:tblDescription w:val="Language Modeling: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6D209F31"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7200D457" w14:textId="77777777" w:rsidR="00405424" w:rsidRPr="00CD29D0" w:rsidRDefault="00405424" w:rsidP="00460478">
            <w:pPr>
              <w:pStyle w:val="TableColHeadingCenter"/>
            </w:pPr>
            <w:bookmarkStart w:id="161" w:name="Tbl_LM"/>
            <w:r w:rsidRPr="00CD29D0">
              <w:t>Grade Band</w:t>
            </w:r>
          </w:p>
        </w:tc>
        <w:tc>
          <w:tcPr>
            <w:tcW w:w="874" w:type="dxa"/>
          </w:tcPr>
          <w:p w14:paraId="24DF14B4" w14:textId="77777777" w:rsidR="00405424" w:rsidRPr="00CD29D0" w:rsidRDefault="00405424" w:rsidP="00460478">
            <w:pPr>
              <w:pStyle w:val="TableColHeadingCenter"/>
            </w:pPr>
            <w:r w:rsidRPr="00CD29D0">
              <w:t>Low Range (1)</w:t>
            </w:r>
          </w:p>
        </w:tc>
        <w:tc>
          <w:tcPr>
            <w:tcW w:w="874" w:type="dxa"/>
          </w:tcPr>
          <w:p w14:paraId="1D2A040D" w14:textId="77777777" w:rsidR="00405424" w:rsidRPr="00CD29D0" w:rsidRDefault="00405424" w:rsidP="00460478">
            <w:pPr>
              <w:pStyle w:val="TableColHeadingCenter"/>
            </w:pPr>
            <w:r w:rsidRPr="00CD29D0">
              <w:t>Low Range (2)</w:t>
            </w:r>
          </w:p>
        </w:tc>
        <w:tc>
          <w:tcPr>
            <w:tcW w:w="874" w:type="dxa"/>
          </w:tcPr>
          <w:p w14:paraId="6FEA2536" w14:textId="77777777" w:rsidR="00405424" w:rsidRPr="00CD29D0" w:rsidRDefault="00405424" w:rsidP="00460478">
            <w:pPr>
              <w:pStyle w:val="TableColHeadingCenter"/>
            </w:pPr>
            <w:r w:rsidRPr="00CD29D0">
              <w:t>Middle Range (3)</w:t>
            </w:r>
          </w:p>
        </w:tc>
        <w:tc>
          <w:tcPr>
            <w:tcW w:w="875" w:type="dxa"/>
          </w:tcPr>
          <w:p w14:paraId="04A27531" w14:textId="77777777" w:rsidR="00405424" w:rsidRPr="00CD29D0" w:rsidRDefault="00405424" w:rsidP="00460478">
            <w:pPr>
              <w:pStyle w:val="TableColHeadingCenter"/>
            </w:pPr>
            <w:r w:rsidRPr="00CD29D0">
              <w:t>Middle Range (4)</w:t>
            </w:r>
          </w:p>
        </w:tc>
        <w:tc>
          <w:tcPr>
            <w:tcW w:w="875" w:type="dxa"/>
          </w:tcPr>
          <w:p w14:paraId="677693EB" w14:textId="77777777" w:rsidR="00405424" w:rsidRPr="00CD29D0" w:rsidRDefault="00405424" w:rsidP="00460478">
            <w:pPr>
              <w:pStyle w:val="TableColHeadingCenter"/>
            </w:pPr>
            <w:r w:rsidRPr="00CD29D0">
              <w:t>Middle Range (5)</w:t>
            </w:r>
          </w:p>
        </w:tc>
        <w:tc>
          <w:tcPr>
            <w:tcW w:w="874" w:type="dxa"/>
          </w:tcPr>
          <w:p w14:paraId="4B158446" w14:textId="77777777" w:rsidR="00405424" w:rsidRPr="00CD29D0" w:rsidRDefault="00405424" w:rsidP="00460478">
            <w:pPr>
              <w:pStyle w:val="TableColHeadingCenter"/>
            </w:pPr>
            <w:r w:rsidRPr="00CD29D0">
              <w:t>High Range (6)</w:t>
            </w:r>
          </w:p>
        </w:tc>
        <w:tc>
          <w:tcPr>
            <w:tcW w:w="875" w:type="dxa"/>
          </w:tcPr>
          <w:p w14:paraId="13804C78" w14:textId="77777777" w:rsidR="00405424" w:rsidRPr="00CD29D0" w:rsidRDefault="00405424" w:rsidP="00460478">
            <w:pPr>
              <w:pStyle w:val="TableColHeadingCenter"/>
            </w:pPr>
            <w:r w:rsidRPr="00CD29D0">
              <w:t>High Range (7)</w:t>
            </w:r>
          </w:p>
        </w:tc>
        <w:tc>
          <w:tcPr>
            <w:tcW w:w="900" w:type="dxa"/>
          </w:tcPr>
          <w:p w14:paraId="3C0265AB" w14:textId="77777777" w:rsidR="00405424" w:rsidRPr="00CD29D0" w:rsidRDefault="00405424" w:rsidP="00460478">
            <w:pPr>
              <w:pStyle w:val="TableColHeadingCenter"/>
            </w:pPr>
            <w:r w:rsidRPr="00CD29D0">
              <w:t>n</w:t>
            </w:r>
          </w:p>
        </w:tc>
        <w:tc>
          <w:tcPr>
            <w:tcW w:w="892" w:type="dxa"/>
          </w:tcPr>
          <w:p w14:paraId="4303354D" w14:textId="77777777" w:rsidR="00405424" w:rsidRPr="00CD29D0" w:rsidRDefault="00405424" w:rsidP="00460478">
            <w:pPr>
              <w:pStyle w:val="TableColHeadingCenter"/>
            </w:pPr>
            <w:r w:rsidRPr="00CD29D0">
              <w:t>Average</w:t>
            </w:r>
          </w:p>
        </w:tc>
      </w:tr>
      <w:tr w:rsidR="00405424" w:rsidRPr="00CD29D0" w14:paraId="07EF7607"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1787FAF0" w14:textId="77777777" w:rsidR="00405424" w:rsidRPr="00CD29D0" w:rsidRDefault="00405424" w:rsidP="00460478">
            <w:pPr>
              <w:pStyle w:val="TableText"/>
            </w:pPr>
            <w:r w:rsidRPr="00CD29D0">
              <w:t>Grades PK-3**</w:t>
            </w:r>
          </w:p>
        </w:tc>
        <w:tc>
          <w:tcPr>
            <w:tcW w:w="874" w:type="dxa"/>
          </w:tcPr>
          <w:p w14:paraId="56B27E76" w14:textId="77777777" w:rsidR="00405424" w:rsidRPr="00CD29D0" w:rsidRDefault="00405424" w:rsidP="00460478">
            <w:pPr>
              <w:pStyle w:val="TableTextCentered"/>
            </w:pPr>
            <w:r w:rsidRPr="00CD29D0">
              <w:t>1</w:t>
            </w:r>
          </w:p>
        </w:tc>
        <w:tc>
          <w:tcPr>
            <w:tcW w:w="874" w:type="dxa"/>
          </w:tcPr>
          <w:p w14:paraId="18AA5454" w14:textId="77777777" w:rsidR="00405424" w:rsidRPr="00CD29D0" w:rsidRDefault="00405424" w:rsidP="00460478">
            <w:pPr>
              <w:pStyle w:val="TableTextCentered"/>
            </w:pPr>
            <w:r w:rsidRPr="00CD29D0">
              <w:t>5</w:t>
            </w:r>
          </w:p>
        </w:tc>
        <w:tc>
          <w:tcPr>
            <w:tcW w:w="874" w:type="dxa"/>
          </w:tcPr>
          <w:p w14:paraId="5971DDBA" w14:textId="77777777" w:rsidR="00405424" w:rsidRPr="00CD29D0" w:rsidRDefault="00405424" w:rsidP="00460478">
            <w:pPr>
              <w:pStyle w:val="TableTextCentered"/>
            </w:pPr>
            <w:r w:rsidRPr="00CD29D0">
              <w:t>3</w:t>
            </w:r>
          </w:p>
        </w:tc>
        <w:tc>
          <w:tcPr>
            <w:tcW w:w="875" w:type="dxa"/>
          </w:tcPr>
          <w:p w14:paraId="0053FFCB" w14:textId="77777777" w:rsidR="00405424" w:rsidRPr="00CD29D0" w:rsidRDefault="00405424" w:rsidP="00460478">
            <w:pPr>
              <w:pStyle w:val="TableTextCentered"/>
            </w:pPr>
            <w:r w:rsidRPr="00CD29D0">
              <w:t>7</w:t>
            </w:r>
          </w:p>
        </w:tc>
        <w:tc>
          <w:tcPr>
            <w:tcW w:w="875" w:type="dxa"/>
          </w:tcPr>
          <w:p w14:paraId="3188AC58" w14:textId="77777777" w:rsidR="00405424" w:rsidRPr="00CD29D0" w:rsidRDefault="00405424" w:rsidP="00460478">
            <w:pPr>
              <w:pStyle w:val="TableTextCentered"/>
            </w:pPr>
            <w:r w:rsidRPr="00CD29D0">
              <w:t>6</w:t>
            </w:r>
          </w:p>
        </w:tc>
        <w:tc>
          <w:tcPr>
            <w:tcW w:w="874" w:type="dxa"/>
          </w:tcPr>
          <w:p w14:paraId="63487C24" w14:textId="77777777" w:rsidR="00405424" w:rsidRPr="00CD29D0" w:rsidRDefault="00405424" w:rsidP="00460478">
            <w:pPr>
              <w:pStyle w:val="TableTextCentered"/>
            </w:pPr>
            <w:r w:rsidRPr="00CD29D0">
              <w:t>1</w:t>
            </w:r>
          </w:p>
        </w:tc>
        <w:tc>
          <w:tcPr>
            <w:tcW w:w="875" w:type="dxa"/>
          </w:tcPr>
          <w:p w14:paraId="6ECF66F0" w14:textId="77777777" w:rsidR="00405424" w:rsidRPr="00CD29D0" w:rsidRDefault="00405424" w:rsidP="00460478">
            <w:pPr>
              <w:pStyle w:val="TableTextCentered"/>
            </w:pPr>
            <w:r w:rsidRPr="00CD29D0">
              <w:t>0</w:t>
            </w:r>
          </w:p>
        </w:tc>
        <w:tc>
          <w:tcPr>
            <w:tcW w:w="900" w:type="dxa"/>
          </w:tcPr>
          <w:p w14:paraId="25ACFAAD" w14:textId="77777777" w:rsidR="00405424" w:rsidRPr="00CD29D0" w:rsidRDefault="00405424" w:rsidP="00460478">
            <w:pPr>
              <w:pStyle w:val="TableTextCentered"/>
            </w:pPr>
            <w:r w:rsidRPr="00CD29D0">
              <w:t>23</w:t>
            </w:r>
          </w:p>
        </w:tc>
        <w:tc>
          <w:tcPr>
            <w:tcW w:w="892" w:type="dxa"/>
          </w:tcPr>
          <w:p w14:paraId="7819917E" w14:textId="77777777" w:rsidR="00405424" w:rsidRPr="00CD29D0" w:rsidRDefault="00405424" w:rsidP="00460478">
            <w:pPr>
              <w:pStyle w:val="TableTextCentered"/>
            </w:pPr>
            <w:r w:rsidRPr="00CD29D0">
              <w:t>3.7</w:t>
            </w:r>
          </w:p>
        </w:tc>
      </w:tr>
    </w:tbl>
    <w:bookmarkEnd w:id="161"/>
    <w:p w14:paraId="088FA9B6" w14:textId="60894133" w:rsidR="00405424" w:rsidRPr="00CD29D0" w:rsidRDefault="00405424" w:rsidP="00460478">
      <w:pPr>
        <w:pStyle w:val="TableNote"/>
      </w:pPr>
      <w:r w:rsidRPr="00CD29D0">
        <w:t xml:space="preserve">*The district average is an average of the observation scores. In Table 14, the district average is computed as: </w:t>
      </w:r>
      <w:bookmarkStart w:id="162" w:name="Dist_LM_Calc"/>
      <w:r w:rsidRPr="00CD29D0">
        <w:t>([1 x 1] + [2 x 5] + [3 x 3] + [4 x 7] + [5 x 6] + [6 x 1]) ÷ 23 observations = 3.7</w:t>
      </w:r>
      <w:bookmarkEnd w:id="162"/>
    </w:p>
    <w:p w14:paraId="0A6E6351" w14:textId="77777777" w:rsidR="00405424" w:rsidRPr="00CD29D0" w:rsidRDefault="00405424" w:rsidP="00460478">
      <w:pPr>
        <w:pStyle w:val="TableNote"/>
      </w:pPr>
      <w:r w:rsidRPr="00CD29D0">
        <w:t>**Language Modeling does not appear in the CLASS Upper Elementary Manual, therefore scores for the Elementary School Level represent grades PK-3 only.</w:t>
      </w:r>
    </w:p>
    <w:p w14:paraId="47E4D6BE" w14:textId="41CD1576" w:rsidR="00405424" w:rsidRPr="00CD29D0" w:rsidRDefault="00405424" w:rsidP="00460478">
      <w:pPr>
        <w:pStyle w:val="BodyText"/>
      </w:pPr>
      <w:r w:rsidRPr="00CD29D0">
        <w:rPr>
          <w:rStyle w:val="BodyTextDemiChar"/>
        </w:rPr>
        <w:t>Ratings in the Low Range.</w:t>
      </w:r>
      <w:r w:rsidRPr="00CD29D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310F1955" w14:textId="4499227E" w:rsidR="00405424" w:rsidRPr="00CD29D0" w:rsidRDefault="00405424" w:rsidP="00460478">
      <w:pPr>
        <w:pStyle w:val="BodyTextposthead"/>
      </w:pPr>
      <w:r w:rsidRPr="00CD29D0">
        <w:rPr>
          <w:rStyle w:val="BodyTextDemiChar"/>
        </w:rPr>
        <w:t>Ratings in the Middle Range.</w:t>
      </w:r>
      <w:r w:rsidRPr="00CD29D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2B4B9158" w14:textId="3D659A5D" w:rsidR="00424417" w:rsidRPr="00CD29D0" w:rsidRDefault="00405424" w:rsidP="00460478">
      <w:pPr>
        <w:pStyle w:val="BodyTextposthead"/>
      </w:pPr>
      <w:r w:rsidRPr="00CD29D0">
        <w:rPr>
          <w:rStyle w:val="BodyTextDemiChar"/>
        </w:rPr>
        <w:t>Ratings in the High Range.</w:t>
      </w:r>
      <w:r w:rsidRPr="00CD29D0">
        <w:rPr>
          <w:b/>
        </w:rPr>
        <w:t xml:space="preserve"> </w:t>
      </w:r>
      <w:r w:rsidRPr="00CD29D0">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424417" w:rsidRPr="00CD29D0">
        <w:br w:type="page"/>
      </w:r>
    </w:p>
    <w:p w14:paraId="0D13B10B" w14:textId="3E0FEADD" w:rsidR="00405424" w:rsidRPr="00AA2E97" w:rsidRDefault="00405424" w:rsidP="00272891">
      <w:pPr>
        <w:pStyle w:val="DIORDimensions"/>
        <w:rPr>
          <w:lang w:val="fr-FR"/>
        </w:rPr>
      </w:pPr>
      <w:bookmarkStart w:id="163" w:name="_Toc379881745"/>
      <w:bookmarkStart w:id="164" w:name="_Toc411329838"/>
      <w:bookmarkStart w:id="165" w:name="_Toc430114887"/>
      <w:bookmarkStart w:id="166" w:name="_Toc227587574"/>
      <w:r w:rsidRPr="00AA2E97">
        <w:rPr>
          <w:lang w:val="fr-FR"/>
        </w:rPr>
        <w:lastRenderedPageBreak/>
        <w:t>Instructional Dialogue</w:t>
      </w:r>
      <w:bookmarkEnd w:id="163"/>
      <w:bookmarkEnd w:id="164"/>
      <w:bookmarkEnd w:id="165"/>
      <w:bookmarkEnd w:id="166"/>
    </w:p>
    <w:p w14:paraId="477B9ED4" w14:textId="77777777" w:rsidR="00405424" w:rsidRPr="00AA2E97" w:rsidRDefault="00405424" w:rsidP="00BF0B5C">
      <w:pPr>
        <w:pStyle w:val="BodyTextDomain"/>
        <w:rPr>
          <w:lang w:val="fr-FR"/>
        </w:rPr>
      </w:pPr>
      <w:r w:rsidRPr="00AA2E97">
        <w:rPr>
          <w:lang w:val="fr-FR"/>
        </w:rPr>
        <w:t>Instructional Support domain, Grades 4</w:t>
      </w:r>
      <w:r w:rsidRPr="00AA2E97">
        <w:rPr>
          <w:rFonts w:ascii="Vijaya" w:hAnsi="Vijaya" w:cs="Vijaya"/>
          <w:lang w:val="fr-FR"/>
        </w:rPr>
        <w:t>−</w:t>
      </w:r>
      <w:r w:rsidRPr="00AA2E97">
        <w:rPr>
          <w:lang w:val="fr-FR"/>
        </w:rPr>
        <w:t>12</w:t>
      </w:r>
    </w:p>
    <w:p w14:paraId="6C890ED1" w14:textId="77777777" w:rsidR="00405424" w:rsidRPr="00CD29D0" w:rsidRDefault="00405424" w:rsidP="00460478">
      <w:pPr>
        <w:pStyle w:val="BodyTextposthead"/>
      </w:pPr>
      <w:r w:rsidRPr="00CD29D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CD29D0">
        <w:rPr>
          <w:i/>
        </w:rPr>
        <w:t>CLASS Upper Elementary Manual</w:t>
      </w:r>
      <w:r w:rsidRPr="00CD29D0">
        <w:t xml:space="preserve">, p. 97, </w:t>
      </w:r>
      <w:r w:rsidRPr="00CD29D0">
        <w:rPr>
          <w:i/>
        </w:rPr>
        <w:t>CLASS Secondary Manual</w:t>
      </w:r>
      <w:r w:rsidRPr="00CD29D0">
        <w:t>, p. 101).</w:t>
      </w:r>
    </w:p>
    <w:p w14:paraId="610A6607" w14:textId="77777777" w:rsidR="00405424" w:rsidRPr="00CD29D0" w:rsidRDefault="00405424" w:rsidP="00460478">
      <w:pPr>
        <w:pStyle w:val="TableTitle0"/>
      </w:pPr>
      <w:r w:rsidRPr="00CD29D0">
        <w:t>Table 15. Instructional Dialogue: Number of Classrooms for Each Rating and District Average</w:t>
      </w:r>
    </w:p>
    <w:p w14:paraId="66F90F5B" w14:textId="77777777" w:rsidR="00405424" w:rsidRPr="00CD29D0" w:rsidRDefault="00405424" w:rsidP="00BF0B5C">
      <w:pPr>
        <w:pStyle w:val="BodyTextDemi"/>
      </w:pPr>
      <w:r w:rsidRPr="00CD29D0">
        <w:t xml:space="preserve">Instructional Dialogue District Average*: </w:t>
      </w:r>
      <w:bookmarkStart w:id="167" w:name="Dist_ID_Avg"/>
      <w:r w:rsidRPr="00CD29D0">
        <w:t>2.7</w:t>
      </w:r>
      <w:bookmarkEnd w:id="167"/>
    </w:p>
    <w:tbl>
      <w:tblPr>
        <w:tblStyle w:val="MSVTable1"/>
        <w:tblW w:w="5000" w:type="pct"/>
        <w:tblLook w:val="04A0" w:firstRow="1" w:lastRow="0" w:firstColumn="1" w:lastColumn="0" w:noHBand="0" w:noVBand="1"/>
        <w:tblCaption w:val="Table 15. Instructional Dialogue: Number of Classrooms for Each Rating and District Average"/>
        <w:tblDescription w:val="Instructional Dialogue: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6D1C1C80"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7BCEF6B6" w14:textId="77777777" w:rsidR="00405424" w:rsidRPr="00CD29D0" w:rsidRDefault="00405424" w:rsidP="00460478">
            <w:pPr>
              <w:pStyle w:val="TableColHeadingCenter"/>
            </w:pPr>
            <w:bookmarkStart w:id="168" w:name="Tbl_ID"/>
            <w:r w:rsidRPr="00CD29D0">
              <w:t>Grade Band</w:t>
            </w:r>
          </w:p>
        </w:tc>
        <w:tc>
          <w:tcPr>
            <w:tcW w:w="874" w:type="dxa"/>
          </w:tcPr>
          <w:p w14:paraId="4DDBB075" w14:textId="77777777" w:rsidR="00405424" w:rsidRPr="00CD29D0" w:rsidRDefault="00405424" w:rsidP="00460478">
            <w:pPr>
              <w:pStyle w:val="TableColHeadingCenter"/>
            </w:pPr>
            <w:r w:rsidRPr="00CD29D0">
              <w:t>Low Range (1)</w:t>
            </w:r>
          </w:p>
        </w:tc>
        <w:tc>
          <w:tcPr>
            <w:tcW w:w="874" w:type="dxa"/>
          </w:tcPr>
          <w:p w14:paraId="000D5A97" w14:textId="77777777" w:rsidR="00405424" w:rsidRPr="00CD29D0" w:rsidRDefault="00405424" w:rsidP="00460478">
            <w:pPr>
              <w:pStyle w:val="TableColHeadingCenter"/>
            </w:pPr>
            <w:r w:rsidRPr="00CD29D0">
              <w:t>Low Range (2)</w:t>
            </w:r>
          </w:p>
        </w:tc>
        <w:tc>
          <w:tcPr>
            <w:tcW w:w="874" w:type="dxa"/>
          </w:tcPr>
          <w:p w14:paraId="1B58FD6B" w14:textId="77777777" w:rsidR="00405424" w:rsidRPr="00CD29D0" w:rsidRDefault="00405424" w:rsidP="00460478">
            <w:pPr>
              <w:pStyle w:val="TableColHeadingCenter"/>
            </w:pPr>
            <w:r w:rsidRPr="00CD29D0">
              <w:t>Middle Range (3)</w:t>
            </w:r>
          </w:p>
        </w:tc>
        <w:tc>
          <w:tcPr>
            <w:tcW w:w="875" w:type="dxa"/>
          </w:tcPr>
          <w:p w14:paraId="3FFEABF1" w14:textId="77777777" w:rsidR="00405424" w:rsidRPr="00CD29D0" w:rsidRDefault="00405424" w:rsidP="00460478">
            <w:pPr>
              <w:pStyle w:val="TableColHeadingCenter"/>
            </w:pPr>
            <w:r w:rsidRPr="00CD29D0">
              <w:t>Middle Range (4)</w:t>
            </w:r>
          </w:p>
        </w:tc>
        <w:tc>
          <w:tcPr>
            <w:tcW w:w="875" w:type="dxa"/>
          </w:tcPr>
          <w:p w14:paraId="28171B43" w14:textId="77777777" w:rsidR="00405424" w:rsidRPr="00CD29D0" w:rsidRDefault="00405424" w:rsidP="00460478">
            <w:pPr>
              <w:pStyle w:val="TableColHeadingCenter"/>
            </w:pPr>
            <w:r w:rsidRPr="00CD29D0">
              <w:t>Middle Range (5)</w:t>
            </w:r>
          </w:p>
        </w:tc>
        <w:tc>
          <w:tcPr>
            <w:tcW w:w="874" w:type="dxa"/>
          </w:tcPr>
          <w:p w14:paraId="197DA399" w14:textId="77777777" w:rsidR="00405424" w:rsidRPr="00CD29D0" w:rsidRDefault="00405424" w:rsidP="00460478">
            <w:pPr>
              <w:pStyle w:val="TableColHeadingCenter"/>
            </w:pPr>
            <w:r w:rsidRPr="00CD29D0">
              <w:t>High Range (6)</w:t>
            </w:r>
          </w:p>
        </w:tc>
        <w:tc>
          <w:tcPr>
            <w:tcW w:w="875" w:type="dxa"/>
          </w:tcPr>
          <w:p w14:paraId="03F9D849" w14:textId="77777777" w:rsidR="00405424" w:rsidRPr="00CD29D0" w:rsidRDefault="00405424" w:rsidP="00460478">
            <w:pPr>
              <w:pStyle w:val="TableColHeadingCenter"/>
            </w:pPr>
            <w:r w:rsidRPr="00CD29D0">
              <w:t>High Range (7)</w:t>
            </w:r>
          </w:p>
        </w:tc>
        <w:tc>
          <w:tcPr>
            <w:tcW w:w="900" w:type="dxa"/>
          </w:tcPr>
          <w:p w14:paraId="22EB28BC" w14:textId="77777777" w:rsidR="00405424" w:rsidRPr="00CD29D0" w:rsidRDefault="00405424" w:rsidP="00460478">
            <w:pPr>
              <w:pStyle w:val="TableColHeadingCenter"/>
            </w:pPr>
            <w:r w:rsidRPr="00CD29D0">
              <w:t>n</w:t>
            </w:r>
          </w:p>
        </w:tc>
        <w:tc>
          <w:tcPr>
            <w:tcW w:w="892" w:type="dxa"/>
          </w:tcPr>
          <w:p w14:paraId="32868153" w14:textId="77777777" w:rsidR="00405424" w:rsidRPr="00CD29D0" w:rsidRDefault="00405424" w:rsidP="00460478">
            <w:pPr>
              <w:pStyle w:val="TableColHeadingCenter"/>
            </w:pPr>
            <w:r w:rsidRPr="00CD29D0">
              <w:t>Average</w:t>
            </w:r>
          </w:p>
        </w:tc>
      </w:tr>
      <w:tr w:rsidR="00405424" w:rsidRPr="00CD29D0" w14:paraId="6ECA67F6"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6A7E420C" w14:textId="77777777" w:rsidR="00405424" w:rsidRPr="00CD29D0" w:rsidRDefault="00405424" w:rsidP="00460478">
            <w:pPr>
              <w:pStyle w:val="TableText"/>
            </w:pPr>
            <w:r w:rsidRPr="00CD29D0">
              <w:t>Grades 4-5**</w:t>
            </w:r>
          </w:p>
        </w:tc>
        <w:tc>
          <w:tcPr>
            <w:tcW w:w="874" w:type="dxa"/>
          </w:tcPr>
          <w:p w14:paraId="08B8C7C4" w14:textId="77777777" w:rsidR="00405424" w:rsidRPr="00CD29D0" w:rsidRDefault="00405424" w:rsidP="00460478">
            <w:pPr>
              <w:pStyle w:val="TableTextCentered"/>
            </w:pPr>
            <w:r w:rsidRPr="00CD29D0">
              <w:t>0</w:t>
            </w:r>
          </w:p>
        </w:tc>
        <w:tc>
          <w:tcPr>
            <w:tcW w:w="874" w:type="dxa"/>
          </w:tcPr>
          <w:p w14:paraId="33D451EB" w14:textId="77777777" w:rsidR="00405424" w:rsidRPr="00CD29D0" w:rsidRDefault="00405424" w:rsidP="00460478">
            <w:pPr>
              <w:pStyle w:val="TableTextCentered"/>
            </w:pPr>
            <w:r w:rsidRPr="00CD29D0">
              <w:t>2</w:t>
            </w:r>
          </w:p>
        </w:tc>
        <w:tc>
          <w:tcPr>
            <w:tcW w:w="874" w:type="dxa"/>
          </w:tcPr>
          <w:p w14:paraId="7357622F" w14:textId="77777777" w:rsidR="00405424" w:rsidRPr="00CD29D0" w:rsidRDefault="00405424" w:rsidP="00460478">
            <w:pPr>
              <w:pStyle w:val="TableTextCentered"/>
            </w:pPr>
            <w:r w:rsidRPr="00CD29D0">
              <w:t>4</w:t>
            </w:r>
          </w:p>
        </w:tc>
        <w:tc>
          <w:tcPr>
            <w:tcW w:w="875" w:type="dxa"/>
          </w:tcPr>
          <w:p w14:paraId="7A5E9FA7" w14:textId="77777777" w:rsidR="00405424" w:rsidRPr="00CD29D0" w:rsidRDefault="00405424" w:rsidP="00460478">
            <w:pPr>
              <w:pStyle w:val="TableTextCentered"/>
            </w:pPr>
            <w:r w:rsidRPr="00CD29D0">
              <w:t>1</w:t>
            </w:r>
          </w:p>
        </w:tc>
        <w:tc>
          <w:tcPr>
            <w:tcW w:w="875" w:type="dxa"/>
          </w:tcPr>
          <w:p w14:paraId="1B1FD02B" w14:textId="77777777" w:rsidR="00405424" w:rsidRPr="00CD29D0" w:rsidRDefault="00405424" w:rsidP="00460478">
            <w:pPr>
              <w:pStyle w:val="TableTextCentered"/>
            </w:pPr>
            <w:r w:rsidRPr="00CD29D0">
              <w:t>3</w:t>
            </w:r>
          </w:p>
        </w:tc>
        <w:tc>
          <w:tcPr>
            <w:tcW w:w="874" w:type="dxa"/>
          </w:tcPr>
          <w:p w14:paraId="2E81B6E6" w14:textId="77777777" w:rsidR="00405424" w:rsidRPr="00CD29D0" w:rsidRDefault="00405424" w:rsidP="00460478">
            <w:pPr>
              <w:pStyle w:val="TableTextCentered"/>
            </w:pPr>
            <w:r w:rsidRPr="00CD29D0">
              <w:t>0</w:t>
            </w:r>
          </w:p>
        </w:tc>
        <w:tc>
          <w:tcPr>
            <w:tcW w:w="875" w:type="dxa"/>
          </w:tcPr>
          <w:p w14:paraId="41524EA6" w14:textId="77777777" w:rsidR="00405424" w:rsidRPr="00CD29D0" w:rsidRDefault="00405424" w:rsidP="00460478">
            <w:pPr>
              <w:pStyle w:val="TableTextCentered"/>
            </w:pPr>
            <w:r w:rsidRPr="00CD29D0">
              <w:t>0</w:t>
            </w:r>
          </w:p>
        </w:tc>
        <w:tc>
          <w:tcPr>
            <w:tcW w:w="900" w:type="dxa"/>
          </w:tcPr>
          <w:p w14:paraId="0DA01FE2" w14:textId="77777777" w:rsidR="00405424" w:rsidRPr="00CD29D0" w:rsidRDefault="00405424" w:rsidP="00460478">
            <w:pPr>
              <w:pStyle w:val="TableTextCentered"/>
            </w:pPr>
            <w:r w:rsidRPr="00CD29D0">
              <w:t>10</w:t>
            </w:r>
          </w:p>
        </w:tc>
        <w:tc>
          <w:tcPr>
            <w:tcW w:w="892" w:type="dxa"/>
          </w:tcPr>
          <w:p w14:paraId="52F3D1F4" w14:textId="77777777" w:rsidR="00405424" w:rsidRPr="00CD29D0" w:rsidRDefault="00405424" w:rsidP="00460478">
            <w:pPr>
              <w:pStyle w:val="TableTextCentered"/>
            </w:pPr>
            <w:r w:rsidRPr="00CD29D0">
              <w:t>3.5</w:t>
            </w:r>
          </w:p>
        </w:tc>
      </w:tr>
      <w:tr w:rsidR="00405424" w:rsidRPr="00CD29D0" w14:paraId="54073B40" w14:textId="77777777" w:rsidTr="00460478">
        <w:tc>
          <w:tcPr>
            <w:tcW w:w="1431" w:type="dxa"/>
          </w:tcPr>
          <w:p w14:paraId="66033EE7" w14:textId="77777777" w:rsidR="00405424" w:rsidRPr="00CD29D0" w:rsidRDefault="00405424" w:rsidP="00460478">
            <w:pPr>
              <w:pStyle w:val="TableText"/>
            </w:pPr>
            <w:r w:rsidRPr="00CD29D0">
              <w:t>Grades 6-8</w:t>
            </w:r>
          </w:p>
        </w:tc>
        <w:tc>
          <w:tcPr>
            <w:tcW w:w="874" w:type="dxa"/>
          </w:tcPr>
          <w:p w14:paraId="25910B8C" w14:textId="77777777" w:rsidR="00405424" w:rsidRPr="00CD29D0" w:rsidRDefault="00405424" w:rsidP="00460478">
            <w:pPr>
              <w:pStyle w:val="TableTextCentered"/>
            </w:pPr>
            <w:r w:rsidRPr="00CD29D0">
              <w:t>5</w:t>
            </w:r>
          </w:p>
        </w:tc>
        <w:tc>
          <w:tcPr>
            <w:tcW w:w="874" w:type="dxa"/>
          </w:tcPr>
          <w:p w14:paraId="4874B55A" w14:textId="77777777" w:rsidR="00405424" w:rsidRPr="00CD29D0" w:rsidRDefault="00405424" w:rsidP="00460478">
            <w:pPr>
              <w:pStyle w:val="TableTextCentered"/>
            </w:pPr>
            <w:r w:rsidRPr="00CD29D0">
              <w:t>9</w:t>
            </w:r>
          </w:p>
        </w:tc>
        <w:tc>
          <w:tcPr>
            <w:tcW w:w="874" w:type="dxa"/>
          </w:tcPr>
          <w:p w14:paraId="405E2014" w14:textId="77777777" w:rsidR="00405424" w:rsidRPr="00CD29D0" w:rsidRDefault="00405424" w:rsidP="00460478">
            <w:pPr>
              <w:pStyle w:val="TableTextCentered"/>
            </w:pPr>
            <w:r w:rsidRPr="00CD29D0">
              <w:t>2</w:t>
            </w:r>
          </w:p>
        </w:tc>
        <w:tc>
          <w:tcPr>
            <w:tcW w:w="875" w:type="dxa"/>
          </w:tcPr>
          <w:p w14:paraId="760165B2" w14:textId="77777777" w:rsidR="00405424" w:rsidRPr="00CD29D0" w:rsidRDefault="00405424" w:rsidP="00460478">
            <w:pPr>
              <w:pStyle w:val="TableTextCentered"/>
            </w:pPr>
            <w:r w:rsidRPr="00CD29D0">
              <w:t>4</w:t>
            </w:r>
          </w:p>
        </w:tc>
        <w:tc>
          <w:tcPr>
            <w:tcW w:w="875" w:type="dxa"/>
          </w:tcPr>
          <w:p w14:paraId="2EA753FA" w14:textId="77777777" w:rsidR="00405424" w:rsidRPr="00CD29D0" w:rsidRDefault="00405424" w:rsidP="00460478">
            <w:pPr>
              <w:pStyle w:val="TableTextCentered"/>
            </w:pPr>
            <w:r w:rsidRPr="00CD29D0">
              <w:t>0</w:t>
            </w:r>
          </w:p>
        </w:tc>
        <w:tc>
          <w:tcPr>
            <w:tcW w:w="874" w:type="dxa"/>
          </w:tcPr>
          <w:p w14:paraId="644D7077" w14:textId="77777777" w:rsidR="00405424" w:rsidRPr="00CD29D0" w:rsidRDefault="00405424" w:rsidP="00460478">
            <w:pPr>
              <w:pStyle w:val="TableTextCentered"/>
            </w:pPr>
            <w:r w:rsidRPr="00CD29D0">
              <w:t>0</w:t>
            </w:r>
          </w:p>
        </w:tc>
        <w:tc>
          <w:tcPr>
            <w:tcW w:w="875" w:type="dxa"/>
          </w:tcPr>
          <w:p w14:paraId="09E06C7C" w14:textId="77777777" w:rsidR="00405424" w:rsidRPr="00CD29D0" w:rsidRDefault="00405424" w:rsidP="00460478">
            <w:pPr>
              <w:pStyle w:val="TableTextCentered"/>
            </w:pPr>
            <w:r w:rsidRPr="00CD29D0">
              <w:t>0</w:t>
            </w:r>
          </w:p>
        </w:tc>
        <w:tc>
          <w:tcPr>
            <w:tcW w:w="900" w:type="dxa"/>
          </w:tcPr>
          <w:p w14:paraId="01AE9011" w14:textId="77777777" w:rsidR="00405424" w:rsidRPr="00CD29D0" w:rsidRDefault="00405424" w:rsidP="00460478">
            <w:pPr>
              <w:pStyle w:val="TableTextCentered"/>
            </w:pPr>
            <w:r w:rsidRPr="00CD29D0">
              <w:t>20</w:t>
            </w:r>
          </w:p>
        </w:tc>
        <w:tc>
          <w:tcPr>
            <w:tcW w:w="892" w:type="dxa"/>
          </w:tcPr>
          <w:p w14:paraId="20D98670" w14:textId="77777777" w:rsidR="00405424" w:rsidRPr="00CD29D0" w:rsidRDefault="00405424" w:rsidP="00460478">
            <w:pPr>
              <w:pStyle w:val="TableTextCentered"/>
            </w:pPr>
            <w:r w:rsidRPr="00CD29D0">
              <w:t>2.3</w:t>
            </w:r>
          </w:p>
        </w:tc>
      </w:tr>
      <w:tr w:rsidR="00405424" w:rsidRPr="00CD29D0" w14:paraId="75491319"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3478D873" w14:textId="77777777" w:rsidR="00405424" w:rsidRPr="00CD29D0" w:rsidRDefault="00405424" w:rsidP="00460478">
            <w:pPr>
              <w:pStyle w:val="TableText"/>
            </w:pPr>
            <w:r w:rsidRPr="00CD29D0">
              <w:t>Grades 9-12</w:t>
            </w:r>
          </w:p>
        </w:tc>
        <w:tc>
          <w:tcPr>
            <w:tcW w:w="874" w:type="dxa"/>
          </w:tcPr>
          <w:p w14:paraId="1B147139" w14:textId="77777777" w:rsidR="00405424" w:rsidRPr="00CD29D0" w:rsidRDefault="00405424" w:rsidP="00460478">
            <w:pPr>
              <w:pStyle w:val="TableTextCentered"/>
            </w:pPr>
            <w:r w:rsidRPr="00CD29D0">
              <w:t>4</w:t>
            </w:r>
          </w:p>
        </w:tc>
        <w:tc>
          <w:tcPr>
            <w:tcW w:w="874" w:type="dxa"/>
          </w:tcPr>
          <w:p w14:paraId="7A484915" w14:textId="77777777" w:rsidR="00405424" w:rsidRPr="00CD29D0" w:rsidRDefault="00405424" w:rsidP="00460478">
            <w:pPr>
              <w:pStyle w:val="TableTextCentered"/>
            </w:pPr>
            <w:r w:rsidRPr="00CD29D0">
              <w:t>3</w:t>
            </w:r>
          </w:p>
        </w:tc>
        <w:tc>
          <w:tcPr>
            <w:tcW w:w="874" w:type="dxa"/>
          </w:tcPr>
          <w:p w14:paraId="42289F5E" w14:textId="77777777" w:rsidR="00405424" w:rsidRPr="00CD29D0" w:rsidRDefault="00405424" w:rsidP="00460478">
            <w:pPr>
              <w:pStyle w:val="TableTextCentered"/>
            </w:pPr>
            <w:r w:rsidRPr="00CD29D0">
              <w:t>8</w:t>
            </w:r>
          </w:p>
        </w:tc>
        <w:tc>
          <w:tcPr>
            <w:tcW w:w="875" w:type="dxa"/>
          </w:tcPr>
          <w:p w14:paraId="2B76B2FD" w14:textId="77777777" w:rsidR="00405424" w:rsidRPr="00CD29D0" w:rsidRDefault="00405424" w:rsidP="00460478">
            <w:pPr>
              <w:pStyle w:val="TableTextCentered"/>
            </w:pPr>
            <w:r w:rsidRPr="00CD29D0">
              <w:t>2</w:t>
            </w:r>
          </w:p>
        </w:tc>
        <w:tc>
          <w:tcPr>
            <w:tcW w:w="875" w:type="dxa"/>
          </w:tcPr>
          <w:p w14:paraId="03BD6596" w14:textId="77777777" w:rsidR="00405424" w:rsidRPr="00CD29D0" w:rsidRDefault="00405424" w:rsidP="00460478">
            <w:pPr>
              <w:pStyle w:val="TableTextCentered"/>
            </w:pPr>
            <w:r w:rsidRPr="00CD29D0">
              <w:t>3</w:t>
            </w:r>
          </w:p>
        </w:tc>
        <w:tc>
          <w:tcPr>
            <w:tcW w:w="874" w:type="dxa"/>
          </w:tcPr>
          <w:p w14:paraId="13EEDE85" w14:textId="77777777" w:rsidR="00405424" w:rsidRPr="00CD29D0" w:rsidRDefault="00405424" w:rsidP="00460478">
            <w:pPr>
              <w:pStyle w:val="TableTextCentered"/>
            </w:pPr>
            <w:r w:rsidRPr="00CD29D0">
              <w:t>0</w:t>
            </w:r>
          </w:p>
        </w:tc>
        <w:tc>
          <w:tcPr>
            <w:tcW w:w="875" w:type="dxa"/>
          </w:tcPr>
          <w:p w14:paraId="4DDB628B" w14:textId="77777777" w:rsidR="00405424" w:rsidRPr="00CD29D0" w:rsidRDefault="00405424" w:rsidP="00460478">
            <w:pPr>
              <w:pStyle w:val="TableTextCentered"/>
            </w:pPr>
            <w:r w:rsidRPr="00CD29D0">
              <w:t>0</w:t>
            </w:r>
          </w:p>
        </w:tc>
        <w:tc>
          <w:tcPr>
            <w:tcW w:w="900" w:type="dxa"/>
          </w:tcPr>
          <w:p w14:paraId="74603A3F" w14:textId="77777777" w:rsidR="00405424" w:rsidRPr="00CD29D0" w:rsidRDefault="00405424" w:rsidP="00460478">
            <w:pPr>
              <w:pStyle w:val="TableTextCentered"/>
            </w:pPr>
            <w:r w:rsidRPr="00CD29D0">
              <w:t>20</w:t>
            </w:r>
          </w:p>
        </w:tc>
        <w:tc>
          <w:tcPr>
            <w:tcW w:w="892" w:type="dxa"/>
          </w:tcPr>
          <w:p w14:paraId="2AA7753B" w14:textId="77777777" w:rsidR="00405424" w:rsidRPr="00CD29D0" w:rsidRDefault="00405424" w:rsidP="00460478">
            <w:pPr>
              <w:pStyle w:val="TableTextCentered"/>
            </w:pPr>
            <w:r w:rsidRPr="00CD29D0">
              <w:t>2.9</w:t>
            </w:r>
          </w:p>
        </w:tc>
      </w:tr>
      <w:tr w:rsidR="00405424" w:rsidRPr="00CD29D0" w14:paraId="7543C853" w14:textId="77777777" w:rsidTr="00460478">
        <w:tc>
          <w:tcPr>
            <w:tcW w:w="1431" w:type="dxa"/>
          </w:tcPr>
          <w:p w14:paraId="0F6EAEE8" w14:textId="77777777" w:rsidR="00405424" w:rsidRPr="00CD29D0" w:rsidRDefault="00405424" w:rsidP="00460478">
            <w:pPr>
              <w:pStyle w:val="TableText"/>
              <w:rPr>
                <w:b/>
                <w:bCs/>
              </w:rPr>
            </w:pPr>
            <w:r w:rsidRPr="00CD29D0">
              <w:rPr>
                <w:b/>
                <w:bCs/>
              </w:rPr>
              <w:t>Totals</w:t>
            </w:r>
          </w:p>
        </w:tc>
        <w:tc>
          <w:tcPr>
            <w:tcW w:w="874" w:type="dxa"/>
          </w:tcPr>
          <w:p w14:paraId="2438A179" w14:textId="77777777" w:rsidR="00405424" w:rsidRPr="00CD29D0" w:rsidRDefault="00405424" w:rsidP="00460478">
            <w:pPr>
              <w:pStyle w:val="TableTextCentered"/>
              <w:rPr>
                <w:b/>
                <w:bCs/>
              </w:rPr>
            </w:pPr>
            <w:r w:rsidRPr="00CD29D0">
              <w:rPr>
                <w:b/>
                <w:bCs/>
              </w:rPr>
              <w:t>9</w:t>
            </w:r>
          </w:p>
        </w:tc>
        <w:tc>
          <w:tcPr>
            <w:tcW w:w="874" w:type="dxa"/>
          </w:tcPr>
          <w:p w14:paraId="2B97525C" w14:textId="77777777" w:rsidR="00405424" w:rsidRPr="00CD29D0" w:rsidRDefault="00405424" w:rsidP="00460478">
            <w:pPr>
              <w:pStyle w:val="TableTextCentered"/>
              <w:rPr>
                <w:b/>
                <w:bCs/>
              </w:rPr>
            </w:pPr>
            <w:r w:rsidRPr="00CD29D0">
              <w:rPr>
                <w:b/>
                <w:bCs/>
              </w:rPr>
              <w:t>14</w:t>
            </w:r>
          </w:p>
        </w:tc>
        <w:tc>
          <w:tcPr>
            <w:tcW w:w="874" w:type="dxa"/>
          </w:tcPr>
          <w:p w14:paraId="673F5E20" w14:textId="77777777" w:rsidR="00405424" w:rsidRPr="00CD29D0" w:rsidRDefault="00405424" w:rsidP="00460478">
            <w:pPr>
              <w:pStyle w:val="TableTextCentered"/>
              <w:rPr>
                <w:b/>
                <w:bCs/>
              </w:rPr>
            </w:pPr>
            <w:r w:rsidRPr="00CD29D0">
              <w:rPr>
                <w:b/>
                <w:bCs/>
              </w:rPr>
              <w:t>14</w:t>
            </w:r>
          </w:p>
        </w:tc>
        <w:tc>
          <w:tcPr>
            <w:tcW w:w="875" w:type="dxa"/>
          </w:tcPr>
          <w:p w14:paraId="050ACF24" w14:textId="77777777" w:rsidR="00405424" w:rsidRPr="00CD29D0" w:rsidRDefault="00405424" w:rsidP="00460478">
            <w:pPr>
              <w:pStyle w:val="TableTextCentered"/>
              <w:rPr>
                <w:b/>
                <w:bCs/>
              </w:rPr>
            </w:pPr>
            <w:r w:rsidRPr="00CD29D0">
              <w:rPr>
                <w:b/>
                <w:bCs/>
              </w:rPr>
              <w:t>7</w:t>
            </w:r>
          </w:p>
        </w:tc>
        <w:tc>
          <w:tcPr>
            <w:tcW w:w="875" w:type="dxa"/>
          </w:tcPr>
          <w:p w14:paraId="0AB93F92" w14:textId="77777777" w:rsidR="00405424" w:rsidRPr="00CD29D0" w:rsidRDefault="00405424" w:rsidP="00460478">
            <w:pPr>
              <w:pStyle w:val="TableTextCentered"/>
              <w:rPr>
                <w:b/>
                <w:bCs/>
              </w:rPr>
            </w:pPr>
            <w:r w:rsidRPr="00CD29D0">
              <w:rPr>
                <w:b/>
                <w:bCs/>
              </w:rPr>
              <w:t>6</w:t>
            </w:r>
          </w:p>
        </w:tc>
        <w:tc>
          <w:tcPr>
            <w:tcW w:w="874" w:type="dxa"/>
          </w:tcPr>
          <w:p w14:paraId="7FC86CF2" w14:textId="77777777" w:rsidR="00405424" w:rsidRPr="00CD29D0" w:rsidRDefault="00405424" w:rsidP="00460478">
            <w:pPr>
              <w:pStyle w:val="TableTextCentered"/>
              <w:rPr>
                <w:b/>
                <w:bCs/>
              </w:rPr>
            </w:pPr>
            <w:r w:rsidRPr="00CD29D0">
              <w:rPr>
                <w:b/>
                <w:bCs/>
              </w:rPr>
              <w:t>0</w:t>
            </w:r>
          </w:p>
        </w:tc>
        <w:tc>
          <w:tcPr>
            <w:tcW w:w="875" w:type="dxa"/>
          </w:tcPr>
          <w:p w14:paraId="470886DC" w14:textId="77777777" w:rsidR="00405424" w:rsidRPr="00CD29D0" w:rsidRDefault="00405424" w:rsidP="00460478">
            <w:pPr>
              <w:pStyle w:val="TableTextCentered"/>
              <w:rPr>
                <w:b/>
                <w:bCs/>
              </w:rPr>
            </w:pPr>
            <w:r w:rsidRPr="00CD29D0">
              <w:rPr>
                <w:b/>
                <w:bCs/>
              </w:rPr>
              <w:t>0</w:t>
            </w:r>
          </w:p>
        </w:tc>
        <w:tc>
          <w:tcPr>
            <w:tcW w:w="900" w:type="dxa"/>
          </w:tcPr>
          <w:p w14:paraId="2D2A8502" w14:textId="77777777" w:rsidR="00405424" w:rsidRPr="00CD29D0" w:rsidRDefault="00405424" w:rsidP="00460478">
            <w:pPr>
              <w:pStyle w:val="TableTextCentered"/>
              <w:rPr>
                <w:b/>
                <w:bCs/>
              </w:rPr>
            </w:pPr>
            <w:r w:rsidRPr="00CD29D0">
              <w:rPr>
                <w:b/>
                <w:bCs/>
              </w:rPr>
              <w:t>50</w:t>
            </w:r>
          </w:p>
        </w:tc>
        <w:tc>
          <w:tcPr>
            <w:tcW w:w="892" w:type="dxa"/>
          </w:tcPr>
          <w:p w14:paraId="533D6475" w14:textId="77777777" w:rsidR="00405424" w:rsidRPr="00CD29D0" w:rsidRDefault="00405424" w:rsidP="00460478">
            <w:pPr>
              <w:pStyle w:val="TableTextCentered"/>
              <w:rPr>
                <w:b/>
                <w:bCs/>
              </w:rPr>
            </w:pPr>
            <w:r w:rsidRPr="00CD29D0">
              <w:rPr>
                <w:b/>
                <w:bCs/>
              </w:rPr>
              <w:t>2.7</w:t>
            </w:r>
          </w:p>
        </w:tc>
      </w:tr>
    </w:tbl>
    <w:bookmarkEnd w:id="168"/>
    <w:p w14:paraId="4469009A" w14:textId="0C9732F9" w:rsidR="00405424" w:rsidRPr="00CD29D0" w:rsidRDefault="00405424" w:rsidP="00460478">
      <w:pPr>
        <w:pStyle w:val="TableNote"/>
      </w:pPr>
      <w:r w:rsidRPr="00CD29D0">
        <w:t xml:space="preserve">*The district average is an average of the observation scores. In Table 15, the district average is computed as: </w:t>
      </w:r>
      <w:bookmarkStart w:id="169" w:name="Dist_ID_Calc"/>
      <w:r w:rsidRPr="00CD29D0">
        <w:t>([1 x 9] + [2 x 14] + [3 x 14] + [4 x 7] + [5 x 6]) ÷ 50 observations = 2.7</w:t>
      </w:r>
      <w:bookmarkEnd w:id="169"/>
    </w:p>
    <w:p w14:paraId="0B48F5E1" w14:textId="77777777" w:rsidR="00405424" w:rsidRPr="00CD29D0" w:rsidRDefault="00405424" w:rsidP="00460478">
      <w:pPr>
        <w:pStyle w:val="TableNote"/>
      </w:pPr>
      <w:r w:rsidRPr="00CD29D0">
        <w:t>**Instructional Dialogue does not appear in the CLASS PK-3 Manual, therefore scores for the Elementary School Level represent grades 4-5 only.</w:t>
      </w:r>
    </w:p>
    <w:p w14:paraId="090D7BBA" w14:textId="77777777" w:rsidR="00405424" w:rsidRPr="00CD29D0" w:rsidRDefault="00405424" w:rsidP="00460478">
      <w:pPr>
        <w:pStyle w:val="BodyText"/>
      </w:pPr>
      <w:r w:rsidRPr="00CD29D0">
        <w:rPr>
          <w:rStyle w:val="BodyTextDemiChar"/>
        </w:rPr>
        <w:t>Ratings in the Low Range.</w:t>
      </w:r>
      <w:r w:rsidRPr="00CD29D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655050E1" w14:textId="77777777" w:rsidR="00405424" w:rsidRPr="00CD29D0" w:rsidRDefault="00405424" w:rsidP="00460478">
      <w:pPr>
        <w:pStyle w:val="BodyTextposthead"/>
      </w:pPr>
      <w:r w:rsidRPr="00CD29D0">
        <w:rPr>
          <w:rStyle w:val="BodyTextDemiChar"/>
        </w:rPr>
        <w:t>Ratings in the Middle Range.</w:t>
      </w:r>
      <w:r w:rsidRPr="00CD29D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553BBE6C" w14:textId="046AC0A7" w:rsidR="00424417" w:rsidRPr="00CD29D0" w:rsidRDefault="00405424" w:rsidP="00460478">
      <w:pPr>
        <w:pStyle w:val="BodyTextposthead"/>
        <w:spacing w:after="0"/>
      </w:pPr>
      <w:r w:rsidRPr="00CD29D0">
        <w:rPr>
          <w:rStyle w:val="BodyTextDemiChar"/>
        </w:rPr>
        <w:t>Ratings in the High Range.</w:t>
      </w:r>
      <w:r w:rsidRPr="00CD29D0">
        <w:rPr>
          <w:b/>
        </w:rPr>
        <w:t xml:space="preserve"> </w:t>
      </w:r>
      <w:r w:rsidRPr="00CD29D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w:t>
      </w:r>
      <w:r w:rsidRPr="00CD29D0">
        <w:lastRenderedPageBreak/>
        <w:t>encourage more elaborate dialogue, such as open-ended questions, repetition or extension, and active listening. Students respond to these techniques by fully participating in extended dialogues.</w:t>
      </w:r>
      <w:r w:rsidR="00424417" w:rsidRPr="00CD29D0">
        <w:br w:type="page"/>
      </w:r>
    </w:p>
    <w:p w14:paraId="70052AA5" w14:textId="77777777" w:rsidR="00405424" w:rsidRPr="00AA2E97" w:rsidRDefault="00405424" w:rsidP="00272891">
      <w:pPr>
        <w:pStyle w:val="DIORDimensions"/>
        <w:rPr>
          <w:lang w:val="fr-FR"/>
        </w:rPr>
      </w:pPr>
      <w:bookmarkStart w:id="170" w:name="_Toc379881746"/>
      <w:bookmarkStart w:id="171" w:name="_Toc411329839"/>
      <w:bookmarkStart w:id="172" w:name="_Toc430114888"/>
      <w:bookmarkStart w:id="173" w:name="_Toc227587575"/>
      <w:r w:rsidRPr="00AA2E97">
        <w:rPr>
          <w:lang w:val="fr-FR"/>
        </w:rPr>
        <w:lastRenderedPageBreak/>
        <w:t>Student Engagement</w:t>
      </w:r>
      <w:bookmarkEnd w:id="170"/>
      <w:bookmarkEnd w:id="171"/>
      <w:bookmarkEnd w:id="172"/>
      <w:bookmarkEnd w:id="173"/>
    </w:p>
    <w:p w14:paraId="1141EDFC" w14:textId="516965A3" w:rsidR="00405424" w:rsidRPr="00AA2E97" w:rsidRDefault="00405424" w:rsidP="00BF0B5C">
      <w:pPr>
        <w:pStyle w:val="BodyTextDomain"/>
        <w:rPr>
          <w:lang w:val="fr-FR"/>
        </w:rPr>
      </w:pPr>
      <w:r w:rsidRPr="00AA2E97">
        <w:rPr>
          <w:lang w:val="fr-FR"/>
        </w:rPr>
        <w:t>Student Engagement domain, Grades 4</w:t>
      </w:r>
      <w:r w:rsidRPr="00AA2E97">
        <w:rPr>
          <w:rFonts w:ascii="Vijaya" w:hAnsi="Vijaya" w:cs="Vijaya"/>
          <w:lang w:val="fr-FR"/>
        </w:rPr>
        <w:t>−</w:t>
      </w:r>
      <w:r w:rsidRPr="00AA2E97">
        <w:rPr>
          <w:lang w:val="fr-FR"/>
        </w:rPr>
        <w:t>12</w:t>
      </w:r>
    </w:p>
    <w:p w14:paraId="2953A1B5" w14:textId="536CFCC6" w:rsidR="00405424" w:rsidRPr="00CD29D0" w:rsidRDefault="00405424" w:rsidP="00460478">
      <w:pPr>
        <w:pStyle w:val="BodyTextposthead"/>
      </w:pPr>
      <w:r w:rsidRPr="00CD29D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CD29D0">
        <w:rPr>
          <w:i/>
        </w:rPr>
        <w:t>CLASS Upper Elementary Manual</w:t>
      </w:r>
      <w:r w:rsidRPr="00CD29D0">
        <w:t>, p. 105).</w:t>
      </w:r>
    </w:p>
    <w:p w14:paraId="086F6956" w14:textId="77777777" w:rsidR="00405424" w:rsidRPr="00CD29D0" w:rsidRDefault="00405424" w:rsidP="00460478">
      <w:pPr>
        <w:pStyle w:val="TableTitle0"/>
      </w:pPr>
      <w:r w:rsidRPr="00CD29D0">
        <w:t>Table 16. Student Engagement: Number of Classrooms for Each Rating and District Average</w:t>
      </w:r>
    </w:p>
    <w:p w14:paraId="3528ADC8" w14:textId="77777777" w:rsidR="00405424" w:rsidRPr="00CD29D0" w:rsidRDefault="00405424" w:rsidP="00BF0B5C">
      <w:pPr>
        <w:pStyle w:val="BodyTextDemi"/>
      </w:pPr>
      <w:r w:rsidRPr="00CD29D0">
        <w:t xml:space="preserve">Student Engagement District Average*: </w:t>
      </w:r>
      <w:bookmarkStart w:id="174" w:name="Dist_SE_Avg"/>
      <w:r w:rsidRPr="00CD29D0">
        <w:t>5.0</w:t>
      </w:r>
      <w:bookmarkEnd w:id="174"/>
    </w:p>
    <w:tbl>
      <w:tblPr>
        <w:tblStyle w:val="MSVTable1"/>
        <w:tblW w:w="5000" w:type="pct"/>
        <w:tblLook w:val="04A0" w:firstRow="1" w:lastRow="0" w:firstColumn="1" w:lastColumn="0" w:noHBand="0" w:noVBand="1"/>
        <w:tblCaption w:val="Table 16. Student Engagement: Number of Classrooms for Each Rating and District Average"/>
        <w:tblDescription w:val="Student Engagement: Number of Classrooms for Each Rating and District Average"/>
      </w:tblPr>
      <w:tblGrid>
        <w:gridCol w:w="1431"/>
        <w:gridCol w:w="874"/>
        <w:gridCol w:w="874"/>
        <w:gridCol w:w="874"/>
        <w:gridCol w:w="875"/>
        <w:gridCol w:w="875"/>
        <w:gridCol w:w="874"/>
        <w:gridCol w:w="875"/>
        <w:gridCol w:w="900"/>
        <w:gridCol w:w="892"/>
      </w:tblGrid>
      <w:tr w:rsidR="00405424" w:rsidRPr="00CD29D0" w14:paraId="1DE26DBC" w14:textId="77777777" w:rsidTr="00460478">
        <w:trPr>
          <w:cnfStyle w:val="100000000000" w:firstRow="1" w:lastRow="0" w:firstColumn="0" w:lastColumn="0" w:oddVBand="0" w:evenVBand="0" w:oddHBand="0" w:evenHBand="0" w:firstRowFirstColumn="0" w:firstRowLastColumn="0" w:lastRowFirstColumn="0" w:lastRowLastColumn="0"/>
          <w:tblHeader/>
        </w:trPr>
        <w:tc>
          <w:tcPr>
            <w:tcW w:w="1431" w:type="dxa"/>
          </w:tcPr>
          <w:p w14:paraId="749FAB91" w14:textId="77777777" w:rsidR="00405424" w:rsidRPr="00CD29D0" w:rsidRDefault="00405424" w:rsidP="00BF0B5C">
            <w:pPr>
              <w:pStyle w:val="TableColHeadingCenter"/>
              <w:rPr>
                <w:rFonts w:eastAsia="MS Mincho"/>
              </w:rPr>
            </w:pPr>
            <w:bookmarkStart w:id="175" w:name="Tbl_SE"/>
            <w:r w:rsidRPr="00CD29D0">
              <w:rPr>
                <w:rFonts w:eastAsia="MS Mincho"/>
              </w:rPr>
              <w:t>Grade Band</w:t>
            </w:r>
          </w:p>
        </w:tc>
        <w:tc>
          <w:tcPr>
            <w:tcW w:w="874" w:type="dxa"/>
          </w:tcPr>
          <w:p w14:paraId="2C85D8AE" w14:textId="77777777" w:rsidR="00405424" w:rsidRPr="00CD29D0" w:rsidRDefault="00405424" w:rsidP="00BF0B5C">
            <w:pPr>
              <w:pStyle w:val="TableColHeadingCenter"/>
              <w:rPr>
                <w:rFonts w:eastAsia="MS Mincho"/>
              </w:rPr>
            </w:pPr>
            <w:r w:rsidRPr="00CD29D0">
              <w:rPr>
                <w:rFonts w:eastAsia="MS Mincho"/>
              </w:rPr>
              <w:t>Low Range (1)</w:t>
            </w:r>
          </w:p>
        </w:tc>
        <w:tc>
          <w:tcPr>
            <w:tcW w:w="874" w:type="dxa"/>
          </w:tcPr>
          <w:p w14:paraId="25D6608E" w14:textId="77777777" w:rsidR="00405424" w:rsidRPr="00CD29D0" w:rsidRDefault="00405424" w:rsidP="00BF0B5C">
            <w:pPr>
              <w:pStyle w:val="TableColHeadingCenter"/>
              <w:rPr>
                <w:rFonts w:eastAsia="MS Mincho"/>
              </w:rPr>
            </w:pPr>
            <w:r w:rsidRPr="00CD29D0">
              <w:rPr>
                <w:rFonts w:eastAsia="MS Mincho"/>
              </w:rPr>
              <w:t>Low Range (2)</w:t>
            </w:r>
          </w:p>
        </w:tc>
        <w:tc>
          <w:tcPr>
            <w:tcW w:w="874" w:type="dxa"/>
          </w:tcPr>
          <w:p w14:paraId="2C42FD28" w14:textId="77777777" w:rsidR="00405424" w:rsidRPr="00CD29D0" w:rsidRDefault="00405424" w:rsidP="00BF0B5C">
            <w:pPr>
              <w:pStyle w:val="TableColHeadingCenter"/>
              <w:rPr>
                <w:rFonts w:eastAsia="MS Mincho"/>
              </w:rPr>
            </w:pPr>
            <w:r w:rsidRPr="00CD29D0">
              <w:rPr>
                <w:rFonts w:eastAsia="MS Mincho"/>
              </w:rPr>
              <w:t>Middle Range (3)</w:t>
            </w:r>
          </w:p>
        </w:tc>
        <w:tc>
          <w:tcPr>
            <w:tcW w:w="875" w:type="dxa"/>
          </w:tcPr>
          <w:p w14:paraId="20F6ABA5" w14:textId="77777777" w:rsidR="00405424" w:rsidRPr="00CD29D0" w:rsidRDefault="00405424" w:rsidP="00BF0B5C">
            <w:pPr>
              <w:pStyle w:val="TableColHeadingCenter"/>
              <w:rPr>
                <w:rFonts w:eastAsia="MS Mincho"/>
              </w:rPr>
            </w:pPr>
            <w:r w:rsidRPr="00CD29D0">
              <w:rPr>
                <w:rFonts w:eastAsia="MS Mincho"/>
              </w:rPr>
              <w:t>Middle Range (4)</w:t>
            </w:r>
          </w:p>
        </w:tc>
        <w:tc>
          <w:tcPr>
            <w:tcW w:w="875" w:type="dxa"/>
          </w:tcPr>
          <w:p w14:paraId="322390B0" w14:textId="77777777" w:rsidR="00405424" w:rsidRPr="00CD29D0" w:rsidRDefault="00405424" w:rsidP="00BF0B5C">
            <w:pPr>
              <w:pStyle w:val="TableColHeadingCenter"/>
              <w:rPr>
                <w:rFonts w:eastAsia="MS Mincho"/>
              </w:rPr>
            </w:pPr>
            <w:r w:rsidRPr="00CD29D0">
              <w:rPr>
                <w:rFonts w:eastAsia="MS Mincho"/>
              </w:rPr>
              <w:t>Middle Range (5)</w:t>
            </w:r>
          </w:p>
        </w:tc>
        <w:tc>
          <w:tcPr>
            <w:tcW w:w="874" w:type="dxa"/>
          </w:tcPr>
          <w:p w14:paraId="19728F2D" w14:textId="77777777" w:rsidR="00405424" w:rsidRPr="00CD29D0" w:rsidRDefault="00405424" w:rsidP="00BF0B5C">
            <w:pPr>
              <w:pStyle w:val="TableColHeadingCenter"/>
              <w:rPr>
                <w:rFonts w:eastAsia="MS Mincho"/>
              </w:rPr>
            </w:pPr>
            <w:r w:rsidRPr="00CD29D0">
              <w:rPr>
                <w:rFonts w:eastAsia="MS Mincho"/>
              </w:rPr>
              <w:t>High Range (6)</w:t>
            </w:r>
          </w:p>
        </w:tc>
        <w:tc>
          <w:tcPr>
            <w:tcW w:w="875" w:type="dxa"/>
          </w:tcPr>
          <w:p w14:paraId="5AEB5FA7" w14:textId="77777777" w:rsidR="00405424" w:rsidRPr="00CD29D0" w:rsidRDefault="00405424" w:rsidP="00BF0B5C">
            <w:pPr>
              <w:pStyle w:val="TableColHeadingCenter"/>
              <w:rPr>
                <w:rFonts w:eastAsia="MS Mincho"/>
              </w:rPr>
            </w:pPr>
            <w:r w:rsidRPr="00CD29D0">
              <w:rPr>
                <w:rFonts w:eastAsia="MS Mincho"/>
              </w:rPr>
              <w:t>High Range (7)</w:t>
            </w:r>
          </w:p>
        </w:tc>
        <w:tc>
          <w:tcPr>
            <w:tcW w:w="900" w:type="dxa"/>
          </w:tcPr>
          <w:p w14:paraId="12C16D40" w14:textId="77777777" w:rsidR="00405424" w:rsidRPr="00CD29D0" w:rsidRDefault="00405424" w:rsidP="00BF0B5C">
            <w:pPr>
              <w:pStyle w:val="TableColHeadingCenter"/>
              <w:rPr>
                <w:rFonts w:eastAsia="MS Mincho"/>
              </w:rPr>
            </w:pPr>
            <w:r w:rsidRPr="00CD29D0">
              <w:rPr>
                <w:rFonts w:eastAsia="MS Mincho"/>
              </w:rPr>
              <w:t>n</w:t>
            </w:r>
          </w:p>
        </w:tc>
        <w:tc>
          <w:tcPr>
            <w:tcW w:w="892" w:type="dxa"/>
          </w:tcPr>
          <w:p w14:paraId="2188F317" w14:textId="77777777" w:rsidR="00405424" w:rsidRPr="00CD29D0" w:rsidRDefault="00405424" w:rsidP="00BF0B5C">
            <w:pPr>
              <w:pStyle w:val="TableColHeadingCenter"/>
              <w:rPr>
                <w:rFonts w:eastAsia="MS Mincho"/>
              </w:rPr>
            </w:pPr>
            <w:r w:rsidRPr="00CD29D0">
              <w:rPr>
                <w:rFonts w:eastAsia="MS Mincho"/>
              </w:rPr>
              <w:t>Average</w:t>
            </w:r>
          </w:p>
        </w:tc>
      </w:tr>
      <w:tr w:rsidR="00405424" w:rsidRPr="00CD29D0" w14:paraId="6DC462C1"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12987780" w14:textId="77777777" w:rsidR="00405424" w:rsidRPr="00CD29D0" w:rsidRDefault="00405424" w:rsidP="00460478">
            <w:pPr>
              <w:pStyle w:val="TableText"/>
            </w:pPr>
            <w:r w:rsidRPr="00CD29D0">
              <w:t>Grades 4-5**</w:t>
            </w:r>
          </w:p>
        </w:tc>
        <w:tc>
          <w:tcPr>
            <w:tcW w:w="874" w:type="dxa"/>
          </w:tcPr>
          <w:p w14:paraId="7E2D37CC" w14:textId="77777777" w:rsidR="00405424" w:rsidRPr="00CD29D0" w:rsidRDefault="00405424" w:rsidP="00460478">
            <w:pPr>
              <w:pStyle w:val="TableTextCentered"/>
            </w:pPr>
            <w:r w:rsidRPr="00CD29D0">
              <w:t>0</w:t>
            </w:r>
          </w:p>
        </w:tc>
        <w:tc>
          <w:tcPr>
            <w:tcW w:w="874" w:type="dxa"/>
          </w:tcPr>
          <w:p w14:paraId="27C28632" w14:textId="77777777" w:rsidR="00405424" w:rsidRPr="00CD29D0" w:rsidRDefault="00405424" w:rsidP="00460478">
            <w:pPr>
              <w:pStyle w:val="TableTextCentered"/>
            </w:pPr>
            <w:r w:rsidRPr="00CD29D0">
              <w:t>0</w:t>
            </w:r>
          </w:p>
        </w:tc>
        <w:tc>
          <w:tcPr>
            <w:tcW w:w="874" w:type="dxa"/>
          </w:tcPr>
          <w:p w14:paraId="6CA2F405" w14:textId="77777777" w:rsidR="00405424" w:rsidRPr="00CD29D0" w:rsidRDefault="00405424" w:rsidP="00460478">
            <w:pPr>
              <w:pStyle w:val="TableTextCentered"/>
            </w:pPr>
            <w:r w:rsidRPr="00CD29D0">
              <w:t>0</w:t>
            </w:r>
          </w:p>
        </w:tc>
        <w:tc>
          <w:tcPr>
            <w:tcW w:w="875" w:type="dxa"/>
          </w:tcPr>
          <w:p w14:paraId="42784513" w14:textId="77777777" w:rsidR="00405424" w:rsidRPr="00CD29D0" w:rsidRDefault="00405424" w:rsidP="00460478">
            <w:pPr>
              <w:pStyle w:val="TableTextCentered"/>
            </w:pPr>
            <w:r w:rsidRPr="00CD29D0">
              <w:t>1</w:t>
            </w:r>
          </w:p>
        </w:tc>
        <w:tc>
          <w:tcPr>
            <w:tcW w:w="875" w:type="dxa"/>
          </w:tcPr>
          <w:p w14:paraId="1AFEBB0D" w14:textId="77777777" w:rsidR="00405424" w:rsidRPr="00CD29D0" w:rsidRDefault="00405424" w:rsidP="00460478">
            <w:pPr>
              <w:pStyle w:val="TableTextCentered"/>
            </w:pPr>
            <w:r w:rsidRPr="00CD29D0">
              <w:t>4</w:t>
            </w:r>
          </w:p>
        </w:tc>
        <w:tc>
          <w:tcPr>
            <w:tcW w:w="874" w:type="dxa"/>
          </w:tcPr>
          <w:p w14:paraId="395AB0B3" w14:textId="77777777" w:rsidR="00405424" w:rsidRPr="00CD29D0" w:rsidRDefault="00405424" w:rsidP="00460478">
            <w:pPr>
              <w:pStyle w:val="TableTextCentered"/>
            </w:pPr>
            <w:r w:rsidRPr="00CD29D0">
              <w:t>5</w:t>
            </w:r>
          </w:p>
        </w:tc>
        <w:tc>
          <w:tcPr>
            <w:tcW w:w="875" w:type="dxa"/>
          </w:tcPr>
          <w:p w14:paraId="673987BC" w14:textId="77777777" w:rsidR="00405424" w:rsidRPr="00CD29D0" w:rsidRDefault="00405424" w:rsidP="00460478">
            <w:pPr>
              <w:pStyle w:val="TableTextCentered"/>
            </w:pPr>
            <w:r w:rsidRPr="00CD29D0">
              <w:t>0</w:t>
            </w:r>
          </w:p>
        </w:tc>
        <w:tc>
          <w:tcPr>
            <w:tcW w:w="900" w:type="dxa"/>
          </w:tcPr>
          <w:p w14:paraId="251926CB" w14:textId="77777777" w:rsidR="00405424" w:rsidRPr="00CD29D0" w:rsidRDefault="00405424" w:rsidP="00460478">
            <w:pPr>
              <w:pStyle w:val="TableTextCentered"/>
            </w:pPr>
            <w:r w:rsidRPr="00CD29D0">
              <w:t>10</w:t>
            </w:r>
          </w:p>
        </w:tc>
        <w:tc>
          <w:tcPr>
            <w:tcW w:w="892" w:type="dxa"/>
          </w:tcPr>
          <w:p w14:paraId="50F1F803" w14:textId="77777777" w:rsidR="00405424" w:rsidRPr="00CD29D0" w:rsidRDefault="00405424" w:rsidP="00460478">
            <w:pPr>
              <w:pStyle w:val="TableTextCentered"/>
            </w:pPr>
            <w:r w:rsidRPr="00CD29D0">
              <w:t>5.4</w:t>
            </w:r>
          </w:p>
        </w:tc>
      </w:tr>
      <w:tr w:rsidR="00405424" w:rsidRPr="00CD29D0" w14:paraId="4A4A8A06" w14:textId="77777777" w:rsidTr="00460478">
        <w:tc>
          <w:tcPr>
            <w:tcW w:w="1431" w:type="dxa"/>
          </w:tcPr>
          <w:p w14:paraId="220D73E3" w14:textId="77777777" w:rsidR="00405424" w:rsidRPr="00CD29D0" w:rsidRDefault="00405424" w:rsidP="00460478">
            <w:pPr>
              <w:pStyle w:val="TableText"/>
            </w:pPr>
            <w:r w:rsidRPr="00CD29D0">
              <w:t>Grades 6-8</w:t>
            </w:r>
          </w:p>
        </w:tc>
        <w:tc>
          <w:tcPr>
            <w:tcW w:w="874" w:type="dxa"/>
          </w:tcPr>
          <w:p w14:paraId="792382FC" w14:textId="77777777" w:rsidR="00405424" w:rsidRPr="00CD29D0" w:rsidRDefault="00405424" w:rsidP="00460478">
            <w:pPr>
              <w:pStyle w:val="TableTextCentered"/>
            </w:pPr>
            <w:r w:rsidRPr="00CD29D0">
              <w:t>0</w:t>
            </w:r>
          </w:p>
        </w:tc>
        <w:tc>
          <w:tcPr>
            <w:tcW w:w="874" w:type="dxa"/>
          </w:tcPr>
          <w:p w14:paraId="6264EE3D" w14:textId="77777777" w:rsidR="00405424" w:rsidRPr="00CD29D0" w:rsidRDefault="00405424" w:rsidP="00460478">
            <w:pPr>
              <w:pStyle w:val="TableTextCentered"/>
            </w:pPr>
            <w:r w:rsidRPr="00CD29D0">
              <w:t>0</w:t>
            </w:r>
          </w:p>
        </w:tc>
        <w:tc>
          <w:tcPr>
            <w:tcW w:w="874" w:type="dxa"/>
          </w:tcPr>
          <w:p w14:paraId="55147B31" w14:textId="77777777" w:rsidR="00405424" w:rsidRPr="00CD29D0" w:rsidRDefault="00405424" w:rsidP="00460478">
            <w:pPr>
              <w:pStyle w:val="TableTextCentered"/>
            </w:pPr>
            <w:r w:rsidRPr="00CD29D0">
              <w:t>2</w:t>
            </w:r>
          </w:p>
        </w:tc>
        <w:tc>
          <w:tcPr>
            <w:tcW w:w="875" w:type="dxa"/>
          </w:tcPr>
          <w:p w14:paraId="0DC6E943" w14:textId="77777777" w:rsidR="00405424" w:rsidRPr="00CD29D0" w:rsidRDefault="00405424" w:rsidP="00460478">
            <w:pPr>
              <w:pStyle w:val="TableTextCentered"/>
            </w:pPr>
            <w:r w:rsidRPr="00CD29D0">
              <w:t>5</w:t>
            </w:r>
          </w:p>
        </w:tc>
        <w:tc>
          <w:tcPr>
            <w:tcW w:w="875" w:type="dxa"/>
          </w:tcPr>
          <w:p w14:paraId="22EF5661" w14:textId="77777777" w:rsidR="00405424" w:rsidRPr="00CD29D0" w:rsidRDefault="00405424" w:rsidP="00460478">
            <w:pPr>
              <w:pStyle w:val="TableTextCentered"/>
            </w:pPr>
            <w:r w:rsidRPr="00CD29D0">
              <w:t>5</w:t>
            </w:r>
          </w:p>
        </w:tc>
        <w:tc>
          <w:tcPr>
            <w:tcW w:w="874" w:type="dxa"/>
          </w:tcPr>
          <w:p w14:paraId="52D19311" w14:textId="77777777" w:rsidR="00405424" w:rsidRPr="00CD29D0" w:rsidRDefault="00405424" w:rsidP="00460478">
            <w:pPr>
              <w:pStyle w:val="TableTextCentered"/>
            </w:pPr>
            <w:r w:rsidRPr="00CD29D0">
              <w:t>8</w:t>
            </w:r>
          </w:p>
        </w:tc>
        <w:tc>
          <w:tcPr>
            <w:tcW w:w="875" w:type="dxa"/>
          </w:tcPr>
          <w:p w14:paraId="4D03C61F" w14:textId="77777777" w:rsidR="00405424" w:rsidRPr="00CD29D0" w:rsidRDefault="00405424" w:rsidP="00460478">
            <w:pPr>
              <w:pStyle w:val="TableTextCentered"/>
            </w:pPr>
            <w:r w:rsidRPr="00CD29D0">
              <w:t>0</w:t>
            </w:r>
          </w:p>
        </w:tc>
        <w:tc>
          <w:tcPr>
            <w:tcW w:w="900" w:type="dxa"/>
          </w:tcPr>
          <w:p w14:paraId="24D47006" w14:textId="77777777" w:rsidR="00405424" w:rsidRPr="00CD29D0" w:rsidRDefault="00405424" w:rsidP="00460478">
            <w:pPr>
              <w:pStyle w:val="TableTextCentered"/>
            </w:pPr>
            <w:r w:rsidRPr="00CD29D0">
              <w:t>20</w:t>
            </w:r>
          </w:p>
        </w:tc>
        <w:tc>
          <w:tcPr>
            <w:tcW w:w="892" w:type="dxa"/>
          </w:tcPr>
          <w:p w14:paraId="04DA6B14" w14:textId="77777777" w:rsidR="00405424" w:rsidRPr="00CD29D0" w:rsidRDefault="00405424" w:rsidP="00460478">
            <w:pPr>
              <w:pStyle w:val="TableTextCentered"/>
            </w:pPr>
            <w:r w:rsidRPr="00CD29D0">
              <w:t>5.0</w:t>
            </w:r>
          </w:p>
        </w:tc>
      </w:tr>
      <w:tr w:rsidR="00405424" w:rsidRPr="00CD29D0" w14:paraId="48F08601" w14:textId="77777777" w:rsidTr="00460478">
        <w:trPr>
          <w:cnfStyle w:val="000000100000" w:firstRow="0" w:lastRow="0" w:firstColumn="0" w:lastColumn="0" w:oddVBand="0" w:evenVBand="0" w:oddHBand="1" w:evenHBand="0" w:firstRowFirstColumn="0" w:firstRowLastColumn="0" w:lastRowFirstColumn="0" w:lastRowLastColumn="0"/>
        </w:trPr>
        <w:tc>
          <w:tcPr>
            <w:tcW w:w="1431" w:type="dxa"/>
          </w:tcPr>
          <w:p w14:paraId="289DE505" w14:textId="77777777" w:rsidR="00405424" w:rsidRPr="00CD29D0" w:rsidRDefault="00405424" w:rsidP="00460478">
            <w:pPr>
              <w:pStyle w:val="TableText"/>
            </w:pPr>
            <w:r w:rsidRPr="00CD29D0">
              <w:t>Grades 9-12</w:t>
            </w:r>
          </w:p>
        </w:tc>
        <w:tc>
          <w:tcPr>
            <w:tcW w:w="874" w:type="dxa"/>
          </w:tcPr>
          <w:p w14:paraId="4C67A651" w14:textId="77777777" w:rsidR="00405424" w:rsidRPr="00CD29D0" w:rsidRDefault="00405424" w:rsidP="00460478">
            <w:pPr>
              <w:pStyle w:val="TableTextCentered"/>
            </w:pPr>
            <w:r w:rsidRPr="00CD29D0">
              <w:t>0</w:t>
            </w:r>
          </w:p>
        </w:tc>
        <w:tc>
          <w:tcPr>
            <w:tcW w:w="874" w:type="dxa"/>
          </w:tcPr>
          <w:p w14:paraId="3F643F6D" w14:textId="77777777" w:rsidR="00405424" w:rsidRPr="00CD29D0" w:rsidRDefault="00405424" w:rsidP="00460478">
            <w:pPr>
              <w:pStyle w:val="TableTextCentered"/>
            </w:pPr>
            <w:r w:rsidRPr="00CD29D0">
              <w:t>0</w:t>
            </w:r>
          </w:p>
        </w:tc>
        <w:tc>
          <w:tcPr>
            <w:tcW w:w="874" w:type="dxa"/>
          </w:tcPr>
          <w:p w14:paraId="03E215D0" w14:textId="77777777" w:rsidR="00405424" w:rsidRPr="00CD29D0" w:rsidRDefault="00405424" w:rsidP="00460478">
            <w:pPr>
              <w:pStyle w:val="TableTextCentered"/>
            </w:pPr>
            <w:r w:rsidRPr="00CD29D0">
              <w:t>1</w:t>
            </w:r>
          </w:p>
        </w:tc>
        <w:tc>
          <w:tcPr>
            <w:tcW w:w="875" w:type="dxa"/>
          </w:tcPr>
          <w:p w14:paraId="136B7E8B" w14:textId="77777777" w:rsidR="00405424" w:rsidRPr="00CD29D0" w:rsidRDefault="00405424" w:rsidP="00460478">
            <w:pPr>
              <w:pStyle w:val="TableTextCentered"/>
            </w:pPr>
            <w:r w:rsidRPr="00CD29D0">
              <w:t>2</w:t>
            </w:r>
          </w:p>
        </w:tc>
        <w:tc>
          <w:tcPr>
            <w:tcW w:w="875" w:type="dxa"/>
          </w:tcPr>
          <w:p w14:paraId="1DE253E5" w14:textId="77777777" w:rsidR="00405424" w:rsidRPr="00CD29D0" w:rsidRDefault="00405424" w:rsidP="00460478">
            <w:pPr>
              <w:pStyle w:val="TableTextCentered"/>
            </w:pPr>
            <w:r w:rsidRPr="00CD29D0">
              <w:t>14</w:t>
            </w:r>
          </w:p>
        </w:tc>
        <w:tc>
          <w:tcPr>
            <w:tcW w:w="874" w:type="dxa"/>
          </w:tcPr>
          <w:p w14:paraId="0EB930EA" w14:textId="77777777" w:rsidR="00405424" w:rsidRPr="00CD29D0" w:rsidRDefault="00405424" w:rsidP="00460478">
            <w:pPr>
              <w:pStyle w:val="TableTextCentered"/>
            </w:pPr>
            <w:r w:rsidRPr="00CD29D0">
              <w:t>3</w:t>
            </w:r>
          </w:p>
        </w:tc>
        <w:tc>
          <w:tcPr>
            <w:tcW w:w="875" w:type="dxa"/>
          </w:tcPr>
          <w:p w14:paraId="719647BD" w14:textId="77777777" w:rsidR="00405424" w:rsidRPr="00CD29D0" w:rsidRDefault="00405424" w:rsidP="00460478">
            <w:pPr>
              <w:pStyle w:val="TableTextCentered"/>
            </w:pPr>
            <w:r w:rsidRPr="00CD29D0">
              <w:t>0</w:t>
            </w:r>
          </w:p>
        </w:tc>
        <w:tc>
          <w:tcPr>
            <w:tcW w:w="900" w:type="dxa"/>
          </w:tcPr>
          <w:p w14:paraId="2D4B097C" w14:textId="77777777" w:rsidR="00405424" w:rsidRPr="00CD29D0" w:rsidRDefault="00405424" w:rsidP="00460478">
            <w:pPr>
              <w:pStyle w:val="TableTextCentered"/>
            </w:pPr>
            <w:r w:rsidRPr="00CD29D0">
              <w:t>20</w:t>
            </w:r>
          </w:p>
        </w:tc>
        <w:tc>
          <w:tcPr>
            <w:tcW w:w="892" w:type="dxa"/>
          </w:tcPr>
          <w:p w14:paraId="32B79C36" w14:textId="77777777" w:rsidR="00405424" w:rsidRPr="00CD29D0" w:rsidRDefault="00405424" w:rsidP="00460478">
            <w:pPr>
              <w:pStyle w:val="TableTextCentered"/>
            </w:pPr>
            <w:r w:rsidRPr="00CD29D0">
              <w:t>5.0</w:t>
            </w:r>
          </w:p>
        </w:tc>
      </w:tr>
      <w:tr w:rsidR="00405424" w:rsidRPr="00CD29D0" w14:paraId="60B9A822" w14:textId="77777777" w:rsidTr="00460478">
        <w:tc>
          <w:tcPr>
            <w:tcW w:w="1431" w:type="dxa"/>
          </w:tcPr>
          <w:p w14:paraId="4E51ABA7" w14:textId="77777777" w:rsidR="00405424" w:rsidRPr="00CD29D0" w:rsidRDefault="00405424" w:rsidP="00460478">
            <w:pPr>
              <w:pStyle w:val="TableText"/>
              <w:rPr>
                <w:b/>
                <w:bCs/>
              </w:rPr>
            </w:pPr>
            <w:r w:rsidRPr="00CD29D0">
              <w:rPr>
                <w:b/>
                <w:bCs/>
              </w:rPr>
              <w:t>Totals</w:t>
            </w:r>
          </w:p>
        </w:tc>
        <w:tc>
          <w:tcPr>
            <w:tcW w:w="874" w:type="dxa"/>
          </w:tcPr>
          <w:p w14:paraId="2E3316F6" w14:textId="77777777" w:rsidR="00405424" w:rsidRPr="00CD29D0" w:rsidRDefault="00405424" w:rsidP="00460478">
            <w:pPr>
              <w:pStyle w:val="TableTextCentered"/>
              <w:rPr>
                <w:b/>
                <w:bCs/>
              </w:rPr>
            </w:pPr>
            <w:r w:rsidRPr="00CD29D0">
              <w:rPr>
                <w:b/>
                <w:bCs/>
              </w:rPr>
              <w:t>0</w:t>
            </w:r>
          </w:p>
        </w:tc>
        <w:tc>
          <w:tcPr>
            <w:tcW w:w="874" w:type="dxa"/>
          </w:tcPr>
          <w:p w14:paraId="7904A76B" w14:textId="77777777" w:rsidR="00405424" w:rsidRPr="00CD29D0" w:rsidRDefault="00405424" w:rsidP="00460478">
            <w:pPr>
              <w:pStyle w:val="TableTextCentered"/>
              <w:rPr>
                <w:b/>
                <w:bCs/>
              </w:rPr>
            </w:pPr>
            <w:r w:rsidRPr="00CD29D0">
              <w:rPr>
                <w:b/>
                <w:bCs/>
              </w:rPr>
              <w:t>0</w:t>
            </w:r>
          </w:p>
        </w:tc>
        <w:tc>
          <w:tcPr>
            <w:tcW w:w="874" w:type="dxa"/>
          </w:tcPr>
          <w:p w14:paraId="42979BB9" w14:textId="77777777" w:rsidR="00405424" w:rsidRPr="00CD29D0" w:rsidRDefault="00405424" w:rsidP="00460478">
            <w:pPr>
              <w:pStyle w:val="TableTextCentered"/>
              <w:rPr>
                <w:b/>
                <w:bCs/>
              </w:rPr>
            </w:pPr>
            <w:r w:rsidRPr="00CD29D0">
              <w:rPr>
                <w:b/>
                <w:bCs/>
              </w:rPr>
              <w:t>3</w:t>
            </w:r>
          </w:p>
        </w:tc>
        <w:tc>
          <w:tcPr>
            <w:tcW w:w="875" w:type="dxa"/>
          </w:tcPr>
          <w:p w14:paraId="4D3DD8C1" w14:textId="77777777" w:rsidR="00405424" w:rsidRPr="00CD29D0" w:rsidRDefault="00405424" w:rsidP="00460478">
            <w:pPr>
              <w:pStyle w:val="TableTextCentered"/>
              <w:rPr>
                <w:b/>
                <w:bCs/>
              </w:rPr>
            </w:pPr>
            <w:r w:rsidRPr="00CD29D0">
              <w:rPr>
                <w:b/>
                <w:bCs/>
              </w:rPr>
              <w:t>8</w:t>
            </w:r>
          </w:p>
        </w:tc>
        <w:tc>
          <w:tcPr>
            <w:tcW w:w="875" w:type="dxa"/>
          </w:tcPr>
          <w:p w14:paraId="58B14811" w14:textId="77777777" w:rsidR="00405424" w:rsidRPr="00CD29D0" w:rsidRDefault="00405424" w:rsidP="00460478">
            <w:pPr>
              <w:pStyle w:val="TableTextCentered"/>
              <w:rPr>
                <w:b/>
                <w:bCs/>
              </w:rPr>
            </w:pPr>
            <w:r w:rsidRPr="00CD29D0">
              <w:rPr>
                <w:b/>
                <w:bCs/>
              </w:rPr>
              <w:t>23</w:t>
            </w:r>
          </w:p>
        </w:tc>
        <w:tc>
          <w:tcPr>
            <w:tcW w:w="874" w:type="dxa"/>
          </w:tcPr>
          <w:p w14:paraId="242699DB" w14:textId="77777777" w:rsidR="00405424" w:rsidRPr="00CD29D0" w:rsidRDefault="00405424" w:rsidP="00460478">
            <w:pPr>
              <w:pStyle w:val="TableTextCentered"/>
              <w:rPr>
                <w:b/>
                <w:bCs/>
              </w:rPr>
            </w:pPr>
            <w:r w:rsidRPr="00CD29D0">
              <w:rPr>
                <w:b/>
                <w:bCs/>
              </w:rPr>
              <w:t>16</w:t>
            </w:r>
          </w:p>
        </w:tc>
        <w:tc>
          <w:tcPr>
            <w:tcW w:w="875" w:type="dxa"/>
          </w:tcPr>
          <w:p w14:paraId="77E92CB0" w14:textId="77777777" w:rsidR="00405424" w:rsidRPr="00CD29D0" w:rsidRDefault="00405424" w:rsidP="00460478">
            <w:pPr>
              <w:pStyle w:val="TableTextCentered"/>
              <w:rPr>
                <w:b/>
                <w:bCs/>
              </w:rPr>
            </w:pPr>
            <w:r w:rsidRPr="00CD29D0">
              <w:rPr>
                <w:b/>
                <w:bCs/>
              </w:rPr>
              <w:t>0</w:t>
            </w:r>
          </w:p>
        </w:tc>
        <w:tc>
          <w:tcPr>
            <w:tcW w:w="900" w:type="dxa"/>
          </w:tcPr>
          <w:p w14:paraId="47645CBD" w14:textId="77777777" w:rsidR="00405424" w:rsidRPr="00CD29D0" w:rsidRDefault="00405424" w:rsidP="00460478">
            <w:pPr>
              <w:pStyle w:val="TableTextCentered"/>
              <w:rPr>
                <w:b/>
                <w:bCs/>
              </w:rPr>
            </w:pPr>
            <w:r w:rsidRPr="00CD29D0">
              <w:rPr>
                <w:b/>
                <w:bCs/>
              </w:rPr>
              <w:t>50</w:t>
            </w:r>
          </w:p>
        </w:tc>
        <w:tc>
          <w:tcPr>
            <w:tcW w:w="892" w:type="dxa"/>
          </w:tcPr>
          <w:p w14:paraId="7046A1CA" w14:textId="77777777" w:rsidR="00405424" w:rsidRPr="00CD29D0" w:rsidRDefault="00405424" w:rsidP="00460478">
            <w:pPr>
              <w:pStyle w:val="TableTextCentered"/>
              <w:rPr>
                <w:b/>
                <w:bCs/>
              </w:rPr>
            </w:pPr>
            <w:r w:rsidRPr="00CD29D0">
              <w:rPr>
                <w:b/>
                <w:bCs/>
              </w:rPr>
              <w:t>5.0</w:t>
            </w:r>
          </w:p>
        </w:tc>
      </w:tr>
    </w:tbl>
    <w:bookmarkEnd w:id="175"/>
    <w:p w14:paraId="4D7413F7" w14:textId="1F8B2E16" w:rsidR="00405424" w:rsidRPr="00CD29D0" w:rsidRDefault="00405424" w:rsidP="00460478">
      <w:pPr>
        <w:pStyle w:val="TableNote"/>
      </w:pPr>
      <w:r w:rsidRPr="00CD29D0">
        <w:t xml:space="preserve">*The district average is an average of the observation scores. In Table 16, the district average is computed as: </w:t>
      </w:r>
      <w:bookmarkStart w:id="176" w:name="Dist_SE_Calc"/>
      <w:r w:rsidRPr="00CD29D0">
        <w:t>([3 x 3] + [4 x 8] + [5 x 23] + [6 x 16]) ÷ 50 observations = 5.0</w:t>
      </w:r>
      <w:bookmarkEnd w:id="176"/>
    </w:p>
    <w:p w14:paraId="792ECEFB" w14:textId="77777777" w:rsidR="00405424" w:rsidRPr="00CD29D0" w:rsidRDefault="00405424" w:rsidP="00460478">
      <w:pPr>
        <w:pStyle w:val="TableNote"/>
      </w:pPr>
      <w:r w:rsidRPr="00CD29D0">
        <w:t>**Student Engagement does not appear in the CLASS PK-3 Manual, therefore scores for the Elementary School Level represent grades 4-5 only.</w:t>
      </w:r>
    </w:p>
    <w:p w14:paraId="13C774BD" w14:textId="77777777" w:rsidR="00405424" w:rsidRPr="00CD29D0" w:rsidRDefault="00405424" w:rsidP="00460478">
      <w:pPr>
        <w:pStyle w:val="BodyText"/>
      </w:pPr>
      <w:r w:rsidRPr="00CD29D0">
        <w:rPr>
          <w:rStyle w:val="BodyTextDemiChar"/>
        </w:rPr>
        <w:t>Ratings in the Low Range.</w:t>
      </w:r>
      <w:r w:rsidRPr="00CD29D0">
        <w:t xml:space="preserve"> In the low range, the majority of students appear distracted or disengaged.</w:t>
      </w:r>
    </w:p>
    <w:p w14:paraId="65D62C62" w14:textId="77777777" w:rsidR="00405424" w:rsidRPr="00CD29D0" w:rsidRDefault="00405424" w:rsidP="00460478">
      <w:pPr>
        <w:pStyle w:val="BodyTextposthead"/>
      </w:pPr>
      <w:r w:rsidRPr="00CD29D0">
        <w:rPr>
          <w:rStyle w:val="BodyTextDemiChar"/>
        </w:rPr>
        <w:t>Ratings in the Middle Range.</w:t>
      </w:r>
      <w:r w:rsidRPr="00CD29D0">
        <w:t xml:space="preserve"> In the middle range, students are passively engaged, listening to or watching the teacher; student engagement is mixed, with the majority of students actively engaged for part of the time and disengaged for the rest of the time; or there is a mix of student engagement, with some students actively engaged and some students disengaged.</w:t>
      </w:r>
    </w:p>
    <w:p w14:paraId="64718E81" w14:textId="36FD3B2A" w:rsidR="00424417" w:rsidRPr="00CD29D0" w:rsidRDefault="00405424" w:rsidP="00460478">
      <w:pPr>
        <w:pStyle w:val="BodyTextposthead"/>
      </w:pPr>
      <w:r w:rsidRPr="00CD29D0">
        <w:rPr>
          <w:rStyle w:val="BodyTextDemiChar"/>
        </w:rPr>
        <w:t>Ratings in the High Range.</w:t>
      </w:r>
      <w:r w:rsidRPr="00CD29D0">
        <w:t xml:space="preserve"> In the high range, most students are actively engaged in the classroom discussions and activities.</w:t>
      </w:r>
      <w:r w:rsidR="00424417" w:rsidRPr="00CD29D0">
        <w:br w:type="page"/>
      </w:r>
    </w:p>
    <w:p w14:paraId="7374E212" w14:textId="77777777" w:rsidR="00405424" w:rsidRPr="00CD29D0" w:rsidRDefault="00405424" w:rsidP="00272891">
      <w:pPr>
        <w:pStyle w:val="DIORDimensions"/>
      </w:pPr>
      <w:bookmarkStart w:id="177" w:name="_Toc430114889"/>
      <w:bookmarkStart w:id="178" w:name="_Toc496109991"/>
      <w:bookmarkStart w:id="179" w:name="_Toc227587576"/>
      <w:r w:rsidRPr="00CD29D0">
        <w:lastRenderedPageBreak/>
        <w:t>Summary of Average Ratings</w:t>
      </w:r>
      <w:bookmarkEnd w:id="177"/>
      <w:bookmarkEnd w:id="178"/>
      <w:r w:rsidRPr="00CD29D0">
        <w:t>: Grades PK–5</w:t>
      </w:r>
      <w:bookmarkEnd w:id="179"/>
    </w:p>
    <w:p w14:paraId="6611CC5D" w14:textId="77777777" w:rsidR="00405424" w:rsidRPr="00CD29D0" w:rsidRDefault="00405424" w:rsidP="00460478">
      <w:pPr>
        <w:pStyle w:val="TableTitle0"/>
      </w:pPr>
      <w:r w:rsidRPr="00CD29D0">
        <w:t>Table 17. Summary Table of Average Ratings for Each Dimension in Grades PK–5</w:t>
      </w:r>
    </w:p>
    <w:tbl>
      <w:tblPr>
        <w:tblStyle w:val="MSVTable1"/>
        <w:tblW w:w="5000" w:type="pct"/>
        <w:tblLayout w:type="fixed"/>
        <w:tblLook w:val="04A0" w:firstRow="1" w:lastRow="0" w:firstColumn="1" w:lastColumn="0" w:noHBand="0" w:noVBand="1"/>
        <w:tblCaption w:val="Table 17. Summary Table of Average Ratings for Each Dimension in Grades PK–5"/>
        <w:tblDescription w:val="Summary Table of Average Ratings for Each Dimension in Grades PK–5"/>
      </w:tblPr>
      <w:tblGrid>
        <w:gridCol w:w="3098"/>
        <w:gridCol w:w="694"/>
        <w:gridCol w:w="694"/>
        <w:gridCol w:w="694"/>
        <w:gridCol w:w="694"/>
        <w:gridCol w:w="694"/>
        <w:gridCol w:w="694"/>
        <w:gridCol w:w="694"/>
        <w:gridCol w:w="515"/>
        <w:gridCol w:w="873"/>
      </w:tblGrid>
      <w:tr w:rsidR="00405424" w:rsidRPr="00CD29D0" w14:paraId="58A5148C" w14:textId="77777777" w:rsidTr="00A72EBC">
        <w:trPr>
          <w:cnfStyle w:val="100000000000" w:firstRow="1" w:lastRow="0" w:firstColumn="0" w:lastColumn="0" w:oddVBand="0" w:evenVBand="0" w:oddHBand="0" w:evenHBand="0" w:firstRowFirstColumn="0" w:firstRowLastColumn="0" w:lastRowFirstColumn="0" w:lastRowLastColumn="0"/>
        </w:trPr>
        <w:tc>
          <w:tcPr>
            <w:tcW w:w="3238" w:type="dxa"/>
            <w:tcMar>
              <w:right w:w="29" w:type="dxa"/>
            </w:tcMar>
          </w:tcPr>
          <w:p w14:paraId="53DA077E" w14:textId="77777777" w:rsidR="00405424" w:rsidRPr="00CD29D0" w:rsidRDefault="00405424" w:rsidP="00BF0B5C">
            <w:pPr>
              <w:pStyle w:val="TableColHeadingCenter"/>
              <w:rPr>
                <w:rFonts w:eastAsia="MS Mincho"/>
              </w:rPr>
            </w:pPr>
            <w:bookmarkStart w:id="180" w:name="SummaryTbl_Elem"/>
            <w:r w:rsidRPr="00CD29D0">
              <w:rPr>
                <w:rFonts w:eastAsia="MS Mincho"/>
              </w:rPr>
              <w:t>Domain/Dimension</w:t>
            </w:r>
          </w:p>
        </w:tc>
        <w:tc>
          <w:tcPr>
            <w:tcW w:w="720" w:type="dxa"/>
            <w:tcMar>
              <w:right w:w="29" w:type="dxa"/>
            </w:tcMar>
          </w:tcPr>
          <w:p w14:paraId="6E5E4257" w14:textId="77777777" w:rsidR="00405424" w:rsidRPr="00CD29D0" w:rsidRDefault="00405424" w:rsidP="00BF0B5C">
            <w:pPr>
              <w:pStyle w:val="TableColHeadingCenter"/>
              <w:rPr>
                <w:rFonts w:eastAsia="MS Mincho"/>
              </w:rPr>
            </w:pPr>
            <w:r w:rsidRPr="00CD29D0">
              <w:rPr>
                <w:rFonts w:eastAsia="MS Mincho"/>
              </w:rPr>
              <w:t>Low Range (1)</w:t>
            </w:r>
          </w:p>
        </w:tc>
        <w:tc>
          <w:tcPr>
            <w:tcW w:w="720" w:type="dxa"/>
            <w:tcMar>
              <w:right w:w="29" w:type="dxa"/>
            </w:tcMar>
          </w:tcPr>
          <w:p w14:paraId="3123EE14" w14:textId="77777777" w:rsidR="00405424" w:rsidRPr="00CD29D0" w:rsidRDefault="00405424" w:rsidP="00BF0B5C">
            <w:pPr>
              <w:pStyle w:val="TableColHeadingCenter"/>
              <w:rPr>
                <w:rFonts w:eastAsia="MS Mincho"/>
              </w:rPr>
            </w:pPr>
            <w:r w:rsidRPr="00CD29D0">
              <w:rPr>
                <w:rFonts w:eastAsia="MS Mincho"/>
              </w:rPr>
              <w:t>Low Range (2)</w:t>
            </w:r>
          </w:p>
        </w:tc>
        <w:tc>
          <w:tcPr>
            <w:tcW w:w="720" w:type="dxa"/>
            <w:tcMar>
              <w:right w:w="29" w:type="dxa"/>
            </w:tcMar>
          </w:tcPr>
          <w:p w14:paraId="4A715373" w14:textId="77777777" w:rsidR="00405424" w:rsidRPr="00CD29D0" w:rsidRDefault="00405424" w:rsidP="00BF0B5C">
            <w:pPr>
              <w:pStyle w:val="TableColHeadingCenter"/>
              <w:rPr>
                <w:rFonts w:eastAsia="MS Mincho"/>
              </w:rPr>
            </w:pPr>
            <w:r w:rsidRPr="00CD29D0">
              <w:rPr>
                <w:rFonts w:eastAsia="MS Mincho"/>
              </w:rPr>
              <w:t>Middle Range (3)</w:t>
            </w:r>
          </w:p>
        </w:tc>
        <w:tc>
          <w:tcPr>
            <w:tcW w:w="720" w:type="dxa"/>
            <w:tcMar>
              <w:right w:w="29" w:type="dxa"/>
            </w:tcMar>
          </w:tcPr>
          <w:p w14:paraId="789B48FA" w14:textId="77777777" w:rsidR="00405424" w:rsidRPr="00CD29D0" w:rsidRDefault="00405424" w:rsidP="00BF0B5C">
            <w:pPr>
              <w:pStyle w:val="TableColHeadingCenter"/>
              <w:rPr>
                <w:rFonts w:eastAsia="MS Mincho"/>
              </w:rPr>
            </w:pPr>
            <w:r w:rsidRPr="00CD29D0">
              <w:rPr>
                <w:rFonts w:eastAsia="MS Mincho"/>
              </w:rPr>
              <w:t>Middle Range (4)</w:t>
            </w:r>
          </w:p>
        </w:tc>
        <w:tc>
          <w:tcPr>
            <w:tcW w:w="720" w:type="dxa"/>
            <w:tcMar>
              <w:right w:w="29" w:type="dxa"/>
            </w:tcMar>
          </w:tcPr>
          <w:p w14:paraId="784B95BA" w14:textId="77777777" w:rsidR="00405424" w:rsidRPr="00CD29D0" w:rsidRDefault="00405424" w:rsidP="00BF0B5C">
            <w:pPr>
              <w:pStyle w:val="TableColHeadingCenter"/>
              <w:rPr>
                <w:rFonts w:eastAsia="MS Mincho"/>
              </w:rPr>
            </w:pPr>
            <w:r w:rsidRPr="00CD29D0">
              <w:rPr>
                <w:rFonts w:eastAsia="MS Mincho"/>
              </w:rPr>
              <w:t>Middle Range (5)</w:t>
            </w:r>
          </w:p>
        </w:tc>
        <w:tc>
          <w:tcPr>
            <w:tcW w:w="720" w:type="dxa"/>
            <w:tcMar>
              <w:right w:w="29" w:type="dxa"/>
            </w:tcMar>
          </w:tcPr>
          <w:p w14:paraId="06BC0AF7" w14:textId="77777777" w:rsidR="00405424" w:rsidRPr="00CD29D0" w:rsidRDefault="00405424" w:rsidP="00BF0B5C">
            <w:pPr>
              <w:pStyle w:val="TableColHeadingCenter"/>
              <w:rPr>
                <w:rFonts w:eastAsia="MS Mincho"/>
              </w:rPr>
            </w:pPr>
            <w:r w:rsidRPr="00CD29D0">
              <w:rPr>
                <w:rFonts w:eastAsia="MS Mincho"/>
              </w:rPr>
              <w:t>High Range (6)</w:t>
            </w:r>
          </w:p>
        </w:tc>
        <w:tc>
          <w:tcPr>
            <w:tcW w:w="720" w:type="dxa"/>
            <w:tcMar>
              <w:right w:w="29" w:type="dxa"/>
            </w:tcMar>
          </w:tcPr>
          <w:p w14:paraId="76FD6C16" w14:textId="77777777" w:rsidR="00405424" w:rsidRPr="00CD29D0" w:rsidRDefault="00405424" w:rsidP="00BF0B5C">
            <w:pPr>
              <w:pStyle w:val="TableColHeadingCenter"/>
              <w:rPr>
                <w:rFonts w:eastAsia="MS Mincho"/>
              </w:rPr>
            </w:pPr>
            <w:r w:rsidRPr="00CD29D0">
              <w:rPr>
                <w:rFonts w:eastAsia="MS Mincho"/>
              </w:rPr>
              <w:t>High Range (7)</w:t>
            </w:r>
          </w:p>
        </w:tc>
        <w:tc>
          <w:tcPr>
            <w:tcW w:w="533" w:type="dxa"/>
            <w:tcMar>
              <w:right w:w="29" w:type="dxa"/>
            </w:tcMar>
          </w:tcPr>
          <w:p w14:paraId="73287755" w14:textId="77777777" w:rsidR="00405424" w:rsidRPr="00CD29D0" w:rsidRDefault="00405424" w:rsidP="00BF0B5C">
            <w:pPr>
              <w:pStyle w:val="TableColHeadingCenter"/>
              <w:rPr>
                <w:rFonts w:eastAsia="MS Mincho"/>
              </w:rPr>
            </w:pPr>
            <w:r w:rsidRPr="00CD29D0">
              <w:rPr>
                <w:rFonts w:eastAsia="MS Mincho"/>
              </w:rPr>
              <w:t>n</w:t>
            </w:r>
          </w:p>
        </w:tc>
        <w:tc>
          <w:tcPr>
            <w:tcW w:w="907" w:type="dxa"/>
            <w:tcMar>
              <w:right w:w="29" w:type="dxa"/>
            </w:tcMar>
          </w:tcPr>
          <w:p w14:paraId="7276F515" w14:textId="77777777" w:rsidR="00405424" w:rsidRPr="00CD29D0" w:rsidRDefault="00405424" w:rsidP="00BF0B5C">
            <w:pPr>
              <w:pStyle w:val="TableColHeadingCenter"/>
              <w:rPr>
                <w:rFonts w:eastAsia="MS Mincho"/>
              </w:rPr>
            </w:pPr>
            <w:r w:rsidRPr="00CD29D0">
              <w:rPr>
                <w:rFonts w:eastAsia="MS Mincho"/>
              </w:rPr>
              <w:t>Average Scores*</w:t>
            </w:r>
          </w:p>
        </w:tc>
      </w:tr>
      <w:tr w:rsidR="00405424" w:rsidRPr="00CD29D0" w14:paraId="40ECC6BB"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50122AAE" w14:textId="77777777" w:rsidR="00405424" w:rsidRPr="00CD29D0" w:rsidRDefault="00405424" w:rsidP="00A72EBC">
            <w:pPr>
              <w:pStyle w:val="TableText"/>
              <w:rPr>
                <w:b/>
                <w:bCs/>
              </w:rPr>
            </w:pPr>
            <w:r w:rsidRPr="00CD29D0">
              <w:rPr>
                <w:b/>
                <w:bCs/>
              </w:rPr>
              <w:t>Emotional Support Domain</w:t>
            </w:r>
          </w:p>
        </w:tc>
        <w:tc>
          <w:tcPr>
            <w:tcW w:w="720" w:type="dxa"/>
          </w:tcPr>
          <w:p w14:paraId="63FC3DA9" w14:textId="77777777" w:rsidR="00405424" w:rsidRPr="00CD29D0" w:rsidRDefault="00405424" w:rsidP="00A72EBC">
            <w:pPr>
              <w:pStyle w:val="TableTextCentered"/>
              <w:rPr>
                <w:b/>
                <w:bCs/>
              </w:rPr>
            </w:pPr>
            <w:r w:rsidRPr="00CD29D0">
              <w:rPr>
                <w:b/>
                <w:bCs/>
              </w:rPr>
              <w:t>3</w:t>
            </w:r>
          </w:p>
        </w:tc>
        <w:tc>
          <w:tcPr>
            <w:tcW w:w="720" w:type="dxa"/>
          </w:tcPr>
          <w:p w14:paraId="5ED65E2D" w14:textId="77777777" w:rsidR="00405424" w:rsidRPr="00CD29D0" w:rsidRDefault="00405424" w:rsidP="00A72EBC">
            <w:pPr>
              <w:pStyle w:val="TableTextCentered"/>
              <w:rPr>
                <w:b/>
                <w:bCs/>
              </w:rPr>
            </w:pPr>
            <w:r w:rsidRPr="00CD29D0">
              <w:rPr>
                <w:b/>
                <w:bCs/>
              </w:rPr>
              <w:t>10</w:t>
            </w:r>
          </w:p>
        </w:tc>
        <w:tc>
          <w:tcPr>
            <w:tcW w:w="720" w:type="dxa"/>
          </w:tcPr>
          <w:p w14:paraId="60E7BFC2" w14:textId="77777777" w:rsidR="00405424" w:rsidRPr="00CD29D0" w:rsidRDefault="00405424" w:rsidP="00A72EBC">
            <w:pPr>
              <w:pStyle w:val="TableTextCentered"/>
              <w:rPr>
                <w:b/>
                <w:bCs/>
              </w:rPr>
            </w:pPr>
            <w:r w:rsidRPr="00CD29D0">
              <w:rPr>
                <w:b/>
                <w:bCs/>
              </w:rPr>
              <w:t>6</w:t>
            </w:r>
          </w:p>
        </w:tc>
        <w:tc>
          <w:tcPr>
            <w:tcW w:w="720" w:type="dxa"/>
          </w:tcPr>
          <w:p w14:paraId="35B46665" w14:textId="77777777" w:rsidR="00405424" w:rsidRPr="00CD29D0" w:rsidRDefault="00405424" w:rsidP="00A72EBC">
            <w:pPr>
              <w:pStyle w:val="TableTextCentered"/>
              <w:rPr>
                <w:b/>
                <w:bCs/>
              </w:rPr>
            </w:pPr>
            <w:r w:rsidRPr="00CD29D0">
              <w:rPr>
                <w:b/>
                <w:bCs/>
              </w:rPr>
              <w:t>15</w:t>
            </w:r>
          </w:p>
        </w:tc>
        <w:tc>
          <w:tcPr>
            <w:tcW w:w="720" w:type="dxa"/>
          </w:tcPr>
          <w:p w14:paraId="64C90043" w14:textId="77777777" w:rsidR="00405424" w:rsidRPr="00CD29D0" w:rsidRDefault="00405424" w:rsidP="00A72EBC">
            <w:pPr>
              <w:pStyle w:val="TableTextCentered"/>
              <w:rPr>
                <w:b/>
                <w:bCs/>
              </w:rPr>
            </w:pPr>
            <w:r w:rsidRPr="00CD29D0">
              <w:rPr>
                <w:b/>
                <w:bCs/>
              </w:rPr>
              <w:t>21</w:t>
            </w:r>
          </w:p>
        </w:tc>
        <w:tc>
          <w:tcPr>
            <w:tcW w:w="720" w:type="dxa"/>
          </w:tcPr>
          <w:p w14:paraId="0E1C06CD" w14:textId="77777777" w:rsidR="00405424" w:rsidRPr="00CD29D0" w:rsidRDefault="00405424" w:rsidP="00A72EBC">
            <w:pPr>
              <w:pStyle w:val="TableTextCentered"/>
              <w:rPr>
                <w:b/>
                <w:bCs/>
              </w:rPr>
            </w:pPr>
            <w:r w:rsidRPr="00CD29D0">
              <w:rPr>
                <w:b/>
                <w:bCs/>
              </w:rPr>
              <w:t>32</w:t>
            </w:r>
          </w:p>
        </w:tc>
        <w:tc>
          <w:tcPr>
            <w:tcW w:w="720" w:type="dxa"/>
          </w:tcPr>
          <w:p w14:paraId="643D8EA2" w14:textId="77777777" w:rsidR="00405424" w:rsidRPr="00CD29D0" w:rsidRDefault="00405424" w:rsidP="00A72EBC">
            <w:pPr>
              <w:pStyle w:val="TableTextCentered"/>
              <w:rPr>
                <w:b/>
                <w:bCs/>
              </w:rPr>
            </w:pPr>
            <w:r w:rsidRPr="00CD29D0">
              <w:rPr>
                <w:b/>
                <w:bCs/>
              </w:rPr>
              <w:t>45</w:t>
            </w:r>
          </w:p>
        </w:tc>
        <w:tc>
          <w:tcPr>
            <w:tcW w:w="533" w:type="dxa"/>
          </w:tcPr>
          <w:p w14:paraId="2895C47B" w14:textId="77777777" w:rsidR="00405424" w:rsidRPr="00CD29D0" w:rsidRDefault="00405424" w:rsidP="00A72EBC">
            <w:pPr>
              <w:pStyle w:val="TableTextCentered"/>
              <w:rPr>
                <w:b/>
                <w:bCs/>
              </w:rPr>
            </w:pPr>
            <w:r w:rsidRPr="00CD29D0">
              <w:rPr>
                <w:b/>
                <w:bCs/>
              </w:rPr>
              <w:t>132</w:t>
            </w:r>
          </w:p>
        </w:tc>
        <w:tc>
          <w:tcPr>
            <w:tcW w:w="907" w:type="dxa"/>
          </w:tcPr>
          <w:p w14:paraId="149F5E2E" w14:textId="77777777" w:rsidR="00405424" w:rsidRPr="00CD29D0" w:rsidRDefault="00405424" w:rsidP="00A72EBC">
            <w:pPr>
              <w:pStyle w:val="TableTextCentered"/>
              <w:rPr>
                <w:b/>
                <w:bCs/>
              </w:rPr>
            </w:pPr>
            <w:r w:rsidRPr="00CD29D0">
              <w:rPr>
                <w:b/>
                <w:bCs/>
              </w:rPr>
              <w:t>5.4</w:t>
            </w:r>
          </w:p>
        </w:tc>
      </w:tr>
      <w:tr w:rsidR="00405424" w:rsidRPr="00CD29D0" w14:paraId="4E3E0059" w14:textId="77777777" w:rsidTr="00741CD7">
        <w:tc>
          <w:tcPr>
            <w:tcW w:w="3238" w:type="dxa"/>
            <w:tcMar>
              <w:right w:w="29" w:type="dxa"/>
            </w:tcMar>
          </w:tcPr>
          <w:p w14:paraId="5690BA5D" w14:textId="77777777" w:rsidR="00405424" w:rsidRPr="00CD29D0" w:rsidRDefault="00405424" w:rsidP="00A72EBC">
            <w:pPr>
              <w:pStyle w:val="TableText"/>
              <w:ind w:left="202"/>
            </w:pPr>
            <w:r w:rsidRPr="00CD29D0">
              <w:t>Positive Climate</w:t>
            </w:r>
          </w:p>
        </w:tc>
        <w:tc>
          <w:tcPr>
            <w:tcW w:w="720" w:type="dxa"/>
          </w:tcPr>
          <w:p w14:paraId="094A781A" w14:textId="77777777" w:rsidR="00405424" w:rsidRPr="00CD29D0" w:rsidRDefault="00405424" w:rsidP="00A72EBC">
            <w:pPr>
              <w:pStyle w:val="TableTextCentered"/>
            </w:pPr>
            <w:r w:rsidRPr="00CD29D0">
              <w:t>0</w:t>
            </w:r>
          </w:p>
        </w:tc>
        <w:tc>
          <w:tcPr>
            <w:tcW w:w="720" w:type="dxa"/>
          </w:tcPr>
          <w:p w14:paraId="08EE29A8" w14:textId="77777777" w:rsidR="00405424" w:rsidRPr="00CD29D0" w:rsidRDefault="00405424" w:rsidP="00A72EBC">
            <w:pPr>
              <w:pStyle w:val="TableTextCentered"/>
            </w:pPr>
            <w:r w:rsidRPr="00CD29D0">
              <w:t>0</w:t>
            </w:r>
          </w:p>
        </w:tc>
        <w:tc>
          <w:tcPr>
            <w:tcW w:w="720" w:type="dxa"/>
          </w:tcPr>
          <w:p w14:paraId="33C0CBF4" w14:textId="77777777" w:rsidR="00405424" w:rsidRPr="00CD29D0" w:rsidRDefault="00405424" w:rsidP="00A72EBC">
            <w:pPr>
              <w:pStyle w:val="TableTextCentered"/>
            </w:pPr>
            <w:r w:rsidRPr="00CD29D0">
              <w:t>0</w:t>
            </w:r>
          </w:p>
        </w:tc>
        <w:tc>
          <w:tcPr>
            <w:tcW w:w="720" w:type="dxa"/>
          </w:tcPr>
          <w:p w14:paraId="065D12C8" w14:textId="77777777" w:rsidR="00405424" w:rsidRPr="00CD29D0" w:rsidRDefault="00405424" w:rsidP="00A72EBC">
            <w:pPr>
              <w:pStyle w:val="TableTextCentered"/>
            </w:pPr>
            <w:r w:rsidRPr="00CD29D0">
              <w:t>6</w:t>
            </w:r>
          </w:p>
        </w:tc>
        <w:tc>
          <w:tcPr>
            <w:tcW w:w="720" w:type="dxa"/>
          </w:tcPr>
          <w:p w14:paraId="3BA62C8B" w14:textId="77777777" w:rsidR="00405424" w:rsidRPr="00CD29D0" w:rsidRDefault="00405424" w:rsidP="00A72EBC">
            <w:pPr>
              <w:pStyle w:val="TableTextCentered"/>
            </w:pPr>
            <w:r w:rsidRPr="00CD29D0">
              <w:t>10</w:t>
            </w:r>
          </w:p>
        </w:tc>
        <w:tc>
          <w:tcPr>
            <w:tcW w:w="720" w:type="dxa"/>
          </w:tcPr>
          <w:p w14:paraId="71079893" w14:textId="77777777" w:rsidR="00405424" w:rsidRPr="00CD29D0" w:rsidRDefault="00405424" w:rsidP="00A72EBC">
            <w:pPr>
              <w:pStyle w:val="TableTextCentered"/>
            </w:pPr>
            <w:r w:rsidRPr="00CD29D0">
              <w:t>13</w:t>
            </w:r>
          </w:p>
        </w:tc>
        <w:tc>
          <w:tcPr>
            <w:tcW w:w="720" w:type="dxa"/>
          </w:tcPr>
          <w:p w14:paraId="4B753590" w14:textId="77777777" w:rsidR="00405424" w:rsidRPr="00CD29D0" w:rsidRDefault="00405424" w:rsidP="00A72EBC">
            <w:pPr>
              <w:pStyle w:val="TableTextCentered"/>
            </w:pPr>
            <w:r w:rsidRPr="00CD29D0">
              <w:t>4</w:t>
            </w:r>
          </w:p>
        </w:tc>
        <w:tc>
          <w:tcPr>
            <w:tcW w:w="533" w:type="dxa"/>
          </w:tcPr>
          <w:p w14:paraId="6A94C062" w14:textId="77777777" w:rsidR="00405424" w:rsidRPr="00CD29D0" w:rsidRDefault="00405424" w:rsidP="00A72EBC">
            <w:pPr>
              <w:pStyle w:val="TableTextCentered"/>
            </w:pPr>
            <w:r w:rsidRPr="00CD29D0">
              <w:t>33</w:t>
            </w:r>
          </w:p>
        </w:tc>
        <w:tc>
          <w:tcPr>
            <w:tcW w:w="907" w:type="dxa"/>
          </w:tcPr>
          <w:p w14:paraId="67A55F18" w14:textId="77777777" w:rsidR="00405424" w:rsidRPr="00CD29D0" w:rsidRDefault="00405424" w:rsidP="00A72EBC">
            <w:pPr>
              <w:pStyle w:val="TableTextCentered"/>
            </w:pPr>
            <w:r w:rsidRPr="00CD29D0">
              <w:t>5.5</w:t>
            </w:r>
          </w:p>
        </w:tc>
      </w:tr>
      <w:tr w:rsidR="00405424" w:rsidRPr="00CD29D0" w14:paraId="7C5FBBB4"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3BA02E00" w14:textId="77777777" w:rsidR="00405424" w:rsidRPr="00CD29D0" w:rsidRDefault="00405424" w:rsidP="00A72EBC">
            <w:pPr>
              <w:pStyle w:val="TableText"/>
              <w:ind w:left="202"/>
            </w:pPr>
            <w:r w:rsidRPr="00CD29D0">
              <w:t>Negative Climate**</w:t>
            </w:r>
          </w:p>
        </w:tc>
        <w:tc>
          <w:tcPr>
            <w:tcW w:w="720" w:type="dxa"/>
          </w:tcPr>
          <w:p w14:paraId="0B117D69" w14:textId="77777777" w:rsidR="00405424" w:rsidRPr="00CD29D0" w:rsidRDefault="00405424" w:rsidP="00A72EBC">
            <w:pPr>
              <w:pStyle w:val="TableTextCentered"/>
            </w:pPr>
            <w:r w:rsidRPr="00CD29D0">
              <w:t>0</w:t>
            </w:r>
          </w:p>
        </w:tc>
        <w:tc>
          <w:tcPr>
            <w:tcW w:w="720" w:type="dxa"/>
          </w:tcPr>
          <w:p w14:paraId="3904DC98" w14:textId="77777777" w:rsidR="00405424" w:rsidRPr="00CD29D0" w:rsidRDefault="00405424" w:rsidP="00A72EBC">
            <w:pPr>
              <w:pStyle w:val="TableTextCentered"/>
            </w:pPr>
            <w:r w:rsidRPr="00CD29D0">
              <w:t>0</w:t>
            </w:r>
          </w:p>
        </w:tc>
        <w:tc>
          <w:tcPr>
            <w:tcW w:w="720" w:type="dxa"/>
          </w:tcPr>
          <w:p w14:paraId="0A8F7695" w14:textId="77777777" w:rsidR="00405424" w:rsidRPr="00CD29D0" w:rsidRDefault="00405424" w:rsidP="00A72EBC">
            <w:pPr>
              <w:pStyle w:val="TableTextCentered"/>
            </w:pPr>
            <w:r w:rsidRPr="00CD29D0">
              <w:t>0</w:t>
            </w:r>
          </w:p>
        </w:tc>
        <w:tc>
          <w:tcPr>
            <w:tcW w:w="720" w:type="dxa"/>
          </w:tcPr>
          <w:p w14:paraId="3CC4F0EB" w14:textId="77777777" w:rsidR="00405424" w:rsidRPr="00CD29D0" w:rsidRDefault="00405424" w:rsidP="00A72EBC">
            <w:pPr>
              <w:pStyle w:val="TableTextCentered"/>
            </w:pPr>
            <w:r w:rsidRPr="00CD29D0">
              <w:t>0</w:t>
            </w:r>
          </w:p>
        </w:tc>
        <w:tc>
          <w:tcPr>
            <w:tcW w:w="720" w:type="dxa"/>
          </w:tcPr>
          <w:p w14:paraId="6A5B4973" w14:textId="77777777" w:rsidR="00405424" w:rsidRPr="00CD29D0" w:rsidRDefault="00405424" w:rsidP="00A72EBC">
            <w:pPr>
              <w:pStyle w:val="TableTextCentered"/>
            </w:pPr>
            <w:r w:rsidRPr="00CD29D0">
              <w:t>0</w:t>
            </w:r>
          </w:p>
        </w:tc>
        <w:tc>
          <w:tcPr>
            <w:tcW w:w="720" w:type="dxa"/>
          </w:tcPr>
          <w:p w14:paraId="4B1DB810" w14:textId="77777777" w:rsidR="00405424" w:rsidRPr="00CD29D0" w:rsidRDefault="00405424" w:rsidP="00A72EBC">
            <w:pPr>
              <w:pStyle w:val="TableTextCentered"/>
            </w:pPr>
            <w:r w:rsidRPr="00CD29D0">
              <w:t>2</w:t>
            </w:r>
          </w:p>
        </w:tc>
        <w:tc>
          <w:tcPr>
            <w:tcW w:w="720" w:type="dxa"/>
          </w:tcPr>
          <w:p w14:paraId="4E2B1E3F" w14:textId="77777777" w:rsidR="00405424" w:rsidRPr="00CD29D0" w:rsidRDefault="00405424" w:rsidP="00A72EBC">
            <w:pPr>
              <w:pStyle w:val="TableTextCentered"/>
            </w:pPr>
            <w:r w:rsidRPr="00CD29D0">
              <w:t>31</w:t>
            </w:r>
          </w:p>
        </w:tc>
        <w:tc>
          <w:tcPr>
            <w:tcW w:w="533" w:type="dxa"/>
          </w:tcPr>
          <w:p w14:paraId="673427F5" w14:textId="77777777" w:rsidR="00405424" w:rsidRPr="00CD29D0" w:rsidRDefault="00405424" w:rsidP="00A72EBC">
            <w:pPr>
              <w:pStyle w:val="TableTextCentered"/>
            </w:pPr>
            <w:r w:rsidRPr="00CD29D0">
              <w:t>33</w:t>
            </w:r>
          </w:p>
        </w:tc>
        <w:tc>
          <w:tcPr>
            <w:tcW w:w="907" w:type="dxa"/>
          </w:tcPr>
          <w:p w14:paraId="56EDD05F" w14:textId="77777777" w:rsidR="00405424" w:rsidRPr="00CD29D0" w:rsidRDefault="00405424" w:rsidP="00A72EBC">
            <w:pPr>
              <w:pStyle w:val="TableTextCentered"/>
            </w:pPr>
            <w:r w:rsidRPr="00CD29D0">
              <w:t>6.9</w:t>
            </w:r>
          </w:p>
        </w:tc>
      </w:tr>
      <w:tr w:rsidR="00405424" w:rsidRPr="00CD29D0" w14:paraId="33E4C63C" w14:textId="77777777" w:rsidTr="00741CD7">
        <w:tc>
          <w:tcPr>
            <w:tcW w:w="3238" w:type="dxa"/>
            <w:tcMar>
              <w:right w:w="29" w:type="dxa"/>
            </w:tcMar>
          </w:tcPr>
          <w:p w14:paraId="7FB0D781" w14:textId="77777777" w:rsidR="00405424" w:rsidRPr="00CD29D0" w:rsidRDefault="00405424" w:rsidP="00A72EBC">
            <w:pPr>
              <w:pStyle w:val="TableText"/>
              <w:ind w:left="202"/>
            </w:pPr>
            <w:r w:rsidRPr="00CD29D0">
              <w:t>Teacher Sensitivity</w:t>
            </w:r>
          </w:p>
        </w:tc>
        <w:tc>
          <w:tcPr>
            <w:tcW w:w="720" w:type="dxa"/>
          </w:tcPr>
          <w:p w14:paraId="3E487E74" w14:textId="77777777" w:rsidR="00405424" w:rsidRPr="00CD29D0" w:rsidRDefault="00405424" w:rsidP="00A72EBC">
            <w:pPr>
              <w:pStyle w:val="TableTextCentered"/>
            </w:pPr>
            <w:r w:rsidRPr="00CD29D0">
              <w:t>0</w:t>
            </w:r>
          </w:p>
        </w:tc>
        <w:tc>
          <w:tcPr>
            <w:tcW w:w="720" w:type="dxa"/>
          </w:tcPr>
          <w:p w14:paraId="7E27F517" w14:textId="77777777" w:rsidR="00405424" w:rsidRPr="00CD29D0" w:rsidRDefault="00405424" w:rsidP="00A72EBC">
            <w:pPr>
              <w:pStyle w:val="TableTextCentered"/>
            </w:pPr>
            <w:r w:rsidRPr="00CD29D0">
              <w:t>0</w:t>
            </w:r>
          </w:p>
        </w:tc>
        <w:tc>
          <w:tcPr>
            <w:tcW w:w="720" w:type="dxa"/>
          </w:tcPr>
          <w:p w14:paraId="5DF26219" w14:textId="77777777" w:rsidR="00405424" w:rsidRPr="00CD29D0" w:rsidRDefault="00405424" w:rsidP="00A72EBC">
            <w:pPr>
              <w:pStyle w:val="TableTextCentered"/>
            </w:pPr>
            <w:r w:rsidRPr="00CD29D0">
              <w:t>0</w:t>
            </w:r>
          </w:p>
        </w:tc>
        <w:tc>
          <w:tcPr>
            <w:tcW w:w="720" w:type="dxa"/>
          </w:tcPr>
          <w:p w14:paraId="36AA44E8" w14:textId="77777777" w:rsidR="00405424" w:rsidRPr="00CD29D0" w:rsidRDefault="00405424" w:rsidP="00A72EBC">
            <w:pPr>
              <w:pStyle w:val="TableTextCentered"/>
            </w:pPr>
            <w:r w:rsidRPr="00CD29D0">
              <w:t>4</w:t>
            </w:r>
          </w:p>
        </w:tc>
        <w:tc>
          <w:tcPr>
            <w:tcW w:w="720" w:type="dxa"/>
          </w:tcPr>
          <w:p w14:paraId="3D223A5E" w14:textId="77777777" w:rsidR="00405424" w:rsidRPr="00CD29D0" w:rsidRDefault="00405424" w:rsidP="00A72EBC">
            <w:pPr>
              <w:pStyle w:val="TableTextCentered"/>
            </w:pPr>
            <w:r w:rsidRPr="00CD29D0">
              <w:t>6</w:t>
            </w:r>
          </w:p>
        </w:tc>
        <w:tc>
          <w:tcPr>
            <w:tcW w:w="720" w:type="dxa"/>
          </w:tcPr>
          <w:p w14:paraId="652609EE" w14:textId="77777777" w:rsidR="00405424" w:rsidRPr="00CD29D0" w:rsidRDefault="00405424" w:rsidP="00A72EBC">
            <w:pPr>
              <w:pStyle w:val="TableTextCentered"/>
            </w:pPr>
            <w:r w:rsidRPr="00CD29D0">
              <w:t>13</w:t>
            </w:r>
          </w:p>
        </w:tc>
        <w:tc>
          <w:tcPr>
            <w:tcW w:w="720" w:type="dxa"/>
          </w:tcPr>
          <w:p w14:paraId="7F57CADF" w14:textId="77777777" w:rsidR="00405424" w:rsidRPr="00CD29D0" w:rsidRDefault="00405424" w:rsidP="00A72EBC">
            <w:pPr>
              <w:pStyle w:val="TableTextCentered"/>
            </w:pPr>
            <w:r w:rsidRPr="00CD29D0">
              <w:t>10</w:t>
            </w:r>
          </w:p>
        </w:tc>
        <w:tc>
          <w:tcPr>
            <w:tcW w:w="533" w:type="dxa"/>
          </w:tcPr>
          <w:p w14:paraId="660EBDED" w14:textId="77777777" w:rsidR="00405424" w:rsidRPr="00CD29D0" w:rsidRDefault="00405424" w:rsidP="00A72EBC">
            <w:pPr>
              <w:pStyle w:val="TableTextCentered"/>
            </w:pPr>
            <w:r w:rsidRPr="00CD29D0">
              <w:t>33</w:t>
            </w:r>
          </w:p>
        </w:tc>
        <w:tc>
          <w:tcPr>
            <w:tcW w:w="907" w:type="dxa"/>
          </w:tcPr>
          <w:p w14:paraId="5E99231C" w14:textId="77777777" w:rsidR="00405424" w:rsidRPr="00CD29D0" w:rsidRDefault="00405424" w:rsidP="00A72EBC">
            <w:pPr>
              <w:pStyle w:val="TableTextCentered"/>
            </w:pPr>
            <w:r w:rsidRPr="00CD29D0">
              <w:t>5.9</w:t>
            </w:r>
          </w:p>
        </w:tc>
      </w:tr>
      <w:tr w:rsidR="00405424" w:rsidRPr="00CD29D0" w14:paraId="0A9744F1"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6A95B633" w14:textId="77777777" w:rsidR="00405424" w:rsidRPr="00CD29D0" w:rsidRDefault="00405424" w:rsidP="00A72EBC">
            <w:pPr>
              <w:pStyle w:val="TableText"/>
              <w:ind w:left="202"/>
            </w:pPr>
            <w:r w:rsidRPr="00CD29D0">
              <w:t>Regard for Student Perspectives</w:t>
            </w:r>
          </w:p>
        </w:tc>
        <w:tc>
          <w:tcPr>
            <w:tcW w:w="720" w:type="dxa"/>
          </w:tcPr>
          <w:p w14:paraId="0C7BAA88" w14:textId="77777777" w:rsidR="00405424" w:rsidRPr="00CD29D0" w:rsidRDefault="00405424" w:rsidP="00A72EBC">
            <w:pPr>
              <w:pStyle w:val="TableTextCentered"/>
            </w:pPr>
            <w:r w:rsidRPr="00CD29D0">
              <w:t>3</w:t>
            </w:r>
          </w:p>
        </w:tc>
        <w:tc>
          <w:tcPr>
            <w:tcW w:w="720" w:type="dxa"/>
          </w:tcPr>
          <w:p w14:paraId="7F49DB60" w14:textId="77777777" w:rsidR="00405424" w:rsidRPr="00CD29D0" w:rsidRDefault="00405424" w:rsidP="00A72EBC">
            <w:pPr>
              <w:pStyle w:val="TableTextCentered"/>
            </w:pPr>
            <w:r w:rsidRPr="00CD29D0">
              <w:t>10</w:t>
            </w:r>
          </w:p>
        </w:tc>
        <w:tc>
          <w:tcPr>
            <w:tcW w:w="720" w:type="dxa"/>
          </w:tcPr>
          <w:p w14:paraId="4F71E603" w14:textId="77777777" w:rsidR="00405424" w:rsidRPr="00CD29D0" w:rsidRDefault="00405424" w:rsidP="00A72EBC">
            <w:pPr>
              <w:pStyle w:val="TableTextCentered"/>
            </w:pPr>
            <w:r w:rsidRPr="00CD29D0">
              <w:t>6</w:t>
            </w:r>
          </w:p>
        </w:tc>
        <w:tc>
          <w:tcPr>
            <w:tcW w:w="720" w:type="dxa"/>
          </w:tcPr>
          <w:p w14:paraId="5F91EFE8" w14:textId="77777777" w:rsidR="00405424" w:rsidRPr="00CD29D0" w:rsidRDefault="00405424" w:rsidP="00A72EBC">
            <w:pPr>
              <w:pStyle w:val="TableTextCentered"/>
            </w:pPr>
            <w:r w:rsidRPr="00CD29D0">
              <w:t>5</w:t>
            </w:r>
          </w:p>
        </w:tc>
        <w:tc>
          <w:tcPr>
            <w:tcW w:w="720" w:type="dxa"/>
          </w:tcPr>
          <w:p w14:paraId="7CAD89EB" w14:textId="77777777" w:rsidR="00405424" w:rsidRPr="00CD29D0" w:rsidRDefault="00405424" w:rsidP="00A72EBC">
            <w:pPr>
              <w:pStyle w:val="TableTextCentered"/>
            </w:pPr>
            <w:r w:rsidRPr="00CD29D0">
              <w:t>5</w:t>
            </w:r>
          </w:p>
        </w:tc>
        <w:tc>
          <w:tcPr>
            <w:tcW w:w="720" w:type="dxa"/>
          </w:tcPr>
          <w:p w14:paraId="2890F921" w14:textId="77777777" w:rsidR="00405424" w:rsidRPr="00CD29D0" w:rsidRDefault="00405424" w:rsidP="00A72EBC">
            <w:pPr>
              <w:pStyle w:val="TableTextCentered"/>
            </w:pPr>
            <w:r w:rsidRPr="00CD29D0">
              <w:t>4</w:t>
            </w:r>
          </w:p>
        </w:tc>
        <w:tc>
          <w:tcPr>
            <w:tcW w:w="720" w:type="dxa"/>
          </w:tcPr>
          <w:p w14:paraId="5CB22B19" w14:textId="77777777" w:rsidR="00405424" w:rsidRPr="00CD29D0" w:rsidRDefault="00405424" w:rsidP="00A72EBC">
            <w:pPr>
              <w:pStyle w:val="TableTextCentered"/>
            </w:pPr>
            <w:r w:rsidRPr="00CD29D0">
              <w:t>0</w:t>
            </w:r>
          </w:p>
        </w:tc>
        <w:tc>
          <w:tcPr>
            <w:tcW w:w="533" w:type="dxa"/>
          </w:tcPr>
          <w:p w14:paraId="3A2C3C31" w14:textId="77777777" w:rsidR="00405424" w:rsidRPr="00CD29D0" w:rsidRDefault="00405424" w:rsidP="00A72EBC">
            <w:pPr>
              <w:pStyle w:val="TableTextCentered"/>
            </w:pPr>
            <w:r w:rsidRPr="00CD29D0">
              <w:t>33</w:t>
            </w:r>
          </w:p>
        </w:tc>
        <w:tc>
          <w:tcPr>
            <w:tcW w:w="907" w:type="dxa"/>
          </w:tcPr>
          <w:p w14:paraId="4E0E0309" w14:textId="77777777" w:rsidR="00405424" w:rsidRPr="00CD29D0" w:rsidRDefault="00405424" w:rsidP="00A72EBC">
            <w:pPr>
              <w:pStyle w:val="TableTextCentered"/>
            </w:pPr>
            <w:r w:rsidRPr="00CD29D0">
              <w:t>3.3</w:t>
            </w:r>
          </w:p>
        </w:tc>
      </w:tr>
      <w:tr w:rsidR="00405424" w:rsidRPr="00CD29D0" w14:paraId="40065F6E" w14:textId="77777777" w:rsidTr="00741CD7">
        <w:tc>
          <w:tcPr>
            <w:tcW w:w="3238" w:type="dxa"/>
            <w:tcMar>
              <w:right w:w="29" w:type="dxa"/>
            </w:tcMar>
          </w:tcPr>
          <w:p w14:paraId="683C8EC4" w14:textId="77777777" w:rsidR="00405424" w:rsidRPr="00CD29D0" w:rsidRDefault="00405424" w:rsidP="00A72EBC">
            <w:pPr>
              <w:pStyle w:val="TableText"/>
              <w:rPr>
                <w:b/>
                <w:bCs/>
                <w:szCs w:val="20"/>
              </w:rPr>
            </w:pPr>
            <w:r w:rsidRPr="00CD29D0">
              <w:rPr>
                <w:b/>
                <w:bCs/>
              </w:rPr>
              <w:t>Classroom Organization Domain</w:t>
            </w:r>
          </w:p>
        </w:tc>
        <w:tc>
          <w:tcPr>
            <w:tcW w:w="720" w:type="dxa"/>
          </w:tcPr>
          <w:p w14:paraId="763DDE66" w14:textId="77777777" w:rsidR="00405424" w:rsidRPr="00CD29D0" w:rsidRDefault="00405424" w:rsidP="00A72EBC">
            <w:pPr>
              <w:pStyle w:val="TableTextCentered"/>
              <w:rPr>
                <w:b/>
                <w:bCs/>
              </w:rPr>
            </w:pPr>
            <w:r w:rsidRPr="00CD29D0">
              <w:rPr>
                <w:b/>
                <w:bCs/>
              </w:rPr>
              <w:t>0</w:t>
            </w:r>
          </w:p>
        </w:tc>
        <w:tc>
          <w:tcPr>
            <w:tcW w:w="720" w:type="dxa"/>
          </w:tcPr>
          <w:p w14:paraId="3E89F028" w14:textId="77777777" w:rsidR="00405424" w:rsidRPr="00CD29D0" w:rsidRDefault="00405424" w:rsidP="00A72EBC">
            <w:pPr>
              <w:pStyle w:val="TableTextCentered"/>
              <w:rPr>
                <w:b/>
                <w:bCs/>
              </w:rPr>
            </w:pPr>
            <w:r w:rsidRPr="00CD29D0">
              <w:rPr>
                <w:b/>
                <w:bCs/>
              </w:rPr>
              <w:t>0</w:t>
            </w:r>
          </w:p>
        </w:tc>
        <w:tc>
          <w:tcPr>
            <w:tcW w:w="720" w:type="dxa"/>
          </w:tcPr>
          <w:p w14:paraId="4CCF072C" w14:textId="77777777" w:rsidR="00405424" w:rsidRPr="00CD29D0" w:rsidRDefault="00405424" w:rsidP="00A72EBC">
            <w:pPr>
              <w:pStyle w:val="TableTextCentered"/>
              <w:rPr>
                <w:b/>
                <w:bCs/>
              </w:rPr>
            </w:pPr>
            <w:r w:rsidRPr="00CD29D0">
              <w:rPr>
                <w:b/>
                <w:bCs/>
              </w:rPr>
              <w:t>3</w:t>
            </w:r>
          </w:p>
        </w:tc>
        <w:tc>
          <w:tcPr>
            <w:tcW w:w="720" w:type="dxa"/>
          </w:tcPr>
          <w:p w14:paraId="3D52F841" w14:textId="77777777" w:rsidR="00405424" w:rsidRPr="00CD29D0" w:rsidRDefault="00405424" w:rsidP="00A72EBC">
            <w:pPr>
              <w:pStyle w:val="TableTextCentered"/>
              <w:rPr>
                <w:b/>
                <w:bCs/>
              </w:rPr>
            </w:pPr>
            <w:r w:rsidRPr="00CD29D0">
              <w:rPr>
                <w:b/>
                <w:bCs/>
              </w:rPr>
              <w:t>5</w:t>
            </w:r>
          </w:p>
        </w:tc>
        <w:tc>
          <w:tcPr>
            <w:tcW w:w="720" w:type="dxa"/>
          </w:tcPr>
          <w:p w14:paraId="330AA437" w14:textId="77777777" w:rsidR="00405424" w:rsidRPr="00CD29D0" w:rsidRDefault="00405424" w:rsidP="00A72EBC">
            <w:pPr>
              <w:pStyle w:val="TableTextCentered"/>
              <w:rPr>
                <w:b/>
                <w:bCs/>
              </w:rPr>
            </w:pPr>
            <w:r w:rsidRPr="00CD29D0">
              <w:rPr>
                <w:b/>
                <w:bCs/>
              </w:rPr>
              <w:t>15</w:t>
            </w:r>
          </w:p>
        </w:tc>
        <w:tc>
          <w:tcPr>
            <w:tcW w:w="720" w:type="dxa"/>
          </w:tcPr>
          <w:p w14:paraId="3A4A9A36" w14:textId="77777777" w:rsidR="00405424" w:rsidRPr="00CD29D0" w:rsidRDefault="00405424" w:rsidP="00A72EBC">
            <w:pPr>
              <w:pStyle w:val="TableTextCentered"/>
              <w:rPr>
                <w:b/>
                <w:bCs/>
              </w:rPr>
            </w:pPr>
            <w:r w:rsidRPr="00CD29D0">
              <w:rPr>
                <w:b/>
                <w:bCs/>
              </w:rPr>
              <w:t>33</w:t>
            </w:r>
          </w:p>
        </w:tc>
        <w:tc>
          <w:tcPr>
            <w:tcW w:w="720" w:type="dxa"/>
          </w:tcPr>
          <w:p w14:paraId="5B0AE75A" w14:textId="77777777" w:rsidR="00405424" w:rsidRPr="00CD29D0" w:rsidRDefault="00405424" w:rsidP="00A72EBC">
            <w:pPr>
              <w:pStyle w:val="TableTextCentered"/>
              <w:rPr>
                <w:b/>
                <w:bCs/>
              </w:rPr>
            </w:pPr>
            <w:r w:rsidRPr="00CD29D0">
              <w:rPr>
                <w:b/>
                <w:bCs/>
              </w:rPr>
              <w:t>43</w:t>
            </w:r>
          </w:p>
        </w:tc>
        <w:tc>
          <w:tcPr>
            <w:tcW w:w="533" w:type="dxa"/>
          </w:tcPr>
          <w:p w14:paraId="4C5A4A73" w14:textId="77777777" w:rsidR="00405424" w:rsidRPr="00CD29D0" w:rsidRDefault="00405424" w:rsidP="00A72EBC">
            <w:pPr>
              <w:pStyle w:val="TableTextCentered"/>
              <w:rPr>
                <w:b/>
                <w:bCs/>
              </w:rPr>
            </w:pPr>
            <w:r w:rsidRPr="00CD29D0">
              <w:rPr>
                <w:b/>
                <w:bCs/>
              </w:rPr>
              <w:t>99</w:t>
            </w:r>
          </w:p>
        </w:tc>
        <w:tc>
          <w:tcPr>
            <w:tcW w:w="907" w:type="dxa"/>
          </w:tcPr>
          <w:p w14:paraId="3EE7070D" w14:textId="77777777" w:rsidR="00405424" w:rsidRPr="00CD29D0" w:rsidRDefault="00405424" w:rsidP="00A72EBC">
            <w:pPr>
              <w:pStyle w:val="TableTextCentered"/>
              <w:rPr>
                <w:b/>
                <w:bCs/>
              </w:rPr>
            </w:pPr>
            <w:r w:rsidRPr="00CD29D0">
              <w:rPr>
                <w:b/>
                <w:bCs/>
              </w:rPr>
              <w:t>6.1</w:t>
            </w:r>
          </w:p>
        </w:tc>
      </w:tr>
      <w:tr w:rsidR="00405424" w:rsidRPr="00CD29D0" w14:paraId="2C6FA559"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4F87D368" w14:textId="77777777" w:rsidR="00405424" w:rsidRPr="00CD29D0" w:rsidRDefault="00405424" w:rsidP="00A72EBC">
            <w:pPr>
              <w:pStyle w:val="TableText"/>
              <w:ind w:left="202"/>
            </w:pPr>
            <w:r w:rsidRPr="00CD29D0">
              <w:t>Behavior Management</w:t>
            </w:r>
          </w:p>
        </w:tc>
        <w:tc>
          <w:tcPr>
            <w:tcW w:w="720" w:type="dxa"/>
          </w:tcPr>
          <w:p w14:paraId="28C60B75" w14:textId="77777777" w:rsidR="00405424" w:rsidRPr="00CD29D0" w:rsidRDefault="00405424" w:rsidP="00A72EBC">
            <w:pPr>
              <w:pStyle w:val="TableTextCentered"/>
            </w:pPr>
            <w:r w:rsidRPr="00CD29D0">
              <w:t>0</w:t>
            </w:r>
          </w:p>
        </w:tc>
        <w:tc>
          <w:tcPr>
            <w:tcW w:w="720" w:type="dxa"/>
          </w:tcPr>
          <w:p w14:paraId="50B256B4" w14:textId="77777777" w:rsidR="00405424" w:rsidRPr="00CD29D0" w:rsidRDefault="00405424" w:rsidP="00A72EBC">
            <w:pPr>
              <w:pStyle w:val="TableTextCentered"/>
            </w:pPr>
            <w:r w:rsidRPr="00CD29D0">
              <w:t>0</w:t>
            </w:r>
          </w:p>
        </w:tc>
        <w:tc>
          <w:tcPr>
            <w:tcW w:w="720" w:type="dxa"/>
          </w:tcPr>
          <w:p w14:paraId="64B51101" w14:textId="77777777" w:rsidR="00405424" w:rsidRPr="00CD29D0" w:rsidRDefault="00405424" w:rsidP="00A72EBC">
            <w:pPr>
              <w:pStyle w:val="TableTextCentered"/>
            </w:pPr>
            <w:r w:rsidRPr="00CD29D0">
              <w:t>0</w:t>
            </w:r>
          </w:p>
        </w:tc>
        <w:tc>
          <w:tcPr>
            <w:tcW w:w="720" w:type="dxa"/>
          </w:tcPr>
          <w:p w14:paraId="115A367F" w14:textId="77777777" w:rsidR="00405424" w:rsidRPr="00CD29D0" w:rsidRDefault="00405424" w:rsidP="00A72EBC">
            <w:pPr>
              <w:pStyle w:val="TableTextCentered"/>
            </w:pPr>
            <w:r w:rsidRPr="00CD29D0">
              <w:t>2</w:t>
            </w:r>
          </w:p>
        </w:tc>
        <w:tc>
          <w:tcPr>
            <w:tcW w:w="720" w:type="dxa"/>
          </w:tcPr>
          <w:p w14:paraId="4CE96587" w14:textId="77777777" w:rsidR="00405424" w:rsidRPr="00CD29D0" w:rsidRDefault="00405424" w:rsidP="00A72EBC">
            <w:pPr>
              <w:pStyle w:val="TableTextCentered"/>
            </w:pPr>
            <w:r w:rsidRPr="00CD29D0">
              <w:t>3</w:t>
            </w:r>
          </w:p>
        </w:tc>
        <w:tc>
          <w:tcPr>
            <w:tcW w:w="720" w:type="dxa"/>
          </w:tcPr>
          <w:p w14:paraId="30E8B925" w14:textId="77777777" w:rsidR="00405424" w:rsidRPr="00CD29D0" w:rsidRDefault="00405424" w:rsidP="00A72EBC">
            <w:pPr>
              <w:pStyle w:val="TableTextCentered"/>
            </w:pPr>
            <w:r w:rsidRPr="00CD29D0">
              <w:t>12</w:t>
            </w:r>
          </w:p>
        </w:tc>
        <w:tc>
          <w:tcPr>
            <w:tcW w:w="720" w:type="dxa"/>
          </w:tcPr>
          <w:p w14:paraId="6B1396C2" w14:textId="77777777" w:rsidR="00405424" w:rsidRPr="00CD29D0" w:rsidRDefault="00405424" w:rsidP="00A72EBC">
            <w:pPr>
              <w:pStyle w:val="TableTextCentered"/>
            </w:pPr>
            <w:r w:rsidRPr="00CD29D0">
              <w:t>16</w:t>
            </w:r>
          </w:p>
        </w:tc>
        <w:tc>
          <w:tcPr>
            <w:tcW w:w="533" w:type="dxa"/>
          </w:tcPr>
          <w:p w14:paraId="698B73E7" w14:textId="77777777" w:rsidR="00405424" w:rsidRPr="00CD29D0" w:rsidRDefault="00405424" w:rsidP="00A72EBC">
            <w:pPr>
              <w:pStyle w:val="TableTextCentered"/>
            </w:pPr>
            <w:r w:rsidRPr="00CD29D0">
              <w:t>33</w:t>
            </w:r>
          </w:p>
        </w:tc>
        <w:tc>
          <w:tcPr>
            <w:tcW w:w="907" w:type="dxa"/>
          </w:tcPr>
          <w:p w14:paraId="25EA669F" w14:textId="77777777" w:rsidR="00405424" w:rsidRPr="00CD29D0" w:rsidRDefault="00405424" w:rsidP="00A72EBC">
            <w:pPr>
              <w:pStyle w:val="TableTextCentered"/>
            </w:pPr>
            <w:r w:rsidRPr="00CD29D0">
              <w:t>6.3</w:t>
            </w:r>
          </w:p>
        </w:tc>
      </w:tr>
      <w:tr w:rsidR="00405424" w:rsidRPr="00CD29D0" w14:paraId="1D7C63A9" w14:textId="77777777" w:rsidTr="00741CD7">
        <w:tc>
          <w:tcPr>
            <w:tcW w:w="3238" w:type="dxa"/>
            <w:tcMar>
              <w:right w:w="29" w:type="dxa"/>
            </w:tcMar>
          </w:tcPr>
          <w:p w14:paraId="52271B07" w14:textId="77777777" w:rsidR="00405424" w:rsidRPr="00CD29D0" w:rsidRDefault="00405424" w:rsidP="00A72EBC">
            <w:pPr>
              <w:pStyle w:val="TableText"/>
              <w:ind w:left="202"/>
            </w:pPr>
            <w:r w:rsidRPr="00CD29D0">
              <w:t>Productivity</w:t>
            </w:r>
          </w:p>
        </w:tc>
        <w:tc>
          <w:tcPr>
            <w:tcW w:w="720" w:type="dxa"/>
          </w:tcPr>
          <w:p w14:paraId="4144B143" w14:textId="77777777" w:rsidR="00405424" w:rsidRPr="00CD29D0" w:rsidRDefault="00405424" w:rsidP="00A72EBC">
            <w:pPr>
              <w:pStyle w:val="TableTextCentered"/>
            </w:pPr>
            <w:r w:rsidRPr="00CD29D0">
              <w:t>0</w:t>
            </w:r>
          </w:p>
        </w:tc>
        <w:tc>
          <w:tcPr>
            <w:tcW w:w="720" w:type="dxa"/>
          </w:tcPr>
          <w:p w14:paraId="03512964" w14:textId="77777777" w:rsidR="00405424" w:rsidRPr="00CD29D0" w:rsidRDefault="00405424" w:rsidP="00A72EBC">
            <w:pPr>
              <w:pStyle w:val="TableTextCentered"/>
            </w:pPr>
            <w:r w:rsidRPr="00CD29D0">
              <w:t>0</w:t>
            </w:r>
          </w:p>
        </w:tc>
        <w:tc>
          <w:tcPr>
            <w:tcW w:w="720" w:type="dxa"/>
          </w:tcPr>
          <w:p w14:paraId="5BAD90D5" w14:textId="77777777" w:rsidR="00405424" w:rsidRPr="00CD29D0" w:rsidRDefault="00405424" w:rsidP="00A72EBC">
            <w:pPr>
              <w:pStyle w:val="TableTextCentered"/>
            </w:pPr>
            <w:r w:rsidRPr="00CD29D0">
              <w:t>0</w:t>
            </w:r>
          </w:p>
        </w:tc>
        <w:tc>
          <w:tcPr>
            <w:tcW w:w="720" w:type="dxa"/>
          </w:tcPr>
          <w:p w14:paraId="2C9A1B5E" w14:textId="77777777" w:rsidR="00405424" w:rsidRPr="00CD29D0" w:rsidRDefault="00405424" w:rsidP="00A72EBC">
            <w:pPr>
              <w:pStyle w:val="TableTextCentered"/>
            </w:pPr>
            <w:r w:rsidRPr="00CD29D0">
              <w:t>0</w:t>
            </w:r>
          </w:p>
        </w:tc>
        <w:tc>
          <w:tcPr>
            <w:tcW w:w="720" w:type="dxa"/>
          </w:tcPr>
          <w:p w14:paraId="2F18A36A" w14:textId="77777777" w:rsidR="00405424" w:rsidRPr="00CD29D0" w:rsidRDefault="00405424" w:rsidP="00A72EBC">
            <w:pPr>
              <w:pStyle w:val="TableTextCentered"/>
            </w:pPr>
            <w:r w:rsidRPr="00CD29D0">
              <w:t>1</w:t>
            </w:r>
          </w:p>
        </w:tc>
        <w:tc>
          <w:tcPr>
            <w:tcW w:w="720" w:type="dxa"/>
          </w:tcPr>
          <w:p w14:paraId="5F41F12C" w14:textId="77777777" w:rsidR="00405424" w:rsidRPr="00CD29D0" w:rsidRDefault="00405424" w:rsidP="00A72EBC">
            <w:pPr>
              <w:pStyle w:val="TableTextCentered"/>
            </w:pPr>
            <w:r w:rsidRPr="00CD29D0">
              <w:t>11</w:t>
            </w:r>
          </w:p>
        </w:tc>
        <w:tc>
          <w:tcPr>
            <w:tcW w:w="720" w:type="dxa"/>
          </w:tcPr>
          <w:p w14:paraId="7FCE12C0" w14:textId="77777777" w:rsidR="00405424" w:rsidRPr="00CD29D0" w:rsidRDefault="00405424" w:rsidP="00A72EBC">
            <w:pPr>
              <w:pStyle w:val="TableTextCentered"/>
            </w:pPr>
            <w:r w:rsidRPr="00CD29D0">
              <w:t>21</w:t>
            </w:r>
          </w:p>
        </w:tc>
        <w:tc>
          <w:tcPr>
            <w:tcW w:w="533" w:type="dxa"/>
          </w:tcPr>
          <w:p w14:paraId="1FB253ED" w14:textId="77777777" w:rsidR="00405424" w:rsidRPr="00CD29D0" w:rsidRDefault="00405424" w:rsidP="00A72EBC">
            <w:pPr>
              <w:pStyle w:val="TableTextCentered"/>
            </w:pPr>
            <w:r w:rsidRPr="00CD29D0">
              <w:t>33</w:t>
            </w:r>
          </w:p>
        </w:tc>
        <w:tc>
          <w:tcPr>
            <w:tcW w:w="907" w:type="dxa"/>
          </w:tcPr>
          <w:p w14:paraId="174A6E76" w14:textId="77777777" w:rsidR="00405424" w:rsidRPr="00CD29D0" w:rsidRDefault="00405424" w:rsidP="00A72EBC">
            <w:pPr>
              <w:pStyle w:val="TableTextCentered"/>
            </w:pPr>
            <w:r w:rsidRPr="00CD29D0">
              <w:t>6.6</w:t>
            </w:r>
          </w:p>
        </w:tc>
      </w:tr>
      <w:tr w:rsidR="00405424" w:rsidRPr="00CD29D0" w14:paraId="4181C40E"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4808061D" w14:textId="77777777" w:rsidR="00405424" w:rsidRPr="00CD29D0" w:rsidRDefault="00405424" w:rsidP="00A72EBC">
            <w:pPr>
              <w:pStyle w:val="TableText"/>
              <w:ind w:left="202"/>
            </w:pPr>
            <w:r w:rsidRPr="00CD29D0">
              <w:t>Instructional Learning Formats***</w:t>
            </w:r>
          </w:p>
        </w:tc>
        <w:tc>
          <w:tcPr>
            <w:tcW w:w="720" w:type="dxa"/>
          </w:tcPr>
          <w:p w14:paraId="76DF5774" w14:textId="77777777" w:rsidR="00405424" w:rsidRPr="00CD29D0" w:rsidRDefault="00405424" w:rsidP="00A72EBC">
            <w:pPr>
              <w:pStyle w:val="TableTextCentered"/>
            </w:pPr>
            <w:r w:rsidRPr="00CD29D0">
              <w:t>0</w:t>
            </w:r>
          </w:p>
        </w:tc>
        <w:tc>
          <w:tcPr>
            <w:tcW w:w="720" w:type="dxa"/>
          </w:tcPr>
          <w:p w14:paraId="712B03EF" w14:textId="77777777" w:rsidR="00405424" w:rsidRPr="00CD29D0" w:rsidRDefault="00405424" w:rsidP="00A72EBC">
            <w:pPr>
              <w:pStyle w:val="TableTextCentered"/>
            </w:pPr>
            <w:r w:rsidRPr="00CD29D0">
              <w:t>0</w:t>
            </w:r>
          </w:p>
        </w:tc>
        <w:tc>
          <w:tcPr>
            <w:tcW w:w="720" w:type="dxa"/>
          </w:tcPr>
          <w:p w14:paraId="1A42DF56" w14:textId="77777777" w:rsidR="00405424" w:rsidRPr="00CD29D0" w:rsidRDefault="00405424" w:rsidP="00A72EBC">
            <w:pPr>
              <w:pStyle w:val="TableTextCentered"/>
            </w:pPr>
            <w:r w:rsidRPr="00CD29D0">
              <w:t>3</w:t>
            </w:r>
          </w:p>
        </w:tc>
        <w:tc>
          <w:tcPr>
            <w:tcW w:w="720" w:type="dxa"/>
          </w:tcPr>
          <w:p w14:paraId="127EB54B" w14:textId="77777777" w:rsidR="00405424" w:rsidRPr="00CD29D0" w:rsidRDefault="00405424" w:rsidP="00A72EBC">
            <w:pPr>
              <w:pStyle w:val="TableTextCentered"/>
            </w:pPr>
            <w:r w:rsidRPr="00CD29D0">
              <w:t>3</w:t>
            </w:r>
          </w:p>
        </w:tc>
        <w:tc>
          <w:tcPr>
            <w:tcW w:w="720" w:type="dxa"/>
          </w:tcPr>
          <w:p w14:paraId="21FDC9ED" w14:textId="77777777" w:rsidR="00405424" w:rsidRPr="00CD29D0" w:rsidRDefault="00405424" w:rsidP="00A72EBC">
            <w:pPr>
              <w:pStyle w:val="TableTextCentered"/>
            </w:pPr>
            <w:r w:rsidRPr="00CD29D0">
              <w:t>11</w:t>
            </w:r>
          </w:p>
        </w:tc>
        <w:tc>
          <w:tcPr>
            <w:tcW w:w="720" w:type="dxa"/>
          </w:tcPr>
          <w:p w14:paraId="20384E1C" w14:textId="77777777" w:rsidR="00405424" w:rsidRPr="00CD29D0" w:rsidRDefault="00405424" w:rsidP="00A72EBC">
            <w:pPr>
              <w:pStyle w:val="TableTextCentered"/>
            </w:pPr>
            <w:r w:rsidRPr="00CD29D0">
              <w:t>10</w:t>
            </w:r>
          </w:p>
        </w:tc>
        <w:tc>
          <w:tcPr>
            <w:tcW w:w="720" w:type="dxa"/>
          </w:tcPr>
          <w:p w14:paraId="2B1946D0" w14:textId="77777777" w:rsidR="00405424" w:rsidRPr="00CD29D0" w:rsidRDefault="00405424" w:rsidP="00A72EBC">
            <w:pPr>
              <w:pStyle w:val="TableTextCentered"/>
            </w:pPr>
            <w:r w:rsidRPr="00CD29D0">
              <w:t>6</w:t>
            </w:r>
          </w:p>
        </w:tc>
        <w:tc>
          <w:tcPr>
            <w:tcW w:w="533" w:type="dxa"/>
          </w:tcPr>
          <w:p w14:paraId="03BE6DB6" w14:textId="77777777" w:rsidR="00405424" w:rsidRPr="00CD29D0" w:rsidRDefault="00405424" w:rsidP="00A72EBC">
            <w:pPr>
              <w:pStyle w:val="TableTextCentered"/>
            </w:pPr>
            <w:r w:rsidRPr="00CD29D0">
              <w:t>33</w:t>
            </w:r>
          </w:p>
        </w:tc>
        <w:tc>
          <w:tcPr>
            <w:tcW w:w="907" w:type="dxa"/>
          </w:tcPr>
          <w:p w14:paraId="3B8391EB" w14:textId="77777777" w:rsidR="00405424" w:rsidRPr="00CD29D0" w:rsidRDefault="00405424" w:rsidP="00A72EBC">
            <w:pPr>
              <w:pStyle w:val="TableTextCentered"/>
            </w:pPr>
            <w:r w:rsidRPr="00CD29D0">
              <w:t>5.4</w:t>
            </w:r>
          </w:p>
        </w:tc>
      </w:tr>
      <w:tr w:rsidR="00405424" w:rsidRPr="00CD29D0" w14:paraId="0D8439FB" w14:textId="77777777" w:rsidTr="00741CD7">
        <w:tc>
          <w:tcPr>
            <w:tcW w:w="3238" w:type="dxa"/>
            <w:tcMar>
              <w:right w:w="29" w:type="dxa"/>
            </w:tcMar>
          </w:tcPr>
          <w:p w14:paraId="2A4B2534" w14:textId="77777777" w:rsidR="00405424" w:rsidRPr="00CD29D0" w:rsidRDefault="00405424" w:rsidP="00A72EBC">
            <w:pPr>
              <w:pStyle w:val="TableText"/>
              <w:rPr>
                <w:b/>
                <w:bCs/>
                <w:szCs w:val="20"/>
              </w:rPr>
            </w:pPr>
            <w:r w:rsidRPr="00CD29D0">
              <w:rPr>
                <w:b/>
                <w:bCs/>
              </w:rPr>
              <w:t>Instructional Support Domain</w:t>
            </w:r>
          </w:p>
        </w:tc>
        <w:tc>
          <w:tcPr>
            <w:tcW w:w="720" w:type="dxa"/>
          </w:tcPr>
          <w:p w14:paraId="1FDF06BF" w14:textId="77777777" w:rsidR="00405424" w:rsidRPr="00CD29D0" w:rsidRDefault="00405424" w:rsidP="00A72EBC">
            <w:pPr>
              <w:pStyle w:val="TableTextCentered"/>
              <w:rPr>
                <w:b/>
                <w:bCs/>
              </w:rPr>
            </w:pPr>
            <w:r w:rsidRPr="00CD29D0">
              <w:rPr>
                <w:b/>
                <w:bCs/>
              </w:rPr>
              <w:t>3</w:t>
            </w:r>
          </w:p>
        </w:tc>
        <w:tc>
          <w:tcPr>
            <w:tcW w:w="720" w:type="dxa"/>
          </w:tcPr>
          <w:p w14:paraId="4A129278" w14:textId="77777777" w:rsidR="00405424" w:rsidRPr="00CD29D0" w:rsidRDefault="00405424" w:rsidP="00A72EBC">
            <w:pPr>
              <w:pStyle w:val="TableTextCentered"/>
              <w:rPr>
                <w:b/>
                <w:bCs/>
              </w:rPr>
            </w:pPr>
            <w:r w:rsidRPr="00CD29D0">
              <w:rPr>
                <w:b/>
                <w:bCs/>
              </w:rPr>
              <w:t>19</w:t>
            </w:r>
          </w:p>
        </w:tc>
        <w:tc>
          <w:tcPr>
            <w:tcW w:w="720" w:type="dxa"/>
          </w:tcPr>
          <w:p w14:paraId="4589F191" w14:textId="77777777" w:rsidR="00405424" w:rsidRPr="00CD29D0" w:rsidRDefault="00405424" w:rsidP="00A72EBC">
            <w:pPr>
              <w:pStyle w:val="TableTextCentered"/>
              <w:rPr>
                <w:b/>
                <w:bCs/>
              </w:rPr>
            </w:pPr>
            <w:r w:rsidRPr="00CD29D0">
              <w:rPr>
                <w:b/>
                <w:bCs/>
              </w:rPr>
              <w:t>29</w:t>
            </w:r>
          </w:p>
        </w:tc>
        <w:tc>
          <w:tcPr>
            <w:tcW w:w="720" w:type="dxa"/>
          </w:tcPr>
          <w:p w14:paraId="580517B3" w14:textId="77777777" w:rsidR="00405424" w:rsidRPr="00CD29D0" w:rsidRDefault="00405424" w:rsidP="00A72EBC">
            <w:pPr>
              <w:pStyle w:val="TableTextCentered"/>
              <w:rPr>
                <w:b/>
                <w:bCs/>
              </w:rPr>
            </w:pPr>
            <w:r w:rsidRPr="00CD29D0">
              <w:rPr>
                <w:b/>
                <w:bCs/>
              </w:rPr>
              <w:t>34</w:t>
            </w:r>
          </w:p>
        </w:tc>
        <w:tc>
          <w:tcPr>
            <w:tcW w:w="720" w:type="dxa"/>
          </w:tcPr>
          <w:p w14:paraId="566B0791" w14:textId="77777777" w:rsidR="00405424" w:rsidRPr="00CD29D0" w:rsidRDefault="00405424" w:rsidP="00A72EBC">
            <w:pPr>
              <w:pStyle w:val="TableTextCentered"/>
              <w:rPr>
                <w:b/>
                <w:bCs/>
              </w:rPr>
            </w:pPr>
            <w:r w:rsidRPr="00CD29D0">
              <w:rPr>
                <w:b/>
                <w:bCs/>
              </w:rPr>
              <w:t>16</w:t>
            </w:r>
          </w:p>
        </w:tc>
        <w:tc>
          <w:tcPr>
            <w:tcW w:w="720" w:type="dxa"/>
          </w:tcPr>
          <w:p w14:paraId="630E21D6" w14:textId="77777777" w:rsidR="00405424" w:rsidRPr="00CD29D0" w:rsidRDefault="00405424" w:rsidP="00A72EBC">
            <w:pPr>
              <w:pStyle w:val="TableTextCentered"/>
              <w:rPr>
                <w:b/>
                <w:bCs/>
              </w:rPr>
            </w:pPr>
            <w:r w:rsidRPr="00CD29D0">
              <w:rPr>
                <w:b/>
                <w:bCs/>
              </w:rPr>
              <w:t>8</w:t>
            </w:r>
          </w:p>
        </w:tc>
        <w:tc>
          <w:tcPr>
            <w:tcW w:w="720" w:type="dxa"/>
          </w:tcPr>
          <w:p w14:paraId="3034F89E" w14:textId="77777777" w:rsidR="00405424" w:rsidRPr="00CD29D0" w:rsidRDefault="00405424" w:rsidP="00A72EBC">
            <w:pPr>
              <w:pStyle w:val="TableTextCentered"/>
              <w:rPr>
                <w:b/>
                <w:bCs/>
              </w:rPr>
            </w:pPr>
            <w:r w:rsidRPr="00CD29D0">
              <w:rPr>
                <w:b/>
                <w:bCs/>
              </w:rPr>
              <w:t>0</w:t>
            </w:r>
          </w:p>
        </w:tc>
        <w:tc>
          <w:tcPr>
            <w:tcW w:w="533" w:type="dxa"/>
          </w:tcPr>
          <w:p w14:paraId="7B32921F" w14:textId="77777777" w:rsidR="00405424" w:rsidRPr="00CD29D0" w:rsidRDefault="00405424" w:rsidP="00A72EBC">
            <w:pPr>
              <w:pStyle w:val="TableTextCentered"/>
              <w:rPr>
                <w:b/>
                <w:bCs/>
              </w:rPr>
            </w:pPr>
            <w:r w:rsidRPr="00CD29D0">
              <w:rPr>
                <w:b/>
                <w:bCs/>
              </w:rPr>
              <w:t>109</w:t>
            </w:r>
          </w:p>
        </w:tc>
        <w:tc>
          <w:tcPr>
            <w:tcW w:w="907" w:type="dxa"/>
          </w:tcPr>
          <w:p w14:paraId="5E1CAF76" w14:textId="77777777" w:rsidR="00405424" w:rsidRPr="00CD29D0" w:rsidRDefault="00405424" w:rsidP="00A72EBC">
            <w:pPr>
              <w:pStyle w:val="TableTextCentered"/>
              <w:rPr>
                <w:b/>
                <w:bCs/>
              </w:rPr>
            </w:pPr>
            <w:r w:rsidRPr="00CD29D0">
              <w:rPr>
                <w:b/>
                <w:bCs/>
              </w:rPr>
              <w:t>3.6</w:t>
            </w:r>
          </w:p>
        </w:tc>
      </w:tr>
      <w:tr w:rsidR="00405424" w:rsidRPr="00CD29D0" w14:paraId="760A1F0E"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24B10C2E" w14:textId="77777777" w:rsidR="00405424" w:rsidRPr="00CD29D0" w:rsidRDefault="00405424" w:rsidP="00A72EBC">
            <w:pPr>
              <w:pStyle w:val="TableText"/>
              <w:ind w:left="202"/>
            </w:pPr>
            <w:r w:rsidRPr="00CD29D0">
              <w:t>Concept Development (PK-3 only)</w:t>
            </w:r>
          </w:p>
        </w:tc>
        <w:tc>
          <w:tcPr>
            <w:tcW w:w="720" w:type="dxa"/>
          </w:tcPr>
          <w:p w14:paraId="372D0AD1" w14:textId="77777777" w:rsidR="00405424" w:rsidRPr="00CD29D0" w:rsidRDefault="00405424" w:rsidP="00A72EBC">
            <w:pPr>
              <w:pStyle w:val="TableTextCentered"/>
            </w:pPr>
            <w:r w:rsidRPr="00CD29D0">
              <w:t>0</w:t>
            </w:r>
          </w:p>
        </w:tc>
        <w:tc>
          <w:tcPr>
            <w:tcW w:w="720" w:type="dxa"/>
          </w:tcPr>
          <w:p w14:paraId="5604C00D" w14:textId="77777777" w:rsidR="00405424" w:rsidRPr="00CD29D0" w:rsidRDefault="00405424" w:rsidP="00A72EBC">
            <w:pPr>
              <w:pStyle w:val="TableTextCentered"/>
            </w:pPr>
            <w:r w:rsidRPr="00CD29D0">
              <w:t>5</w:t>
            </w:r>
          </w:p>
        </w:tc>
        <w:tc>
          <w:tcPr>
            <w:tcW w:w="720" w:type="dxa"/>
          </w:tcPr>
          <w:p w14:paraId="0F48A18B" w14:textId="77777777" w:rsidR="00405424" w:rsidRPr="00CD29D0" w:rsidRDefault="00405424" w:rsidP="00A72EBC">
            <w:pPr>
              <w:pStyle w:val="TableTextCentered"/>
            </w:pPr>
            <w:r w:rsidRPr="00CD29D0">
              <w:t>6</w:t>
            </w:r>
          </w:p>
        </w:tc>
        <w:tc>
          <w:tcPr>
            <w:tcW w:w="720" w:type="dxa"/>
          </w:tcPr>
          <w:p w14:paraId="706A1DC5" w14:textId="77777777" w:rsidR="00405424" w:rsidRPr="00CD29D0" w:rsidRDefault="00405424" w:rsidP="00A72EBC">
            <w:pPr>
              <w:pStyle w:val="TableTextCentered"/>
            </w:pPr>
            <w:r w:rsidRPr="00CD29D0">
              <w:t>6</w:t>
            </w:r>
          </w:p>
        </w:tc>
        <w:tc>
          <w:tcPr>
            <w:tcW w:w="720" w:type="dxa"/>
          </w:tcPr>
          <w:p w14:paraId="32050B53" w14:textId="77777777" w:rsidR="00405424" w:rsidRPr="00CD29D0" w:rsidRDefault="00405424" w:rsidP="00A72EBC">
            <w:pPr>
              <w:pStyle w:val="TableTextCentered"/>
            </w:pPr>
            <w:r w:rsidRPr="00CD29D0">
              <w:t>1</w:t>
            </w:r>
          </w:p>
        </w:tc>
        <w:tc>
          <w:tcPr>
            <w:tcW w:w="720" w:type="dxa"/>
          </w:tcPr>
          <w:p w14:paraId="06903344" w14:textId="77777777" w:rsidR="00405424" w:rsidRPr="00CD29D0" w:rsidRDefault="00405424" w:rsidP="00A72EBC">
            <w:pPr>
              <w:pStyle w:val="TableTextCentered"/>
            </w:pPr>
            <w:r w:rsidRPr="00CD29D0">
              <w:t>5</w:t>
            </w:r>
          </w:p>
        </w:tc>
        <w:tc>
          <w:tcPr>
            <w:tcW w:w="720" w:type="dxa"/>
          </w:tcPr>
          <w:p w14:paraId="650B6F73" w14:textId="77777777" w:rsidR="00405424" w:rsidRPr="00CD29D0" w:rsidRDefault="00405424" w:rsidP="00A72EBC">
            <w:pPr>
              <w:pStyle w:val="TableTextCentered"/>
            </w:pPr>
            <w:r w:rsidRPr="00CD29D0">
              <w:t>0</w:t>
            </w:r>
          </w:p>
        </w:tc>
        <w:tc>
          <w:tcPr>
            <w:tcW w:w="533" w:type="dxa"/>
          </w:tcPr>
          <w:p w14:paraId="02BF6E04" w14:textId="77777777" w:rsidR="00405424" w:rsidRPr="00CD29D0" w:rsidRDefault="00405424" w:rsidP="00A72EBC">
            <w:pPr>
              <w:pStyle w:val="TableTextCentered"/>
            </w:pPr>
            <w:r w:rsidRPr="00CD29D0">
              <w:t>23</w:t>
            </w:r>
          </w:p>
        </w:tc>
        <w:tc>
          <w:tcPr>
            <w:tcW w:w="907" w:type="dxa"/>
          </w:tcPr>
          <w:p w14:paraId="04EC3DC3" w14:textId="77777777" w:rsidR="00405424" w:rsidRPr="00CD29D0" w:rsidRDefault="00405424" w:rsidP="00A72EBC">
            <w:pPr>
              <w:pStyle w:val="TableTextCentered"/>
            </w:pPr>
            <w:r w:rsidRPr="00CD29D0">
              <w:t>3.8</w:t>
            </w:r>
          </w:p>
        </w:tc>
      </w:tr>
      <w:tr w:rsidR="00405424" w:rsidRPr="00CD29D0" w14:paraId="2CD24D22" w14:textId="77777777" w:rsidTr="00741CD7">
        <w:tc>
          <w:tcPr>
            <w:tcW w:w="3238" w:type="dxa"/>
            <w:tcMar>
              <w:right w:w="29" w:type="dxa"/>
            </w:tcMar>
          </w:tcPr>
          <w:p w14:paraId="7D565C47" w14:textId="77777777" w:rsidR="00405424" w:rsidRPr="00CD29D0" w:rsidRDefault="00405424" w:rsidP="00A72EBC">
            <w:pPr>
              <w:pStyle w:val="TableText"/>
              <w:ind w:left="202"/>
            </w:pPr>
            <w:r w:rsidRPr="00CD29D0">
              <w:t>Content Understanding (UE only)</w:t>
            </w:r>
          </w:p>
        </w:tc>
        <w:tc>
          <w:tcPr>
            <w:tcW w:w="720" w:type="dxa"/>
          </w:tcPr>
          <w:p w14:paraId="751EF89D" w14:textId="77777777" w:rsidR="00405424" w:rsidRPr="00CD29D0" w:rsidRDefault="00405424" w:rsidP="00A72EBC">
            <w:pPr>
              <w:pStyle w:val="TableTextCentered"/>
            </w:pPr>
            <w:r w:rsidRPr="00CD29D0">
              <w:t>0</w:t>
            </w:r>
          </w:p>
        </w:tc>
        <w:tc>
          <w:tcPr>
            <w:tcW w:w="720" w:type="dxa"/>
          </w:tcPr>
          <w:p w14:paraId="4034A3BC" w14:textId="77777777" w:rsidR="00405424" w:rsidRPr="00CD29D0" w:rsidRDefault="00405424" w:rsidP="00A72EBC">
            <w:pPr>
              <w:pStyle w:val="TableTextCentered"/>
            </w:pPr>
            <w:r w:rsidRPr="00CD29D0">
              <w:t>0</w:t>
            </w:r>
          </w:p>
        </w:tc>
        <w:tc>
          <w:tcPr>
            <w:tcW w:w="720" w:type="dxa"/>
          </w:tcPr>
          <w:p w14:paraId="3E7A3126" w14:textId="77777777" w:rsidR="00405424" w:rsidRPr="00CD29D0" w:rsidRDefault="00405424" w:rsidP="00A72EBC">
            <w:pPr>
              <w:pStyle w:val="TableTextCentered"/>
            </w:pPr>
            <w:r w:rsidRPr="00CD29D0">
              <w:t>0</w:t>
            </w:r>
          </w:p>
        </w:tc>
        <w:tc>
          <w:tcPr>
            <w:tcW w:w="720" w:type="dxa"/>
          </w:tcPr>
          <w:p w14:paraId="70BC4E14" w14:textId="77777777" w:rsidR="00405424" w:rsidRPr="00CD29D0" w:rsidRDefault="00405424" w:rsidP="00A72EBC">
            <w:pPr>
              <w:pStyle w:val="TableTextCentered"/>
            </w:pPr>
            <w:r w:rsidRPr="00CD29D0">
              <w:t>7</w:t>
            </w:r>
          </w:p>
        </w:tc>
        <w:tc>
          <w:tcPr>
            <w:tcW w:w="720" w:type="dxa"/>
          </w:tcPr>
          <w:p w14:paraId="030C35DA" w14:textId="77777777" w:rsidR="00405424" w:rsidRPr="00CD29D0" w:rsidRDefault="00405424" w:rsidP="00A72EBC">
            <w:pPr>
              <w:pStyle w:val="TableTextCentered"/>
            </w:pPr>
            <w:r w:rsidRPr="00CD29D0">
              <w:t>3</w:t>
            </w:r>
          </w:p>
        </w:tc>
        <w:tc>
          <w:tcPr>
            <w:tcW w:w="720" w:type="dxa"/>
          </w:tcPr>
          <w:p w14:paraId="067AA4EB" w14:textId="77777777" w:rsidR="00405424" w:rsidRPr="00CD29D0" w:rsidRDefault="00405424" w:rsidP="00A72EBC">
            <w:pPr>
              <w:pStyle w:val="TableTextCentered"/>
            </w:pPr>
            <w:r w:rsidRPr="00CD29D0">
              <w:t>0</w:t>
            </w:r>
          </w:p>
        </w:tc>
        <w:tc>
          <w:tcPr>
            <w:tcW w:w="720" w:type="dxa"/>
          </w:tcPr>
          <w:p w14:paraId="2A15921B" w14:textId="77777777" w:rsidR="00405424" w:rsidRPr="00CD29D0" w:rsidRDefault="00405424" w:rsidP="00A72EBC">
            <w:pPr>
              <w:pStyle w:val="TableTextCentered"/>
            </w:pPr>
            <w:r w:rsidRPr="00CD29D0">
              <w:t>0</w:t>
            </w:r>
          </w:p>
        </w:tc>
        <w:tc>
          <w:tcPr>
            <w:tcW w:w="533" w:type="dxa"/>
          </w:tcPr>
          <w:p w14:paraId="1892F243" w14:textId="77777777" w:rsidR="00405424" w:rsidRPr="00CD29D0" w:rsidRDefault="00405424" w:rsidP="00A72EBC">
            <w:pPr>
              <w:pStyle w:val="TableTextCentered"/>
            </w:pPr>
            <w:r w:rsidRPr="00CD29D0">
              <w:t>10</w:t>
            </w:r>
          </w:p>
        </w:tc>
        <w:tc>
          <w:tcPr>
            <w:tcW w:w="907" w:type="dxa"/>
          </w:tcPr>
          <w:p w14:paraId="5864C479" w14:textId="77777777" w:rsidR="00405424" w:rsidRPr="00CD29D0" w:rsidRDefault="00405424" w:rsidP="00A72EBC">
            <w:pPr>
              <w:pStyle w:val="TableTextCentered"/>
            </w:pPr>
            <w:r w:rsidRPr="00CD29D0">
              <w:t>4.3</w:t>
            </w:r>
          </w:p>
        </w:tc>
      </w:tr>
      <w:tr w:rsidR="00405424" w:rsidRPr="00CD29D0" w14:paraId="62D9A1A2"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1AE5D431" w14:textId="77777777" w:rsidR="00405424" w:rsidRPr="00CD29D0" w:rsidRDefault="00405424" w:rsidP="00A72EBC">
            <w:pPr>
              <w:pStyle w:val="TableText"/>
              <w:ind w:left="202"/>
            </w:pPr>
            <w:r w:rsidRPr="00CD29D0">
              <w:t>Analysis and Inquiry (UE only)</w:t>
            </w:r>
          </w:p>
        </w:tc>
        <w:tc>
          <w:tcPr>
            <w:tcW w:w="720" w:type="dxa"/>
          </w:tcPr>
          <w:p w14:paraId="7E0A102C" w14:textId="77777777" w:rsidR="00405424" w:rsidRPr="00CD29D0" w:rsidRDefault="00405424" w:rsidP="00A72EBC">
            <w:pPr>
              <w:pStyle w:val="TableTextCentered"/>
            </w:pPr>
            <w:r w:rsidRPr="00CD29D0">
              <w:t>2</w:t>
            </w:r>
          </w:p>
        </w:tc>
        <w:tc>
          <w:tcPr>
            <w:tcW w:w="720" w:type="dxa"/>
          </w:tcPr>
          <w:p w14:paraId="631B66E9" w14:textId="77777777" w:rsidR="00405424" w:rsidRPr="00CD29D0" w:rsidRDefault="00405424" w:rsidP="00A72EBC">
            <w:pPr>
              <w:pStyle w:val="TableTextCentered"/>
            </w:pPr>
            <w:r w:rsidRPr="00CD29D0">
              <w:t>2</w:t>
            </w:r>
          </w:p>
        </w:tc>
        <w:tc>
          <w:tcPr>
            <w:tcW w:w="720" w:type="dxa"/>
          </w:tcPr>
          <w:p w14:paraId="2D47ED76" w14:textId="77777777" w:rsidR="00405424" w:rsidRPr="00CD29D0" w:rsidRDefault="00405424" w:rsidP="00A72EBC">
            <w:pPr>
              <w:pStyle w:val="TableTextCentered"/>
            </w:pPr>
            <w:r w:rsidRPr="00CD29D0">
              <w:t>2</w:t>
            </w:r>
          </w:p>
        </w:tc>
        <w:tc>
          <w:tcPr>
            <w:tcW w:w="720" w:type="dxa"/>
          </w:tcPr>
          <w:p w14:paraId="3B6D8229" w14:textId="77777777" w:rsidR="00405424" w:rsidRPr="00CD29D0" w:rsidRDefault="00405424" w:rsidP="00A72EBC">
            <w:pPr>
              <w:pStyle w:val="TableTextCentered"/>
            </w:pPr>
            <w:r w:rsidRPr="00CD29D0">
              <w:t>3</w:t>
            </w:r>
          </w:p>
        </w:tc>
        <w:tc>
          <w:tcPr>
            <w:tcW w:w="720" w:type="dxa"/>
          </w:tcPr>
          <w:p w14:paraId="732744DE" w14:textId="77777777" w:rsidR="00405424" w:rsidRPr="00CD29D0" w:rsidRDefault="00405424" w:rsidP="00A72EBC">
            <w:pPr>
              <w:pStyle w:val="TableTextCentered"/>
            </w:pPr>
            <w:r w:rsidRPr="00CD29D0">
              <w:t>1</w:t>
            </w:r>
          </w:p>
        </w:tc>
        <w:tc>
          <w:tcPr>
            <w:tcW w:w="720" w:type="dxa"/>
          </w:tcPr>
          <w:p w14:paraId="448A0105" w14:textId="77777777" w:rsidR="00405424" w:rsidRPr="00CD29D0" w:rsidRDefault="00405424" w:rsidP="00A72EBC">
            <w:pPr>
              <w:pStyle w:val="TableTextCentered"/>
            </w:pPr>
            <w:r w:rsidRPr="00CD29D0">
              <w:t>0</w:t>
            </w:r>
          </w:p>
        </w:tc>
        <w:tc>
          <w:tcPr>
            <w:tcW w:w="720" w:type="dxa"/>
          </w:tcPr>
          <w:p w14:paraId="7D55E6C4" w14:textId="77777777" w:rsidR="00405424" w:rsidRPr="00CD29D0" w:rsidRDefault="00405424" w:rsidP="00A72EBC">
            <w:pPr>
              <w:pStyle w:val="TableTextCentered"/>
            </w:pPr>
            <w:r w:rsidRPr="00CD29D0">
              <w:t>0</w:t>
            </w:r>
          </w:p>
        </w:tc>
        <w:tc>
          <w:tcPr>
            <w:tcW w:w="533" w:type="dxa"/>
          </w:tcPr>
          <w:p w14:paraId="6382F81E" w14:textId="77777777" w:rsidR="00405424" w:rsidRPr="00CD29D0" w:rsidRDefault="00405424" w:rsidP="00A72EBC">
            <w:pPr>
              <w:pStyle w:val="TableTextCentered"/>
            </w:pPr>
            <w:r w:rsidRPr="00CD29D0">
              <w:t>10</w:t>
            </w:r>
          </w:p>
        </w:tc>
        <w:tc>
          <w:tcPr>
            <w:tcW w:w="907" w:type="dxa"/>
          </w:tcPr>
          <w:p w14:paraId="32758E1C" w14:textId="77777777" w:rsidR="00405424" w:rsidRPr="00CD29D0" w:rsidRDefault="00405424" w:rsidP="00A72EBC">
            <w:pPr>
              <w:pStyle w:val="TableTextCentered"/>
            </w:pPr>
            <w:r w:rsidRPr="00CD29D0">
              <w:t>2.9</w:t>
            </w:r>
          </w:p>
        </w:tc>
      </w:tr>
      <w:tr w:rsidR="00405424" w:rsidRPr="00CD29D0" w14:paraId="5D9A5011" w14:textId="77777777" w:rsidTr="00741CD7">
        <w:tc>
          <w:tcPr>
            <w:tcW w:w="3238" w:type="dxa"/>
            <w:tcMar>
              <w:right w:w="29" w:type="dxa"/>
            </w:tcMar>
          </w:tcPr>
          <w:p w14:paraId="521ABF68" w14:textId="77777777" w:rsidR="00405424" w:rsidRPr="00CD29D0" w:rsidRDefault="00405424" w:rsidP="00A72EBC">
            <w:pPr>
              <w:pStyle w:val="TableText"/>
              <w:ind w:left="202"/>
            </w:pPr>
            <w:r w:rsidRPr="00CD29D0">
              <w:t>Quality of Feedback</w:t>
            </w:r>
          </w:p>
        </w:tc>
        <w:tc>
          <w:tcPr>
            <w:tcW w:w="720" w:type="dxa"/>
          </w:tcPr>
          <w:p w14:paraId="672DE6C6" w14:textId="77777777" w:rsidR="00405424" w:rsidRPr="00CD29D0" w:rsidRDefault="00405424" w:rsidP="00A72EBC">
            <w:pPr>
              <w:pStyle w:val="TableTextCentered"/>
            </w:pPr>
            <w:r w:rsidRPr="00CD29D0">
              <w:t>0</w:t>
            </w:r>
          </w:p>
        </w:tc>
        <w:tc>
          <w:tcPr>
            <w:tcW w:w="720" w:type="dxa"/>
          </w:tcPr>
          <w:p w14:paraId="66FB2CA5" w14:textId="77777777" w:rsidR="00405424" w:rsidRPr="00CD29D0" w:rsidRDefault="00405424" w:rsidP="00A72EBC">
            <w:pPr>
              <w:pStyle w:val="TableTextCentered"/>
            </w:pPr>
            <w:r w:rsidRPr="00CD29D0">
              <w:t>5</w:t>
            </w:r>
          </w:p>
        </w:tc>
        <w:tc>
          <w:tcPr>
            <w:tcW w:w="720" w:type="dxa"/>
          </w:tcPr>
          <w:p w14:paraId="4CEC934D" w14:textId="77777777" w:rsidR="00405424" w:rsidRPr="00CD29D0" w:rsidRDefault="00405424" w:rsidP="00A72EBC">
            <w:pPr>
              <w:pStyle w:val="TableTextCentered"/>
            </w:pPr>
            <w:r w:rsidRPr="00CD29D0">
              <w:t>14</w:t>
            </w:r>
          </w:p>
        </w:tc>
        <w:tc>
          <w:tcPr>
            <w:tcW w:w="720" w:type="dxa"/>
          </w:tcPr>
          <w:p w14:paraId="2ADBD740" w14:textId="77777777" w:rsidR="00405424" w:rsidRPr="00CD29D0" w:rsidRDefault="00405424" w:rsidP="00A72EBC">
            <w:pPr>
              <w:pStyle w:val="TableTextCentered"/>
            </w:pPr>
            <w:r w:rsidRPr="00CD29D0">
              <w:t>10</w:t>
            </w:r>
          </w:p>
        </w:tc>
        <w:tc>
          <w:tcPr>
            <w:tcW w:w="720" w:type="dxa"/>
          </w:tcPr>
          <w:p w14:paraId="4EDD89C4" w14:textId="77777777" w:rsidR="00405424" w:rsidRPr="00CD29D0" w:rsidRDefault="00405424" w:rsidP="00A72EBC">
            <w:pPr>
              <w:pStyle w:val="TableTextCentered"/>
            </w:pPr>
            <w:r w:rsidRPr="00CD29D0">
              <w:t>2</w:t>
            </w:r>
          </w:p>
        </w:tc>
        <w:tc>
          <w:tcPr>
            <w:tcW w:w="720" w:type="dxa"/>
          </w:tcPr>
          <w:p w14:paraId="23FB040A" w14:textId="77777777" w:rsidR="00405424" w:rsidRPr="00CD29D0" w:rsidRDefault="00405424" w:rsidP="00A72EBC">
            <w:pPr>
              <w:pStyle w:val="TableTextCentered"/>
            </w:pPr>
            <w:r w:rsidRPr="00CD29D0">
              <w:t>2</w:t>
            </w:r>
          </w:p>
        </w:tc>
        <w:tc>
          <w:tcPr>
            <w:tcW w:w="720" w:type="dxa"/>
          </w:tcPr>
          <w:p w14:paraId="6FD6B352" w14:textId="77777777" w:rsidR="00405424" w:rsidRPr="00CD29D0" w:rsidRDefault="00405424" w:rsidP="00A72EBC">
            <w:pPr>
              <w:pStyle w:val="TableTextCentered"/>
            </w:pPr>
            <w:r w:rsidRPr="00CD29D0">
              <w:t>0</w:t>
            </w:r>
          </w:p>
        </w:tc>
        <w:tc>
          <w:tcPr>
            <w:tcW w:w="533" w:type="dxa"/>
          </w:tcPr>
          <w:p w14:paraId="1AAA39C4" w14:textId="77777777" w:rsidR="00405424" w:rsidRPr="00CD29D0" w:rsidRDefault="00405424" w:rsidP="00A72EBC">
            <w:pPr>
              <w:pStyle w:val="TableTextCentered"/>
            </w:pPr>
            <w:r w:rsidRPr="00CD29D0">
              <w:t>33</w:t>
            </w:r>
          </w:p>
        </w:tc>
        <w:tc>
          <w:tcPr>
            <w:tcW w:w="907" w:type="dxa"/>
          </w:tcPr>
          <w:p w14:paraId="0F76DA1D" w14:textId="77777777" w:rsidR="00405424" w:rsidRPr="00CD29D0" w:rsidRDefault="00405424" w:rsidP="00A72EBC">
            <w:pPr>
              <w:pStyle w:val="TableTextCentered"/>
            </w:pPr>
            <w:r w:rsidRPr="00CD29D0">
              <w:t>3.5</w:t>
            </w:r>
          </w:p>
        </w:tc>
      </w:tr>
      <w:tr w:rsidR="00405424" w:rsidRPr="00CD29D0" w14:paraId="122BA040"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03FE8B99" w14:textId="77777777" w:rsidR="00405424" w:rsidRPr="00CD29D0" w:rsidRDefault="00405424" w:rsidP="00A72EBC">
            <w:pPr>
              <w:pStyle w:val="TableText"/>
              <w:ind w:left="202"/>
            </w:pPr>
            <w:r w:rsidRPr="00CD29D0">
              <w:t>Language Modeling (PK-3 only)</w:t>
            </w:r>
          </w:p>
        </w:tc>
        <w:tc>
          <w:tcPr>
            <w:tcW w:w="720" w:type="dxa"/>
          </w:tcPr>
          <w:p w14:paraId="573E23E1" w14:textId="77777777" w:rsidR="00405424" w:rsidRPr="00CD29D0" w:rsidRDefault="00405424" w:rsidP="00A72EBC">
            <w:pPr>
              <w:pStyle w:val="TableTextCentered"/>
            </w:pPr>
            <w:r w:rsidRPr="00CD29D0">
              <w:t>1</w:t>
            </w:r>
          </w:p>
        </w:tc>
        <w:tc>
          <w:tcPr>
            <w:tcW w:w="720" w:type="dxa"/>
          </w:tcPr>
          <w:p w14:paraId="05F34A88" w14:textId="77777777" w:rsidR="00405424" w:rsidRPr="00CD29D0" w:rsidRDefault="00405424" w:rsidP="00A72EBC">
            <w:pPr>
              <w:pStyle w:val="TableTextCentered"/>
            </w:pPr>
            <w:r w:rsidRPr="00CD29D0">
              <w:t>5</w:t>
            </w:r>
          </w:p>
        </w:tc>
        <w:tc>
          <w:tcPr>
            <w:tcW w:w="720" w:type="dxa"/>
          </w:tcPr>
          <w:p w14:paraId="617EE413" w14:textId="77777777" w:rsidR="00405424" w:rsidRPr="00CD29D0" w:rsidRDefault="00405424" w:rsidP="00A72EBC">
            <w:pPr>
              <w:pStyle w:val="TableTextCentered"/>
            </w:pPr>
            <w:r w:rsidRPr="00CD29D0">
              <w:t>3</w:t>
            </w:r>
          </w:p>
        </w:tc>
        <w:tc>
          <w:tcPr>
            <w:tcW w:w="720" w:type="dxa"/>
          </w:tcPr>
          <w:p w14:paraId="5C008E3C" w14:textId="77777777" w:rsidR="00405424" w:rsidRPr="00CD29D0" w:rsidRDefault="00405424" w:rsidP="00A72EBC">
            <w:pPr>
              <w:pStyle w:val="TableTextCentered"/>
            </w:pPr>
            <w:r w:rsidRPr="00CD29D0">
              <w:t>7</w:t>
            </w:r>
          </w:p>
        </w:tc>
        <w:tc>
          <w:tcPr>
            <w:tcW w:w="720" w:type="dxa"/>
          </w:tcPr>
          <w:p w14:paraId="1C5D6BC4" w14:textId="77777777" w:rsidR="00405424" w:rsidRPr="00CD29D0" w:rsidRDefault="00405424" w:rsidP="00A72EBC">
            <w:pPr>
              <w:pStyle w:val="TableTextCentered"/>
            </w:pPr>
            <w:r w:rsidRPr="00CD29D0">
              <w:t>6</w:t>
            </w:r>
          </w:p>
        </w:tc>
        <w:tc>
          <w:tcPr>
            <w:tcW w:w="720" w:type="dxa"/>
          </w:tcPr>
          <w:p w14:paraId="46FBFB1F" w14:textId="77777777" w:rsidR="00405424" w:rsidRPr="00CD29D0" w:rsidRDefault="00405424" w:rsidP="00A72EBC">
            <w:pPr>
              <w:pStyle w:val="TableTextCentered"/>
            </w:pPr>
            <w:r w:rsidRPr="00CD29D0">
              <w:t>1</w:t>
            </w:r>
          </w:p>
        </w:tc>
        <w:tc>
          <w:tcPr>
            <w:tcW w:w="720" w:type="dxa"/>
          </w:tcPr>
          <w:p w14:paraId="4BDDA196" w14:textId="77777777" w:rsidR="00405424" w:rsidRPr="00CD29D0" w:rsidRDefault="00405424" w:rsidP="00A72EBC">
            <w:pPr>
              <w:pStyle w:val="TableTextCentered"/>
            </w:pPr>
            <w:r w:rsidRPr="00CD29D0">
              <w:t>0</w:t>
            </w:r>
          </w:p>
        </w:tc>
        <w:tc>
          <w:tcPr>
            <w:tcW w:w="533" w:type="dxa"/>
          </w:tcPr>
          <w:p w14:paraId="108CE2B8" w14:textId="77777777" w:rsidR="00405424" w:rsidRPr="00CD29D0" w:rsidRDefault="00405424" w:rsidP="00A72EBC">
            <w:pPr>
              <w:pStyle w:val="TableTextCentered"/>
            </w:pPr>
            <w:r w:rsidRPr="00CD29D0">
              <w:t>23</w:t>
            </w:r>
          </w:p>
        </w:tc>
        <w:tc>
          <w:tcPr>
            <w:tcW w:w="907" w:type="dxa"/>
          </w:tcPr>
          <w:p w14:paraId="07E25D8D" w14:textId="77777777" w:rsidR="00405424" w:rsidRPr="00CD29D0" w:rsidRDefault="00405424" w:rsidP="00A72EBC">
            <w:pPr>
              <w:pStyle w:val="TableTextCentered"/>
            </w:pPr>
            <w:r w:rsidRPr="00CD29D0">
              <w:t>3.7</w:t>
            </w:r>
          </w:p>
        </w:tc>
      </w:tr>
      <w:tr w:rsidR="00405424" w:rsidRPr="00CD29D0" w14:paraId="7725DB60" w14:textId="77777777" w:rsidTr="00741CD7">
        <w:tc>
          <w:tcPr>
            <w:tcW w:w="3238" w:type="dxa"/>
            <w:tcMar>
              <w:right w:w="29" w:type="dxa"/>
            </w:tcMar>
          </w:tcPr>
          <w:p w14:paraId="2EAF694E" w14:textId="77777777" w:rsidR="00405424" w:rsidRPr="00CD29D0" w:rsidRDefault="00405424" w:rsidP="00A72EBC">
            <w:pPr>
              <w:pStyle w:val="TableText"/>
              <w:ind w:left="202"/>
            </w:pPr>
            <w:r w:rsidRPr="00CD29D0">
              <w:t>Instructional Dialogue (UE only)</w:t>
            </w:r>
          </w:p>
        </w:tc>
        <w:tc>
          <w:tcPr>
            <w:tcW w:w="720" w:type="dxa"/>
          </w:tcPr>
          <w:p w14:paraId="1A6795B4" w14:textId="77777777" w:rsidR="00405424" w:rsidRPr="00CD29D0" w:rsidRDefault="00405424" w:rsidP="00A72EBC">
            <w:pPr>
              <w:pStyle w:val="TableTextCentered"/>
            </w:pPr>
            <w:r w:rsidRPr="00CD29D0">
              <w:t>0</w:t>
            </w:r>
          </w:p>
        </w:tc>
        <w:tc>
          <w:tcPr>
            <w:tcW w:w="720" w:type="dxa"/>
          </w:tcPr>
          <w:p w14:paraId="12E6CEFE" w14:textId="77777777" w:rsidR="00405424" w:rsidRPr="00CD29D0" w:rsidRDefault="00405424" w:rsidP="00A72EBC">
            <w:pPr>
              <w:pStyle w:val="TableTextCentered"/>
            </w:pPr>
            <w:r w:rsidRPr="00CD29D0">
              <w:t>2</w:t>
            </w:r>
          </w:p>
        </w:tc>
        <w:tc>
          <w:tcPr>
            <w:tcW w:w="720" w:type="dxa"/>
          </w:tcPr>
          <w:p w14:paraId="3B9FAD62" w14:textId="77777777" w:rsidR="00405424" w:rsidRPr="00CD29D0" w:rsidRDefault="00405424" w:rsidP="00A72EBC">
            <w:pPr>
              <w:pStyle w:val="TableTextCentered"/>
            </w:pPr>
            <w:r w:rsidRPr="00CD29D0">
              <w:t>4</w:t>
            </w:r>
          </w:p>
        </w:tc>
        <w:tc>
          <w:tcPr>
            <w:tcW w:w="720" w:type="dxa"/>
          </w:tcPr>
          <w:p w14:paraId="77CB4A89" w14:textId="77777777" w:rsidR="00405424" w:rsidRPr="00CD29D0" w:rsidRDefault="00405424" w:rsidP="00A72EBC">
            <w:pPr>
              <w:pStyle w:val="TableTextCentered"/>
            </w:pPr>
            <w:r w:rsidRPr="00CD29D0">
              <w:t>1</w:t>
            </w:r>
          </w:p>
        </w:tc>
        <w:tc>
          <w:tcPr>
            <w:tcW w:w="720" w:type="dxa"/>
          </w:tcPr>
          <w:p w14:paraId="4CF763FA" w14:textId="77777777" w:rsidR="00405424" w:rsidRPr="00CD29D0" w:rsidRDefault="00405424" w:rsidP="00A72EBC">
            <w:pPr>
              <w:pStyle w:val="TableTextCentered"/>
            </w:pPr>
            <w:r w:rsidRPr="00CD29D0">
              <w:t>3</w:t>
            </w:r>
          </w:p>
        </w:tc>
        <w:tc>
          <w:tcPr>
            <w:tcW w:w="720" w:type="dxa"/>
          </w:tcPr>
          <w:p w14:paraId="49C3518D" w14:textId="77777777" w:rsidR="00405424" w:rsidRPr="00CD29D0" w:rsidRDefault="00405424" w:rsidP="00A72EBC">
            <w:pPr>
              <w:pStyle w:val="TableTextCentered"/>
            </w:pPr>
            <w:r w:rsidRPr="00CD29D0">
              <w:t>0</w:t>
            </w:r>
          </w:p>
        </w:tc>
        <w:tc>
          <w:tcPr>
            <w:tcW w:w="720" w:type="dxa"/>
          </w:tcPr>
          <w:p w14:paraId="651C5EFE" w14:textId="77777777" w:rsidR="00405424" w:rsidRPr="00CD29D0" w:rsidRDefault="00405424" w:rsidP="00A72EBC">
            <w:pPr>
              <w:pStyle w:val="TableTextCentered"/>
            </w:pPr>
            <w:r w:rsidRPr="00CD29D0">
              <w:t>0</w:t>
            </w:r>
          </w:p>
        </w:tc>
        <w:tc>
          <w:tcPr>
            <w:tcW w:w="533" w:type="dxa"/>
          </w:tcPr>
          <w:p w14:paraId="0C752F23" w14:textId="77777777" w:rsidR="00405424" w:rsidRPr="00CD29D0" w:rsidRDefault="00405424" w:rsidP="00A72EBC">
            <w:pPr>
              <w:pStyle w:val="TableTextCentered"/>
            </w:pPr>
            <w:r w:rsidRPr="00CD29D0">
              <w:t>10</w:t>
            </w:r>
          </w:p>
        </w:tc>
        <w:tc>
          <w:tcPr>
            <w:tcW w:w="907" w:type="dxa"/>
          </w:tcPr>
          <w:p w14:paraId="069E04AB" w14:textId="77777777" w:rsidR="00405424" w:rsidRPr="00CD29D0" w:rsidRDefault="00405424" w:rsidP="00A72EBC">
            <w:pPr>
              <w:pStyle w:val="TableTextCentered"/>
            </w:pPr>
            <w:r w:rsidRPr="00CD29D0">
              <w:t>3.5</w:t>
            </w:r>
          </w:p>
        </w:tc>
      </w:tr>
      <w:tr w:rsidR="00405424" w:rsidRPr="00CD29D0" w14:paraId="77AB4B90" w14:textId="77777777" w:rsidTr="00741CD7">
        <w:trPr>
          <w:cnfStyle w:val="000000100000" w:firstRow="0" w:lastRow="0" w:firstColumn="0" w:lastColumn="0" w:oddVBand="0" w:evenVBand="0" w:oddHBand="1" w:evenHBand="0" w:firstRowFirstColumn="0" w:firstRowLastColumn="0" w:lastRowFirstColumn="0" w:lastRowLastColumn="0"/>
        </w:trPr>
        <w:tc>
          <w:tcPr>
            <w:tcW w:w="3238" w:type="dxa"/>
            <w:tcMar>
              <w:right w:w="29" w:type="dxa"/>
            </w:tcMar>
          </w:tcPr>
          <w:p w14:paraId="025DE81E" w14:textId="77777777" w:rsidR="00405424" w:rsidRPr="00CD29D0" w:rsidRDefault="00405424" w:rsidP="00A72EBC">
            <w:pPr>
              <w:pStyle w:val="TableText"/>
              <w:rPr>
                <w:b/>
                <w:bCs/>
              </w:rPr>
            </w:pPr>
            <w:r w:rsidRPr="00CD29D0">
              <w:rPr>
                <w:b/>
                <w:bCs/>
              </w:rPr>
              <w:t>Student Engagement (UE only)</w:t>
            </w:r>
          </w:p>
        </w:tc>
        <w:tc>
          <w:tcPr>
            <w:tcW w:w="720" w:type="dxa"/>
          </w:tcPr>
          <w:p w14:paraId="679E6C49" w14:textId="77777777" w:rsidR="00405424" w:rsidRPr="00CD29D0" w:rsidRDefault="00405424" w:rsidP="00A72EBC">
            <w:pPr>
              <w:pStyle w:val="TableTextCentered"/>
              <w:rPr>
                <w:b/>
                <w:bCs/>
              </w:rPr>
            </w:pPr>
            <w:r w:rsidRPr="00CD29D0">
              <w:rPr>
                <w:b/>
                <w:bCs/>
              </w:rPr>
              <w:t>0</w:t>
            </w:r>
          </w:p>
        </w:tc>
        <w:tc>
          <w:tcPr>
            <w:tcW w:w="720" w:type="dxa"/>
          </w:tcPr>
          <w:p w14:paraId="43AD1EDD" w14:textId="77777777" w:rsidR="00405424" w:rsidRPr="00CD29D0" w:rsidRDefault="00405424" w:rsidP="00A72EBC">
            <w:pPr>
              <w:pStyle w:val="TableTextCentered"/>
              <w:rPr>
                <w:b/>
                <w:bCs/>
              </w:rPr>
            </w:pPr>
            <w:r w:rsidRPr="00CD29D0">
              <w:rPr>
                <w:b/>
                <w:bCs/>
              </w:rPr>
              <w:t>0</w:t>
            </w:r>
          </w:p>
        </w:tc>
        <w:tc>
          <w:tcPr>
            <w:tcW w:w="720" w:type="dxa"/>
          </w:tcPr>
          <w:p w14:paraId="6385D5CE" w14:textId="77777777" w:rsidR="00405424" w:rsidRPr="00CD29D0" w:rsidRDefault="00405424" w:rsidP="00A72EBC">
            <w:pPr>
              <w:pStyle w:val="TableTextCentered"/>
              <w:rPr>
                <w:b/>
                <w:bCs/>
              </w:rPr>
            </w:pPr>
            <w:r w:rsidRPr="00CD29D0">
              <w:rPr>
                <w:b/>
                <w:bCs/>
              </w:rPr>
              <w:t>0</w:t>
            </w:r>
          </w:p>
        </w:tc>
        <w:tc>
          <w:tcPr>
            <w:tcW w:w="720" w:type="dxa"/>
          </w:tcPr>
          <w:p w14:paraId="206831A7" w14:textId="77777777" w:rsidR="00405424" w:rsidRPr="00CD29D0" w:rsidRDefault="00405424" w:rsidP="00A72EBC">
            <w:pPr>
              <w:pStyle w:val="TableTextCentered"/>
              <w:rPr>
                <w:b/>
                <w:bCs/>
              </w:rPr>
            </w:pPr>
            <w:r w:rsidRPr="00CD29D0">
              <w:rPr>
                <w:b/>
                <w:bCs/>
              </w:rPr>
              <w:t>1</w:t>
            </w:r>
          </w:p>
        </w:tc>
        <w:tc>
          <w:tcPr>
            <w:tcW w:w="720" w:type="dxa"/>
          </w:tcPr>
          <w:p w14:paraId="5845AA22" w14:textId="77777777" w:rsidR="00405424" w:rsidRPr="00CD29D0" w:rsidRDefault="00405424" w:rsidP="00A72EBC">
            <w:pPr>
              <w:pStyle w:val="TableTextCentered"/>
              <w:rPr>
                <w:b/>
                <w:bCs/>
              </w:rPr>
            </w:pPr>
            <w:r w:rsidRPr="00CD29D0">
              <w:rPr>
                <w:b/>
                <w:bCs/>
              </w:rPr>
              <w:t>4</w:t>
            </w:r>
          </w:p>
        </w:tc>
        <w:tc>
          <w:tcPr>
            <w:tcW w:w="720" w:type="dxa"/>
          </w:tcPr>
          <w:p w14:paraId="039CCBB9" w14:textId="77777777" w:rsidR="00405424" w:rsidRPr="00CD29D0" w:rsidRDefault="00405424" w:rsidP="00A72EBC">
            <w:pPr>
              <w:pStyle w:val="TableTextCentered"/>
              <w:rPr>
                <w:b/>
                <w:bCs/>
              </w:rPr>
            </w:pPr>
            <w:r w:rsidRPr="00CD29D0">
              <w:rPr>
                <w:b/>
                <w:bCs/>
              </w:rPr>
              <w:t>5</w:t>
            </w:r>
          </w:p>
        </w:tc>
        <w:tc>
          <w:tcPr>
            <w:tcW w:w="720" w:type="dxa"/>
          </w:tcPr>
          <w:p w14:paraId="314024DE" w14:textId="77777777" w:rsidR="00405424" w:rsidRPr="00CD29D0" w:rsidRDefault="00405424" w:rsidP="00A72EBC">
            <w:pPr>
              <w:pStyle w:val="TableTextCentered"/>
              <w:rPr>
                <w:b/>
                <w:bCs/>
              </w:rPr>
            </w:pPr>
            <w:r w:rsidRPr="00CD29D0">
              <w:rPr>
                <w:b/>
                <w:bCs/>
              </w:rPr>
              <w:t>0</w:t>
            </w:r>
          </w:p>
        </w:tc>
        <w:tc>
          <w:tcPr>
            <w:tcW w:w="533" w:type="dxa"/>
          </w:tcPr>
          <w:p w14:paraId="04D31605" w14:textId="77777777" w:rsidR="00405424" w:rsidRPr="00CD29D0" w:rsidRDefault="00405424" w:rsidP="00A72EBC">
            <w:pPr>
              <w:pStyle w:val="TableTextCentered"/>
              <w:rPr>
                <w:b/>
                <w:bCs/>
              </w:rPr>
            </w:pPr>
            <w:r w:rsidRPr="00CD29D0">
              <w:rPr>
                <w:b/>
                <w:bCs/>
              </w:rPr>
              <w:t>10</w:t>
            </w:r>
          </w:p>
        </w:tc>
        <w:tc>
          <w:tcPr>
            <w:tcW w:w="907" w:type="dxa"/>
          </w:tcPr>
          <w:p w14:paraId="3100683A" w14:textId="77777777" w:rsidR="00405424" w:rsidRPr="00CD29D0" w:rsidRDefault="00405424" w:rsidP="00A72EBC">
            <w:pPr>
              <w:pStyle w:val="TableTextCentered"/>
              <w:rPr>
                <w:b/>
                <w:bCs/>
              </w:rPr>
            </w:pPr>
            <w:r w:rsidRPr="00CD29D0">
              <w:rPr>
                <w:b/>
                <w:bCs/>
              </w:rPr>
              <w:t>5.4</w:t>
            </w:r>
          </w:p>
        </w:tc>
      </w:tr>
    </w:tbl>
    <w:bookmarkEnd w:id="180"/>
    <w:p w14:paraId="017ED2FF" w14:textId="77777777" w:rsidR="00405424" w:rsidRPr="00CD29D0" w:rsidRDefault="00405424" w:rsidP="00A72EBC">
      <w:pPr>
        <w:pStyle w:val="TableNote"/>
        <w:rPr>
          <w:szCs w:val="20"/>
        </w:rPr>
      </w:pPr>
      <w:r w:rsidRPr="00CD29D0">
        <w:t xml:space="preserve">*The district average is an average of the scores. For example, for Positive Climate, the district average is computed as: </w:t>
      </w:r>
      <w:bookmarkStart w:id="181" w:name="Elem_PC_Calc"/>
      <w:r w:rsidRPr="00CD29D0">
        <w:rPr>
          <w:szCs w:val="20"/>
        </w:rPr>
        <w:t>([4 x 6] + [5 x 10] + [6 x 13] + [7 x 4]) ÷ 33 observations = 5.5</w:t>
      </w:r>
      <w:bookmarkEnd w:id="181"/>
    </w:p>
    <w:p w14:paraId="79712187" w14:textId="77777777" w:rsidR="00405424" w:rsidRPr="00CD29D0" w:rsidRDefault="00405424" w:rsidP="00A72EBC">
      <w:pPr>
        <w:pStyle w:val="TableNote"/>
      </w:pPr>
      <w:r w:rsidRPr="00CD29D0">
        <w:t xml:space="preserve">**Negative Climate is rated on an inverse scale. An original score of 1 is given a value of 7. The scoring in the table reflects the normalized adjustment: </w:t>
      </w:r>
      <w:bookmarkStart w:id="182" w:name="Elem_NC_Calc"/>
      <w:r w:rsidRPr="00CD29D0">
        <w:t>([6 x 2] + [7 x 31]) ÷ 33 observations = 6.9</w:t>
      </w:r>
      <w:bookmarkEnd w:id="182"/>
      <w:r w:rsidRPr="00CD29D0">
        <w:t>. In addition, Negative Climate appears in the Classroom Organization Domain for the Upper Elementary Manual.</w:t>
      </w:r>
    </w:p>
    <w:p w14:paraId="71F11798" w14:textId="081F9281" w:rsidR="00424417" w:rsidRPr="00CD29D0" w:rsidRDefault="00405424" w:rsidP="00A72EBC">
      <w:pPr>
        <w:pStyle w:val="TableNote"/>
      </w:pPr>
      <w:r w:rsidRPr="00CD29D0">
        <w:t>***Instructional Learning Formats appears in the Instructional Support Domain for the Upper Elementary Manual.</w:t>
      </w:r>
      <w:r w:rsidR="00424417" w:rsidRPr="00CD29D0">
        <w:br w:type="page"/>
      </w:r>
    </w:p>
    <w:p w14:paraId="49232172" w14:textId="77777777" w:rsidR="00405424" w:rsidRPr="00CD29D0" w:rsidRDefault="00405424" w:rsidP="00272891">
      <w:pPr>
        <w:pStyle w:val="DIORDimensions"/>
      </w:pPr>
      <w:bookmarkStart w:id="183" w:name="_Toc227587577"/>
      <w:r w:rsidRPr="00CD29D0">
        <w:lastRenderedPageBreak/>
        <w:t>Summary of Average Ratings: Grades 6–8</w:t>
      </w:r>
      <w:bookmarkEnd w:id="183"/>
    </w:p>
    <w:p w14:paraId="63C6FCBC" w14:textId="77777777" w:rsidR="00405424" w:rsidRPr="00CD29D0" w:rsidRDefault="00405424" w:rsidP="00460478">
      <w:pPr>
        <w:pStyle w:val="TableTitle0"/>
      </w:pPr>
      <w:r w:rsidRPr="00CD29D0">
        <w:t>Table 18. Summary Table of Average Ratings for Each Dimension in Grades 6–8</w:t>
      </w:r>
    </w:p>
    <w:tbl>
      <w:tblPr>
        <w:tblStyle w:val="MSVTable1"/>
        <w:tblW w:w="5000" w:type="pct"/>
        <w:tblLayout w:type="fixed"/>
        <w:tblLook w:val="04A0" w:firstRow="1" w:lastRow="0" w:firstColumn="1" w:lastColumn="0" w:noHBand="0" w:noVBand="1"/>
        <w:tblCaption w:val="Table 18. Summary Table of Average Ratings for Each Dimension in Grades 6–8"/>
        <w:tblDescription w:val="Summary Table of Average Ratings for Each Dimension in Grades 6–8"/>
      </w:tblPr>
      <w:tblGrid>
        <w:gridCol w:w="3097"/>
        <w:gridCol w:w="695"/>
        <w:gridCol w:w="694"/>
        <w:gridCol w:w="694"/>
        <w:gridCol w:w="694"/>
        <w:gridCol w:w="694"/>
        <w:gridCol w:w="694"/>
        <w:gridCol w:w="694"/>
        <w:gridCol w:w="522"/>
        <w:gridCol w:w="866"/>
      </w:tblGrid>
      <w:tr w:rsidR="00405424" w:rsidRPr="00CD29D0" w14:paraId="27E3E74F" w14:textId="77777777" w:rsidTr="00E91BA1">
        <w:trPr>
          <w:cnfStyle w:val="100000000000" w:firstRow="1" w:lastRow="0" w:firstColumn="0" w:lastColumn="0" w:oddVBand="0" w:evenVBand="0" w:oddHBand="0" w:evenHBand="0" w:firstRowFirstColumn="0" w:firstRowLastColumn="0" w:lastRowFirstColumn="0" w:lastRowLastColumn="0"/>
          <w:tblHeader/>
        </w:trPr>
        <w:tc>
          <w:tcPr>
            <w:tcW w:w="3232" w:type="dxa"/>
            <w:tcMar>
              <w:right w:w="29" w:type="dxa"/>
            </w:tcMar>
          </w:tcPr>
          <w:p w14:paraId="63DAAED5" w14:textId="77777777" w:rsidR="00405424" w:rsidRPr="00CD29D0" w:rsidRDefault="00405424" w:rsidP="00E91BA1">
            <w:pPr>
              <w:pStyle w:val="TableColHeadingCenter"/>
            </w:pPr>
            <w:bookmarkStart w:id="184" w:name="SummaryTbl_Middle"/>
            <w:r w:rsidRPr="00CD29D0">
              <w:t>Domain/Dimension</w:t>
            </w:r>
          </w:p>
        </w:tc>
        <w:tc>
          <w:tcPr>
            <w:tcW w:w="720" w:type="dxa"/>
            <w:tcMar>
              <w:right w:w="29" w:type="dxa"/>
            </w:tcMar>
          </w:tcPr>
          <w:p w14:paraId="577208DB" w14:textId="77777777" w:rsidR="00405424" w:rsidRPr="00CD29D0" w:rsidRDefault="00405424" w:rsidP="00E91BA1">
            <w:pPr>
              <w:pStyle w:val="TableColHeadingCenter"/>
            </w:pPr>
            <w:r w:rsidRPr="00CD29D0">
              <w:t>Low Range (1)</w:t>
            </w:r>
          </w:p>
        </w:tc>
        <w:tc>
          <w:tcPr>
            <w:tcW w:w="720" w:type="dxa"/>
            <w:tcMar>
              <w:right w:w="29" w:type="dxa"/>
            </w:tcMar>
          </w:tcPr>
          <w:p w14:paraId="4CCA8D7A" w14:textId="77777777" w:rsidR="00405424" w:rsidRPr="00CD29D0" w:rsidRDefault="00405424" w:rsidP="00E91BA1">
            <w:pPr>
              <w:pStyle w:val="TableColHeadingCenter"/>
            </w:pPr>
            <w:r w:rsidRPr="00CD29D0">
              <w:t>Low Range (2)</w:t>
            </w:r>
          </w:p>
        </w:tc>
        <w:tc>
          <w:tcPr>
            <w:tcW w:w="720" w:type="dxa"/>
            <w:tcMar>
              <w:right w:w="29" w:type="dxa"/>
            </w:tcMar>
          </w:tcPr>
          <w:p w14:paraId="11A26BF2" w14:textId="77777777" w:rsidR="00405424" w:rsidRPr="00CD29D0" w:rsidRDefault="00405424" w:rsidP="00E91BA1">
            <w:pPr>
              <w:pStyle w:val="TableColHeadingCenter"/>
            </w:pPr>
            <w:r w:rsidRPr="00CD29D0">
              <w:t>Middle Range (3)</w:t>
            </w:r>
          </w:p>
        </w:tc>
        <w:tc>
          <w:tcPr>
            <w:tcW w:w="720" w:type="dxa"/>
            <w:tcMar>
              <w:right w:w="29" w:type="dxa"/>
            </w:tcMar>
          </w:tcPr>
          <w:p w14:paraId="1F13E89A" w14:textId="77777777" w:rsidR="00405424" w:rsidRPr="00CD29D0" w:rsidRDefault="00405424" w:rsidP="00E91BA1">
            <w:pPr>
              <w:pStyle w:val="TableColHeadingCenter"/>
            </w:pPr>
            <w:r w:rsidRPr="00CD29D0">
              <w:t>Middle Range (4)</w:t>
            </w:r>
          </w:p>
        </w:tc>
        <w:tc>
          <w:tcPr>
            <w:tcW w:w="720" w:type="dxa"/>
            <w:tcMar>
              <w:right w:w="29" w:type="dxa"/>
            </w:tcMar>
          </w:tcPr>
          <w:p w14:paraId="59CF0C93" w14:textId="77777777" w:rsidR="00405424" w:rsidRPr="00CD29D0" w:rsidRDefault="00405424" w:rsidP="00E91BA1">
            <w:pPr>
              <w:pStyle w:val="TableColHeadingCenter"/>
            </w:pPr>
            <w:r w:rsidRPr="00CD29D0">
              <w:t>Middle Range (5)</w:t>
            </w:r>
          </w:p>
        </w:tc>
        <w:tc>
          <w:tcPr>
            <w:tcW w:w="720" w:type="dxa"/>
            <w:tcMar>
              <w:right w:w="29" w:type="dxa"/>
            </w:tcMar>
          </w:tcPr>
          <w:p w14:paraId="772238D1" w14:textId="77777777" w:rsidR="00405424" w:rsidRPr="00CD29D0" w:rsidRDefault="00405424" w:rsidP="00E91BA1">
            <w:pPr>
              <w:pStyle w:val="TableColHeadingCenter"/>
            </w:pPr>
            <w:r w:rsidRPr="00CD29D0">
              <w:t>High Range (6)</w:t>
            </w:r>
          </w:p>
        </w:tc>
        <w:tc>
          <w:tcPr>
            <w:tcW w:w="720" w:type="dxa"/>
            <w:tcMar>
              <w:right w:w="29" w:type="dxa"/>
            </w:tcMar>
          </w:tcPr>
          <w:p w14:paraId="76EAACD3" w14:textId="77777777" w:rsidR="00405424" w:rsidRPr="00CD29D0" w:rsidRDefault="00405424" w:rsidP="00E91BA1">
            <w:pPr>
              <w:pStyle w:val="TableColHeadingCenter"/>
            </w:pPr>
            <w:r w:rsidRPr="00CD29D0">
              <w:t>High Range (7)</w:t>
            </w:r>
          </w:p>
        </w:tc>
        <w:tc>
          <w:tcPr>
            <w:tcW w:w="540" w:type="dxa"/>
            <w:tcMar>
              <w:right w:w="29" w:type="dxa"/>
            </w:tcMar>
          </w:tcPr>
          <w:p w14:paraId="23F50115" w14:textId="77777777" w:rsidR="00405424" w:rsidRPr="00CD29D0" w:rsidRDefault="00405424" w:rsidP="00E91BA1">
            <w:pPr>
              <w:pStyle w:val="TableColHeadingCenter"/>
            </w:pPr>
            <w:r w:rsidRPr="00CD29D0">
              <w:t>n</w:t>
            </w:r>
          </w:p>
        </w:tc>
        <w:tc>
          <w:tcPr>
            <w:tcW w:w="900" w:type="dxa"/>
            <w:tcMar>
              <w:right w:w="29" w:type="dxa"/>
            </w:tcMar>
          </w:tcPr>
          <w:p w14:paraId="093741CC" w14:textId="77777777" w:rsidR="00405424" w:rsidRPr="00CD29D0" w:rsidRDefault="00405424" w:rsidP="00E91BA1">
            <w:pPr>
              <w:pStyle w:val="TableColHeadingCenter"/>
            </w:pPr>
            <w:r w:rsidRPr="00CD29D0">
              <w:t>Average Scores*</w:t>
            </w:r>
          </w:p>
        </w:tc>
      </w:tr>
      <w:tr w:rsidR="00405424" w:rsidRPr="00CD29D0" w14:paraId="19E51805"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6D2D7E04" w14:textId="77777777" w:rsidR="00405424" w:rsidRPr="00CD29D0" w:rsidRDefault="00405424" w:rsidP="00E91BA1">
            <w:pPr>
              <w:pStyle w:val="TableText"/>
              <w:rPr>
                <w:b/>
                <w:bCs/>
              </w:rPr>
            </w:pPr>
            <w:r w:rsidRPr="00CD29D0">
              <w:rPr>
                <w:b/>
                <w:bCs/>
              </w:rPr>
              <w:t>Emotional Support Domain</w:t>
            </w:r>
          </w:p>
        </w:tc>
        <w:tc>
          <w:tcPr>
            <w:tcW w:w="720" w:type="dxa"/>
          </w:tcPr>
          <w:p w14:paraId="054841C3" w14:textId="77777777" w:rsidR="00405424" w:rsidRPr="00CD29D0" w:rsidRDefault="00405424" w:rsidP="00E91BA1">
            <w:pPr>
              <w:pStyle w:val="TableTextCentered"/>
              <w:rPr>
                <w:b/>
                <w:bCs/>
              </w:rPr>
            </w:pPr>
            <w:r w:rsidRPr="00CD29D0">
              <w:rPr>
                <w:b/>
                <w:bCs/>
              </w:rPr>
              <w:t>1</w:t>
            </w:r>
          </w:p>
        </w:tc>
        <w:tc>
          <w:tcPr>
            <w:tcW w:w="720" w:type="dxa"/>
          </w:tcPr>
          <w:p w14:paraId="400F954E" w14:textId="77777777" w:rsidR="00405424" w:rsidRPr="00CD29D0" w:rsidRDefault="00405424" w:rsidP="00E91BA1">
            <w:pPr>
              <w:pStyle w:val="TableTextCentered"/>
              <w:rPr>
                <w:b/>
                <w:bCs/>
              </w:rPr>
            </w:pPr>
            <w:r w:rsidRPr="00CD29D0">
              <w:rPr>
                <w:b/>
                <w:bCs/>
              </w:rPr>
              <w:t>8</w:t>
            </w:r>
          </w:p>
        </w:tc>
        <w:tc>
          <w:tcPr>
            <w:tcW w:w="720" w:type="dxa"/>
          </w:tcPr>
          <w:p w14:paraId="30DFA568" w14:textId="77777777" w:rsidR="00405424" w:rsidRPr="00CD29D0" w:rsidRDefault="00405424" w:rsidP="00E91BA1">
            <w:pPr>
              <w:pStyle w:val="TableTextCentered"/>
              <w:rPr>
                <w:b/>
                <w:bCs/>
              </w:rPr>
            </w:pPr>
            <w:r w:rsidRPr="00CD29D0">
              <w:rPr>
                <w:b/>
                <w:bCs/>
              </w:rPr>
              <w:t>12</w:t>
            </w:r>
          </w:p>
        </w:tc>
        <w:tc>
          <w:tcPr>
            <w:tcW w:w="720" w:type="dxa"/>
          </w:tcPr>
          <w:p w14:paraId="0ED958FB" w14:textId="77777777" w:rsidR="00405424" w:rsidRPr="00CD29D0" w:rsidRDefault="00405424" w:rsidP="00E91BA1">
            <w:pPr>
              <w:pStyle w:val="TableTextCentered"/>
              <w:rPr>
                <w:b/>
                <w:bCs/>
              </w:rPr>
            </w:pPr>
            <w:r w:rsidRPr="00CD29D0">
              <w:rPr>
                <w:b/>
                <w:bCs/>
              </w:rPr>
              <w:t>15</w:t>
            </w:r>
          </w:p>
        </w:tc>
        <w:tc>
          <w:tcPr>
            <w:tcW w:w="720" w:type="dxa"/>
          </w:tcPr>
          <w:p w14:paraId="433752A0" w14:textId="77777777" w:rsidR="00405424" w:rsidRPr="00CD29D0" w:rsidRDefault="00405424" w:rsidP="00E91BA1">
            <w:pPr>
              <w:pStyle w:val="TableTextCentered"/>
              <w:rPr>
                <w:b/>
                <w:bCs/>
              </w:rPr>
            </w:pPr>
            <w:r w:rsidRPr="00CD29D0">
              <w:rPr>
                <w:b/>
                <w:bCs/>
              </w:rPr>
              <w:t>9</w:t>
            </w:r>
          </w:p>
        </w:tc>
        <w:tc>
          <w:tcPr>
            <w:tcW w:w="720" w:type="dxa"/>
          </w:tcPr>
          <w:p w14:paraId="3C699BDE" w14:textId="77777777" w:rsidR="00405424" w:rsidRPr="00CD29D0" w:rsidRDefault="00405424" w:rsidP="00E91BA1">
            <w:pPr>
              <w:pStyle w:val="TableTextCentered"/>
              <w:rPr>
                <w:b/>
                <w:bCs/>
              </w:rPr>
            </w:pPr>
            <w:r w:rsidRPr="00CD29D0">
              <w:rPr>
                <w:b/>
                <w:bCs/>
              </w:rPr>
              <w:t>8</w:t>
            </w:r>
          </w:p>
        </w:tc>
        <w:tc>
          <w:tcPr>
            <w:tcW w:w="720" w:type="dxa"/>
          </w:tcPr>
          <w:p w14:paraId="3A8D6206" w14:textId="77777777" w:rsidR="00405424" w:rsidRPr="00CD29D0" w:rsidRDefault="00405424" w:rsidP="00E91BA1">
            <w:pPr>
              <w:pStyle w:val="TableTextCentered"/>
              <w:rPr>
                <w:b/>
                <w:bCs/>
              </w:rPr>
            </w:pPr>
            <w:r w:rsidRPr="00CD29D0">
              <w:rPr>
                <w:b/>
                <w:bCs/>
              </w:rPr>
              <w:t>7</w:t>
            </w:r>
          </w:p>
        </w:tc>
        <w:tc>
          <w:tcPr>
            <w:tcW w:w="540" w:type="dxa"/>
          </w:tcPr>
          <w:p w14:paraId="5CF659DE" w14:textId="77777777" w:rsidR="00405424" w:rsidRPr="00CD29D0" w:rsidRDefault="00405424" w:rsidP="00E91BA1">
            <w:pPr>
              <w:pStyle w:val="TableTextCentered"/>
              <w:rPr>
                <w:b/>
                <w:bCs/>
              </w:rPr>
            </w:pPr>
            <w:r w:rsidRPr="00CD29D0">
              <w:rPr>
                <w:b/>
                <w:bCs/>
              </w:rPr>
              <w:t>60</w:t>
            </w:r>
          </w:p>
        </w:tc>
        <w:tc>
          <w:tcPr>
            <w:tcW w:w="900" w:type="dxa"/>
          </w:tcPr>
          <w:p w14:paraId="71E283BF" w14:textId="77777777" w:rsidR="00405424" w:rsidRPr="00CD29D0" w:rsidRDefault="00405424" w:rsidP="00E91BA1">
            <w:pPr>
              <w:pStyle w:val="TableTextCentered"/>
              <w:rPr>
                <w:b/>
                <w:bCs/>
              </w:rPr>
            </w:pPr>
            <w:r w:rsidRPr="00CD29D0">
              <w:rPr>
                <w:b/>
                <w:bCs/>
              </w:rPr>
              <w:t>4.3</w:t>
            </w:r>
          </w:p>
        </w:tc>
      </w:tr>
      <w:tr w:rsidR="00405424" w:rsidRPr="00CD29D0" w14:paraId="32513BBD" w14:textId="77777777" w:rsidTr="00E91BA1">
        <w:tc>
          <w:tcPr>
            <w:tcW w:w="3232" w:type="dxa"/>
          </w:tcPr>
          <w:p w14:paraId="04D7455F" w14:textId="77777777" w:rsidR="00405424" w:rsidRPr="00CD29D0" w:rsidRDefault="00405424" w:rsidP="00E91BA1">
            <w:pPr>
              <w:pStyle w:val="TableText"/>
              <w:ind w:left="202"/>
              <w:rPr>
                <w:b/>
                <w:bCs/>
              </w:rPr>
            </w:pPr>
            <w:r w:rsidRPr="00CD29D0">
              <w:t>Positive Climate</w:t>
            </w:r>
          </w:p>
        </w:tc>
        <w:tc>
          <w:tcPr>
            <w:tcW w:w="720" w:type="dxa"/>
          </w:tcPr>
          <w:p w14:paraId="518D00E9" w14:textId="77777777" w:rsidR="00405424" w:rsidRPr="00CD29D0" w:rsidRDefault="00405424" w:rsidP="00E91BA1">
            <w:pPr>
              <w:pStyle w:val="TableTextCentered"/>
            </w:pPr>
            <w:r w:rsidRPr="00CD29D0">
              <w:t>0</w:t>
            </w:r>
          </w:p>
        </w:tc>
        <w:tc>
          <w:tcPr>
            <w:tcW w:w="720" w:type="dxa"/>
          </w:tcPr>
          <w:p w14:paraId="2968DBB7" w14:textId="77777777" w:rsidR="00405424" w:rsidRPr="00CD29D0" w:rsidRDefault="00405424" w:rsidP="00E91BA1">
            <w:pPr>
              <w:pStyle w:val="TableTextCentered"/>
            </w:pPr>
            <w:r w:rsidRPr="00CD29D0">
              <w:t>0</w:t>
            </w:r>
          </w:p>
        </w:tc>
        <w:tc>
          <w:tcPr>
            <w:tcW w:w="720" w:type="dxa"/>
          </w:tcPr>
          <w:p w14:paraId="36C1B2A1" w14:textId="77777777" w:rsidR="00405424" w:rsidRPr="00CD29D0" w:rsidRDefault="00405424" w:rsidP="00E91BA1">
            <w:pPr>
              <w:pStyle w:val="TableTextCentered"/>
            </w:pPr>
            <w:r w:rsidRPr="00CD29D0">
              <w:t>5</w:t>
            </w:r>
          </w:p>
        </w:tc>
        <w:tc>
          <w:tcPr>
            <w:tcW w:w="720" w:type="dxa"/>
          </w:tcPr>
          <w:p w14:paraId="3FEE9857" w14:textId="77777777" w:rsidR="00405424" w:rsidRPr="00CD29D0" w:rsidRDefault="00405424" w:rsidP="00E91BA1">
            <w:pPr>
              <w:pStyle w:val="TableTextCentered"/>
            </w:pPr>
            <w:r w:rsidRPr="00CD29D0">
              <w:t>4</w:t>
            </w:r>
          </w:p>
        </w:tc>
        <w:tc>
          <w:tcPr>
            <w:tcW w:w="720" w:type="dxa"/>
          </w:tcPr>
          <w:p w14:paraId="3F5710E1" w14:textId="77777777" w:rsidR="00405424" w:rsidRPr="00CD29D0" w:rsidRDefault="00405424" w:rsidP="00E91BA1">
            <w:pPr>
              <w:pStyle w:val="TableTextCentered"/>
            </w:pPr>
            <w:r w:rsidRPr="00CD29D0">
              <w:t>5</w:t>
            </w:r>
          </w:p>
        </w:tc>
        <w:tc>
          <w:tcPr>
            <w:tcW w:w="720" w:type="dxa"/>
          </w:tcPr>
          <w:p w14:paraId="0A2F6853" w14:textId="77777777" w:rsidR="00405424" w:rsidRPr="00CD29D0" w:rsidRDefault="00405424" w:rsidP="00E91BA1">
            <w:pPr>
              <w:pStyle w:val="TableTextCentered"/>
            </w:pPr>
            <w:r w:rsidRPr="00CD29D0">
              <w:t>3</w:t>
            </w:r>
          </w:p>
        </w:tc>
        <w:tc>
          <w:tcPr>
            <w:tcW w:w="720" w:type="dxa"/>
          </w:tcPr>
          <w:p w14:paraId="57C1F0CC" w14:textId="77777777" w:rsidR="00405424" w:rsidRPr="00CD29D0" w:rsidRDefault="00405424" w:rsidP="00E91BA1">
            <w:pPr>
              <w:pStyle w:val="TableTextCentered"/>
            </w:pPr>
            <w:r w:rsidRPr="00CD29D0">
              <w:t>3</w:t>
            </w:r>
          </w:p>
        </w:tc>
        <w:tc>
          <w:tcPr>
            <w:tcW w:w="540" w:type="dxa"/>
          </w:tcPr>
          <w:p w14:paraId="463FA83D" w14:textId="77777777" w:rsidR="00405424" w:rsidRPr="00CD29D0" w:rsidRDefault="00405424" w:rsidP="00E91BA1">
            <w:pPr>
              <w:pStyle w:val="TableTextCentered"/>
            </w:pPr>
            <w:r w:rsidRPr="00CD29D0">
              <w:t>20</w:t>
            </w:r>
          </w:p>
        </w:tc>
        <w:tc>
          <w:tcPr>
            <w:tcW w:w="900" w:type="dxa"/>
          </w:tcPr>
          <w:p w14:paraId="1325F5BE" w14:textId="77777777" w:rsidR="00405424" w:rsidRPr="00CD29D0" w:rsidRDefault="00405424" w:rsidP="00E91BA1">
            <w:pPr>
              <w:pStyle w:val="TableTextCentered"/>
            </w:pPr>
            <w:r w:rsidRPr="00CD29D0">
              <w:t>4.8</w:t>
            </w:r>
          </w:p>
        </w:tc>
      </w:tr>
      <w:tr w:rsidR="00405424" w:rsidRPr="00CD29D0" w14:paraId="608DA6EE"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716D8099" w14:textId="77777777" w:rsidR="00405424" w:rsidRPr="00CD29D0" w:rsidRDefault="00405424" w:rsidP="00E91BA1">
            <w:pPr>
              <w:pStyle w:val="TableText"/>
              <w:ind w:left="202"/>
              <w:rPr>
                <w:b/>
                <w:bCs/>
              </w:rPr>
            </w:pPr>
            <w:r w:rsidRPr="00CD29D0">
              <w:t>Teacher Sensitivity</w:t>
            </w:r>
          </w:p>
        </w:tc>
        <w:tc>
          <w:tcPr>
            <w:tcW w:w="720" w:type="dxa"/>
          </w:tcPr>
          <w:p w14:paraId="10EB5D9A" w14:textId="77777777" w:rsidR="00405424" w:rsidRPr="00CD29D0" w:rsidRDefault="00405424" w:rsidP="00E91BA1">
            <w:pPr>
              <w:pStyle w:val="TableTextCentered"/>
            </w:pPr>
            <w:r w:rsidRPr="00CD29D0">
              <w:t>0</w:t>
            </w:r>
          </w:p>
        </w:tc>
        <w:tc>
          <w:tcPr>
            <w:tcW w:w="720" w:type="dxa"/>
          </w:tcPr>
          <w:p w14:paraId="3072A5B4" w14:textId="77777777" w:rsidR="00405424" w:rsidRPr="00CD29D0" w:rsidRDefault="00405424" w:rsidP="00E91BA1">
            <w:pPr>
              <w:pStyle w:val="TableTextCentered"/>
            </w:pPr>
            <w:r w:rsidRPr="00CD29D0">
              <w:t>0</w:t>
            </w:r>
          </w:p>
        </w:tc>
        <w:tc>
          <w:tcPr>
            <w:tcW w:w="720" w:type="dxa"/>
          </w:tcPr>
          <w:p w14:paraId="394BAC2E" w14:textId="77777777" w:rsidR="00405424" w:rsidRPr="00CD29D0" w:rsidRDefault="00405424" w:rsidP="00E91BA1">
            <w:pPr>
              <w:pStyle w:val="TableTextCentered"/>
            </w:pPr>
            <w:r w:rsidRPr="00CD29D0">
              <w:t>1</w:t>
            </w:r>
          </w:p>
        </w:tc>
        <w:tc>
          <w:tcPr>
            <w:tcW w:w="720" w:type="dxa"/>
          </w:tcPr>
          <w:p w14:paraId="2719269F" w14:textId="77777777" w:rsidR="00405424" w:rsidRPr="00CD29D0" w:rsidRDefault="00405424" w:rsidP="00E91BA1">
            <w:pPr>
              <w:pStyle w:val="TableTextCentered"/>
            </w:pPr>
            <w:r w:rsidRPr="00CD29D0">
              <w:t>7</w:t>
            </w:r>
          </w:p>
        </w:tc>
        <w:tc>
          <w:tcPr>
            <w:tcW w:w="720" w:type="dxa"/>
          </w:tcPr>
          <w:p w14:paraId="0AEB674C" w14:textId="77777777" w:rsidR="00405424" w:rsidRPr="00CD29D0" w:rsidRDefault="00405424" w:rsidP="00E91BA1">
            <w:pPr>
              <w:pStyle w:val="TableTextCentered"/>
            </w:pPr>
            <w:r w:rsidRPr="00CD29D0">
              <w:t>3</w:t>
            </w:r>
          </w:p>
        </w:tc>
        <w:tc>
          <w:tcPr>
            <w:tcW w:w="720" w:type="dxa"/>
          </w:tcPr>
          <w:p w14:paraId="03E697AB" w14:textId="77777777" w:rsidR="00405424" w:rsidRPr="00CD29D0" w:rsidRDefault="00405424" w:rsidP="00E91BA1">
            <w:pPr>
              <w:pStyle w:val="TableTextCentered"/>
            </w:pPr>
            <w:r w:rsidRPr="00CD29D0">
              <w:t>5</w:t>
            </w:r>
          </w:p>
        </w:tc>
        <w:tc>
          <w:tcPr>
            <w:tcW w:w="720" w:type="dxa"/>
          </w:tcPr>
          <w:p w14:paraId="4055326B" w14:textId="77777777" w:rsidR="00405424" w:rsidRPr="00CD29D0" w:rsidRDefault="00405424" w:rsidP="00E91BA1">
            <w:pPr>
              <w:pStyle w:val="TableTextCentered"/>
            </w:pPr>
            <w:r w:rsidRPr="00CD29D0">
              <w:t>4</w:t>
            </w:r>
          </w:p>
        </w:tc>
        <w:tc>
          <w:tcPr>
            <w:tcW w:w="540" w:type="dxa"/>
          </w:tcPr>
          <w:p w14:paraId="1F7C0EA9" w14:textId="77777777" w:rsidR="00405424" w:rsidRPr="00CD29D0" w:rsidRDefault="00405424" w:rsidP="00E91BA1">
            <w:pPr>
              <w:pStyle w:val="TableTextCentered"/>
            </w:pPr>
            <w:r w:rsidRPr="00CD29D0">
              <w:t>20</w:t>
            </w:r>
          </w:p>
        </w:tc>
        <w:tc>
          <w:tcPr>
            <w:tcW w:w="900" w:type="dxa"/>
          </w:tcPr>
          <w:p w14:paraId="754B306C" w14:textId="77777777" w:rsidR="00405424" w:rsidRPr="00CD29D0" w:rsidRDefault="00405424" w:rsidP="00E91BA1">
            <w:pPr>
              <w:pStyle w:val="TableTextCentered"/>
            </w:pPr>
            <w:r w:rsidRPr="00CD29D0">
              <w:t>5.2</w:t>
            </w:r>
          </w:p>
        </w:tc>
      </w:tr>
      <w:tr w:rsidR="00405424" w:rsidRPr="00CD29D0" w14:paraId="3FCA41F5" w14:textId="77777777" w:rsidTr="00E91BA1">
        <w:tc>
          <w:tcPr>
            <w:tcW w:w="3232" w:type="dxa"/>
          </w:tcPr>
          <w:p w14:paraId="3549D081" w14:textId="77777777" w:rsidR="00405424" w:rsidRPr="00CD29D0" w:rsidRDefault="00405424" w:rsidP="00E91BA1">
            <w:pPr>
              <w:pStyle w:val="TableText"/>
              <w:ind w:left="202"/>
              <w:rPr>
                <w:b/>
                <w:bCs/>
              </w:rPr>
            </w:pPr>
            <w:r w:rsidRPr="00CD29D0">
              <w:t>Regard for Student Perspectives</w:t>
            </w:r>
          </w:p>
        </w:tc>
        <w:tc>
          <w:tcPr>
            <w:tcW w:w="720" w:type="dxa"/>
          </w:tcPr>
          <w:p w14:paraId="6BD0A8BF" w14:textId="77777777" w:rsidR="00405424" w:rsidRPr="00CD29D0" w:rsidRDefault="00405424" w:rsidP="00E91BA1">
            <w:pPr>
              <w:pStyle w:val="TableTextCentered"/>
            </w:pPr>
            <w:r w:rsidRPr="00CD29D0">
              <w:t>1</w:t>
            </w:r>
          </w:p>
        </w:tc>
        <w:tc>
          <w:tcPr>
            <w:tcW w:w="720" w:type="dxa"/>
          </w:tcPr>
          <w:p w14:paraId="3EE696F5" w14:textId="77777777" w:rsidR="00405424" w:rsidRPr="00CD29D0" w:rsidRDefault="00405424" w:rsidP="00E91BA1">
            <w:pPr>
              <w:pStyle w:val="TableTextCentered"/>
            </w:pPr>
            <w:r w:rsidRPr="00CD29D0">
              <w:t>8</w:t>
            </w:r>
          </w:p>
        </w:tc>
        <w:tc>
          <w:tcPr>
            <w:tcW w:w="720" w:type="dxa"/>
          </w:tcPr>
          <w:p w14:paraId="2F39FA50" w14:textId="77777777" w:rsidR="00405424" w:rsidRPr="00CD29D0" w:rsidRDefault="00405424" w:rsidP="00E91BA1">
            <w:pPr>
              <w:pStyle w:val="TableTextCentered"/>
            </w:pPr>
            <w:r w:rsidRPr="00CD29D0">
              <w:t>6</w:t>
            </w:r>
          </w:p>
        </w:tc>
        <w:tc>
          <w:tcPr>
            <w:tcW w:w="720" w:type="dxa"/>
          </w:tcPr>
          <w:p w14:paraId="5E44A993" w14:textId="77777777" w:rsidR="00405424" w:rsidRPr="00CD29D0" w:rsidRDefault="00405424" w:rsidP="00E91BA1">
            <w:pPr>
              <w:pStyle w:val="TableTextCentered"/>
            </w:pPr>
            <w:r w:rsidRPr="00CD29D0">
              <w:t>4</w:t>
            </w:r>
          </w:p>
        </w:tc>
        <w:tc>
          <w:tcPr>
            <w:tcW w:w="720" w:type="dxa"/>
          </w:tcPr>
          <w:p w14:paraId="0B2A566E" w14:textId="77777777" w:rsidR="00405424" w:rsidRPr="00CD29D0" w:rsidRDefault="00405424" w:rsidP="00E91BA1">
            <w:pPr>
              <w:pStyle w:val="TableTextCentered"/>
            </w:pPr>
            <w:r w:rsidRPr="00CD29D0">
              <w:t>1</w:t>
            </w:r>
          </w:p>
        </w:tc>
        <w:tc>
          <w:tcPr>
            <w:tcW w:w="720" w:type="dxa"/>
          </w:tcPr>
          <w:p w14:paraId="72426E42" w14:textId="77777777" w:rsidR="00405424" w:rsidRPr="00CD29D0" w:rsidRDefault="00405424" w:rsidP="00E91BA1">
            <w:pPr>
              <w:pStyle w:val="TableTextCentered"/>
            </w:pPr>
            <w:r w:rsidRPr="00CD29D0">
              <w:t>0</w:t>
            </w:r>
          </w:p>
        </w:tc>
        <w:tc>
          <w:tcPr>
            <w:tcW w:w="720" w:type="dxa"/>
          </w:tcPr>
          <w:p w14:paraId="798CD1EF" w14:textId="77777777" w:rsidR="00405424" w:rsidRPr="00CD29D0" w:rsidRDefault="00405424" w:rsidP="00E91BA1">
            <w:pPr>
              <w:pStyle w:val="TableTextCentered"/>
            </w:pPr>
            <w:r w:rsidRPr="00CD29D0">
              <w:t>0</w:t>
            </w:r>
          </w:p>
        </w:tc>
        <w:tc>
          <w:tcPr>
            <w:tcW w:w="540" w:type="dxa"/>
          </w:tcPr>
          <w:p w14:paraId="2A5EB6AF" w14:textId="77777777" w:rsidR="00405424" w:rsidRPr="00CD29D0" w:rsidRDefault="00405424" w:rsidP="00E91BA1">
            <w:pPr>
              <w:pStyle w:val="TableTextCentered"/>
            </w:pPr>
            <w:r w:rsidRPr="00CD29D0">
              <w:t>20</w:t>
            </w:r>
          </w:p>
        </w:tc>
        <w:tc>
          <w:tcPr>
            <w:tcW w:w="900" w:type="dxa"/>
          </w:tcPr>
          <w:p w14:paraId="0E9330F8" w14:textId="77777777" w:rsidR="00405424" w:rsidRPr="00CD29D0" w:rsidRDefault="00405424" w:rsidP="00E91BA1">
            <w:pPr>
              <w:pStyle w:val="TableTextCentered"/>
            </w:pPr>
            <w:r w:rsidRPr="00CD29D0">
              <w:t>2.8</w:t>
            </w:r>
          </w:p>
        </w:tc>
      </w:tr>
      <w:tr w:rsidR="00405424" w:rsidRPr="00CD29D0" w14:paraId="053F7204"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4D511FC2" w14:textId="77777777" w:rsidR="00405424" w:rsidRPr="00CD29D0" w:rsidRDefault="00405424" w:rsidP="00E91BA1">
            <w:pPr>
              <w:pStyle w:val="TableText"/>
              <w:rPr>
                <w:b/>
                <w:bCs/>
                <w:szCs w:val="20"/>
              </w:rPr>
            </w:pPr>
            <w:r w:rsidRPr="00CD29D0">
              <w:rPr>
                <w:b/>
                <w:bCs/>
              </w:rPr>
              <w:t>Classroom Organization Domain</w:t>
            </w:r>
          </w:p>
        </w:tc>
        <w:tc>
          <w:tcPr>
            <w:tcW w:w="720" w:type="dxa"/>
          </w:tcPr>
          <w:p w14:paraId="3C3C2174" w14:textId="77777777" w:rsidR="00405424" w:rsidRPr="00CD29D0" w:rsidRDefault="00405424" w:rsidP="00E91BA1">
            <w:pPr>
              <w:pStyle w:val="TableTextCentered"/>
              <w:rPr>
                <w:b/>
                <w:bCs/>
              </w:rPr>
            </w:pPr>
            <w:r w:rsidRPr="00CD29D0">
              <w:rPr>
                <w:b/>
                <w:bCs/>
              </w:rPr>
              <w:t>0</w:t>
            </w:r>
          </w:p>
        </w:tc>
        <w:tc>
          <w:tcPr>
            <w:tcW w:w="720" w:type="dxa"/>
          </w:tcPr>
          <w:p w14:paraId="69DC4005" w14:textId="77777777" w:rsidR="00405424" w:rsidRPr="00CD29D0" w:rsidRDefault="00405424" w:rsidP="00E91BA1">
            <w:pPr>
              <w:pStyle w:val="TableTextCentered"/>
              <w:rPr>
                <w:b/>
                <w:bCs/>
              </w:rPr>
            </w:pPr>
            <w:r w:rsidRPr="00CD29D0">
              <w:rPr>
                <w:b/>
                <w:bCs/>
              </w:rPr>
              <w:t>0</w:t>
            </w:r>
          </w:p>
        </w:tc>
        <w:tc>
          <w:tcPr>
            <w:tcW w:w="720" w:type="dxa"/>
          </w:tcPr>
          <w:p w14:paraId="4190FAB3" w14:textId="77777777" w:rsidR="00405424" w:rsidRPr="00CD29D0" w:rsidRDefault="00405424" w:rsidP="00E91BA1">
            <w:pPr>
              <w:pStyle w:val="TableTextCentered"/>
              <w:rPr>
                <w:b/>
                <w:bCs/>
              </w:rPr>
            </w:pPr>
            <w:r w:rsidRPr="00CD29D0">
              <w:rPr>
                <w:b/>
                <w:bCs/>
              </w:rPr>
              <w:t>0</w:t>
            </w:r>
          </w:p>
        </w:tc>
        <w:tc>
          <w:tcPr>
            <w:tcW w:w="720" w:type="dxa"/>
          </w:tcPr>
          <w:p w14:paraId="71EE7AAB" w14:textId="77777777" w:rsidR="00405424" w:rsidRPr="00CD29D0" w:rsidRDefault="00405424" w:rsidP="00E91BA1">
            <w:pPr>
              <w:pStyle w:val="TableTextCentered"/>
              <w:rPr>
                <w:b/>
                <w:bCs/>
              </w:rPr>
            </w:pPr>
            <w:r w:rsidRPr="00CD29D0">
              <w:rPr>
                <w:b/>
                <w:bCs/>
              </w:rPr>
              <w:t>1</w:t>
            </w:r>
          </w:p>
        </w:tc>
        <w:tc>
          <w:tcPr>
            <w:tcW w:w="720" w:type="dxa"/>
          </w:tcPr>
          <w:p w14:paraId="64E4E390" w14:textId="77777777" w:rsidR="00405424" w:rsidRPr="00CD29D0" w:rsidRDefault="00405424" w:rsidP="00E91BA1">
            <w:pPr>
              <w:pStyle w:val="TableTextCentered"/>
              <w:rPr>
                <w:b/>
                <w:bCs/>
              </w:rPr>
            </w:pPr>
            <w:r w:rsidRPr="00CD29D0">
              <w:rPr>
                <w:b/>
                <w:bCs/>
              </w:rPr>
              <w:t>2</w:t>
            </w:r>
          </w:p>
        </w:tc>
        <w:tc>
          <w:tcPr>
            <w:tcW w:w="720" w:type="dxa"/>
          </w:tcPr>
          <w:p w14:paraId="3BFAE574" w14:textId="77777777" w:rsidR="00405424" w:rsidRPr="00CD29D0" w:rsidRDefault="00405424" w:rsidP="00E91BA1">
            <w:pPr>
              <w:pStyle w:val="TableTextCentered"/>
              <w:rPr>
                <w:b/>
                <w:bCs/>
              </w:rPr>
            </w:pPr>
            <w:r w:rsidRPr="00CD29D0">
              <w:rPr>
                <w:b/>
                <w:bCs/>
              </w:rPr>
              <w:t>4</w:t>
            </w:r>
          </w:p>
        </w:tc>
        <w:tc>
          <w:tcPr>
            <w:tcW w:w="720" w:type="dxa"/>
          </w:tcPr>
          <w:p w14:paraId="23415A53" w14:textId="77777777" w:rsidR="00405424" w:rsidRPr="00CD29D0" w:rsidRDefault="00405424" w:rsidP="00E91BA1">
            <w:pPr>
              <w:pStyle w:val="TableTextCentered"/>
              <w:rPr>
                <w:b/>
                <w:bCs/>
              </w:rPr>
            </w:pPr>
            <w:r w:rsidRPr="00CD29D0">
              <w:rPr>
                <w:b/>
                <w:bCs/>
              </w:rPr>
              <w:t>53</w:t>
            </w:r>
          </w:p>
        </w:tc>
        <w:tc>
          <w:tcPr>
            <w:tcW w:w="540" w:type="dxa"/>
          </w:tcPr>
          <w:p w14:paraId="1D32EB0F" w14:textId="77777777" w:rsidR="00405424" w:rsidRPr="00CD29D0" w:rsidRDefault="00405424" w:rsidP="00E91BA1">
            <w:pPr>
              <w:pStyle w:val="TableTextCentered"/>
              <w:rPr>
                <w:b/>
                <w:bCs/>
              </w:rPr>
            </w:pPr>
            <w:r w:rsidRPr="00CD29D0">
              <w:rPr>
                <w:b/>
                <w:bCs/>
              </w:rPr>
              <w:t>60</w:t>
            </w:r>
          </w:p>
        </w:tc>
        <w:tc>
          <w:tcPr>
            <w:tcW w:w="900" w:type="dxa"/>
          </w:tcPr>
          <w:p w14:paraId="45706E2C" w14:textId="77777777" w:rsidR="00405424" w:rsidRPr="00CD29D0" w:rsidRDefault="00405424" w:rsidP="00E91BA1">
            <w:pPr>
              <w:pStyle w:val="TableTextCentered"/>
              <w:rPr>
                <w:b/>
                <w:bCs/>
              </w:rPr>
            </w:pPr>
            <w:r w:rsidRPr="00CD29D0">
              <w:rPr>
                <w:b/>
                <w:bCs/>
              </w:rPr>
              <w:t>6.8</w:t>
            </w:r>
          </w:p>
        </w:tc>
      </w:tr>
      <w:tr w:rsidR="00405424" w:rsidRPr="00CD29D0" w14:paraId="69FA7D9B" w14:textId="77777777" w:rsidTr="00E91BA1">
        <w:tc>
          <w:tcPr>
            <w:tcW w:w="3232" w:type="dxa"/>
          </w:tcPr>
          <w:p w14:paraId="6E05C9BC" w14:textId="77777777" w:rsidR="00405424" w:rsidRPr="00CD29D0" w:rsidRDefault="00405424" w:rsidP="00E91BA1">
            <w:pPr>
              <w:pStyle w:val="TableText"/>
              <w:ind w:left="202"/>
              <w:rPr>
                <w:b/>
                <w:bCs/>
              </w:rPr>
            </w:pPr>
            <w:r w:rsidRPr="00CD29D0">
              <w:t>Behavior Management</w:t>
            </w:r>
          </w:p>
        </w:tc>
        <w:tc>
          <w:tcPr>
            <w:tcW w:w="720" w:type="dxa"/>
          </w:tcPr>
          <w:p w14:paraId="6F1919AB" w14:textId="77777777" w:rsidR="00405424" w:rsidRPr="00CD29D0" w:rsidRDefault="00405424" w:rsidP="00E91BA1">
            <w:pPr>
              <w:pStyle w:val="TableTextCentered"/>
            </w:pPr>
            <w:r w:rsidRPr="00CD29D0">
              <w:t>0</w:t>
            </w:r>
          </w:p>
        </w:tc>
        <w:tc>
          <w:tcPr>
            <w:tcW w:w="720" w:type="dxa"/>
          </w:tcPr>
          <w:p w14:paraId="30FAB660" w14:textId="77777777" w:rsidR="00405424" w:rsidRPr="00CD29D0" w:rsidRDefault="00405424" w:rsidP="00E91BA1">
            <w:pPr>
              <w:pStyle w:val="TableTextCentered"/>
            </w:pPr>
            <w:r w:rsidRPr="00CD29D0">
              <w:t>0</w:t>
            </w:r>
          </w:p>
        </w:tc>
        <w:tc>
          <w:tcPr>
            <w:tcW w:w="720" w:type="dxa"/>
          </w:tcPr>
          <w:p w14:paraId="1D334117" w14:textId="77777777" w:rsidR="00405424" w:rsidRPr="00CD29D0" w:rsidRDefault="00405424" w:rsidP="00E91BA1">
            <w:pPr>
              <w:pStyle w:val="TableTextCentered"/>
            </w:pPr>
            <w:r w:rsidRPr="00CD29D0">
              <w:t>0</w:t>
            </w:r>
          </w:p>
        </w:tc>
        <w:tc>
          <w:tcPr>
            <w:tcW w:w="720" w:type="dxa"/>
          </w:tcPr>
          <w:p w14:paraId="5254DC62" w14:textId="77777777" w:rsidR="00405424" w:rsidRPr="00CD29D0" w:rsidRDefault="00405424" w:rsidP="00E91BA1">
            <w:pPr>
              <w:pStyle w:val="TableTextCentered"/>
            </w:pPr>
            <w:r w:rsidRPr="00CD29D0">
              <w:t>1</w:t>
            </w:r>
          </w:p>
        </w:tc>
        <w:tc>
          <w:tcPr>
            <w:tcW w:w="720" w:type="dxa"/>
          </w:tcPr>
          <w:p w14:paraId="1C976AF4" w14:textId="77777777" w:rsidR="00405424" w:rsidRPr="00CD29D0" w:rsidRDefault="00405424" w:rsidP="00E91BA1">
            <w:pPr>
              <w:pStyle w:val="TableTextCentered"/>
            </w:pPr>
            <w:r w:rsidRPr="00CD29D0">
              <w:t>2</w:t>
            </w:r>
          </w:p>
        </w:tc>
        <w:tc>
          <w:tcPr>
            <w:tcW w:w="720" w:type="dxa"/>
          </w:tcPr>
          <w:p w14:paraId="77EED3D3" w14:textId="77777777" w:rsidR="00405424" w:rsidRPr="00CD29D0" w:rsidRDefault="00405424" w:rsidP="00E91BA1">
            <w:pPr>
              <w:pStyle w:val="TableTextCentered"/>
            </w:pPr>
            <w:r w:rsidRPr="00CD29D0">
              <w:t>2</w:t>
            </w:r>
          </w:p>
        </w:tc>
        <w:tc>
          <w:tcPr>
            <w:tcW w:w="720" w:type="dxa"/>
          </w:tcPr>
          <w:p w14:paraId="204146E8" w14:textId="77777777" w:rsidR="00405424" w:rsidRPr="00CD29D0" w:rsidRDefault="00405424" w:rsidP="00E91BA1">
            <w:pPr>
              <w:pStyle w:val="TableTextCentered"/>
            </w:pPr>
            <w:r w:rsidRPr="00CD29D0">
              <w:t>15</w:t>
            </w:r>
          </w:p>
        </w:tc>
        <w:tc>
          <w:tcPr>
            <w:tcW w:w="540" w:type="dxa"/>
          </w:tcPr>
          <w:p w14:paraId="0349F280" w14:textId="77777777" w:rsidR="00405424" w:rsidRPr="00CD29D0" w:rsidRDefault="00405424" w:rsidP="00E91BA1">
            <w:pPr>
              <w:pStyle w:val="TableTextCentered"/>
            </w:pPr>
            <w:r w:rsidRPr="00CD29D0">
              <w:t>20</w:t>
            </w:r>
          </w:p>
        </w:tc>
        <w:tc>
          <w:tcPr>
            <w:tcW w:w="900" w:type="dxa"/>
          </w:tcPr>
          <w:p w14:paraId="46E8BF2A" w14:textId="77777777" w:rsidR="00405424" w:rsidRPr="00CD29D0" w:rsidRDefault="00405424" w:rsidP="00E91BA1">
            <w:pPr>
              <w:pStyle w:val="TableTextCentered"/>
            </w:pPr>
            <w:r w:rsidRPr="00CD29D0">
              <w:t>6.6</w:t>
            </w:r>
          </w:p>
        </w:tc>
      </w:tr>
      <w:tr w:rsidR="00405424" w:rsidRPr="00CD29D0" w14:paraId="073C8EBF"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49B1A1DD" w14:textId="77777777" w:rsidR="00405424" w:rsidRPr="00CD29D0" w:rsidRDefault="00405424" w:rsidP="00E91BA1">
            <w:pPr>
              <w:pStyle w:val="TableText"/>
              <w:ind w:left="202"/>
              <w:rPr>
                <w:b/>
                <w:bCs/>
              </w:rPr>
            </w:pPr>
            <w:r w:rsidRPr="00CD29D0">
              <w:t>Productivity</w:t>
            </w:r>
          </w:p>
        </w:tc>
        <w:tc>
          <w:tcPr>
            <w:tcW w:w="720" w:type="dxa"/>
          </w:tcPr>
          <w:p w14:paraId="3E9B6D1B" w14:textId="77777777" w:rsidR="00405424" w:rsidRPr="00CD29D0" w:rsidRDefault="00405424" w:rsidP="00E91BA1">
            <w:pPr>
              <w:pStyle w:val="TableTextCentered"/>
            </w:pPr>
            <w:r w:rsidRPr="00CD29D0">
              <w:t>0</w:t>
            </w:r>
          </w:p>
        </w:tc>
        <w:tc>
          <w:tcPr>
            <w:tcW w:w="720" w:type="dxa"/>
          </w:tcPr>
          <w:p w14:paraId="6BB58C22" w14:textId="77777777" w:rsidR="00405424" w:rsidRPr="00CD29D0" w:rsidRDefault="00405424" w:rsidP="00E91BA1">
            <w:pPr>
              <w:pStyle w:val="TableTextCentered"/>
            </w:pPr>
            <w:r w:rsidRPr="00CD29D0">
              <w:t>0</w:t>
            </w:r>
          </w:p>
        </w:tc>
        <w:tc>
          <w:tcPr>
            <w:tcW w:w="720" w:type="dxa"/>
          </w:tcPr>
          <w:p w14:paraId="2ECDE0B3" w14:textId="77777777" w:rsidR="00405424" w:rsidRPr="00CD29D0" w:rsidRDefault="00405424" w:rsidP="00E91BA1">
            <w:pPr>
              <w:pStyle w:val="TableTextCentered"/>
            </w:pPr>
            <w:r w:rsidRPr="00CD29D0">
              <w:t>0</w:t>
            </w:r>
          </w:p>
        </w:tc>
        <w:tc>
          <w:tcPr>
            <w:tcW w:w="720" w:type="dxa"/>
          </w:tcPr>
          <w:p w14:paraId="2B31FFAE" w14:textId="77777777" w:rsidR="00405424" w:rsidRPr="00CD29D0" w:rsidRDefault="00405424" w:rsidP="00E91BA1">
            <w:pPr>
              <w:pStyle w:val="TableTextCentered"/>
            </w:pPr>
            <w:r w:rsidRPr="00CD29D0">
              <w:t>0</w:t>
            </w:r>
          </w:p>
        </w:tc>
        <w:tc>
          <w:tcPr>
            <w:tcW w:w="720" w:type="dxa"/>
          </w:tcPr>
          <w:p w14:paraId="382A8915" w14:textId="77777777" w:rsidR="00405424" w:rsidRPr="00CD29D0" w:rsidRDefault="00405424" w:rsidP="00E91BA1">
            <w:pPr>
              <w:pStyle w:val="TableTextCentered"/>
            </w:pPr>
            <w:r w:rsidRPr="00CD29D0">
              <w:t>0</w:t>
            </w:r>
          </w:p>
        </w:tc>
        <w:tc>
          <w:tcPr>
            <w:tcW w:w="720" w:type="dxa"/>
          </w:tcPr>
          <w:p w14:paraId="52D9C06C" w14:textId="77777777" w:rsidR="00405424" w:rsidRPr="00CD29D0" w:rsidRDefault="00405424" w:rsidP="00E91BA1">
            <w:pPr>
              <w:pStyle w:val="TableTextCentered"/>
            </w:pPr>
            <w:r w:rsidRPr="00CD29D0">
              <w:t>2</w:t>
            </w:r>
          </w:p>
        </w:tc>
        <w:tc>
          <w:tcPr>
            <w:tcW w:w="720" w:type="dxa"/>
          </w:tcPr>
          <w:p w14:paraId="06B7C841" w14:textId="77777777" w:rsidR="00405424" w:rsidRPr="00CD29D0" w:rsidRDefault="00405424" w:rsidP="00E91BA1">
            <w:pPr>
              <w:pStyle w:val="TableTextCentered"/>
            </w:pPr>
            <w:r w:rsidRPr="00CD29D0">
              <w:t>18</w:t>
            </w:r>
          </w:p>
        </w:tc>
        <w:tc>
          <w:tcPr>
            <w:tcW w:w="540" w:type="dxa"/>
          </w:tcPr>
          <w:p w14:paraId="538A10FF" w14:textId="77777777" w:rsidR="00405424" w:rsidRPr="00CD29D0" w:rsidRDefault="00405424" w:rsidP="00E91BA1">
            <w:pPr>
              <w:pStyle w:val="TableTextCentered"/>
            </w:pPr>
            <w:r w:rsidRPr="00CD29D0">
              <w:t>20</w:t>
            </w:r>
          </w:p>
        </w:tc>
        <w:tc>
          <w:tcPr>
            <w:tcW w:w="900" w:type="dxa"/>
          </w:tcPr>
          <w:p w14:paraId="72BAE6FE" w14:textId="77777777" w:rsidR="00405424" w:rsidRPr="00CD29D0" w:rsidRDefault="00405424" w:rsidP="00E91BA1">
            <w:pPr>
              <w:pStyle w:val="TableTextCentered"/>
            </w:pPr>
            <w:r w:rsidRPr="00CD29D0">
              <w:t>6.9</w:t>
            </w:r>
          </w:p>
        </w:tc>
      </w:tr>
      <w:tr w:rsidR="00405424" w:rsidRPr="00CD29D0" w14:paraId="69D42081" w14:textId="77777777" w:rsidTr="00E91BA1">
        <w:tc>
          <w:tcPr>
            <w:tcW w:w="3232" w:type="dxa"/>
          </w:tcPr>
          <w:p w14:paraId="393CDB3A" w14:textId="77777777" w:rsidR="00405424" w:rsidRPr="00CD29D0" w:rsidRDefault="00405424" w:rsidP="00E91BA1">
            <w:pPr>
              <w:pStyle w:val="TableText"/>
              <w:ind w:left="202"/>
              <w:rPr>
                <w:b/>
                <w:bCs/>
              </w:rPr>
            </w:pPr>
            <w:r w:rsidRPr="00CD29D0">
              <w:t>Negative Climate**</w:t>
            </w:r>
          </w:p>
        </w:tc>
        <w:tc>
          <w:tcPr>
            <w:tcW w:w="720" w:type="dxa"/>
          </w:tcPr>
          <w:p w14:paraId="6EB30F7E" w14:textId="77777777" w:rsidR="00405424" w:rsidRPr="00CD29D0" w:rsidRDefault="00405424" w:rsidP="00E91BA1">
            <w:pPr>
              <w:pStyle w:val="TableTextCentered"/>
            </w:pPr>
            <w:r w:rsidRPr="00CD29D0">
              <w:t>0</w:t>
            </w:r>
          </w:p>
        </w:tc>
        <w:tc>
          <w:tcPr>
            <w:tcW w:w="720" w:type="dxa"/>
          </w:tcPr>
          <w:p w14:paraId="6666434A" w14:textId="77777777" w:rsidR="00405424" w:rsidRPr="00CD29D0" w:rsidRDefault="00405424" w:rsidP="00E91BA1">
            <w:pPr>
              <w:pStyle w:val="TableTextCentered"/>
            </w:pPr>
            <w:r w:rsidRPr="00CD29D0">
              <w:t>0</w:t>
            </w:r>
          </w:p>
        </w:tc>
        <w:tc>
          <w:tcPr>
            <w:tcW w:w="720" w:type="dxa"/>
          </w:tcPr>
          <w:p w14:paraId="7C306B16" w14:textId="77777777" w:rsidR="00405424" w:rsidRPr="00CD29D0" w:rsidRDefault="00405424" w:rsidP="00E91BA1">
            <w:pPr>
              <w:pStyle w:val="TableTextCentered"/>
            </w:pPr>
            <w:r w:rsidRPr="00CD29D0">
              <w:t>0</w:t>
            </w:r>
          </w:p>
        </w:tc>
        <w:tc>
          <w:tcPr>
            <w:tcW w:w="720" w:type="dxa"/>
          </w:tcPr>
          <w:p w14:paraId="688918D6" w14:textId="77777777" w:rsidR="00405424" w:rsidRPr="00CD29D0" w:rsidRDefault="00405424" w:rsidP="00E91BA1">
            <w:pPr>
              <w:pStyle w:val="TableTextCentered"/>
            </w:pPr>
            <w:r w:rsidRPr="00CD29D0">
              <w:t>0</w:t>
            </w:r>
          </w:p>
        </w:tc>
        <w:tc>
          <w:tcPr>
            <w:tcW w:w="720" w:type="dxa"/>
          </w:tcPr>
          <w:p w14:paraId="6E8AAEAB" w14:textId="77777777" w:rsidR="00405424" w:rsidRPr="00CD29D0" w:rsidRDefault="00405424" w:rsidP="00E91BA1">
            <w:pPr>
              <w:pStyle w:val="TableTextCentered"/>
            </w:pPr>
            <w:r w:rsidRPr="00CD29D0">
              <w:t>0</w:t>
            </w:r>
          </w:p>
        </w:tc>
        <w:tc>
          <w:tcPr>
            <w:tcW w:w="720" w:type="dxa"/>
          </w:tcPr>
          <w:p w14:paraId="595BC9A9" w14:textId="77777777" w:rsidR="00405424" w:rsidRPr="00CD29D0" w:rsidRDefault="00405424" w:rsidP="00E91BA1">
            <w:pPr>
              <w:pStyle w:val="TableTextCentered"/>
            </w:pPr>
            <w:r w:rsidRPr="00CD29D0">
              <w:t>0</w:t>
            </w:r>
          </w:p>
        </w:tc>
        <w:tc>
          <w:tcPr>
            <w:tcW w:w="720" w:type="dxa"/>
          </w:tcPr>
          <w:p w14:paraId="315435D5" w14:textId="77777777" w:rsidR="00405424" w:rsidRPr="00CD29D0" w:rsidRDefault="00405424" w:rsidP="00E91BA1">
            <w:pPr>
              <w:pStyle w:val="TableTextCentered"/>
            </w:pPr>
            <w:r w:rsidRPr="00CD29D0">
              <w:t>20</w:t>
            </w:r>
          </w:p>
        </w:tc>
        <w:tc>
          <w:tcPr>
            <w:tcW w:w="540" w:type="dxa"/>
          </w:tcPr>
          <w:p w14:paraId="06A1F344" w14:textId="77777777" w:rsidR="00405424" w:rsidRPr="00CD29D0" w:rsidRDefault="00405424" w:rsidP="00E91BA1">
            <w:pPr>
              <w:pStyle w:val="TableTextCentered"/>
            </w:pPr>
            <w:r w:rsidRPr="00CD29D0">
              <w:t>20</w:t>
            </w:r>
          </w:p>
        </w:tc>
        <w:tc>
          <w:tcPr>
            <w:tcW w:w="900" w:type="dxa"/>
          </w:tcPr>
          <w:p w14:paraId="0DFE24BD" w14:textId="77777777" w:rsidR="00405424" w:rsidRPr="00CD29D0" w:rsidRDefault="00405424" w:rsidP="00E91BA1">
            <w:pPr>
              <w:pStyle w:val="TableTextCentered"/>
            </w:pPr>
            <w:r w:rsidRPr="00CD29D0">
              <w:t>7.0</w:t>
            </w:r>
          </w:p>
        </w:tc>
      </w:tr>
      <w:tr w:rsidR="00405424" w:rsidRPr="00CD29D0" w14:paraId="3B584361"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09EFD766" w14:textId="77777777" w:rsidR="00405424" w:rsidRPr="00CD29D0" w:rsidRDefault="00405424" w:rsidP="00E91BA1">
            <w:pPr>
              <w:pStyle w:val="TableText"/>
              <w:rPr>
                <w:b/>
                <w:bCs/>
                <w:szCs w:val="20"/>
              </w:rPr>
            </w:pPr>
            <w:r w:rsidRPr="00CD29D0">
              <w:rPr>
                <w:b/>
                <w:bCs/>
              </w:rPr>
              <w:t>Instructional Support Domain</w:t>
            </w:r>
          </w:p>
        </w:tc>
        <w:tc>
          <w:tcPr>
            <w:tcW w:w="720" w:type="dxa"/>
          </w:tcPr>
          <w:p w14:paraId="5127120F" w14:textId="77777777" w:rsidR="00405424" w:rsidRPr="00CD29D0" w:rsidRDefault="00405424" w:rsidP="00E91BA1">
            <w:pPr>
              <w:pStyle w:val="TableTextCentered"/>
              <w:rPr>
                <w:b/>
                <w:bCs/>
              </w:rPr>
            </w:pPr>
            <w:r w:rsidRPr="00CD29D0">
              <w:rPr>
                <w:b/>
                <w:bCs/>
              </w:rPr>
              <w:t>14</w:t>
            </w:r>
          </w:p>
        </w:tc>
        <w:tc>
          <w:tcPr>
            <w:tcW w:w="720" w:type="dxa"/>
          </w:tcPr>
          <w:p w14:paraId="62ECB784" w14:textId="77777777" w:rsidR="00405424" w:rsidRPr="00CD29D0" w:rsidRDefault="00405424" w:rsidP="00E91BA1">
            <w:pPr>
              <w:pStyle w:val="TableTextCentered"/>
              <w:rPr>
                <w:b/>
                <w:bCs/>
              </w:rPr>
            </w:pPr>
            <w:r w:rsidRPr="00CD29D0">
              <w:rPr>
                <w:b/>
                <w:bCs/>
              </w:rPr>
              <w:t>25</w:t>
            </w:r>
          </w:p>
        </w:tc>
        <w:tc>
          <w:tcPr>
            <w:tcW w:w="720" w:type="dxa"/>
          </w:tcPr>
          <w:p w14:paraId="2E493CA3" w14:textId="77777777" w:rsidR="00405424" w:rsidRPr="00CD29D0" w:rsidRDefault="00405424" w:rsidP="00E91BA1">
            <w:pPr>
              <w:pStyle w:val="TableTextCentered"/>
              <w:rPr>
                <w:b/>
                <w:bCs/>
              </w:rPr>
            </w:pPr>
            <w:r w:rsidRPr="00CD29D0">
              <w:rPr>
                <w:b/>
                <w:bCs/>
              </w:rPr>
              <w:t>25</w:t>
            </w:r>
          </w:p>
        </w:tc>
        <w:tc>
          <w:tcPr>
            <w:tcW w:w="720" w:type="dxa"/>
          </w:tcPr>
          <w:p w14:paraId="4AA81274" w14:textId="77777777" w:rsidR="00405424" w:rsidRPr="00CD29D0" w:rsidRDefault="00405424" w:rsidP="00E91BA1">
            <w:pPr>
              <w:pStyle w:val="TableTextCentered"/>
              <w:rPr>
                <w:b/>
                <w:bCs/>
              </w:rPr>
            </w:pPr>
            <w:r w:rsidRPr="00CD29D0">
              <w:rPr>
                <w:b/>
                <w:bCs/>
              </w:rPr>
              <w:t>19</w:t>
            </w:r>
          </w:p>
        </w:tc>
        <w:tc>
          <w:tcPr>
            <w:tcW w:w="720" w:type="dxa"/>
          </w:tcPr>
          <w:p w14:paraId="2CD8D2CB" w14:textId="77777777" w:rsidR="00405424" w:rsidRPr="00CD29D0" w:rsidRDefault="00405424" w:rsidP="00E91BA1">
            <w:pPr>
              <w:pStyle w:val="TableTextCentered"/>
              <w:rPr>
                <w:b/>
                <w:bCs/>
              </w:rPr>
            </w:pPr>
            <w:r w:rsidRPr="00CD29D0">
              <w:rPr>
                <w:b/>
                <w:bCs/>
              </w:rPr>
              <w:t>11</w:t>
            </w:r>
          </w:p>
        </w:tc>
        <w:tc>
          <w:tcPr>
            <w:tcW w:w="720" w:type="dxa"/>
          </w:tcPr>
          <w:p w14:paraId="151B89BE" w14:textId="77777777" w:rsidR="00405424" w:rsidRPr="00CD29D0" w:rsidRDefault="00405424" w:rsidP="00E91BA1">
            <w:pPr>
              <w:pStyle w:val="TableTextCentered"/>
              <w:rPr>
                <w:b/>
                <w:bCs/>
              </w:rPr>
            </w:pPr>
            <w:r w:rsidRPr="00CD29D0">
              <w:rPr>
                <w:b/>
                <w:bCs/>
              </w:rPr>
              <w:t>6</w:t>
            </w:r>
          </w:p>
        </w:tc>
        <w:tc>
          <w:tcPr>
            <w:tcW w:w="720" w:type="dxa"/>
          </w:tcPr>
          <w:p w14:paraId="5C800940" w14:textId="77777777" w:rsidR="00405424" w:rsidRPr="00CD29D0" w:rsidRDefault="00405424" w:rsidP="00E91BA1">
            <w:pPr>
              <w:pStyle w:val="TableTextCentered"/>
              <w:rPr>
                <w:b/>
                <w:bCs/>
              </w:rPr>
            </w:pPr>
            <w:r w:rsidRPr="00CD29D0">
              <w:rPr>
                <w:b/>
                <w:bCs/>
              </w:rPr>
              <w:t>0</w:t>
            </w:r>
          </w:p>
        </w:tc>
        <w:tc>
          <w:tcPr>
            <w:tcW w:w="540" w:type="dxa"/>
          </w:tcPr>
          <w:p w14:paraId="36EFC42D" w14:textId="77777777" w:rsidR="00405424" w:rsidRPr="00CD29D0" w:rsidRDefault="00405424" w:rsidP="00E91BA1">
            <w:pPr>
              <w:pStyle w:val="TableTextCentered"/>
              <w:rPr>
                <w:b/>
                <w:bCs/>
              </w:rPr>
            </w:pPr>
            <w:r w:rsidRPr="00CD29D0">
              <w:rPr>
                <w:b/>
                <w:bCs/>
              </w:rPr>
              <w:t>100</w:t>
            </w:r>
          </w:p>
        </w:tc>
        <w:tc>
          <w:tcPr>
            <w:tcW w:w="900" w:type="dxa"/>
          </w:tcPr>
          <w:p w14:paraId="2745C9B7" w14:textId="77777777" w:rsidR="00405424" w:rsidRPr="00CD29D0" w:rsidRDefault="00405424" w:rsidP="00E91BA1">
            <w:pPr>
              <w:pStyle w:val="TableTextCentered"/>
              <w:rPr>
                <w:b/>
                <w:bCs/>
              </w:rPr>
            </w:pPr>
            <w:r w:rsidRPr="00CD29D0">
              <w:rPr>
                <w:b/>
                <w:bCs/>
              </w:rPr>
              <w:t>3.1</w:t>
            </w:r>
          </w:p>
        </w:tc>
      </w:tr>
      <w:tr w:rsidR="00405424" w:rsidRPr="00CD29D0" w14:paraId="33658093" w14:textId="77777777" w:rsidTr="00E91BA1">
        <w:tc>
          <w:tcPr>
            <w:tcW w:w="3232" w:type="dxa"/>
          </w:tcPr>
          <w:p w14:paraId="441DA82B" w14:textId="77777777" w:rsidR="00405424" w:rsidRPr="00CD29D0" w:rsidRDefault="00405424" w:rsidP="00E91BA1">
            <w:pPr>
              <w:pStyle w:val="TableText"/>
              <w:ind w:left="202"/>
              <w:rPr>
                <w:b/>
                <w:bCs/>
              </w:rPr>
            </w:pPr>
            <w:r w:rsidRPr="00CD29D0">
              <w:t>Instructional Learning Formats</w:t>
            </w:r>
          </w:p>
        </w:tc>
        <w:tc>
          <w:tcPr>
            <w:tcW w:w="720" w:type="dxa"/>
          </w:tcPr>
          <w:p w14:paraId="40C961D9" w14:textId="77777777" w:rsidR="00405424" w:rsidRPr="00CD29D0" w:rsidRDefault="00405424" w:rsidP="00E91BA1">
            <w:pPr>
              <w:pStyle w:val="TableTextCentered"/>
            </w:pPr>
            <w:r w:rsidRPr="00CD29D0">
              <w:t>0</w:t>
            </w:r>
          </w:p>
        </w:tc>
        <w:tc>
          <w:tcPr>
            <w:tcW w:w="720" w:type="dxa"/>
          </w:tcPr>
          <w:p w14:paraId="08BB8EB6" w14:textId="77777777" w:rsidR="00405424" w:rsidRPr="00CD29D0" w:rsidRDefault="00405424" w:rsidP="00E91BA1">
            <w:pPr>
              <w:pStyle w:val="TableTextCentered"/>
            </w:pPr>
            <w:r w:rsidRPr="00CD29D0">
              <w:t>0</w:t>
            </w:r>
          </w:p>
        </w:tc>
        <w:tc>
          <w:tcPr>
            <w:tcW w:w="720" w:type="dxa"/>
          </w:tcPr>
          <w:p w14:paraId="1E5E9D88" w14:textId="77777777" w:rsidR="00405424" w:rsidRPr="00CD29D0" w:rsidRDefault="00405424" w:rsidP="00E91BA1">
            <w:pPr>
              <w:pStyle w:val="TableTextCentered"/>
            </w:pPr>
            <w:r w:rsidRPr="00CD29D0">
              <w:t>1</w:t>
            </w:r>
          </w:p>
        </w:tc>
        <w:tc>
          <w:tcPr>
            <w:tcW w:w="720" w:type="dxa"/>
          </w:tcPr>
          <w:p w14:paraId="2ECE33D6" w14:textId="77777777" w:rsidR="00405424" w:rsidRPr="00CD29D0" w:rsidRDefault="00405424" w:rsidP="00E91BA1">
            <w:pPr>
              <w:pStyle w:val="TableTextCentered"/>
            </w:pPr>
            <w:r w:rsidRPr="00CD29D0">
              <w:t>4</w:t>
            </w:r>
          </w:p>
        </w:tc>
        <w:tc>
          <w:tcPr>
            <w:tcW w:w="720" w:type="dxa"/>
          </w:tcPr>
          <w:p w14:paraId="37A772E2" w14:textId="77777777" w:rsidR="00405424" w:rsidRPr="00CD29D0" w:rsidRDefault="00405424" w:rsidP="00E91BA1">
            <w:pPr>
              <w:pStyle w:val="TableTextCentered"/>
            </w:pPr>
            <w:r w:rsidRPr="00CD29D0">
              <w:t>9</w:t>
            </w:r>
          </w:p>
        </w:tc>
        <w:tc>
          <w:tcPr>
            <w:tcW w:w="720" w:type="dxa"/>
          </w:tcPr>
          <w:p w14:paraId="2DEF0F49" w14:textId="77777777" w:rsidR="00405424" w:rsidRPr="00CD29D0" w:rsidRDefault="00405424" w:rsidP="00E91BA1">
            <w:pPr>
              <w:pStyle w:val="TableTextCentered"/>
            </w:pPr>
            <w:r w:rsidRPr="00CD29D0">
              <w:t>6</w:t>
            </w:r>
          </w:p>
        </w:tc>
        <w:tc>
          <w:tcPr>
            <w:tcW w:w="720" w:type="dxa"/>
          </w:tcPr>
          <w:p w14:paraId="472A2C6D" w14:textId="77777777" w:rsidR="00405424" w:rsidRPr="00CD29D0" w:rsidRDefault="00405424" w:rsidP="00E91BA1">
            <w:pPr>
              <w:pStyle w:val="TableTextCentered"/>
            </w:pPr>
            <w:r w:rsidRPr="00CD29D0">
              <w:t>0</w:t>
            </w:r>
          </w:p>
        </w:tc>
        <w:tc>
          <w:tcPr>
            <w:tcW w:w="540" w:type="dxa"/>
          </w:tcPr>
          <w:p w14:paraId="37F72152" w14:textId="77777777" w:rsidR="00405424" w:rsidRPr="00CD29D0" w:rsidRDefault="00405424" w:rsidP="00E91BA1">
            <w:pPr>
              <w:pStyle w:val="TableTextCentered"/>
            </w:pPr>
            <w:r w:rsidRPr="00CD29D0">
              <w:t>20</w:t>
            </w:r>
          </w:p>
        </w:tc>
        <w:tc>
          <w:tcPr>
            <w:tcW w:w="900" w:type="dxa"/>
          </w:tcPr>
          <w:p w14:paraId="1EC62AD2" w14:textId="77777777" w:rsidR="00405424" w:rsidRPr="00CD29D0" w:rsidRDefault="00405424" w:rsidP="00E91BA1">
            <w:pPr>
              <w:pStyle w:val="TableTextCentered"/>
            </w:pPr>
            <w:r w:rsidRPr="00CD29D0">
              <w:t>5.0</w:t>
            </w:r>
          </w:p>
        </w:tc>
      </w:tr>
      <w:tr w:rsidR="00405424" w:rsidRPr="00CD29D0" w14:paraId="5E633498"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5802496A" w14:textId="77777777" w:rsidR="00405424" w:rsidRPr="00CD29D0" w:rsidRDefault="00405424" w:rsidP="00E91BA1">
            <w:pPr>
              <w:pStyle w:val="TableText"/>
              <w:ind w:left="202"/>
              <w:rPr>
                <w:b/>
                <w:bCs/>
              </w:rPr>
            </w:pPr>
            <w:r w:rsidRPr="00CD29D0">
              <w:t>Content Understanding</w:t>
            </w:r>
          </w:p>
        </w:tc>
        <w:tc>
          <w:tcPr>
            <w:tcW w:w="720" w:type="dxa"/>
          </w:tcPr>
          <w:p w14:paraId="6AC74252" w14:textId="77777777" w:rsidR="00405424" w:rsidRPr="00CD29D0" w:rsidRDefault="00405424" w:rsidP="00E91BA1">
            <w:pPr>
              <w:pStyle w:val="TableTextCentered"/>
            </w:pPr>
            <w:r w:rsidRPr="00CD29D0">
              <w:t>0</w:t>
            </w:r>
          </w:p>
        </w:tc>
        <w:tc>
          <w:tcPr>
            <w:tcW w:w="720" w:type="dxa"/>
          </w:tcPr>
          <w:p w14:paraId="79482352" w14:textId="77777777" w:rsidR="00405424" w:rsidRPr="00CD29D0" w:rsidRDefault="00405424" w:rsidP="00E91BA1">
            <w:pPr>
              <w:pStyle w:val="TableTextCentered"/>
            </w:pPr>
            <w:r w:rsidRPr="00CD29D0">
              <w:t>2</w:t>
            </w:r>
          </w:p>
        </w:tc>
        <w:tc>
          <w:tcPr>
            <w:tcW w:w="720" w:type="dxa"/>
          </w:tcPr>
          <w:p w14:paraId="5F7FF168" w14:textId="77777777" w:rsidR="00405424" w:rsidRPr="00CD29D0" w:rsidRDefault="00405424" w:rsidP="00E91BA1">
            <w:pPr>
              <w:pStyle w:val="TableTextCentered"/>
            </w:pPr>
            <w:r w:rsidRPr="00CD29D0">
              <w:t>11</w:t>
            </w:r>
          </w:p>
        </w:tc>
        <w:tc>
          <w:tcPr>
            <w:tcW w:w="720" w:type="dxa"/>
          </w:tcPr>
          <w:p w14:paraId="4A5CFCEB" w14:textId="77777777" w:rsidR="00405424" w:rsidRPr="00CD29D0" w:rsidRDefault="00405424" w:rsidP="00E91BA1">
            <w:pPr>
              <w:pStyle w:val="TableTextCentered"/>
            </w:pPr>
            <w:r w:rsidRPr="00CD29D0">
              <w:t>7</w:t>
            </w:r>
          </w:p>
        </w:tc>
        <w:tc>
          <w:tcPr>
            <w:tcW w:w="720" w:type="dxa"/>
          </w:tcPr>
          <w:p w14:paraId="6C5FB0EA" w14:textId="77777777" w:rsidR="00405424" w:rsidRPr="00CD29D0" w:rsidRDefault="00405424" w:rsidP="00E91BA1">
            <w:pPr>
              <w:pStyle w:val="TableTextCentered"/>
            </w:pPr>
            <w:r w:rsidRPr="00CD29D0">
              <w:t>0</w:t>
            </w:r>
          </w:p>
        </w:tc>
        <w:tc>
          <w:tcPr>
            <w:tcW w:w="720" w:type="dxa"/>
          </w:tcPr>
          <w:p w14:paraId="2E12F047" w14:textId="77777777" w:rsidR="00405424" w:rsidRPr="00CD29D0" w:rsidRDefault="00405424" w:rsidP="00E91BA1">
            <w:pPr>
              <w:pStyle w:val="TableTextCentered"/>
            </w:pPr>
            <w:r w:rsidRPr="00CD29D0">
              <w:t>0</w:t>
            </w:r>
          </w:p>
        </w:tc>
        <w:tc>
          <w:tcPr>
            <w:tcW w:w="720" w:type="dxa"/>
          </w:tcPr>
          <w:p w14:paraId="2798A398" w14:textId="77777777" w:rsidR="00405424" w:rsidRPr="00CD29D0" w:rsidRDefault="00405424" w:rsidP="00E91BA1">
            <w:pPr>
              <w:pStyle w:val="TableTextCentered"/>
            </w:pPr>
            <w:r w:rsidRPr="00CD29D0">
              <w:t>0</w:t>
            </w:r>
          </w:p>
        </w:tc>
        <w:tc>
          <w:tcPr>
            <w:tcW w:w="540" w:type="dxa"/>
          </w:tcPr>
          <w:p w14:paraId="25C8C2DB" w14:textId="77777777" w:rsidR="00405424" w:rsidRPr="00CD29D0" w:rsidRDefault="00405424" w:rsidP="00E91BA1">
            <w:pPr>
              <w:pStyle w:val="TableTextCentered"/>
            </w:pPr>
            <w:r w:rsidRPr="00CD29D0">
              <w:t>20</w:t>
            </w:r>
          </w:p>
        </w:tc>
        <w:tc>
          <w:tcPr>
            <w:tcW w:w="900" w:type="dxa"/>
          </w:tcPr>
          <w:p w14:paraId="21E80DB9" w14:textId="77777777" w:rsidR="00405424" w:rsidRPr="00CD29D0" w:rsidRDefault="00405424" w:rsidP="00E91BA1">
            <w:pPr>
              <w:pStyle w:val="TableTextCentered"/>
            </w:pPr>
            <w:r w:rsidRPr="00CD29D0">
              <w:t>3.3</w:t>
            </w:r>
          </w:p>
        </w:tc>
      </w:tr>
      <w:tr w:rsidR="00405424" w:rsidRPr="00CD29D0" w14:paraId="6153C916" w14:textId="77777777" w:rsidTr="00E91BA1">
        <w:tc>
          <w:tcPr>
            <w:tcW w:w="3232" w:type="dxa"/>
          </w:tcPr>
          <w:p w14:paraId="1EE58283" w14:textId="77777777" w:rsidR="00405424" w:rsidRPr="00CD29D0" w:rsidRDefault="00405424" w:rsidP="00E91BA1">
            <w:pPr>
              <w:pStyle w:val="TableText"/>
              <w:ind w:left="202"/>
              <w:rPr>
                <w:b/>
                <w:bCs/>
              </w:rPr>
            </w:pPr>
            <w:r w:rsidRPr="00CD29D0">
              <w:t>Analysis and Inquiry</w:t>
            </w:r>
          </w:p>
        </w:tc>
        <w:tc>
          <w:tcPr>
            <w:tcW w:w="720" w:type="dxa"/>
          </w:tcPr>
          <w:p w14:paraId="65CCA684" w14:textId="77777777" w:rsidR="00405424" w:rsidRPr="00CD29D0" w:rsidRDefault="00405424" w:rsidP="00E91BA1">
            <w:pPr>
              <w:pStyle w:val="TableTextCentered"/>
            </w:pPr>
            <w:r w:rsidRPr="00CD29D0">
              <w:t>2</w:t>
            </w:r>
          </w:p>
        </w:tc>
        <w:tc>
          <w:tcPr>
            <w:tcW w:w="720" w:type="dxa"/>
          </w:tcPr>
          <w:p w14:paraId="771D085E" w14:textId="77777777" w:rsidR="00405424" w:rsidRPr="00CD29D0" w:rsidRDefault="00405424" w:rsidP="00E91BA1">
            <w:pPr>
              <w:pStyle w:val="TableTextCentered"/>
            </w:pPr>
            <w:r w:rsidRPr="00CD29D0">
              <w:t>10</w:t>
            </w:r>
          </w:p>
        </w:tc>
        <w:tc>
          <w:tcPr>
            <w:tcW w:w="720" w:type="dxa"/>
          </w:tcPr>
          <w:p w14:paraId="2FD6E600" w14:textId="77777777" w:rsidR="00405424" w:rsidRPr="00CD29D0" w:rsidRDefault="00405424" w:rsidP="00E91BA1">
            <w:pPr>
              <w:pStyle w:val="TableTextCentered"/>
            </w:pPr>
            <w:r w:rsidRPr="00CD29D0">
              <w:t>4</w:t>
            </w:r>
          </w:p>
        </w:tc>
        <w:tc>
          <w:tcPr>
            <w:tcW w:w="720" w:type="dxa"/>
          </w:tcPr>
          <w:p w14:paraId="62425E8C" w14:textId="77777777" w:rsidR="00405424" w:rsidRPr="00CD29D0" w:rsidRDefault="00405424" w:rsidP="00E91BA1">
            <w:pPr>
              <w:pStyle w:val="TableTextCentered"/>
            </w:pPr>
            <w:r w:rsidRPr="00CD29D0">
              <w:t>3</w:t>
            </w:r>
          </w:p>
        </w:tc>
        <w:tc>
          <w:tcPr>
            <w:tcW w:w="720" w:type="dxa"/>
          </w:tcPr>
          <w:p w14:paraId="273204D1" w14:textId="77777777" w:rsidR="00405424" w:rsidRPr="00CD29D0" w:rsidRDefault="00405424" w:rsidP="00E91BA1">
            <w:pPr>
              <w:pStyle w:val="TableTextCentered"/>
            </w:pPr>
            <w:r w:rsidRPr="00CD29D0">
              <w:t>1</w:t>
            </w:r>
          </w:p>
        </w:tc>
        <w:tc>
          <w:tcPr>
            <w:tcW w:w="720" w:type="dxa"/>
          </w:tcPr>
          <w:p w14:paraId="44EF853D" w14:textId="77777777" w:rsidR="00405424" w:rsidRPr="00CD29D0" w:rsidRDefault="00405424" w:rsidP="00E91BA1">
            <w:pPr>
              <w:pStyle w:val="TableTextCentered"/>
            </w:pPr>
            <w:r w:rsidRPr="00CD29D0">
              <w:t>0</w:t>
            </w:r>
          </w:p>
        </w:tc>
        <w:tc>
          <w:tcPr>
            <w:tcW w:w="720" w:type="dxa"/>
          </w:tcPr>
          <w:p w14:paraId="33D761A8" w14:textId="77777777" w:rsidR="00405424" w:rsidRPr="00CD29D0" w:rsidRDefault="00405424" w:rsidP="00E91BA1">
            <w:pPr>
              <w:pStyle w:val="TableTextCentered"/>
            </w:pPr>
            <w:r w:rsidRPr="00CD29D0">
              <w:t>0</w:t>
            </w:r>
          </w:p>
        </w:tc>
        <w:tc>
          <w:tcPr>
            <w:tcW w:w="540" w:type="dxa"/>
          </w:tcPr>
          <w:p w14:paraId="68CA4478" w14:textId="77777777" w:rsidR="00405424" w:rsidRPr="00CD29D0" w:rsidRDefault="00405424" w:rsidP="00E91BA1">
            <w:pPr>
              <w:pStyle w:val="TableTextCentered"/>
            </w:pPr>
            <w:r w:rsidRPr="00CD29D0">
              <w:t>20</w:t>
            </w:r>
          </w:p>
        </w:tc>
        <w:tc>
          <w:tcPr>
            <w:tcW w:w="900" w:type="dxa"/>
          </w:tcPr>
          <w:p w14:paraId="32B192A6" w14:textId="77777777" w:rsidR="00405424" w:rsidRPr="00CD29D0" w:rsidRDefault="00405424" w:rsidP="00E91BA1">
            <w:pPr>
              <w:pStyle w:val="TableTextCentered"/>
            </w:pPr>
            <w:r w:rsidRPr="00CD29D0">
              <w:t>2.6</w:t>
            </w:r>
          </w:p>
        </w:tc>
      </w:tr>
      <w:tr w:rsidR="00405424" w:rsidRPr="00CD29D0" w14:paraId="745DA6B9"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66564893" w14:textId="77777777" w:rsidR="00405424" w:rsidRPr="00CD29D0" w:rsidRDefault="00405424" w:rsidP="00E91BA1">
            <w:pPr>
              <w:pStyle w:val="TableText"/>
              <w:ind w:left="202"/>
              <w:rPr>
                <w:b/>
                <w:bCs/>
              </w:rPr>
            </w:pPr>
            <w:r w:rsidRPr="00CD29D0">
              <w:t>Quality of Feedback</w:t>
            </w:r>
          </w:p>
        </w:tc>
        <w:tc>
          <w:tcPr>
            <w:tcW w:w="720" w:type="dxa"/>
          </w:tcPr>
          <w:p w14:paraId="172B2BB6" w14:textId="77777777" w:rsidR="00405424" w:rsidRPr="00CD29D0" w:rsidRDefault="00405424" w:rsidP="00E91BA1">
            <w:pPr>
              <w:pStyle w:val="TableTextCentered"/>
            </w:pPr>
            <w:r w:rsidRPr="00CD29D0">
              <w:t>7</w:t>
            </w:r>
          </w:p>
        </w:tc>
        <w:tc>
          <w:tcPr>
            <w:tcW w:w="720" w:type="dxa"/>
          </w:tcPr>
          <w:p w14:paraId="6E38A5B4" w14:textId="77777777" w:rsidR="00405424" w:rsidRPr="00CD29D0" w:rsidRDefault="00405424" w:rsidP="00E91BA1">
            <w:pPr>
              <w:pStyle w:val="TableTextCentered"/>
            </w:pPr>
            <w:r w:rsidRPr="00CD29D0">
              <w:t>4</w:t>
            </w:r>
          </w:p>
        </w:tc>
        <w:tc>
          <w:tcPr>
            <w:tcW w:w="720" w:type="dxa"/>
          </w:tcPr>
          <w:p w14:paraId="0E39DA43" w14:textId="77777777" w:rsidR="00405424" w:rsidRPr="00CD29D0" w:rsidRDefault="00405424" w:rsidP="00E91BA1">
            <w:pPr>
              <w:pStyle w:val="TableTextCentered"/>
            </w:pPr>
            <w:r w:rsidRPr="00CD29D0">
              <w:t>7</w:t>
            </w:r>
          </w:p>
        </w:tc>
        <w:tc>
          <w:tcPr>
            <w:tcW w:w="720" w:type="dxa"/>
          </w:tcPr>
          <w:p w14:paraId="5C76F728" w14:textId="77777777" w:rsidR="00405424" w:rsidRPr="00CD29D0" w:rsidRDefault="00405424" w:rsidP="00E91BA1">
            <w:pPr>
              <w:pStyle w:val="TableTextCentered"/>
            </w:pPr>
            <w:r w:rsidRPr="00CD29D0">
              <w:t>1</w:t>
            </w:r>
          </w:p>
        </w:tc>
        <w:tc>
          <w:tcPr>
            <w:tcW w:w="720" w:type="dxa"/>
          </w:tcPr>
          <w:p w14:paraId="5AF4A9EC" w14:textId="77777777" w:rsidR="00405424" w:rsidRPr="00CD29D0" w:rsidRDefault="00405424" w:rsidP="00E91BA1">
            <w:pPr>
              <w:pStyle w:val="TableTextCentered"/>
            </w:pPr>
            <w:r w:rsidRPr="00CD29D0">
              <w:t>1</w:t>
            </w:r>
          </w:p>
        </w:tc>
        <w:tc>
          <w:tcPr>
            <w:tcW w:w="720" w:type="dxa"/>
          </w:tcPr>
          <w:p w14:paraId="7727AE41" w14:textId="77777777" w:rsidR="00405424" w:rsidRPr="00CD29D0" w:rsidRDefault="00405424" w:rsidP="00E91BA1">
            <w:pPr>
              <w:pStyle w:val="TableTextCentered"/>
            </w:pPr>
            <w:r w:rsidRPr="00CD29D0">
              <w:t>0</w:t>
            </w:r>
          </w:p>
        </w:tc>
        <w:tc>
          <w:tcPr>
            <w:tcW w:w="720" w:type="dxa"/>
          </w:tcPr>
          <w:p w14:paraId="4854E68E" w14:textId="77777777" w:rsidR="00405424" w:rsidRPr="00CD29D0" w:rsidRDefault="00405424" w:rsidP="00E91BA1">
            <w:pPr>
              <w:pStyle w:val="TableTextCentered"/>
            </w:pPr>
            <w:r w:rsidRPr="00CD29D0">
              <w:t>0</w:t>
            </w:r>
          </w:p>
        </w:tc>
        <w:tc>
          <w:tcPr>
            <w:tcW w:w="540" w:type="dxa"/>
          </w:tcPr>
          <w:p w14:paraId="7C1DA1A3" w14:textId="77777777" w:rsidR="00405424" w:rsidRPr="00CD29D0" w:rsidRDefault="00405424" w:rsidP="00E91BA1">
            <w:pPr>
              <w:pStyle w:val="TableTextCentered"/>
            </w:pPr>
            <w:r w:rsidRPr="00CD29D0">
              <w:t>20</w:t>
            </w:r>
          </w:p>
        </w:tc>
        <w:tc>
          <w:tcPr>
            <w:tcW w:w="900" w:type="dxa"/>
          </w:tcPr>
          <w:p w14:paraId="17CED211" w14:textId="77777777" w:rsidR="00405424" w:rsidRPr="00CD29D0" w:rsidRDefault="00405424" w:rsidP="00E91BA1">
            <w:pPr>
              <w:pStyle w:val="TableTextCentered"/>
            </w:pPr>
            <w:r w:rsidRPr="00CD29D0">
              <w:t>2.3</w:t>
            </w:r>
          </w:p>
        </w:tc>
      </w:tr>
      <w:tr w:rsidR="00405424" w:rsidRPr="00CD29D0" w14:paraId="24F34BB9" w14:textId="77777777" w:rsidTr="00E91BA1">
        <w:tc>
          <w:tcPr>
            <w:tcW w:w="3232" w:type="dxa"/>
          </w:tcPr>
          <w:p w14:paraId="47D1EB29" w14:textId="77777777" w:rsidR="00405424" w:rsidRPr="00CD29D0" w:rsidRDefault="00405424" w:rsidP="00E91BA1">
            <w:pPr>
              <w:pStyle w:val="TableText"/>
              <w:ind w:left="202"/>
              <w:rPr>
                <w:b/>
                <w:bCs/>
              </w:rPr>
            </w:pPr>
            <w:r w:rsidRPr="00CD29D0">
              <w:t>Instructional Dialogue</w:t>
            </w:r>
          </w:p>
        </w:tc>
        <w:tc>
          <w:tcPr>
            <w:tcW w:w="720" w:type="dxa"/>
          </w:tcPr>
          <w:p w14:paraId="5B3769B9" w14:textId="77777777" w:rsidR="00405424" w:rsidRPr="00CD29D0" w:rsidRDefault="00405424" w:rsidP="00E91BA1">
            <w:pPr>
              <w:pStyle w:val="TableTextCentered"/>
            </w:pPr>
            <w:r w:rsidRPr="00CD29D0">
              <w:t>5</w:t>
            </w:r>
          </w:p>
        </w:tc>
        <w:tc>
          <w:tcPr>
            <w:tcW w:w="720" w:type="dxa"/>
          </w:tcPr>
          <w:p w14:paraId="77DFB246" w14:textId="77777777" w:rsidR="00405424" w:rsidRPr="00CD29D0" w:rsidRDefault="00405424" w:rsidP="00E91BA1">
            <w:pPr>
              <w:pStyle w:val="TableTextCentered"/>
            </w:pPr>
            <w:r w:rsidRPr="00CD29D0">
              <w:t>9</w:t>
            </w:r>
          </w:p>
        </w:tc>
        <w:tc>
          <w:tcPr>
            <w:tcW w:w="720" w:type="dxa"/>
          </w:tcPr>
          <w:p w14:paraId="5BC71FFD" w14:textId="77777777" w:rsidR="00405424" w:rsidRPr="00CD29D0" w:rsidRDefault="00405424" w:rsidP="00E91BA1">
            <w:pPr>
              <w:pStyle w:val="TableTextCentered"/>
            </w:pPr>
            <w:r w:rsidRPr="00CD29D0">
              <w:t>2</w:t>
            </w:r>
          </w:p>
        </w:tc>
        <w:tc>
          <w:tcPr>
            <w:tcW w:w="720" w:type="dxa"/>
          </w:tcPr>
          <w:p w14:paraId="012310CB" w14:textId="77777777" w:rsidR="00405424" w:rsidRPr="00CD29D0" w:rsidRDefault="00405424" w:rsidP="00E91BA1">
            <w:pPr>
              <w:pStyle w:val="TableTextCentered"/>
            </w:pPr>
            <w:r w:rsidRPr="00CD29D0">
              <w:t>4</w:t>
            </w:r>
          </w:p>
        </w:tc>
        <w:tc>
          <w:tcPr>
            <w:tcW w:w="720" w:type="dxa"/>
          </w:tcPr>
          <w:p w14:paraId="3947F418" w14:textId="77777777" w:rsidR="00405424" w:rsidRPr="00CD29D0" w:rsidRDefault="00405424" w:rsidP="00E91BA1">
            <w:pPr>
              <w:pStyle w:val="TableTextCentered"/>
            </w:pPr>
            <w:r w:rsidRPr="00CD29D0">
              <w:t>0</w:t>
            </w:r>
          </w:p>
        </w:tc>
        <w:tc>
          <w:tcPr>
            <w:tcW w:w="720" w:type="dxa"/>
          </w:tcPr>
          <w:p w14:paraId="186C06FA" w14:textId="77777777" w:rsidR="00405424" w:rsidRPr="00CD29D0" w:rsidRDefault="00405424" w:rsidP="00E91BA1">
            <w:pPr>
              <w:pStyle w:val="TableTextCentered"/>
            </w:pPr>
            <w:r w:rsidRPr="00CD29D0">
              <w:t>0</w:t>
            </w:r>
          </w:p>
        </w:tc>
        <w:tc>
          <w:tcPr>
            <w:tcW w:w="720" w:type="dxa"/>
          </w:tcPr>
          <w:p w14:paraId="035463FD" w14:textId="77777777" w:rsidR="00405424" w:rsidRPr="00CD29D0" w:rsidRDefault="00405424" w:rsidP="00E91BA1">
            <w:pPr>
              <w:pStyle w:val="TableTextCentered"/>
            </w:pPr>
            <w:r w:rsidRPr="00CD29D0">
              <w:t>0</w:t>
            </w:r>
          </w:p>
        </w:tc>
        <w:tc>
          <w:tcPr>
            <w:tcW w:w="540" w:type="dxa"/>
          </w:tcPr>
          <w:p w14:paraId="578C991B" w14:textId="77777777" w:rsidR="00405424" w:rsidRPr="00CD29D0" w:rsidRDefault="00405424" w:rsidP="00E91BA1">
            <w:pPr>
              <w:pStyle w:val="TableTextCentered"/>
            </w:pPr>
            <w:r w:rsidRPr="00CD29D0">
              <w:t>20</w:t>
            </w:r>
          </w:p>
        </w:tc>
        <w:tc>
          <w:tcPr>
            <w:tcW w:w="900" w:type="dxa"/>
          </w:tcPr>
          <w:p w14:paraId="47DA837E" w14:textId="77777777" w:rsidR="00405424" w:rsidRPr="00CD29D0" w:rsidRDefault="00405424" w:rsidP="00E91BA1">
            <w:pPr>
              <w:pStyle w:val="TableTextCentered"/>
            </w:pPr>
            <w:r w:rsidRPr="00CD29D0">
              <w:t>2.3</w:t>
            </w:r>
          </w:p>
        </w:tc>
      </w:tr>
      <w:tr w:rsidR="00405424" w:rsidRPr="00CD29D0" w14:paraId="4B3F01E1"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24ACAE9B" w14:textId="77777777" w:rsidR="00405424" w:rsidRPr="00CD29D0" w:rsidRDefault="00405424" w:rsidP="00E91BA1">
            <w:pPr>
              <w:pStyle w:val="TableText"/>
              <w:rPr>
                <w:b/>
                <w:bCs/>
              </w:rPr>
            </w:pPr>
            <w:r w:rsidRPr="00CD29D0">
              <w:rPr>
                <w:b/>
                <w:bCs/>
              </w:rPr>
              <w:t>Student Engagement</w:t>
            </w:r>
          </w:p>
        </w:tc>
        <w:tc>
          <w:tcPr>
            <w:tcW w:w="720" w:type="dxa"/>
          </w:tcPr>
          <w:p w14:paraId="0FB34535" w14:textId="77777777" w:rsidR="00405424" w:rsidRPr="00CD29D0" w:rsidRDefault="00405424" w:rsidP="00E91BA1">
            <w:pPr>
              <w:pStyle w:val="TableTextCentered"/>
              <w:rPr>
                <w:b/>
                <w:bCs/>
              </w:rPr>
            </w:pPr>
            <w:r w:rsidRPr="00CD29D0">
              <w:rPr>
                <w:b/>
                <w:bCs/>
              </w:rPr>
              <w:t>0</w:t>
            </w:r>
          </w:p>
        </w:tc>
        <w:tc>
          <w:tcPr>
            <w:tcW w:w="720" w:type="dxa"/>
          </w:tcPr>
          <w:p w14:paraId="6B72AE02" w14:textId="77777777" w:rsidR="00405424" w:rsidRPr="00CD29D0" w:rsidRDefault="00405424" w:rsidP="00E91BA1">
            <w:pPr>
              <w:pStyle w:val="TableTextCentered"/>
              <w:rPr>
                <w:b/>
                <w:bCs/>
              </w:rPr>
            </w:pPr>
            <w:r w:rsidRPr="00CD29D0">
              <w:rPr>
                <w:b/>
                <w:bCs/>
              </w:rPr>
              <w:t>0</w:t>
            </w:r>
          </w:p>
        </w:tc>
        <w:tc>
          <w:tcPr>
            <w:tcW w:w="720" w:type="dxa"/>
          </w:tcPr>
          <w:p w14:paraId="298A85ED" w14:textId="77777777" w:rsidR="00405424" w:rsidRPr="00CD29D0" w:rsidRDefault="00405424" w:rsidP="00E91BA1">
            <w:pPr>
              <w:pStyle w:val="TableTextCentered"/>
              <w:rPr>
                <w:b/>
                <w:bCs/>
              </w:rPr>
            </w:pPr>
            <w:r w:rsidRPr="00CD29D0">
              <w:rPr>
                <w:b/>
                <w:bCs/>
              </w:rPr>
              <w:t>2</w:t>
            </w:r>
          </w:p>
        </w:tc>
        <w:tc>
          <w:tcPr>
            <w:tcW w:w="720" w:type="dxa"/>
          </w:tcPr>
          <w:p w14:paraId="4240B109" w14:textId="77777777" w:rsidR="00405424" w:rsidRPr="00CD29D0" w:rsidRDefault="00405424" w:rsidP="00E91BA1">
            <w:pPr>
              <w:pStyle w:val="TableTextCentered"/>
              <w:rPr>
                <w:b/>
                <w:bCs/>
              </w:rPr>
            </w:pPr>
            <w:r w:rsidRPr="00CD29D0">
              <w:rPr>
                <w:b/>
                <w:bCs/>
              </w:rPr>
              <w:t>5</w:t>
            </w:r>
          </w:p>
        </w:tc>
        <w:tc>
          <w:tcPr>
            <w:tcW w:w="720" w:type="dxa"/>
          </w:tcPr>
          <w:p w14:paraId="46D47B3D" w14:textId="77777777" w:rsidR="00405424" w:rsidRPr="00CD29D0" w:rsidRDefault="00405424" w:rsidP="00E91BA1">
            <w:pPr>
              <w:pStyle w:val="TableTextCentered"/>
              <w:rPr>
                <w:b/>
                <w:bCs/>
              </w:rPr>
            </w:pPr>
            <w:r w:rsidRPr="00CD29D0">
              <w:rPr>
                <w:b/>
                <w:bCs/>
              </w:rPr>
              <w:t>5</w:t>
            </w:r>
          </w:p>
        </w:tc>
        <w:tc>
          <w:tcPr>
            <w:tcW w:w="720" w:type="dxa"/>
          </w:tcPr>
          <w:p w14:paraId="6088AC40" w14:textId="77777777" w:rsidR="00405424" w:rsidRPr="00CD29D0" w:rsidRDefault="00405424" w:rsidP="00E91BA1">
            <w:pPr>
              <w:pStyle w:val="TableTextCentered"/>
              <w:rPr>
                <w:b/>
                <w:bCs/>
              </w:rPr>
            </w:pPr>
            <w:r w:rsidRPr="00CD29D0">
              <w:rPr>
                <w:b/>
                <w:bCs/>
              </w:rPr>
              <w:t>8</w:t>
            </w:r>
          </w:p>
        </w:tc>
        <w:tc>
          <w:tcPr>
            <w:tcW w:w="720" w:type="dxa"/>
          </w:tcPr>
          <w:p w14:paraId="7644EBF6" w14:textId="77777777" w:rsidR="00405424" w:rsidRPr="00CD29D0" w:rsidRDefault="00405424" w:rsidP="00E91BA1">
            <w:pPr>
              <w:pStyle w:val="TableTextCentered"/>
              <w:rPr>
                <w:b/>
                <w:bCs/>
              </w:rPr>
            </w:pPr>
            <w:r w:rsidRPr="00CD29D0">
              <w:rPr>
                <w:b/>
                <w:bCs/>
              </w:rPr>
              <w:t>0</w:t>
            </w:r>
          </w:p>
        </w:tc>
        <w:tc>
          <w:tcPr>
            <w:tcW w:w="540" w:type="dxa"/>
          </w:tcPr>
          <w:p w14:paraId="4D1D3EF7" w14:textId="77777777" w:rsidR="00405424" w:rsidRPr="00CD29D0" w:rsidRDefault="00405424" w:rsidP="00E91BA1">
            <w:pPr>
              <w:pStyle w:val="TableTextCentered"/>
              <w:rPr>
                <w:b/>
                <w:bCs/>
              </w:rPr>
            </w:pPr>
            <w:r w:rsidRPr="00CD29D0">
              <w:rPr>
                <w:b/>
                <w:bCs/>
              </w:rPr>
              <w:t>20</w:t>
            </w:r>
          </w:p>
        </w:tc>
        <w:tc>
          <w:tcPr>
            <w:tcW w:w="900" w:type="dxa"/>
          </w:tcPr>
          <w:p w14:paraId="76057AA5" w14:textId="77777777" w:rsidR="00405424" w:rsidRPr="00CD29D0" w:rsidRDefault="00405424" w:rsidP="00E91BA1">
            <w:pPr>
              <w:pStyle w:val="TableTextCentered"/>
              <w:rPr>
                <w:b/>
                <w:bCs/>
              </w:rPr>
            </w:pPr>
            <w:r w:rsidRPr="00CD29D0">
              <w:rPr>
                <w:b/>
                <w:bCs/>
              </w:rPr>
              <w:t>5.0</w:t>
            </w:r>
          </w:p>
        </w:tc>
      </w:tr>
    </w:tbl>
    <w:bookmarkEnd w:id="184"/>
    <w:p w14:paraId="4B37EAFB" w14:textId="77777777" w:rsidR="00405424" w:rsidRPr="00CD29D0" w:rsidRDefault="00405424" w:rsidP="00A72EBC">
      <w:pPr>
        <w:pStyle w:val="TableNote"/>
        <w:rPr>
          <w:szCs w:val="20"/>
        </w:rPr>
      </w:pPr>
      <w:r w:rsidRPr="00CD29D0">
        <w:t xml:space="preserve">*The district average is an average of the scores. For example, for Positive Climate, the district average is computed as: </w:t>
      </w:r>
      <w:bookmarkStart w:id="185" w:name="Middle_PC_Calc"/>
      <w:r w:rsidRPr="00CD29D0">
        <w:rPr>
          <w:szCs w:val="20"/>
        </w:rPr>
        <w:t xml:space="preserve">([3 x 5] + [4 x 4] + [5 x 5] + [6 x 3] + [7 x 3]) ÷ 20 </w:t>
      </w:r>
      <w:r w:rsidRPr="00CD29D0">
        <w:t>observations</w:t>
      </w:r>
      <w:r w:rsidRPr="00CD29D0">
        <w:rPr>
          <w:szCs w:val="20"/>
        </w:rPr>
        <w:t xml:space="preserve"> = 4.8</w:t>
      </w:r>
      <w:bookmarkEnd w:id="185"/>
    </w:p>
    <w:p w14:paraId="671A4853" w14:textId="4EB5DDA4" w:rsidR="00405424" w:rsidRPr="00CD29D0" w:rsidRDefault="00405424" w:rsidP="00A72EBC">
      <w:pPr>
        <w:pStyle w:val="TableNote"/>
        <w:rPr>
          <w:rFonts w:ascii="Times New Roman" w:eastAsia="MS Mincho" w:hAnsi="Times New Roman"/>
          <w:b/>
        </w:rPr>
      </w:pPr>
      <w:r w:rsidRPr="00CD29D0">
        <w:t xml:space="preserve">**Negative Climate is rated on an inverse scale. An original score of 1 is given a value of 7. The scoring in the table reflects the normalized adjustment: </w:t>
      </w:r>
      <w:bookmarkStart w:id="186" w:name="Middle_NC_Calc"/>
      <w:r w:rsidRPr="00CD29D0">
        <w:t>([7 x 20]) ÷ 20 observations = 7.0</w:t>
      </w:r>
      <w:bookmarkEnd w:id="186"/>
      <w:r w:rsidRPr="00CD29D0">
        <w:rPr>
          <w:rFonts w:ascii="Times New Roman" w:eastAsia="MS Mincho" w:hAnsi="Times New Roman"/>
          <w:b/>
        </w:rPr>
        <w:br w:type="page"/>
      </w:r>
    </w:p>
    <w:p w14:paraId="76557AC1" w14:textId="77777777" w:rsidR="00405424" w:rsidRPr="00CD29D0" w:rsidRDefault="00405424" w:rsidP="00272891">
      <w:pPr>
        <w:pStyle w:val="DIORDimensions"/>
      </w:pPr>
      <w:bookmarkStart w:id="187" w:name="_Toc227587578"/>
      <w:r w:rsidRPr="00CD29D0">
        <w:lastRenderedPageBreak/>
        <w:t>Summary of Average Ratings: Grades 9–12</w:t>
      </w:r>
      <w:bookmarkEnd w:id="187"/>
    </w:p>
    <w:p w14:paraId="48533FD0" w14:textId="77777777" w:rsidR="00405424" w:rsidRPr="00CD29D0" w:rsidRDefault="00405424" w:rsidP="00460478">
      <w:pPr>
        <w:pStyle w:val="TableTitle0"/>
      </w:pPr>
      <w:r w:rsidRPr="00CD29D0">
        <w:t>Table 19. Summary Table of Average Ratings for Each Dimension in Grades 9–12</w:t>
      </w:r>
    </w:p>
    <w:tbl>
      <w:tblPr>
        <w:tblStyle w:val="MSVTable1"/>
        <w:tblW w:w="5000" w:type="pct"/>
        <w:tblLayout w:type="fixed"/>
        <w:tblLook w:val="04A0" w:firstRow="1" w:lastRow="0" w:firstColumn="1" w:lastColumn="0" w:noHBand="0" w:noVBand="1"/>
        <w:tblCaption w:val="Table 19. Summary Table of Average Ratings for Each Dimension in Grades 9–12"/>
        <w:tblDescription w:val="Summary Table of Average Ratings for Each Dimension in Grades 9–12"/>
      </w:tblPr>
      <w:tblGrid>
        <w:gridCol w:w="3092"/>
        <w:gridCol w:w="693"/>
        <w:gridCol w:w="694"/>
        <w:gridCol w:w="694"/>
        <w:gridCol w:w="694"/>
        <w:gridCol w:w="694"/>
        <w:gridCol w:w="694"/>
        <w:gridCol w:w="694"/>
        <w:gridCol w:w="529"/>
        <w:gridCol w:w="866"/>
      </w:tblGrid>
      <w:tr w:rsidR="00405424" w:rsidRPr="00CD29D0" w14:paraId="70127B68" w14:textId="77777777" w:rsidTr="00E91BA1">
        <w:trPr>
          <w:cnfStyle w:val="100000000000" w:firstRow="1" w:lastRow="0" w:firstColumn="0" w:lastColumn="0" w:oddVBand="0" w:evenVBand="0" w:oddHBand="0" w:evenHBand="0" w:firstRowFirstColumn="0" w:firstRowLastColumn="0" w:lastRowFirstColumn="0" w:lastRowLastColumn="0"/>
          <w:tblHeader/>
        </w:trPr>
        <w:tc>
          <w:tcPr>
            <w:tcW w:w="3232" w:type="dxa"/>
            <w:tcMar>
              <w:right w:w="29" w:type="dxa"/>
            </w:tcMar>
          </w:tcPr>
          <w:p w14:paraId="3CC3F896" w14:textId="77777777" w:rsidR="00405424" w:rsidRPr="00CD29D0" w:rsidRDefault="00405424" w:rsidP="00E91BA1">
            <w:pPr>
              <w:pStyle w:val="TableColHeadingCenter"/>
            </w:pPr>
            <w:bookmarkStart w:id="188" w:name="SummaryTbl_High"/>
            <w:r w:rsidRPr="00CD29D0">
              <w:t>Domain/Dimension</w:t>
            </w:r>
          </w:p>
        </w:tc>
        <w:tc>
          <w:tcPr>
            <w:tcW w:w="720" w:type="dxa"/>
            <w:tcMar>
              <w:right w:w="29" w:type="dxa"/>
            </w:tcMar>
          </w:tcPr>
          <w:p w14:paraId="45246D28" w14:textId="77777777" w:rsidR="00405424" w:rsidRPr="00CD29D0" w:rsidRDefault="00405424" w:rsidP="00E91BA1">
            <w:pPr>
              <w:pStyle w:val="TableColHeadingCenter"/>
            </w:pPr>
            <w:r w:rsidRPr="00CD29D0">
              <w:t>Low Range (1)</w:t>
            </w:r>
          </w:p>
        </w:tc>
        <w:tc>
          <w:tcPr>
            <w:tcW w:w="720" w:type="dxa"/>
            <w:tcMar>
              <w:right w:w="29" w:type="dxa"/>
            </w:tcMar>
          </w:tcPr>
          <w:p w14:paraId="217C6921" w14:textId="77777777" w:rsidR="00405424" w:rsidRPr="00CD29D0" w:rsidRDefault="00405424" w:rsidP="00E91BA1">
            <w:pPr>
              <w:pStyle w:val="TableColHeadingCenter"/>
            </w:pPr>
            <w:r w:rsidRPr="00CD29D0">
              <w:t>Low Range (2)</w:t>
            </w:r>
          </w:p>
        </w:tc>
        <w:tc>
          <w:tcPr>
            <w:tcW w:w="720" w:type="dxa"/>
            <w:tcMar>
              <w:right w:w="29" w:type="dxa"/>
            </w:tcMar>
          </w:tcPr>
          <w:p w14:paraId="3CD9E969" w14:textId="77777777" w:rsidR="00405424" w:rsidRPr="00CD29D0" w:rsidRDefault="00405424" w:rsidP="00E91BA1">
            <w:pPr>
              <w:pStyle w:val="TableColHeadingCenter"/>
            </w:pPr>
            <w:r w:rsidRPr="00CD29D0">
              <w:t>Middle Range (3)</w:t>
            </w:r>
          </w:p>
        </w:tc>
        <w:tc>
          <w:tcPr>
            <w:tcW w:w="720" w:type="dxa"/>
            <w:tcMar>
              <w:right w:w="29" w:type="dxa"/>
            </w:tcMar>
          </w:tcPr>
          <w:p w14:paraId="0EDC337E" w14:textId="77777777" w:rsidR="00405424" w:rsidRPr="00CD29D0" w:rsidRDefault="00405424" w:rsidP="00E91BA1">
            <w:pPr>
              <w:pStyle w:val="TableColHeadingCenter"/>
            </w:pPr>
            <w:r w:rsidRPr="00CD29D0">
              <w:t>Middle Range (4)</w:t>
            </w:r>
          </w:p>
        </w:tc>
        <w:tc>
          <w:tcPr>
            <w:tcW w:w="720" w:type="dxa"/>
            <w:tcMar>
              <w:right w:w="29" w:type="dxa"/>
            </w:tcMar>
          </w:tcPr>
          <w:p w14:paraId="30B03427" w14:textId="77777777" w:rsidR="00405424" w:rsidRPr="00CD29D0" w:rsidRDefault="00405424" w:rsidP="00E91BA1">
            <w:pPr>
              <w:pStyle w:val="TableColHeadingCenter"/>
            </w:pPr>
            <w:r w:rsidRPr="00CD29D0">
              <w:t>Middle Range (5)</w:t>
            </w:r>
          </w:p>
        </w:tc>
        <w:tc>
          <w:tcPr>
            <w:tcW w:w="720" w:type="dxa"/>
            <w:tcMar>
              <w:right w:w="29" w:type="dxa"/>
            </w:tcMar>
          </w:tcPr>
          <w:p w14:paraId="72CD8BAA" w14:textId="77777777" w:rsidR="00405424" w:rsidRPr="00CD29D0" w:rsidRDefault="00405424" w:rsidP="00E91BA1">
            <w:pPr>
              <w:pStyle w:val="TableColHeadingCenter"/>
            </w:pPr>
            <w:r w:rsidRPr="00CD29D0">
              <w:t>High Range (6)</w:t>
            </w:r>
          </w:p>
        </w:tc>
        <w:tc>
          <w:tcPr>
            <w:tcW w:w="720" w:type="dxa"/>
            <w:tcMar>
              <w:right w:w="29" w:type="dxa"/>
            </w:tcMar>
          </w:tcPr>
          <w:p w14:paraId="5273EE3F" w14:textId="77777777" w:rsidR="00405424" w:rsidRPr="00CD29D0" w:rsidRDefault="00405424" w:rsidP="00E91BA1">
            <w:pPr>
              <w:pStyle w:val="TableColHeadingCenter"/>
            </w:pPr>
            <w:r w:rsidRPr="00CD29D0">
              <w:t>High Range (7)</w:t>
            </w:r>
          </w:p>
        </w:tc>
        <w:tc>
          <w:tcPr>
            <w:tcW w:w="547" w:type="dxa"/>
            <w:tcMar>
              <w:right w:w="29" w:type="dxa"/>
            </w:tcMar>
          </w:tcPr>
          <w:p w14:paraId="4487B988" w14:textId="77777777" w:rsidR="00405424" w:rsidRPr="00CD29D0" w:rsidRDefault="00405424" w:rsidP="00E91BA1">
            <w:pPr>
              <w:pStyle w:val="TableColHeadingCenter"/>
            </w:pPr>
            <w:r w:rsidRPr="00CD29D0">
              <w:t>n</w:t>
            </w:r>
          </w:p>
        </w:tc>
        <w:tc>
          <w:tcPr>
            <w:tcW w:w="900" w:type="dxa"/>
            <w:tcMar>
              <w:right w:w="29" w:type="dxa"/>
            </w:tcMar>
          </w:tcPr>
          <w:p w14:paraId="25E57DA9" w14:textId="77777777" w:rsidR="00405424" w:rsidRPr="00CD29D0" w:rsidRDefault="00405424" w:rsidP="00E91BA1">
            <w:pPr>
              <w:pStyle w:val="TableColHeadingCenter"/>
            </w:pPr>
            <w:r w:rsidRPr="00CD29D0">
              <w:t>Average Scores*</w:t>
            </w:r>
          </w:p>
        </w:tc>
      </w:tr>
      <w:tr w:rsidR="00405424" w:rsidRPr="00CD29D0" w14:paraId="7064A6D8"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10153BC5" w14:textId="77777777" w:rsidR="00405424" w:rsidRPr="00CD29D0" w:rsidRDefault="00405424" w:rsidP="00E91BA1">
            <w:pPr>
              <w:pStyle w:val="TableText"/>
              <w:rPr>
                <w:b/>
                <w:bCs/>
              </w:rPr>
            </w:pPr>
            <w:r w:rsidRPr="00CD29D0">
              <w:rPr>
                <w:b/>
                <w:bCs/>
              </w:rPr>
              <w:t>Emotional Support Domain</w:t>
            </w:r>
          </w:p>
        </w:tc>
        <w:tc>
          <w:tcPr>
            <w:tcW w:w="720" w:type="dxa"/>
          </w:tcPr>
          <w:p w14:paraId="19A2B921" w14:textId="77777777" w:rsidR="00405424" w:rsidRPr="00CD29D0" w:rsidRDefault="00405424" w:rsidP="00E91BA1">
            <w:pPr>
              <w:pStyle w:val="TableTextCentered"/>
              <w:rPr>
                <w:b/>
                <w:bCs/>
              </w:rPr>
            </w:pPr>
            <w:r w:rsidRPr="00CD29D0">
              <w:rPr>
                <w:b/>
                <w:bCs/>
              </w:rPr>
              <w:t>1</w:t>
            </w:r>
          </w:p>
        </w:tc>
        <w:tc>
          <w:tcPr>
            <w:tcW w:w="720" w:type="dxa"/>
          </w:tcPr>
          <w:p w14:paraId="12A4E22F" w14:textId="77777777" w:rsidR="00405424" w:rsidRPr="00CD29D0" w:rsidRDefault="00405424" w:rsidP="00E91BA1">
            <w:pPr>
              <w:pStyle w:val="TableTextCentered"/>
              <w:rPr>
                <w:b/>
                <w:bCs/>
              </w:rPr>
            </w:pPr>
            <w:r w:rsidRPr="00CD29D0">
              <w:rPr>
                <w:b/>
                <w:bCs/>
              </w:rPr>
              <w:t>8</w:t>
            </w:r>
          </w:p>
        </w:tc>
        <w:tc>
          <w:tcPr>
            <w:tcW w:w="720" w:type="dxa"/>
          </w:tcPr>
          <w:p w14:paraId="5A85EB95" w14:textId="77777777" w:rsidR="00405424" w:rsidRPr="00CD29D0" w:rsidRDefault="00405424" w:rsidP="00E91BA1">
            <w:pPr>
              <w:pStyle w:val="TableTextCentered"/>
              <w:rPr>
                <w:b/>
                <w:bCs/>
              </w:rPr>
            </w:pPr>
            <w:r w:rsidRPr="00CD29D0">
              <w:rPr>
                <w:b/>
                <w:bCs/>
              </w:rPr>
              <w:t>5</w:t>
            </w:r>
          </w:p>
        </w:tc>
        <w:tc>
          <w:tcPr>
            <w:tcW w:w="720" w:type="dxa"/>
          </w:tcPr>
          <w:p w14:paraId="5EAB8A0B" w14:textId="77777777" w:rsidR="00405424" w:rsidRPr="00CD29D0" w:rsidRDefault="00405424" w:rsidP="00E91BA1">
            <w:pPr>
              <w:pStyle w:val="TableTextCentered"/>
              <w:rPr>
                <w:b/>
                <w:bCs/>
              </w:rPr>
            </w:pPr>
            <w:r w:rsidRPr="00CD29D0">
              <w:rPr>
                <w:b/>
                <w:bCs/>
              </w:rPr>
              <w:t>7</w:t>
            </w:r>
          </w:p>
        </w:tc>
        <w:tc>
          <w:tcPr>
            <w:tcW w:w="720" w:type="dxa"/>
          </w:tcPr>
          <w:p w14:paraId="75DBBCCE" w14:textId="77777777" w:rsidR="00405424" w:rsidRPr="00CD29D0" w:rsidRDefault="00405424" w:rsidP="00E91BA1">
            <w:pPr>
              <w:pStyle w:val="TableTextCentered"/>
              <w:rPr>
                <w:b/>
                <w:bCs/>
              </w:rPr>
            </w:pPr>
            <w:r w:rsidRPr="00CD29D0">
              <w:rPr>
                <w:b/>
                <w:bCs/>
              </w:rPr>
              <w:t>22</w:t>
            </w:r>
          </w:p>
        </w:tc>
        <w:tc>
          <w:tcPr>
            <w:tcW w:w="720" w:type="dxa"/>
          </w:tcPr>
          <w:p w14:paraId="09E731DC" w14:textId="77777777" w:rsidR="00405424" w:rsidRPr="00CD29D0" w:rsidRDefault="00405424" w:rsidP="00E91BA1">
            <w:pPr>
              <w:pStyle w:val="TableTextCentered"/>
              <w:rPr>
                <w:b/>
                <w:bCs/>
              </w:rPr>
            </w:pPr>
            <w:r w:rsidRPr="00CD29D0">
              <w:rPr>
                <w:b/>
                <w:bCs/>
              </w:rPr>
              <w:t>12</w:t>
            </w:r>
          </w:p>
        </w:tc>
        <w:tc>
          <w:tcPr>
            <w:tcW w:w="720" w:type="dxa"/>
          </w:tcPr>
          <w:p w14:paraId="057084B1" w14:textId="77777777" w:rsidR="00405424" w:rsidRPr="00CD29D0" w:rsidRDefault="00405424" w:rsidP="00E91BA1">
            <w:pPr>
              <w:pStyle w:val="TableTextCentered"/>
              <w:rPr>
                <w:b/>
                <w:bCs/>
              </w:rPr>
            </w:pPr>
            <w:r w:rsidRPr="00CD29D0">
              <w:rPr>
                <w:b/>
                <w:bCs/>
              </w:rPr>
              <w:t>5</w:t>
            </w:r>
          </w:p>
        </w:tc>
        <w:tc>
          <w:tcPr>
            <w:tcW w:w="547" w:type="dxa"/>
          </w:tcPr>
          <w:p w14:paraId="489F1D84" w14:textId="77777777" w:rsidR="00405424" w:rsidRPr="00CD29D0" w:rsidRDefault="00405424" w:rsidP="00E91BA1">
            <w:pPr>
              <w:pStyle w:val="TableTextCentered"/>
              <w:rPr>
                <w:b/>
                <w:bCs/>
              </w:rPr>
            </w:pPr>
            <w:r w:rsidRPr="00CD29D0">
              <w:rPr>
                <w:b/>
                <w:bCs/>
              </w:rPr>
              <w:t>60</w:t>
            </w:r>
          </w:p>
        </w:tc>
        <w:tc>
          <w:tcPr>
            <w:tcW w:w="900" w:type="dxa"/>
          </w:tcPr>
          <w:p w14:paraId="1B3C3908" w14:textId="77777777" w:rsidR="00405424" w:rsidRPr="00CD29D0" w:rsidRDefault="00405424" w:rsidP="00E91BA1">
            <w:pPr>
              <w:pStyle w:val="TableTextCentered"/>
              <w:rPr>
                <w:b/>
                <w:bCs/>
              </w:rPr>
            </w:pPr>
            <w:r w:rsidRPr="00CD29D0">
              <w:rPr>
                <w:b/>
                <w:bCs/>
              </w:rPr>
              <w:t>4.6</w:t>
            </w:r>
          </w:p>
        </w:tc>
      </w:tr>
      <w:tr w:rsidR="00405424" w:rsidRPr="00CD29D0" w14:paraId="26431489" w14:textId="77777777" w:rsidTr="00E91BA1">
        <w:tc>
          <w:tcPr>
            <w:tcW w:w="3232" w:type="dxa"/>
          </w:tcPr>
          <w:p w14:paraId="60619C7C" w14:textId="77777777" w:rsidR="00405424" w:rsidRPr="00CD29D0" w:rsidRDefault="00405424" w:rsidP="00E91BA1">
            <w:pPr>
              <w:pStyle w:val="TableText"/>
              <w:ind w:left="202"/>
              <w:rPr>
                <w:b/>
                <w:bCs/>
              </w:rPr>
            </w:pPr>
            <w:r w:rsidRPr="00CD29D0">
              <w:t>Positive Climate</w:t>
            </w:r>
          </w:p>
        </w:tc>
        <w:tc>
          <w:tcPr>
            <w:tcW w:w="720" w:type="dxa"/>
          </w:tcPr>
          <w:p w14:paraId="1BBD302B" w14:textId="77777777" w:rsidR="00405424" w:rsidRPr="00CD29D0" w:rsidRDefault="00405424" w:rsidP="00E91BA1">
            <w:pPr>
              <w:pStyle w:val="TableTextCentered"/>
            </w:pPr>
            <w:r w:rsidRPr="00CD29D0">
              <w:t>0</w:t>
            </w:r>
          </w:p>
        </w:tc>
        <w:tc>
          <w:tcPr>
            <w:tcW w:w="720" w:type="dxa"/>
          </w:tcPr>
          <w:p w14:paraId="43EDA369" w14:textId="77777777" w:rsidR="00405424" w:rsidRPr="00CD29D0" w:rsidRDefault="00405424" w:rsidP="00E91BA1">
            <w:pPr>
              <w:pStyle w:val="TableTextCentered"/>
            </w:pPr>
            <w:r w:rsidRPr="00CD29D0">
              <w:t>0</w:t>
            </w:r>
          </w:p>
        </w:tc>
        <w:tc>
          <w:tcPr>
            <w:tcW w:w="720" w:type="dxa"/>
          </w:tcPr>
          <w:p w14:paraId="0EA2B90E" w14:textId="77777777" w:rsidR="00405424" w:rsidRPr="00CD29D0" w:rsidRDefault="00405424" w:rsidP="00E91BA1">
            <w:pPr>
              <w:pStyle w:val="TableTextCentered"/>
            </w:pPr>
            <w:r w:rsidRPr="00CD29D0">
              <w:t>2</w:t>
            </w:r>
          </w:p>
        </w:tc>
        <w:tc>
          <w:tcPr>
            <w:tcW w:w="720" w:type="dxa"/>
          </w:tcPr>
          <w:p w14:paraId="13A2139F" w14:textId="77777777" w:rsidR="00405424" w:rsidRPr="00CD29D0" w:rsidRDefault="00405424" w:rsidP="00E91BA1">
            <w:pPr>
              <w:pStyle w:val="TableTextCentered"/>
            </w:pPr>
            <w:r w:rsidRPr="00CD29D0">
              <w:t>1</w:t>
            </w:r>
          </w:p>
        </w:tc>
        <w:tc>
          <w:tcPr>
            <w:tcW w:w="720" w:type="dxa"/>
          </w:tcPr>
          <w:p w14:paraId="4BD783D1" w14:textId="77777777" w:rsidR="00405424" w:rsidRPr="00CD29D0" w:rsidRDefault="00405424" w:rsidP="00E91BA1">
            <w:pPr>
              <w:pStyle w:val="TableTextCentered"/>
            </w:pPr>
            <w:r w:rsidRPr="00CD29D0">
              <w:t>8</w:t>
            </w:r>
          </w:p>
        </w:tc>
        <w:tc>
          <w:tcPr>
            <w:tcW w:w="720" w:type="dxa"/>
          </w:tcPr>
          <w:p w14:paraId="25E8C697" w14:textId="77777777" w:rsidR="00405424" w:rsidRPr="00CD29D0" w:rsidRDefault="00405424" w:rsidP="00E91BA1">
            <w:pPr>
              <w:pStyle w:val="TableTextCentered"/>
            </w:pPr>
            <w:r w:rsidRPr="00CD29D0">
              <w:t>7</w:t>
            </w:r>
          </w:p>
        </w:tc>
        <w:tc>
          <w:tcPr>
            <w:tcW w:w="720" w:type="dxa"/>
          </w:tcPr>
          <w:p w14:paraId="6E174447" w14:textId="77777777" w:rsidR="00405424" w:rsidRPr="00CD29D0" w:rsidRDefault="00405424" w:rsidP="00E91BA1">
            <w:pPr>
              <w:pStyle w:val="TableTextCentered"/>
            </w:pPr>
            <w:r w:rsidRPr="00CD29D0">
              <w:t>2</w:t>
            </w:r>
          </w:p>
        </w:tc>
        <w:tc>
          <w:tcPr>
            <w:tcW w:w="547" w:type="dxa"/>
          </w:tcPr>
          <w:p w14:paraId="0DA34531" w14:textId="77777777" w:rsidR="00405424" w:rsidRPr="00CD29D0" w:rsidRDefault="00405424" w:rsidP="00E91BA1">
            <w:pPr>
              <w:pStyle w:val="TableTextCentered"/>
            </w:pPr>
            <w:r w:rsidRPr="00CD29D0">
              <w:t>20</w:t>
            </w:r>
          </w:p>
        </w:tc>
        <w:tc>
          <w:tcPr>
            <w:tcW w:w="900" w:type="dxa"/>
          </w:tcPr>
          <w:p w14:paraId="4BA223C5" w14:textId="77777777" w:rsidR="00405424" w:rsidRPr="00CD29D0" w:rsidRDefault="00405424" w:rsidP="00E91BA1">
            <w:pPr>
              <w:pStyle w:val="TableTextCentered"/>
            </w:pPr>
            <w:r w:rsidRPr="00CD29D0">
              <w:t>5.3</w:t>
            </w:r>
          </w:p>
        </w:tc>
      </w:tr>
      <w:tr w:rsidR="00405424" w:rsidRPr="00CD29D0" w14:paraId="0B835A5C"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767788AF" w14:textId="77777777" w:rsidR="00405424" w:rsidRPr="00CD29D0" w:rsidRDefault="00405424" w:rsidP="00E91BA1">
            <w:pPr>
              <w:pStyle w:val="TableText"/>
              <w:ind w:left="202"/>
              <w:rPr>
                <w:b/>
                <w:bCs/>
              </w:rPr>
            </w:pPr>
            <w:r w:rsidRPr="00CD29D0">
              <w:t>Teacher Sensitivity</w:t>
            </w:r>
          </w:p>
        </w:tc>
        <w:tc>
          <w:tcPr>
            <w:tcW w:w="720" w:type="dxa"/>
          </w:tcPr>
          <w:p w14:paraId="62C39543" w14:textId="77777777" w:rsidR="00405424" w:rsidRPr="00CD29D0" w:rsidRDefault="00405424" w:rsidP="00E91BA1">
            <w:pPr>
              <w:pStyle w:val="TableTextCentered"/>
            </w:pPr>
            <w:r w:rsidRPr="00CD29D0">
              <w:t>0</w:t>
            </w:r>
          </w:p>
        </w:tc>
        <w:tc>
          <w:tcPr>
            <w:tcW w:w="720" w:type="dxa"/>
          </w:tcPr>
          <w:p w14:paraId="04421691" w14:textId="77777777" w:rsidR="00405424" w:rsidRPr="00CD29D0" w:rsidRDefault="00405424" w:rsidP="00E91BA1">
            <w:pPr>
              <w:pStyle w:val="TableTextCentered"/>
            </w:pPr>
            <w:r w:rsidRPr="00CD29D0">
              <w:t>2</w:t>
            </w:r>
          </w:p>
        </w:tc>
        <w:tc>
          <w:tcPr>
            <w:tcW w:w="720" w:type="dxa"/>
          </w:tcPr>
          <w:p w14:paraId="76686960" w14:textId="77777777" w:rsidR="00405424" w:rsidRPr="00CD29D0" w:rsidRDefault="00405424" w:rsidP="00E91BA1">
            <w:pPr>
              <w:pStyle w:val="TableTextCentered"/>
            </w:pPr>
            <w:r w:rsidRPr="00CD29D0">
              <w:t>1</w:t>
            </w:r>
          </w:p>
        </w:tc>
        <w:tc>
          <w:tcPr>
            <w:tcW w:w="720" w:type="dxa"/>
          </w:tcPr>
          <w:p w14:paraId="1E9F8AA1" w14:textId="77777777" w:rsidR="00405424" w:rsidRPr="00CD29D0" w:rsidRDefault="00405424" w:rsidP="00E91BA1">
            <w:pPr>
              <w:pStyle w:val="TableTextCentered"/>
            </w:pPr>
            <w:r w:rsidRPr="00CD29D0">
              <w:t>2</w:t>
            </w:r>
          </w:p>
        </w:tc>
        <w:tc>
          <w:tcPr>
            <w:tcW w:w="720" w:type="dxa"/>
          </w:tcPr>
          <w:p w14:paraId="6995F49D" w14:textId="77777777" w:rsidR="00405424" w:rsidRPr="00CD29D0" w:rsidRDefault="00405424" w:rsidP="00E91BA1">
            <w:pPr>
              <w:pStyle w:val="TableTextCentered"/>
            </w:pPr>
            <w:r w:rsidRPr="00CD29D0">
              <w:t>8</w:t>
            </w:r>
          </w:p>
        </w:tc>
        <w:tc>
          <w:tcPr>
            <w:tcW w:w="720" w:type="dxa"/>
          </w:tcPr>
          <w:p w14:paraId="38D618BB" w14:textId="77777777" w:rsidR="00405424" w:rsidRPr="00CD29D0" w:rsidRDefault="00405424" w:rsidP="00E91BA1">
            <w:pPr>
              <w:pStyle w:val="TableTextCentered"/>
            </w:pPr>
            <w:r w:rsidRPr="00CD29D0">
              <w:t>4</w:t>
            </w:r>
          </w:p>
        </w:tc>
        <w:tc>
          <w:tcPr>
            <w:tcW w:w="720" w:type="dxa"/>
          </w:tcPr>
          <w:p w14:paraId="087F94C7" w14:textId="77777777" w:rsidR="00405424" w:rsidRPr="00CD29D0" w:rsidRDefault="00405424" w:rsidP="00E91BA1">
            <w:pPr>
              <w:pStyle w:val="TableTextCentered"/>
            </w:pPr>
            <w:r w:rsidRPr="00CD29D0">
              <w:t>3</w:t>
            </w:r>
          </w:p>
        </w:tc>
        <w:tc>
          <w:tcPr>
            <w:tcW w:w="547" w:type="dxa"/>
          </w:tcPr>
          <w:p w14:paraId="217B5DC7" w14:textId="77777777" w:rsidR="00405424" w:rsidRPr="00CD29D0" w:rsidRDefault="00405424" w:rsidP="00E91BA1">
            <w:pPr>
              <w:pStyle w:val="TableTextCentered"/>
            </w:pPr>
            <w:r w:rsidRPr="00CD29D0">
              <w:t>20</w:t>
            </w:r>
          </w:p>
        </w:tc>
        <w:tc>
          <w:tcPr>
            <w:tcW w:w="900" w:type="dxa"/>
          </w:tcPr>
          <w:p w14:paraId="14C959B6" w14:textId="77777777" w:rsidR="00405424" w:rsidRPr="00CD29D0" w:rsidRDefault="00405424" w:rsidP="00E91BA1">
            <w:pPr>
              <w:pStyle w:val="TableTextCentered"/>
            </w:pPr>
            <w:r w:rsidRPr="00CD29D0">
              <w:t>5.0</w:t>
            </w:r>
          </w:p>
        </w:tc>
      </w:tr>
      <w:tr w:rsidR="00405424" w:rsidRPr="00CD29D0" w14:paraId="4E85D039" w14:textId="77777777" w:rsidTr="00E91BA1">
        <w:tc>
          <w:tcPr>
            <w:tcW w:w="3232" w:type="dxa"/>
          </w:tcPr>
          <w:p w14:paraId="492E3A96" w14:textId="77777777" w:rsidR="00405424" w:rsidRPr="00CD29D0" w:rsidRDefault="00405424" w:rsidP="00E91BA1">
            <w:pPr>
              <w:pStyle w:val="TableText"/>
              <w:ind w:left="202"/>
              <w:rPr>
                <w:b/>
                <w:bCs/>
              </w:rPr>
            </w:pPr>
            <w:r w:rsidRPr="00CD29D0">
              <w:t>Regard for Student Perspectives</w:t>
            </w:r>
          </w:p>
        </w:tc>
        <w:tc>
          <w:tcPr>
            <w:tcW w:w="720" w:type="dxa"/>
          </w:tcPr>
          <w:p w14:paraId="0D8A6B0E" w14:textId="77777777" w:rsidR="00405424" w:rsidRPr="00CD29D0" w:rsidRDefault="00405424" w:rsidP="00E91BA1">
            <w:pPr>
              <w:pStyle w:val="TableTextCentered"/>
            </w:pPr>
            <w:r w:rsidRPr="00CD29D0">
              <w:t>1</w:t>
            </w:r>
          </w:p>
        </w:tc>
        <w:tc>
          <w:tcPr>
            <w:tcW w:w="720" w:type="dxa"/>
          </w:tcPr>
          <w:p w14:paraId="1239B468" w14:textId="77777777" w:rsidR="00405424" w:rsidRPr="00CD29D0" w:rsidRDefault="00405424" w:rsidP="00E91BA1">
            <w:pPr>
              <w:pStyle w:val="TableTextCentered"/>
            </w:pPr>
            <w:r w:rsidRPr="00CD29D0">
              <w:t>6</w:t>
            </w:r>
          </w:p>
        </w:tc>
        <w:tc>
          <w:tcPr>
            <w:tcW w:w="720" w:type="dxa"/>
          </w:tcPr>
          <w:p w14:paraId="4ACAB5B9" w14:textId="77777777" w:rsidR="00405424" w:rsidRPr="00CD29D0" w:rsidRDefault="00405424" w:rsidP="00E91BA1">
            <w:pPr>
              <w:pStyle w:val="TableTextCentered"/>
            </w:pPr>
            <w:r w:rsidRPr="00CD29D0">
              <w:t>2</w:t>
            </w:r>
          </w:p>
        </w:tc>
        <w:tc>
          <w:tcPr>
            <w:tcW w:w="720" w:type="dxa"/>
          </w:tcPr>
          <w:p w14:paraId="5DAA6008" w14:textId="77777777" w:rsidR="00405424" w:rsidRPr="00CD29D0" w:rsidRDefault="00405424" w:rsidP="00E91BA1">
            <w:pPr>
              <w:pStyle w:val="TableTextCentered"/>
            </w:pPr>
            <w:r w:rsidRPr="00CD29D0">
              <w:t>4</w:t>
            </w:r>
          </w:p>
        </w:tc>
        <w:tc>
          <w:tcPr>
            <w:tcW w:w="720" w:type="dxa"/>
          </w:tcPr>
          <w:p w14:paraId="6C330D56" w14:textId="77777777" w:rsidR="00405424" w:rsidRPr="00CD29D0" w:rsidRDefault="00405424" w:rsidP="00E91BA1">
            <w:pPr>
              <w:pStyle w:val="TableTextCentered"/>
            </w:pPr>
            <w:r w:rsidRPr="00CD29D0">
              <w:t>6</w:t>
            </w:r>
          </w:p>
        </w:tc>
        <w:tc>
          <w:tcPr>
            <w:tcW w:w="720" w:type="dxa"/>
          </w:tcPr>
          <w:p w14:paraId="7D9394CC" w14:textId="77777777" w:rsidR="00405424" w:rsidRPr="00CD29D0" w:rsidRDefault="00405424" w:rsidP="00E91BA1">
            <w:pPr>
              <w:pStyle w:val="TableTextCentered"/>
            </w:pPr>
            <w:r w:rsidRPr="00CD29D0">
              <w:t>1</w:t>
            </w:r>
          </w:p>
        </w:tc>
        <w:tc>
          <w:tcPr>
            <w:tcW w:w="720" w:type="dxa"/>
          </w:tcPr>
          <w:p w14:paraId="21C0605B" w14:textId="77777777" w:rsidR="00405424" w:rsidRPr="00CD29D0" w:rsidRDefault="00405424" w:rsidP="00E91BA1">
            <w:pPr>
              <w:pStyle w:val="TableTextCentered"/>
            </w:pPr>
            <w:r w:rsidRPr="00CD29D0">
              <w:t>0</w:t>
            </w:r>
          </w:p>
        </w:tc>
        <w:tc>
          <w:tcPr>
            <w:tcW w:w="547" w:type="dxa"/>
          </w:tcPr>
          <w:p w14:paraId="6C3D3B7A" w14:textId="77777777" w:rsidR="00405424" w:rsidRPr="00CD29D0" w:rsidRDefault="00405424" w:rsidP="00E91BA1">
            <w:pPr>
              <w:pStyle w:val="TableTextCentered"/>
            </w:pPr>
            <w:r w:rsidRPr="00CD29D0">
              <w:t>20</w:t>
            </w:r>
          </w:p>
        </w:tc>
        <w:tc>
          <w:tcPr>
            <w:tcW w:w="900" w:type="dxa"/>
          </w:tcPr>
          <w:p w14:paraId="041FAEE9" w14:textId="77777777" w:rsidR="00405424" w:rsidRPr="00CD29D0" w:rsidRDefault="00405424" w:rsidP="00E91BA1">
            <w:pPr>
              <w:pStyle w:val="TableTextCentered"/>
            </w:pPr>
            <w:r w:rsidRPr="00CD29D0">
              <w:t>3.6</w:t>
            </w:r>
          </w:p>
        </w:tc>
      </w:tr>
      <w:tr w:rsidR="00405424" w:rsidRPr="00CD29D0" w14:paraId="00848A57"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7E9201A8" w14:textId="77777777" w:rsidR="00405424" w:rsidRPr="00CD29D0" w:rsidRDefault="00405424" w:rsidP="00E91BA1">
            <w:pPr>
              <w:pStyle w:val="TableText"/>
              <w:rPr>
                <w:b/>
                <w:bCs/>
                <w:szCs w:val="20"/>
              </w:rPr>
            </w:pPr>
            <w:r w:rsidRPr="00CD29D0">
              <w:rPr>
                <w:b/>
                <w:bCs/>
              </w:rPr>
              <w:t>Classroom Organization Domain</w:t>
            </w:r>
          </w:p>
        </w:tc>
        <w:tc>
          <w:tcPr>
            <w:tcW w:w="720" w:type="dxa"/>
          </w:tcPr>
          <w:p w14:paraId="425679E6" w14:textId="77777777" w:rsidR="00405424" w:rsidRPr="00CD29D0" w:rsidRDefault="00405424" w:rsidP="00E91BA1">
            <w:pPr>
              <w:pStyle w:val="TableTextCentered"/>
              <w:rPr>
                <w:b/>
                <w:bCs/>
              </w:rPr>
            </w:pPr>
            <w:r w:rsidRPr="00CD29D0">
              <w:rPr>
                <w:b/>
                <w:bCs/>
              </w:rPr>
              <w:t>0</w:t>
            </w:r>
          </w:p>
        </w:tc>
        <w:tc>
          <w:tcPr>
            <w:tcW w:w="720" w:type="dxa"/>
          </w:tcPr>
          <w:p w14:paraId="0A8F4DBE" w14:textId="77777777" w:rsidR="00405424" w:rsidRPr="00CD29D0" w:rsidRDefault="00405424" w:rsidP="00E91BA1">
            <w:pPr>
              <w:pStyle w:val="TableTextCentered"/>
              <w:rPr>
                <w:b/>
                <w:bCs/>
              </w:rPr>
            </w:pPr>
            <w:r w:rsidRPr="00CD29D0">
              <w:rPr>
                <w:b/>
                <w:bCs/>
              </w:rPr>
              <w:t>0</w:t>
            </w:r>
          </w:p>
        </w:tc>
        <w:tc>
          <w:tcPr>
            <w:tcW w:w="720" w:type="dxa"/>
          </w:tcPr>
          <w:p w14:paraId="36A615B1" w14:textId="77777777" w:rsidR="00405424" w:rsidRPr="00CD29D0" w:rsidRDefault="00405424" w:rsidP="00E91BA1">
            <w:pPr>
              <w:pStyle w:val="TableTextCentered"/>
              <w:rPr>
                <w:b/>
                <w:bCs/>
              </w:rPr>
            </w:pPr>
            <w:r w:rsidRPr="00CD29D0">
              <w:rPr>
                <w:b/>
                <w:bCs/>
              </w:rPr>
              <w:t>0</w:t>
            </w:r>
          </w:p>
        </w:tc>
        <w:tc>
          <w:tcPr>
            <w:tcW w:w="720" w:type="dxa"/>
          </w:tcPr>
          <w:p w14:paraId="1C9AEC76" w14:textId="77777777" w:rsidR="00405424" w:rsidRPr="00CD29D0" w:rsidRDefault="00405424" w:rsidP="00E91BA1">
            <w:pPr>
              <w:pStyle w:val="TableTextCentered"/>
              <w:rPr>
                <w:b/>
                <w:bCs/>
              </w:rPr>
            </w:pPr>
            <w:r w:rsidRPr="00CD29D0">
              <w:rPr>
                <w:b/>
                <w:bCs/>
              </w:rPr>
              <w:t>1</w:t>
            </w:r>
          </w:p>
        </w:tc>
        <w:tc>
          <w:tcPr>
            <w:tcW w:w="720" w:type="dxa"/>
          </w:tcPr>
          <w:p w14:paraId="7E6E3771" w14:textId="77777777" w:rsidR="00405424" w:rsidRPr="00CD29D0" w:rsidRDefault="00405424" w:rsidP="00E91BA1">
            <w:pPr>
              <w:pStyle w:val="TableTextCentered"/>
              <w:rPr>
                <w:b/>
                <w:bCs/>
              </w:rPr>
            </w:pPr>
            <w:r w:rsidRPr="00CD29D0">
              <w:rPr>
                <w:b/>
                <w:bCs/>
              </w:rPr>
              <w:t>2</w:t>
            </w:r>
          </w:p>
        </w:tc>
        <w:tc>
          <w:tcPr>
            <w:tcW w:w="720" w:type="dxa"/>
          </w:tcPr>
          <w:p w14:paraId="6551DC51" w14:textId="77777777" w:rsidR="00405424" w:rsidRPr="00CD29D0" w:rsidRDefault="00405424" w:rsidP="00E91BA1">
            <w:pPr>
              <w:pStyle w:val="TableTextCentered"/>
              <w:rPr>
                <w:b/>
                <w:bCs/>
              </w:rPr>
            </w:pPr>
            <w:r w:rsidRPr="00CD29D0">
              <w:rPr>
                <w:b/>
                <w:bCs/>
              </w:rPr>
              <w:t>18</w:t>
            </w:r>
          </w:p>
        </w:tc>
        <w:tc>
          <w:tcPr>
            <w:tcW w:w="720" w:type="dxa"/>
          </w:tcPr>
          <w:p w14:paraId="107DE96B" w14:textId="77777777" w:rsidR="00405424" w:rsidRPr="00CD29D0" w:rsidRDefault="00405424" w:rsidP="00E91BA1">
            <w:pPr>
              <w:pStyle w:val="TableTextCentered"/>
              <w:rPr>
                <w:b/>
                <w:bCs/>
              </w:rPr>
            </w:pPr>
            <w:r w:rsidRPr="00CD29D0">
              <w:rPr>
                <w:b/>
                <w:bCs/>
              </w:rPr>
              <w:t>39</w:t>
            </w:r>
          </w:p>
        </w:tc>
        <w:tc>
          <w:tcPr>
            <w:tcW w:w="547" w:type="dxa"/>
          </w:tcPr>
          <w:p w14:paraId="4970671E" w14:textId="77777777" w:rsidR="00405424" w:rsidRPr="00CD29D0" w:rsidRDefault="00405424" w:rsidP="00E91BA1">
            <w:pPr>
              <w:pStyle w:val="TableTextCentered"/>
              <w:rPr>
                <w:b/>
                <w:bCs/>
              </w:rPr>
            </w:pPr>
            <w:r w:rsidRPr="00CD29D0">
              <w:rPr>
                <w:b/>
                <w:bCs/>
              </w:rPr>
              <w:t>60</w:t>
            </w:r>
          </w:p>
        </w:tc>
        <w:tc>
          <w:tcPr>
            <w:tcW w:w="900" w:type="dxa"/>
          </w:tcPr>
          <w:p w14:paraId="7830BB0B" w14:textId="77777777" w:rsidR="00405424" w:rsidRPr="00CD29D0" w:rsidRDefault="00405424" w:rsidP="00E91BA1">
            <w:pPr>
              <w:pStyle w:val="TableTextCentered"/>
              <w:rPr>
                <w:b/>
                <w:bCs/>
              </w:rPr>
            </w:pPr>
            <w:r w:rsidRPr="00CD29D0">
              <w:rPr>
                <w:b/>
                <w:bCs/>
              </w:rPr>
              <w:t>6.6</w:t>
            </w:r>
          </w:p>
        </w:tc>
      </w:tr>
      <w:tr w:rsidR="00405424" w:rsidRPr="00CD29D0" w14:paraId="5E542109" w14:textId="77777777" w:rsidTr="00E91BA1">
        <w:tc>
          <w:tcPr>
            <w:tcW w:w="3232" w:type="dxa"/>
          </w:tcPr>
          <w:p w14:paraId="77BBCA19" w14:textId="77777777" w:rsidR="00405424" w:rsidRPr="00CD29D0" w:rsidRDefault="00405424" w:rsidP="00E91BA1">
            <w:pPr>
              <w:pStyle w:val="TableText"/>
              <w:ind w:left="202"/>
              <w:rPr>
                <w:b/>
                <w:bCs/>
              </w:rPr>
            </w:pPr>
            <w:r w:rsidRPr="00CD29D0">
              <w:t>Behavior Management</w:t>
            </w:r>
          </w:p>
        </w:tc>
        <w:tc>
          <w:tcPr>
            <w:tcW w:w="720" w:type="dxa"/>
          </w:tcPr>
          <w:p w14:paraId="7A451E83" w14:textId="77777777" w:rsidR="00405424" w:rsidRPr="00CD29D0" w:rsidRDefault="00405424" w:rsidP="00E91BA1">
            <w:pPr>
              <w:pStyle w:val="TableTextCentered"/>
            </w:pPr>
            <w:r w:rsidRPr="00CD29D0">
              <w:t>0</w:t>
            </w:r>
          </w:p>
        </w:tc>
        <w:tc>
          <w:tcPr>
            <w:tcW w:w="720" w:type="dxa"/>
          </w:tcPr>
          <w:p w14:paraId="48B06F84" w14:textId="77777777" w:rsidR="00405424" w:rsidRPr="00CD29D0" w:rsidRDefault="00405424" w:rsidP="00E91BA1">
            <w:pPr>
              <w:pStyle w:val="TableTextCentered"/>
            </w:pPr>
            <w:r w:rsidRPr="00CD29D0">
              <w:t>0</w:t>
            </w:r>
          </w:p>
        </w:tc>
        <w:tc>
          <w:tcPr>
            <w:tcW w:w="720" w:type="dxa"/>
          </w:tcPr>
          <w:p w14:paraId="33B2F265" w14:textId="77777777" w:rsidR="00405424" w:rsidRPr="00CD29D0" w:rsidRDefault="00405424" w:rsidP="00E91BA1">
            <w:pPr>
              <w:pStyle w:val="TableTextCentered"/>
            </w:pPr>
            <w:r w:rsidRPr="00CD29D0">
              <w:t>0</w:t>
            </w:r>
          </w:p>
        </w:tc>
        <w:tc>
          <w:tcPr>
            <w:tcW w:w="720" w:type="dxa"/>
          </w:tcPr>
          <w:p w14:paraId="7309E58E" w14:textId="77777777" w:rsidR="00405424" w:rsidRPr="00CD29D0" w:rsidRDefault="00405424" w:rsidP="00E91BA1">
            <w:pPr>
              <w:pStyle w:val="TableTextCentered"/>
            </w:pPr>
            <w:r w:rsidRPr="00CD29D0">
              <w:t>1</w:t>
            </w:r>
          </w:p>
        </w:tc>
        <w:tc>
          <w:tcPr>
            <w:tcW w:w="720" w:type="dxa"/>
          </w:tcPr>
          <w:p w14:paraId="5DB862C2" w14:textId="77777777" w:rsidR="00405424" w:rsidRPr="00CD29D0" w:rsidRDefault="00405424" w:rsidP="00E91BA1">
            <w:pPr>
              <w:pStyle w:val="TableTextCentered"/>
            </w:pPr>
            <w:r w:rsidRPr="00CD29D0">
              <w:t>2</w:t>
            </w:r>
          </w:p>
        </w:tc>
        <w:tc>
          <w:tcPr>
            <w:tcW w:w="720" w:type="dxa"/>
          </w:tcPr>
          <w:p w14:paraId="05B19528" w14:textId="77777777" w:rsidR="00405424" w:rsidRPr="00CD29D0" w:rsidRDefault="00405424" w:rsidP="00E91BA1">
            <w:pPr>
              <w:pStyle w:val="TableTextCentered"/>
            </w:pPr>
            <w:r w:rsidRPr="00CD29D0">
              <w:t>8</w:t>
            </w:r>
          </w:p>
        </w:tc>
        <w:tc>
          <w:tcPr>
            <w:tcW w:w="720" w:type="dxa"/>
          </w:tcPr>
          <w:p w14:paraId="08B3C97F" w14:textId="77777777" w:rsidR="00405424" w:rsidRPr="00CD29D0" w:rsidRDefault="00405424" w:rsidP="00E91BA1">
            <w:pPr>
              <w:pStyle w:val="TableTextCentered"/>
            </w:pPr>
            <w:r w:rsidRPr="00CD29D0">
              <w:t>9</w:t>
            </w:r>
          </w:p>
        </w:tc>
        <w:tc>
          <w:tcPr>
            <w:tcW w:w="547" w:type="dxa"/>
          </w:tcPr>
          <w:p w14:paraId="7445B5D2" w14:textId="77777777" w:rsidR="00405424" w:rsidRPr="00CD29D0" w:rsidRDefault="00405424" w:rsidP="00E91BA1">
            <w:pPr>
              <w:pStyle w:val="TableTextCentered"/>
            </w:pPr>
            <w:r w:rsidRPr="00CD29D0">
              <w:t>20</w:t>
            </w:r>
          </w:p>
        </w:tc>
        <w:tc>
          <w:tcPr>
            <w:tcW w:w="900" w:type="dxa"/>
          </w:tcPr>
          <w:p w14:paraId="315D2B55" w14:textId="77777777" w:rsidR="00405424" w:rsidRPr="00CD29D0" w:rsidRDefault="00405424" w:rsidP="00E91BA1">
            <w:pPr>
              <w:pStyle w:val="TableTextCentered"/>
            </w:pPr>
            <w:r w:rsidRPr="00CD29D0">
              <w:t>6.3</w:t>
            </w:r>
          </w:p>
        </w:tc>
      </w:tr>
      <w:tr w:rsidR="00405424" w:rsidRPr="00CD29D0" w14:paraId="17A05D24"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5C844935" w14:textId="77777777" w:rsidR="00405424" w:rsidRPr="00CD29D0" w:rsidRDefault="00405424" w:rsidP="00E91BA1">
            <w:pPr>
              <w:pStyle w:val="TableText"/>
              <w:ind w:left="202"/>
              <w:rPr>
                <w:b/>
                <w:bCs/>
              </w:rPr>
            </w:pPr>
            <w:r w:rsidRPr="00CD29D0">
              <w:t>Productivity</w:t>
            </w:r>
          </w:p>
        </w:tc>
        <w:tc>
          <w:tcPr>
            <w:tcW w:w="720" w:type="dxa"/>
          </w:tcPr>
          <w:p w14:paraId="59F96885" w14:textId="77777777" w:rsidR="00405424" w:rsidRPr="00CD29D0" w:rsidRDefault="00405424" w:rsidP="00E91BA1">
            <w:pPr>
              <w:pStyle w:val="TableTextCentered"/>
            </w:pPr>
            <w:r w:rsidRPr="00CD29D0">
              <w:t>0</w:t>
            </w:r>
          </w:p>
        </w:tc>
        <w:tc>
          <w:tcPr>
            <w:tcW w:w="720" w:type="dxa"/>
          </w:tcPr>
          <w:p w14:paraId="502B903B" w14:textId="77777777" w:rsidR="00405424" w:rsidRPr="00CD29D0" w:rsidRDefault="00405424" w:rsidP="00E91BA1">
            <w:pPr>
              <w:pStyle w:val="TableTextCentered"/>
            </w:pPr>
            <w:r w:rsidRPr="00CD29D0">
              <w:t>0</w:t>
            </w:r>
          </w:p>
        </w:tc>
        <w:tc>
          <w:tcPr>
            <w:tcW w:w="720" w:type="dxa"/>
          </w:tcPr>
          <w:p w14:paraId="32490013" w14:textId="77777777" w:rsidR="00405424" w:rsidRPr="00CD29D0" w:rsidRDefault="00405424" w:rsidP="00E91BA1">
            <w:pPr>
              <w:pStyle w:val="TableTextCentered"/>
            </w:pPr>
            <w:r w:rsidRPr="00CD29D0">
              <w:t>0</w:t>
            </w:r>
          </w:p>
        </w:tc>
        <w:tc>
          <w:tcPr>
            <w:tcW w:w="720" w:type="dxa"/>
          </w:tcPr>
          <w:p w14:paraId="3594AE2C" w14:textId="77777777" w:rsidR="00405424" w:rsidRPr="00CD29D0" w:rsidRDefault="00405424" w:rsidP="00E91BA1">
            <w:pPr>
              <w:pStyle w:val="TableTextCentered"/>
            </w:pPr>
            <w:r w:rsidRPr="00CD29D0">
              <w:t>0</w:t>
            </w:r>
          </w:p>
        </w:tc>
        <w:tc>
          <w:tcPr>
            <w:tcW w:w="720" w:type="dxa"/>
          </w:tcPr>
          <w:p w14:paraId="23EA9C96" w14:textId="77777777" w:rsidR="00405424" w:rsidRPr="00CD29D0" w:rsidRDefault="00405424" w:rsidP="00E91BA1">
            <w:pPr>
              <w:pStyle w:val="TableTextCentered"/>
            </w:pPr>
            <w:r w:rsidRPr="00CD29D0">
              <w:t>0</w:t>
            </w:r>
          </w:p>
        </w:tc>
        <w:tc>
          <w:tcPr>
            <w:tcW w:w="720" w:type="dxa"/>
          </w:tcPr>
          <w:p w14:paraId="7A85EEB8" w14:textId="77777777" w:rsidR="00405424" w:rsidRPr="00CD29D0" w:rsidRDefault="00405424" w:rsidP="00E91BA1">
            <w:pPr>
              <w:pStyle w:val="TableTextCentered"/>
            </w:pPr>
            <w:r w:rsidRPr="00CD29D0">
              <w:t>10</w:t>
            </w:r>
          </w:p>
        </w:tc>
        <w:tc>
          <w:tcPr>
            <w:tcW w:w="720" w:type="dxa"/>
          </w:tcPr>
          <w:p w14:paraId="7F240CF0" w14:textId="77777777" w:rsidR="00405424" w:rsidRPr="00CD29D0" w:rsidRDefault="00405424" w:rsidP="00E91BA1">
            <w:pPr>
              <w:pStyle w:val="TableTextCentered"/>
            </w:pPr>
            <w:r w:rsidRPr="00CD29D0">
              <w:t>10</w:t>
            </w:r>
          </w:p>
        </w:tc>
        <w:tc>
          <w:tcPr>
            <w:tcW w:w="547" w:type="dxa"/>
          </w:tcPr>
          <w:p w14:paraId="25115C62" w14:textId="77777777" w:rsidR="00405424" w:rsidRPr="00CD29D0" w:rsidRDefault="00405424" w:rsidP="00E91BA1">
            <w:pPr>
              <w:pStyle w:val="TableTextCentered"/>
            </w:pPr>
            <w:r w:rsidRPr="00CD29D0">
              <w:t>20</w:t>
            </w:r>
          </w:p>
        </w:tc>
        <w:tc>
          <w:tcPr>
            <w:tcW w:w="900" w:type="dxa"/>
          </w:tcPr>
          <w:p w14:paraId="2611E58F" w14:textId="77777777" w:rsidR="00405424" w:rsidRPr="00CD29D0" w:rsidRDefault="00405424" w:rsidP="00E91BA1">
            <w:pPr>
              <w:pStyle w:val="TableTextCentered"/>
            </w:pPr>
            <w:r w:rsidRPr="00CD29D0">
              <w:t>6.5</w:t>
            </w:r>
          </w:p>
        </w:tc>
      </w:tr>
      <w:tr w:rsidR="00405424" w:rsidRPr="00CD29D0" w14:paraId="2E509D8E" w14:textId="77777777" w:rsidTr="00E91BA1">
        <w:tc>
          <w:tcPr>
            <w:tcW w:w="3232" w:type="dxa"/>
          </w:tcPr>
          <w:p w14:paraId="7E21FEC6" w14:textId="77777777" w:rsidR="00405424" w:rsidRPr="00CD29D0" w:rsidRDefault="00405424" w:rsidP="00E91BA1">
            <w:pPr>
              <w:pStyle w:val="TableText"/>
              <w:ind w:left="202"/>
              <w:rPr>
                <w:b/>
                <w:bCs/>
              </w:rPr>
            </w:pPr>
            <w:r w:rsidRPr="00CD29D0">
              <w:t>Negative Climate**</w:t>
            </w:r>
          </w:p>
        </w:tc>
        <w:tc>
          <w:tcPr>
            <w:tcW w:w="720" w:type="dxa"/>
          </w:tcPr>
          <w:p w14:paraId="7937E3D1" w14:textId="77777777" w:rsidR="00405424" w:rsidRPr="00CD29D0" w:rsidRDefault="00405424" w:rsidP="00E91BA1">
            <w:pPr>
              <w:pStyle w:val="TableTextCentered"/>
            </w:pPr>
            <w:r w:rsidRPr="00CD29D0">
              <w:t>0</w:t>
            </w:r>
          </w:p>
        </w:tc>
        <w:tc>
          <w:tcPr>
            <w:tcW w:w="720" w:type="dxa"/>
          </w:tcPr>
          <w:p w14:paraId="702BCCB9" w14:textId="77777777" w:rsidR="00405424" w:rsidRPr="00CD29D0" w:rsidRDefault="00405424" w:rsidP="00E91BA1">
            <w:pPr>
              <w:pStyle w:val="TableTextCentered"/>
            </w:pPr>
            <w:r w:rsidRPr="00CD29D0">
              <w:t>0</w:t>
            </w:r>
          </w:p>
        </w:tc>
        <w:tc>
          <w:tcPr>
            <w:tcW w:w="720" w:type="dxa"/>
          </w:tcPr>
          <w:p w14:paraId="5B59C287" w14:textId="77777777" w:rsidR="00405424" w:rsidRPr="00CD29D0" w:rsidRDefault="00405424" w:rsidP="00E91BA1">
            <w:pPr>
              <w:pStyle w:val="TableTextCentered"/>
            </w:pPr>
            <w:r w:rsidRPr="00CD29D0">
              <w:t>0</w:t>
            </w:r>
          </w:p>
        </w:tc>
        <w:tc>
          <w:tcPr>
            <w:tcW w:w="720" w:type="dxa"/>
          </w:tcPr>
          <w:p w14:paraId="1D888F7C" w14:textId="77777777" w:rsidR="00405424" w:rsidRPr="00CD29D0" w:rsidRDefault="00405424" w:rsidP="00E91BA1">
            <w:pPr>
              <w:pStyle w:val="TableTextCentered"/>
            </w:pPr>
            <w:r w:rsidRPr="00CD29D0">
              <w:t>0</w:t>
            </w:r>
          </w:p>
        </w:tc>
        <w:tc>
          <w:tcPr>
            <w:tcW w:w="720" w:type="dxa"/>
          </w:tcPr>
          <w:p w14:paraId="1AF544BE" w14:textId="77777777" w:rsidR="00405424" w:rsidRPr="00CD29D0" w:rsidRDefault="00405424" w:rsidP="00E91BA1">
            <w:pPr>
              <w:pStyle w:val="TableTextCentered"/>
            </w:pPr>
            <w:r w:rsidRPr="00CD29D0">
              <w:t>0</w:t>
            </w:r>
          </w:p>
        </w:tc>
        <w:tc>
          <w:tcPr>
            <w:tcW w:w="720" w:type="dxa"/>
          </w:tcPr>
          <w:p w14:paraId="4E5AE572" w14:textId="77777777" w:rsidR="00405424" w:rsidRPr="00CD29D0" w:rsidRDefault="00405424" w:rsidP="00E91BA1">
            <w:pPr>
              <w:pStyle w:val="TableTextCentered"/>
            </w:pPr>
            <w:r w:rsidRPr="00CD29D0">
              <w:t>0</w:t>
            </w:r>
          </w:p>
        </w:tc>
        <w:tc>
          <w:tcPr>
            <w:tcW w:w="720" w:type="dxa"/>
          </w:tcPr>
          <w:p w14:paraId="102117A4" w14:textId="77777777" w:rsidR="00405424" w:rsidRPr="00CD29D0" w:rsidRDefault="00405424" w:rsidP="00E91BA1">
            <w:pPr>
              <w:pStyle w:val="TableTextCentered"/>
            </w:pPr>
            <w:r w:rsidRPr="00CD29D0">
              <w:t>20</w:t>
            </w:r>
          </w:p>
        </w:tc>
        <w:tc>
          <w:tcPr>
            <w:tcW w:w="547" w:type="dxa"/>
          </w:tcPr>
          <w:p w14:paraId="60949E28" w14:textId="77777777" w:rsidR="00405424" w:rsidRPr="00CD29D0" w:rsidRDefault="00405424" w:rsidP="00E91BA1">
            <w:pPr>
              <w:pStyle w:val="TableTextCentered"/>
            </w:pPr>
            <w:r w:rsidRPr="00CD29D0">
              <w:t>20</w:t>
            </w:r>
          </w:p>
        </w:tc>
        <w:tc>
          <w:tcPr>
            <w:tcW w:w="900" w:type="dxa"/>
          </w:tcPr>
          <w:p w14:paraId="40844B7C" w14:textId="77777777" w:rsidR="00405424" w:rsidRPr="00CD29D0" w:rsidRDefault="00405424" w:rsidP="00E91BA1">
            <w:pPr>
              <w:pStyle w:val="TableTextCentered"/>
            </w:pPr>
            <w:r w:rsidRPr="00CD29D0">
              <w:t>7.0</w:t>
            </w:r>
          </w:p>
        </w:tc>
      </w:tr>
      <w:tr w:rsidR="00405424" w:rsidRPr="00CD29D0" w14:paraId="636A9F26"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65B90B54" w14:textId="77777777" w:rsidR="00405424" w:rsidRPr="00CD29D0" w:rsidRDefault="00405424" w:rsidP="00E91BA1">
            <w:pPr>
              <w:pStyle w:val="TableText"/>
              <w:rPr>
                <w:b/>
                <w:bCs/>
                <w:szCs w:val="20"/>
              </w:rPr>
            </w:pPr>
            <w:r w:rsidRPr="00CD29D0">
              <w:rPr>
                <w:b/>
                <w:bCs/>
              </w:rPr>
              <w:t>Instructional Support Domain</w:t>
            </w:r>
          </w:p>
        </w:tc>
        <w:tc>
          <w:tcPr>
            <w:tcW w:w="720" w:type="dxa"/>
          </w:tcPr>
          <w:p w14:paraId="06F47EF2" w14:textId="77777777" w:rsidR="00405424" w:rsidRPr="00CD29D0" w:rsidRDefault="00405424" w:rsidP="00E91BA1">
            <w:pPr>
              <w:pStyle w:val="TableTextCentered"/>
              <w:rPr>
                <w:b/>
                <w:bCs/>
              </w:rPr>
            </w:pPr>
            <w:r w:rsidRPr="00CD29D0">
              <w:rPr>
                <w:b/>
                <w:bCs/>
              </w:rPr>
              <w:t>19</w:t>
            </w:r>
          </w:p>
        </w:tc>
        <w:tc>
          <w:tcPr>
            <w:tcW w:w="720" w:type="dxa"/>
          </w:tcPr>
          <w:p w14:paraId="6CB6ACD4" w14:textId="77777777" w:rsidR="00405424" w:rsidRPr="00CD29D0" w:rsidRDefault="00405424" w:rsidP="00E91BA1">
            <w:pPr>
              <w:pStyle w:val="TableTextCentered"/>
              <w:rPr>
                <w:b/>
                <w:bCs/>
              </w:rPr>
            </w:pPr>
            <w:r w:rsidRPr="00CD29D0">
              <w:rPr>
                <w:b/>
                <w:bCs/>
              </w:rPr>
              <w:t>15</w:t>
            </w:r>
          </w:p>
        </w:tc>
        <w:tc>
          <w:tcPr>
            <w:tcW w:w="720" w:type="dxa"/>
          </w:tcPr>
          <w:p w14:paraId="37113395" w14:textId="77777777" w:rsidR="00405424" w:rsidRPr="00CD29D0" w:rsidRDefault="00405424" w:rsidP="00E91BA1">
            <w:pPr>
              <w:pStyle w:val="TableTextCentered"/>
              <w:rPr>
                <w:b/>
                <w:bCs/>
              </w:rPr>
            </w:pPr>
            <w:r w:rsidRPr="00CD29D0">
              <w:rPr>
                <w:b/>
                <w:bCs/>
              </w:rPr>
              <w:t>21</w:t>
            </w:r>
          </w:p>
        </w:tc>
        <w:tc>
          <w:tcPr>
            <w:tcW w:w="720" w:type="dxa"/>
          </w:tcPr>
          <w:p w14:paraId="29F4AAA1" w14:textId="77777777" w:rsidR="00405424" w:rsidRPr="00CD29D0" w:rsidRDefault="00405424" w:rsidP="00E91BA1">
            <w:pPr>
              <w:pStyle w:val="TableTextCentered"/>
              <w:rPr>
                <w:b/>
                <w:bCs/>
              </w:rPr>
            </w:pPr>
            <w:r w:rsidRPr="00CD29D0">
              <w:rPr>
                <w:b/>
                <w:bCs/>
              </w:rPr>
              <w:t>21</w:t>
            </w:r>
          </w:p>
        </w:tc>
        <w:tc>
          <w:tcPr>
            <w:tcW w:w="720" w:type="dxa"/>
          </w:tcPr>
          <w:p w14:paraId="2A42B19D" w14:textId="77777777" w:rsidR="00405424" w:rsidRPr="00CD29D0" w:rsidRDefault="00405424" w:rsidP="00E91BA1">
            <w:pPr>
              <w:pStyle w:val="TableTextCentered"/>
              <w:rPr>
                <w:b/>
                <w:bCs/>
              </w:rPr>
            </w:pPr>
            <w:r w:rsidRPr="00CD29D0">
              <w:rPr>
                <w:b/>
                <w:bCs/>
              </w:rPr>
              <w:t>22</w:t>
            </w:r>
          </w:p>
        </w:tc>
        <w:tc>
          <w:tcPr>
            <w:tcW w:w="720" w:type="dxa"/>
          </w:tcPr>
          <w:p w14:paraId="5BA4A6AE" w14:textId="77777777" w:rsidR="00405424" w:rsidRPr="00CD29D0" w:rsidRDefault="00405424" w:rsidP="00E91BA1">
            <w:pPr>
              <w:pStyle w:val="TableTextCentered"/>
              <w:rPr>
                <w:b/>
                <w:bCs/>
              </w:rPr>
            </w:pPr>
            <w:r w:rsidRPr="00CD29D0">
              <w:rPr>
                <w:b/>
                <w:bCs/>
              </w:rPr>
              <w:t>2</w:t>
            </w:r>
          </w:p>
        </w:tc>
        <w:tc>
          <w:tcPr>
            <w:tcW w:w="720" w:type="dxa"/>
          </w:tcPr>
          <w:p w14:paraId="569B4876" w14:textId="77777777" w:rsidR="00405424" w:rsidRPr="00CD29D0" w:rsidRDefault="00405424" w:rsidP="00E91BA1">
            <w:pPr>
              <w:pStyle w:val="TableTextCentered"/>
              <w:rPr>
                <w:b/>
                <w:bCs/>
              </w:rPr>
            </w:pPr>
            <w:r w:rsidRPr="00CD29D0">
              <w:rPr>
                <w:b/>
                <w:bCs/>
              </w:rPr>
              <w:t>0</w:t>
            </w:r>
          </w:p>
        </w:tc>
        <w:tc>
          <w:tcPr>
            <w:tcW w:w="547" w:type="dxa"/>
          </w:tcPr>
          <w:p w14:paraId="1E37BC3F" w14:textId="77777777" w:rsidR="00405424" w:rsidRPr="00CD29D0" w:rsidRDefault="00405424" w:rsidP="00E91BA1">
            <w:pPr>
              <w:pStyle w:val="TableTextCentered"/>
              <w:rPr>
                <w:b/>
                <w:bCs/>
              </w:rPr>
            </w:pPr>
            <w:r w:rsidRPr="00CD29D0">
              <w:rPr>
                <w:b/>
                <w:bCs/>
              </w:rPr>
              <w:t>100</w:t>
            </w:r>
          </w:p>
        </w:tc>
        <w:tc>
          <w:tcPr>
            <w:tcW w:w="900" w:type="dxa"/>
          </w:tcPr>
          <w:p w14:paraId="5B3D8D82" w14:textId="77777777" w:rsidR="00405424" w:rsidRPr="00CD29D0" w:rsidRDefault="00405424" w:rsidP="00E91BA1">
            <w:pPr>
              <w:pStyle w:val="TableTextCentered"/>
              <w:rPr>
                <w:b/>
                <w:bCs/>
              </w:rPr>
            </w:pPr>
            <w:r w:rsidRPr="00CD29D0">
              <w:rPr>
                <w:b/>
                <w:bCs/>
              </w:rPr>
              <w:t>3.2</w:t>
            </w:r>
          </w:p>
        </w:tc>
      </w:tr>
      <w:tr w:rsidR="00405424" w:rsidRPr="00CD29D0" w14:paraId="5796694D" w14:textId="77777777" w:rsidTr="00E91BA1">
        <w:tc>
          <w:tcPr>
            <w:tcW w:w="3232" w:type="dxa"/>
          </w:tcPr>
          <w:p w14:paraId="0C68565D" w14:textId="77777777" w:rsidR="00405424" w:rsidRPr="00CD29D0" w:rsidRDefault="00405424" w:rsidP="00E91BA1">
            <w:pPr>
              <w:pStyle w:val="TableText"/>
              <w:ind w:left="202"/>
              <w:rPr>
                <w:b/>
                <w:bCs/>
              </w:rPr>
            </w:pPr>
            <w:r w:rsidRPr="00CD29D0">
              <w:t>Instructional Learning Formats</w:t>
            </w:r>
          </w:p>
        </w:tc>
        <w:tc>
          <w:tcPr>
            <w:tcW w:w="720" w:type="dxa"/>
          </w:tcPr>
          <w:p w14:paraId="19C5F44C" w14:textId="77777777" w:rsidR="00405424" w:rsidRPr="00CD29D0" w:rsidRDefault="00405424" w:rsidP="00E91BA1">
            <w:pPr>
              <w:pStyle w:val="TableTextCentered"/>
            </w:pPr>
            <w:r w:rsidRPr="00CD29D0">
              <w:t>0</w:t>
            </w:r>
          </w:p>
        </w:tc>
        <w:tc>
          <w:tcPr>
            <w:tcW w:w="720" w:type="dxa"/>
          </w:tcPr>
          <w:p w14:paraId="5A39B829" w14:textId="77777777" w:rsidR="00405424" w:rsidRPr="00CD29D0" w:rsidRDefault="00405424" w:rsidP="00E91BA1">
            <w:pPr>
              <w:pStyle w:val="TableTextCentered"/>
            </w:pPr>
            <w:r w:rsidRPr="00CD29D0">
              <w:t>0</w:t>
            </w:r>
          </w:p>
        </w:tc>
        <w:tc>
          <w:tcPr>
            <w:tcW w:w="720" w:type="dxa"/>
          </w:tcPr>
          <w:p w14:paraId="735AF1B4" w14:textId="77777777" w:rsidR="00405424" w:rsidRPr="00CD29D0" w:rsidRDefault="00405424" w:rsidP="00E91BA1">
            <w:pPr>
              <w:pStyle w:val="TableTextCentered"/>
            </w:pPr>
            <w:r w:rsidRPr="00CD29D0">
              <w:t>2</w:t>
            </w:r>
          </w:p>
        </w:tc>
        <w:tc>
          <w:tcPr>
            <w:tcW w:w="720" w:type="dxa"/>
          </w:tcPr>
          <w:p w14:paraId="02F78D6A" w14:textId="77777777" w:rsidR="00405424" w:rsidRPr="00CD29D0" w:rsidRDefault="00405424" w:rsidP="00E91BA1">
            <w:pPr>
              <w:pStyle w:val="TableTextCentered"/>
            </w:pPr>
            <w:r w:rsidRPr="00CD29D0">
              <w:t>2</w:t>
            </w:r>
          </w:p>
        </w:tc>
        <w:tc>
          <w:tcPr>
            <w:tcW w:w="720" w:type="dxa"/>
          </w:tcPr>
          <w:p w14:paraId="6DF8DB45" w14:textId="77777777" w:rsidR="00405424" w:rsidRPr="00CD29D0" w:rsidRDefault="00405424" w:rsidP="00E91BA1">
            <w:pPr>
              <w:pStyle w:val="TableTextCentered"/>
            </w:pPr>
            <w:r w:rsidRPr="00CD29D0">
              <w:t>15</w:t>
            </w:r>
          </w:p>
        </w:tc>
        <w:tc>
          <w:tcPr>
            <w:tcW w:w="720" w:type="dxa"/>
          </w:tcPr>
          <w:p w14:paraId="7F00D602" w14:textId="77777777" w:rsidR="00405424" w:rsidRPr="00CD29D0" w:rsidRDefault="00405424" w:rsidP="00E91BA1">
            <w:pPr>
              <w:pStyle w:val="TableTextCentered"/>
            </w:pPr>
            <w:r w:rsidRPr="00CD29D0">
              <w:t>1</w:t>
            </w:r>
          </w:p>
        </w:tc>
        <w:tc>
          <w:tcPr>
            <w:tcW w:w="720" w:type="dxa"/>
          </w:tcPr>
          <w:p w14:paraId="5E1F09E1" w14:textId="77777777" w:rsidR="00405424" w:rsidRPr="00CD29D0" w:rsidRDefault="00405424" w:rsidP="00E91BA1">
            <w:pPr>
              <w:pStyle w:val="TableTextCentered"/>
            </w:pPr>
            <w:r w:rsidRPr="00CD29D0">
              <w:t>0</w:t>
            </w:r>
          </w:p>
        </w:tc>
        <w:tc>
          <w:tcPr>
            <w:tcW w:w="547" w:type="dxa"/>
          </w:tcPr>
          <w:p w14:paraId="67CAE004" w14:textId="77777777" w:rsidR="00405424" w:rsidRPr="00CD29D0" w:rsidRDefault="00405424" w:rsidP="00E91BA1">
            <w:pPr>
              <w:pStyle w:val="TableTextCentered"/>
            </w:pPr>
            <w:r w:rsidRPr="00CD29D0">
              <w:t>20</w:t>
            </w:r>
          </w:p>
        </w:tc>
        <w:tc>
          <w:tcPr>
            <w:tcW w:w="900" w:type="dxa"/>
          </w:tcPr>
          <w:p w14:paraId="6D00ED24" w14:textId="77777777" w:rsidR="00405424" w:rsidRPr="00CD29D0" w:rsidRDefault="00405424" w:rsidP="00E91BA1">
            <w:pPr>
              <w:pStyle w:val="TableTextCentered"/>
            </w:pPr>
            <w:r w:rsidRPr="00CD29D0">
              <w:t>4.8</w:t>
            </w:r>
          </w:p>
        </w:tc>
      </w:tr>
      <w:tr w:rsidR="00405424" w:rsidRPr="00CD29D0" w14:paraId="0BE402AB"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4052861D" w14:textId="77777777" w:rsidR="00405424" w:rsidRPr="00CD29D0" w:rsidRDefault="00405424" w:rsidP="00E91BA1">
            <w:pPr>
              <w:pStyle w:val="TableText"/>
              <w:ind w:left="202"/>
              <w:rPr>
                <w:b/>
                <w:bCs/>
              </w:rPr>
            </w:pPr>
            <w:r w:rsidRPr="00CD29D0">
              <w:t>Content Understanding</w:t>
            </w:r>
          </w:p>
        </w:tc>
        <w:tc>
          <w:tcPr>
            <w:tcW w:w="720" w:type="dxa"/>
          </w:tcPr>
          <w:p w14:paraId="38EFE9E4" w14:textId="77777777" w:rsidR="00405424" w:rsidRPr="00CD29D0" w:rsidRDefault="00405424" w:rsidP="00E91BA1">
            <w:pPr>
              <w:pStyle w:val="TableTextCentered"/>
            </w:pPr>
            <w:r w:rsidRPr="00CD29D0">
              <w:t>0</w:t>
            </w:r>
          </w:p>
        </w:tc>
        <w:tc>
          <w:tcPr>
            <w:tcW w:w="720" w:type="dxa"/>
          </w:tcPr>
          <w:p w14:paraId="66ECA41F" w14:textId="77777777" w:rsidR="00405424" w:rsidRPr="00CD29D0" w:rsidRDefault="00405424" w:rsidP="00E91BA1">
            <w:pPr>
              <w:pStyle w:val="TableTextCentered"/>
            </w:pPr>
            <w:r w:rsidRPr="00CD29D0">
              <w:t>2</w:t>
            </w:r>
          </w:p>
        </w:tc>
        <w:tc>
          <w:tcPr>
            <w:tcW w:w="720" w:type="dxa"/>
          </w:tcPr>
          <w:p w14:paraId="1F61205E" w14:textId="77777777" w:rsidR="00405424" w:rsidRPr="00CD29D0" w:rsidRDefault="00405424" w:rsidP="00E91BA1">
            <w:pPr>
              <w:pStyle w:val="TableTextCentered"/>
            </w:pPr>
            <w:r w:rsidRPr="00CD29D0">
              <w:t>4</w:t>
            </w:r>
          </w:p>
        </w:tc>
        <w:tc>
          <w:tcPr>
            <w:tcW w:w="720" w:type="dxa"/>
          </w:tcPr>
          <w:p w14:paraId="6C236739" w14:textId="77777777" w:rsidR="00405424" w:rsidRPr="00CD29D0" w:rsidRDefault="00405424" w:rsidP="00E91BA1">
            <w:pPr>
              <w:pStyle w:val="TableTextCentered"/>
            </w:pPr>
            <w:r w:rsidRPr="00CD29D0">
              <w:t>12</w:t>
            </w:r>
          </w:p>
        </w:tc>
        <w:tc>
          <w:tcPr>
            <w:tcW w:w="720" w:type="dxa"/>
          </w:tcPr>
          <w:p w14:paraId="253BF4F0" w14:textId="77777777" w:rsidR="00405424" w:rsidRPr="00CD29D0" w:rsidRDefault="00405424" w:rsidP="00E91BA1">
            <w:pPr>
              <w:pStyle w:val="TableTextCentered"/>
            </w:pPr>
            <w:r w:rsidRPr="00CD29D0">
              <w:t>2</w:t>
            </w:r>
          </w:p>
        </w:tc>
        <w:tc>
          <w:tcPr>
            <w:tcW w:w="720" w:type="dxa"/>
          </w:tcPr>
          <w:p w14:paraId="08305F27" w14:textId="77777777" w:rsidR="00405424" w:rsidRPr="00CD29D0" w:rsidRDefault="00405424" w:rsidP="00E91BA1">
            <w:pPr>
              <w:pStyle w:val="TableTextCentered"/>
            </w:pPr>
            <w:r w:rsidRPr="00CD29D0">
              <w:t>0</w:t>
            </w:r>
          </w:p>
        </w:tc>
        <w:tc>
          <w:tcPr>
            <w:tcW w:w="720" w:type="dxa"/>
          </w:tcPr>
          <w:p w14:paraId="42BF04FA" w14:textId="77777777" w:rsidR="00405424" w:rsidRPr="00CD29D0" w:rsidRDefault="00405424" w:rsidP="00E91BA1">
            <w:pPr>
              <w:pStyle w:val="TableTextCentered"/>
            </w:pPr>
            <w:r w:rsidRPr="00CD29D0">
              <w:t>0</w:t>
            </w:r>
          </w:p>
        </w:tc>
        <w:tc>
          <w:tcPr>
            <w:tcW w:w="547" w:type="dxa"/>
          </w:tcPr>
          <w:p w14:paraId="352ED24C" w14:textId="77777777" w:rsidR="00405424" w:rsidRPr="00CD29D0" w:rsidRDefault="00405424" w:rsidP="00E91BA1">
            <w:pPr>
              <w:pStyle w:val="TableTextCentered"/>
            </w:pPr>
            <w:r w:rsidRPr="00CD29D0">
              <w:t>20</w:t>
            </w:r>
          </w:p>
        </w:tc>
        <w:tc>
          <w:tcPr>
            <w:tcW w:w="900" w:type="dxa"/>
          </w:tcPr>
          <w:p w14:paraId="60468187" w14:textId="77777777" w:rsidR="00405424" w:rsidRPr="00CD29D0" w:rsidRDefault="00405424" w:rsidP="00E91BA1">
            <w:pPr>
              <w:pStyle w:val="TableTextCentered"/>
            </w:pPr>
            <w:r w:rsidRPr="00CD29D0">
              <w:t>3.7</w:t>
            </w:r>
          </w:p>
        </w:tc>
      </w:tr>
      <w:tr w:rsidR="00405424" w:rsidRPr="00CD29D0" w14:paraId="5EA6A670" w14:textId="77777777" w:rsidTr="00E91BA1">
        <w:tc>
          <w:tcPr>
            <w:tcW w:w="3232" w:type="dxa"/>
          </w:tcPr>
          <w:p w14:paraId="45471FCE" w14:textId="77777777" w:rsidR="00405424" w:rsidRPr="00CD29D0" w:rsidRDefault="00405424" w:rsidP="00E91BA1">
            <w:pPr>
              <w:pStyle w:val="TableText"/>
              <w:ind w:left="202"/>
              <w:rPr>
                <w:b/>
                <w:bCs/>
              </w:rPr>
            </w:pPr>
            <w:r w:rsidRPr="00CD29D0">
              <w:t>Analysis and Inquiry</w:t>
            </w:r>
          </w:p>
        </w:tc>
        <w:tc>
          <w:tcPr>
            <w:tcW w:w="720" w:type="dxa"/>
          </w:tcPr>
          <w:p w14:paraId="549BF8D4" w14:textId="77777777" w:rsidR="00405424" w:rsidRPr="00CD29D0" w:rsidRDefault="00405424" w:rsidP="00E91BA1">
            <w:pPr>
              <w:pStyle w:val="TableTextCentered"/>
            </w:pPr>
            <w:r w:rsidRPr="00CD29D0">
              <w:t>7</w:t>
            </w:r>
          </w:p>
        </w:tc>
        <w:tc>
          <w:tcPr>
            <w:tcW w:w="720" w:type="dxa"/>
          </w:tcPr>
          <w:p w14:paraId="7EA5B26E" w14:textId="77777777" w:rsidR="00405424" w:rsidRPr="00CD29D0" w:rsidRDefault="00405424" w:rsidP="00E91BA1">
            <w:pPr>
              <w:pStyle w:val="TableTextCentered"/>
            </w:pPr>
            <w:r w:rsidRPr="00CD29D0">
              <w:t>6</w:t>
            </w:r>
          </w:p>
        </w:tc>
        <w:tc>
          <w:tcPr>
            <w:tcW w:w="720" w:type="dxa"/>
          </w:tcPr>
          <w:p w14:paraId="35BB28DD" w14:textId="77777777" w:rsidR="00405424" w:rsidRPr="00CD29D0" w:rsidRDefault="00405424" w:rsidP="00E91BA1">
            <w:pPr>
              <w:pStyle w:val="TableTextCentered"/>
            </w:pPr>
            <w:r w:rsidRPr="00CD29D0">
              <w:t>3</w:t>
            </w:r>
          </w:p>
        </w:tc>
        <w:tc>
          <w:tcPr>
            <w:tcW w:w="720" w:type="dxa"/>
          </w:tcPr>
          <w:p w14:paraId="681B6659" w14:textId="77777777" w:rsidR="00405424" w:rsidRPr="00CD29D0" w:rsidRDefault="00405424" w:rsidP="00E91BA1">
            <w:pPr>
              <w:pStyle w:val="TableTextCentered"/>
            </w:pPr>
            <w:r w:rsidRPr="00CD29D0">
              <w:t>3</w:t>
            </w:r>
          </w:p>
        </w:tc>
        <w:tc>
          <w:tcPr>
            <w:tcW w:w="720" w:type="dxa"/>
          </w:tcPr>
          <w:p w14:paraId="7E3249C8" w14:textId="77777777" w:rsidR="00405424" w:rsidRPr="00CD29D0" w:rsidRDefault="00405424" w:rsidP="00E91BA1">
            <w:pPr>
              <w:pStyle w:val="TableTextCentered"/>
            </w:pPr>
            <w:r w:rsidRPr="00CD29D0">
              <w:t>1</w:t>
            </w:r>
          </w:p>
        </w:tc>
        <w:tc>
          <w:tcPr>
            <w:tcW w:w="720" w:type="dxa"/>
          </w:tcPr>
          <w:p w14:paraId="6A457B9C" w14:textId="77777777" w:rsidR="00405424" w:rsidRPr="00CD29D0" w:rsidRDefault="00405424" w:rsidP="00E91BA1">
            <w:pPr>
              <w:pStyle w:val="TableTextCentered"/>
            </w:pPr>
            <w:r w:rsidRPr="00CD29D0">
              <w:t>0</w:t>
            </w:r>
          </w:p>
        </w:tc>
        <w:tc>
          <w:tcPr>
            <w:tcW w:w="720" w:type="dxa"/>
          </w:tcPr>
          <w:p w14:paraId="06A3F68D" w14:textId="77777777" w:rsidR="00405424" w:rsidRPr="00CD29D0" w:rsidRDefault="00405424" w:rsidP="00E91BA1">
            <w:pPr>
              <w:pStyle w:val="TableTextCentered"/>
            </w:pPr>
            <w:r w:rsidRPr="00CD29D0">
              <w:t>0</w:t>
            </w:r>
          </w:p>
        </w:tc>
        <w:tc>
          <w:tcPr>
            <w:tcW w:w="547" w:type="dxa"/>
          </w:tcPr>
          <w:p w14:paraId="5B3641C2" w14:textId="77777777" w:rsidR="00405424" w:rsidRPr="00CD29D0" w:rsidRDefault="00405424" w:rsidP="00E91BA1">
            <w:pPr>
              <w:pStyle w:val="TableTextCentered"/>
            </w:pPr>
            <w:r w:rsidRPr="00CD29D0">
              <w:t>20</w:t>
            </w:r>
          </w:p>
        </w:tc>
        <w:tc>
          <w:tcPr>
            <w:tcW w:w="900" w:type="dxa"/>
          </w:tcPr>
          <w:p w14:paraId="4B8594B4" w14:textId="77777777" w:rsidR="00405424" w:rsidRPr="00CD29D0" w:rsidRDefault="00405424" w:rsidP="00E91BA1">
            <w:pPr>
              <w:pStyle w:val="TableTextCentered"/>
            </w:pPr>
            <w:r w:rsidRPr="00CD29D0">
              <w:t>2.3</w:t>
            </w:r>
          </w:p>
        </w:tc>
      </w:tr>
      <w:tr w:rsidR="00405424" w:rsidRPr="00CD29D0" w14:paraId="6290C988"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3A4C09DA" w14:textId="77777777" w:rsidR="00405424" w:rsidRPr="00CD29D0" w:rsidRDefault="00405424" w:rsidP="00E91BA1">
            <w:pPr>
              <w:pStyle w:val="TableText"/>
              <w:ind w:left="202"/>
              <w:rPr>
                <w:b/>
                <w:bCs/>
              </w:rPr>
            </w:pPr>
            <w:r w:rsidRPr="00CD29D0">
              <w:t>Quality of Feedback</w:t>
            </w:r>
          </w:p>
        </w:tc>
        <w:tc>
          <w:tcPr>
            <w:tcW w:w="720" w:type="dxa"/>
          </w:tcPr>
          <w:p w14:paraId="1222D101" w14:textId="77777777" w:rsidR="00405424" w:rsidRPr="00CD29D0" w:rsidRDefault="00405424" w:rsidP="00E91BA1">
            <w:pPr>
              <w:pStyle w:val="TableTextCentered"/>
            </w:pPr>
            <w:r w:rsidRPr="00CD29D0">
              <w:t>8</w:t>
            </w:r>
          </w:p>
        </w:tc>
        <w:tc>
          <w:tcPr>
            <w:tcW w:w="720" w:type="dxa"/>
          </w:tcPr>
          <w:p w14:paraId="5CB8E0EA" w14:textId="77777777" w:rsidR="00405424" w:rsidRPr="00CD29D0" w:rsidRDefault="00405424" w:rsidP="00E91BA1">
            <w:pPr>
              <w:pStyle w:val="TableTextCentered"/>
            </w:pPr>
            <w:r w:rsidRPr="00CD29D0">
              <w:t>4</w:t>
            </w:r>
          </w:p>
        </w:tc>
        <w:tc>
          <w:tcPr>
            <w:tcW w:w="720" w:type="dxa"/>
          </w:tcPr>
          <w:p w14:paraId="3B994AC6" w14:textId="77777777" w:rsidR="00405424" w:rsidRPr="00CD29D0" w:rsidRDefault="00405424" w:rsidP="00E91BA1">
            <w:pPr>
              <w:pStyle w:val="TableTextCentered"/>
            </w:pPr>
            <w:r w:rsidRPr="00CD29D0">
              <w:t>4</w:t>
            </w:r>
          </w:p>
        </w:tc>
        <w:tc>
          <w:tcPr>
            <w:tcW w:w="720" w:type="dxa"/>
          </w:tcPr>
          <w:p w14:paraId="02D658A3" w14:textId="77777777" w:rsidR="00405424" w:rsidRPr="00CD29D0" w:rsidRDefault="00405424" w:rsidP="00E91BA1">
            <w:pPr>
              <w:pStyle w:val="TableTextCentered"/>
            </w:pPr>
            <w:r w:rsidRPr="00CD29D0">
              <w:t>2</w:t>
            </w:r>
          </w:p>
        </w:tc>
        <w:tc>
          <w:tcPr>
            <w:tcW w:w="720" w:type="dxa"/>
          </w:tcPr>
          <w:p w14:paraId="74131C5C" w14:textId="77777777" w:rsidR="00405424" w:rsidRPr="00CD29D0" w:rsidRDefault="00405424" w:rsidP="00E91BA1">
            <w:pPr>
              <w:pStyle w:val="TableTextCentered"/>
            </w:pPr>
            <w:r w:rsidRPr="00CD29D0">
              <w:t>1</w:t>
            </w:r>
          </w:p>
        </w:tc>
        <w:tc>
          <w:tcPr>
            <w:tcW w:w="720" w:type="dxa"/>
          </w:tcPr>
          <w:p w14:paraId="1C33E9A4" w14:textId="77777777" w:rsidR="00405424" w:rsidRPr="00CD29D0" w:rsidRDefault="00405424" w:rsidP="00E91BA1">
            <w:pPr>
              <w:pStyle w:val="TableTextCentered"/>
            </w:pPr>
            <w:r w:rsidRPr="00CD29D0">
              <w:t>1</w:t>
            </w:r>
          </w:p>
        </w:tc>
        <w:tc>
          <w:tcPr>
            <w:tcW w:w="720" w:type="dxa"/>
          </w:tcPr>
          <w:p w14:paraId="0E96F87F" w14:textId="77777777" w:rsidR="00405424" w:rsidRPr="00CD29D0" w:rsidRDefault="00405424" w:rsidP="00E91BA1">
            <w:pPr>
              <w:pStyle w:val="TableTextCentered"/>
            </w:pPr>
            <w:r w:rsidRPr="00CD29D0">
              <w:t>0</w:t>
            </w:r>
          </w:p>
        </w:tc>
        <w:tc>
          <w:tcPr>
            <w:tcW w:w="547" w:type="dxa"/>
          </w:tcPr>
          <w:p w14:paraId="50C7D14A" w14:textId="77777777" w:rsidR="00405424" w:rsidRPr="00CD29D0" w:rsidRDefault="00405424" w:rsidP="00E91BA1">
            <w:pPr>
              <w:pStyle w:val="TableTextCentered"/>
            </w:pPr>
            <w:r w:rsidRPr="00CD29D0">
              <w:t>20</w:t>
            </w:r>
          </w:p>
        </w:tc>
        <w:tc>
          <w:tcPr>
            <w:tcW w:w="900" w:type="dxa"/>
          </w:tcPr>
          <w:p w14:paraId="1CB4E3B8" w14:textId="77777777" w:rsidR="00405424" w:rsidRPr="00CD29D0" w:rsidRDefault="00405424" w:rsidP="00E91BA1">
            <w:pPr>
              <w:pStyle w:val="TableTextCentered"/>
            </w:pPr>
            <w:r w:rsidRPr="00CD29D0">
              <w:t>2.4</w:t>
            </w:r>
          </w:p>
        </w:tc>
      </w:tr>
      <w:tr w:rsidR="00405424" w:rsidRPr="00CD29D0" w14:paraId="5FEA3C6B" w14:textId="77777777" w:rsidTr="00E91BA1">
        <w:tc>
          <w:tcPr>
            <w:tcW w:w="3232" w:type="dxa"/>
          </w:tcPr>
          <w:p w14:paraId="67904F61" w14:textId="77777777" w:rsidR="00405424" w:rsidRPr="00CD29D0" w:rsidRDefault="00405424" w:rsidP="00E91BA1">
            <w:pPr>
              <w:pStyle w:val="TableText"/>
              <w:ind w:left="202"/>
              <w:rPr>
                <w:b/>
                <w:bCs/>
              </w:rPr>
            </w:pPr>
            <w:r w:rsidRPr="00CD29D0">
              <w:t>Instructional Dialogue</w:t>
            </w:r>
          </w:p>
        </w:tc>
        <w:tc>
          <w:tcPr>
            <w:tcW w:w="720" w:type="dxa"/>
          </w:tcPr>
          <w:p w14:paraId="26422870" w14:textId="77777777" w:rsidR="00405424" w:rsidRPr="00CD29D0" w:rsidRDefault="00405424" w:rsidP="00E91BA1">
            <w:pPr>
              <w:pStyle w:val="TableTextCentered"/>
            </w:pPr>
            <w:r w:rsidRPr="00CD29D0">
              <w:t>4</w:t>
            </w:r>
          </w:p>
        </w:tc>
        <w:tc>
          <w:tcPr>
            <w:tcW w:w="720" w:type="dxa"/>
          </w:tcPr>
          <w:p w14:paraId="53160F40" w14:textId="77777777" w:rsidR="00405424" w:rsidRPr="00CD29D0" w:rsidRDefault="00405424" w:rsidP="00E91BA1">
            <w:pPr>
              <w:pStyle w:val="TableTextCentered"/>
            </w:pPr>
            <w:r w:rsidRPr="00CD29D0">
              <w:t>3</w:t>
            </w:r>
          </w:p>
        </w:tc>
        <w:tc>
          <w:tcPr>
            <w:tcW w:w="720" w:type="dxa"/>
          </w:tcPr>
          <w:p w14:paraId="1053FDCB" w14:textId="77777777" w:rsidR="00405424" w:rsidRPr="00CD29D0" w:rsidRDefault="00405424" w:rsidP="00E91BA1">
            <w:pPr>
              <w:pStyle w:val="TableTextCentered"/>
            </w:pPr>
            <w:r w:rsidRPr="00CD29D0">
              <w:t>8</w:t>
            </w:r>
          </w:p>
        </w:tc>
        <w:tc>
          <w:tcPr>
            <w:tcW w:w="720" w:type="dxa"/>
          </w:tcPr>
          <w:p w14:paraId="013C0BAC" w14:textId="77777777" w:rsidR="00405424" w:rsidRPr="00CD29D0" w:rsidRDefault="00405424" w:rsidP="00E91BA1">
            <w:pPr>
              <w:pStyle w:val="TableTextCentered"/>
            </w:pPr>
            <w:r w:rsidRPr="00CD29D0">
              <w:t>2</w:t>
            </w:r>
          </w:p>
        </w:tc>
        <w:tc>
          <w:tcPr>
            <w:tcW w:w="720" w:type="dxa"/>
          </w:tcPr>
          <w:p w14:paraId="77987E6D" w14:textId="77777777" w:rsidR="00405424" w:rsidRPr="00CD29D0" w:rsidRDefault="00405424" w:rsidP="00E91BA1">
            <w:pPr>
              <w:pStyle w:val="TableTextCentered"/>
            </w:pPr>
            <w:r w:rsidRPr="00CD29D0">
              <w:t>3</w:t>
            </w:r>
          </w:p>
        </w:tc>
        <w:tc>
          <w:tcPr>
            <w:tcW w:w="720" w:type="dxa"/>
          </w:tcPr>
          <w:p w14:paraId="30371D9A" w14:textId="77777777" w:rsidR="00405424" w:rsidRPr="00CD29D0" w:rsidRDefault="00405424" w:rsidP="00E91BA1">
            <w:pPr>
              <w:pStyle w:val="TableTextCentered"/>
            </w:pPr>
            <w:r w:rsidRPr="00CD29D0">
              <w:t>0</w:t>
            </w:r>
          </w:p>
        </w:tc>
        <w:tc>
          <w:tcPr>
            <w:tcW w:w="720" w:type="dxa"/>
          </w:tcPr>
          <w:p w14:paraId="4D7761A7" w14:textId="77777777" w:rsidR="00405424" w:rsidRPr="00CD29D0" w:rsidRDefault="00405424" w:rsidP="00E91BA1">
            <w:pPr>
              <w:pStyle w:val="TableTextCentered"/>
            </w:pPr>
            <w:r w:rsidRPr="00CD29D0">
              <w:t>0</w:t>
            </w:r>
          </w:p>
        </w:tc>
        <w:tc>
          <w:tcPr>
            <w:tcW w:w="547" w:type="dxa"/>
          </w:tcPr>
          <w:p w14:paraId="77EA3328" w14:textId="77777777" w:rsidR="00405424" w:rsidRPr="00CD29D0" w:rsidRDefault="00405424" w:rsidP="00E91BA1">
            <w:pPr>
              <w:pStyle w:val="TableTextCentered"/>
            </w:pPr>
            <w:r w:rsidRPr="00CD29D0">
              <w:t>20</w:t>
            </w:r>
          </w:p>
        </w:tc>
        <w:tc>
          <w:tcPr>
            <w:tcW w:w="900" w:type="dxa"/>
          </w:tcPr>
          <w:p w14:paraId="6EB99085" w14:textId="77777777" w:rsidR="00405424" w:rsidRPr="00CD29D0" w:rsidRDefault="00405424" w:rsidP="00E91BA1">
            <w:pPr>
              <w:pStyle w:val="TableTextCentered"/>
            </w:pPr>
            <w:r w:rsidRPr="00CD29D0">
              <w:t>2.9</w:t>
            </w:r>
          </w:p>
        </w:tc>
      </w:tr>
      <w:tr w:rsidR="00405424" w:rsidRPr="00CD29D0" w14:paraId="036525FB" w14:textId="77777777" w:rsidTr="00E91BA1">
        <w:trPr>
          <w:cnfStyle w:val="000000100000" w:firstRow="0" w:lastRow="0" w:firstColumn="0" w:lastColumn="0" w:oddVBand="0" w:evenVBand="0" w:oddHBand="1" w:evenHBand="0" w:firstRowFirstColumn="0" w:firstRowLastColumn="0" w:lastRowFirstColumn="0" w:lastRowLastColumn="0"/>
        </w:trPr>
        <w:tc>
          <w:tcPr>
            <w:tcW w:w="3232" w:type="dxa"/>
          </w:tcPr>
          <w:p w14:paraId="381CC9AF" w14:textId="77777777" w:rsidR="00405424" w:rsidRPr="00CD29D0" w:rsidRDefault="00405424" w:rsidP="00E91BA1">
            <w:pPr>
              <w:pStyle w:val="TableText"/>
              <w:rPr>
                <w:b/>
                <w:bCs/>
              </w:rPr>
            </w:pPr>
            <w:r w:rsidRPr="00CD29D0">
              <w:rPr>
                <w:b/>
                <w:bCs/>
              </w:rPr>
              <w:t>Student Engagement</w:t>
            </w:r>
          </w:p>
        </w:tc>
        <w:tc>
          <w:tcPr>
            <w:tcW w:w="720" w:type="dxa"/>
          </w:tcPr>
          <w:p w14:paraId="43721F3B" w14:textId="77777777" w:rsidR="00405424" w:rsidRPr="00CD29D0" w:rsidRDefault="00405424" w:rsidP="00E91BA1">
            <w:pPr>
              <w:pStyle w:val="TableTextCentered"/>
              <w:rPr>
                <w:b/>
                <w:bCs/>
              </w:rPr>
            </w:pPr>
            <w:r w:rsidRPr="00CD29D0">
              <w:rPr>
                <w:b/>
                <w:bCs/>
              </w:rPr>
              <w:t>0</w:t>
            </w:r>
          </w:p>
        </w:tc>
        <w:tc>
          <w:tcPr>
            <w:tcW w:w="720" w:type="dxa"/>
          </w:tcPr>
          <w:p w14:paraId="0C25006A" w14:textId="77777777" w:rsidR="00405424" w:rsidRPr="00CD29D0" w:rsidRDefault="00405424" w:rsidP="00E91BA1">
            <w:pPr>
              <w:pStyle w:val="TableTextCentered"/>
              <w:rPr>
                <w:b/>
                <w:bCs/>
              </w:rPr>
            </w:pPr>
            <w:r w:rsidRPr="00CD29D0">
              <w:rPr>
                <w:b/>
                <w:bCs/>
              </w:rPr>
              <w:t>0</w:t>
            </w:r>
          </w:p>
        </w:tc>
        <w:tc>
          <w:tcPr>
            <w:tcW w:w="720" w:type="dxa"/>
          </w:tcPr>
          <w:p w14:paraId="028D9E28" w14:textId="77777777" w:rsidR="00405424" w:rsidRPr="00CD29D0" w:rsidRDefault="00405424" w:rsidP="00E91BA1">
            <w:pPr>
              <w:pStyle w:val="TableTextCentered"/>
              <w:rPr>
                <w:b/>
                <w:bCs/>
              </w:rPr>
            </w:pPr>
            <w:r w:rsidRPr="00CD29D0">
              <w:rPr>
                <w:b/>
                <w:bCs/>
              </w:rPr>
              <w:t>1</w:t>
            </w:r>
          </w:p>
        </w:tc>
        <w:tc>
          <w:tcPr>
            <w:tcW w:w="720" w:type="dxa"/>
          </w:tcPr>
          <w:p w14:paraId="0DF90820" w14:textId="77777777" w:rsidR="00405424" w:rsidRPr="00CD29D0" w:rsidRDefault="00405424" w:rsidP="00E91BA1">
            <w:pPr>
              <w:pStyle w:val="TableTextCentered"/>
              <w:rPr>
                <w:b/>
                <w:bCs/>
              </w:rPr>
            </w:pPr>
            <w:r w:rsidRPr="00CD29D0">
              <w:rPr>
                <w:b/>
                <w:bCs/>
              </w:rPr>
              <w:t>2</w:t>
            </w:r>
          </w:p>
        </w:tc>
        <w:tc>
          <w:tcPr>
            <w:tcW w:w="720" w:type="dxa"/>
          </w:tcPr>
          <w:p w14:paraId="25B971D2" w14:textId="77777777" w:rsidR="00405424" w:rsidRPr="00CD29D0" w:rsidRDefault="00405424" w:rsidP="00E91BA1">
            <w:pPr>
              <w:pStyle w:val="TableTextCentered"/>
              <w:rPr>
                <w:b/>
                <w:bCs/>
              </w:rPr>
            </w:pPr>
            <w:r w:rsidRPr="00CD29D0">
              <w:rPr>
                <w:b/>
                <w:bCs/>
              </w:rPr>
              <w:t>14</w:t>
            </w:r>
          </w:p>
        </w:tc>
        <w:tc>
          <w:tcPr>
            <w:tcW w:w="720" w:type="dxa"/>
          </w:tcPr>
          <w:p w14:paraId="565046A0" w14:textId="77777777" w:rsidR="00405424" w:rsidRPr="00CD29D0" w:rsidRDefault="00405424" w:rsidP="00E91BA1">
            <w:pPr>
              <w:pStyle w:val="TableTextCentered"/>
              <w:rPr>
                <w:b/>
                <w:bCs/>
              </w:rPr>
            </w:pPr>
            <w:r w:rsidRPr="00CD29D0">
              <w:rPr>
                <w:b/>
                <w:bCs/>
              </w:rPr>
              <w:t>3</w:t>
            </w:r>
          </w:p>
        </w:tc>
        <w:tc>
          <w:tcPr>
            <w:tcW w:w="720" w:type="dxa"/>
          </w:tcPr>
          <w:p w14:paraId="60B250F3" w14:textId="77777777" w:rsidR="00405424" w:rsidRPr="00CD29D0" w:rsidRDefault="00405424" w:rsidP="00E91BA1">
            <w:pPr>
              <w:pStyle w:val="TableTextCentered"/>
              <w:rPr>
                <w:b/>
                <w:bCs/>
              </w:rPr>
            </w:pPr>
            <w:r w:rsidRPr="00CD29D0">
              <w:rPr>
                <w:b/>
                <w:bCs/>
              </w:rPr>
              <w:t>0</w:t>
            </w:r>
          </w:p>
        </w:tc>
        <w:tc>
          <w:tcPr>
            <w:tcW w:w="547" w:type="dxa"/>
          </w:tcPr>
          <w:p w14:paraId="33D8588A" w14:textId="77777777" w:rsidR="00405424" w:rsidRPr="00CD29D0" w:rsidRDefault="00405424" w:rsidP="00E91BA1">
            <w:pPr>
              <w:pStyle w:val="TableTextCentered"/>
              <w:rPr>
                <w:b/>
                <w:bCs/>
              </w:rPr>
            </w:pPr>
            <w:r w:rsidRPr="00CD29D0">
              <w:rPr>
                <w:b/>
                <w:bCs/>
              </w:rPr>
              <w:t>20</w:t>
            </w:r>
          </w:p>
        </w:tc>
        <w:tc>
          <w:tcPr>
            <w:tcW w:w="900" w:type="dxa"/>
          </w:tcPr>
          <w:p w14:paraId="0DC96CF2" w14:textId="77777777" w:rsidR="00405424" w:rsidRPr="00CD29D0" w:rsidRDefault="00405424" w:rsidP="00E91BA1">
            <w:pPr>
              <w:pStyle w:val="TableTextCentered"/>
              <w:rPr>
                <w:b/>
                <w:bCs/>
              </w:rPr>
            </w:pPr>
            <w:r w:rsidRPr="00CD29D0">
              <w:rPr>
                <w:b/>
                <w:bCs/>
              </w:rPr>
              <w:t>5.0</w:t>
            </w:r>
          </w:p>
        </w:tc>
      </w:tr>
    </w:tbl>
    <w:bookmarkEnd w:id="188"/>
    <w:p w14:paraId="5A6ECC26" w14:textId="77777777" w:rsidR="00405424" w:rsidRPr="00CD29D0" w:rsidRDefault="00405424" w:rsidP="00A72EBC">
      <w:pPr>
        <w:pStyle w:val="TableNote"/>
        <w:rPr>
          <w:szCs w:val="20"/>
        </w:rPr>
      </w:pPr>
      <w:r w:rsidRPr="00CD29D0">
        <w:t xml:space="preserve">*The district average is an average of the scores. For example, for Positive Climate, the district average is computed as: </w:t>
      </w:r>
      <w:bookmarkStart w:id="189" w:name="High_PC_Calc"/>
      <w:r w:rsidRPr="00CD29D0">
        <w:rPr>
          <w:szCs w:val="20"/>
        </w:rPr>
        <w:t xml:space="preserve">([3 x 2] + [4 x 1] + [5 x 8] + [6 x 7] + [7 x 2]) ÷ 20 </w:t>
      </w:r>
      <w:r w:rsidRPr="00CD29D0">
        <w:t>observations</w:t>
      </w:r>
      <w:r w:rsidRPr="00CD29D0">
        <w:rPr>
          <w:szCs w:val="20"/>
        </w:rPr>
        <w:t xml:space="preserve"> = 5.3</w:t>
      </w:r>
      <w:bookmarkEnd w:id="189"/>
    </w:p>
    <w:p w14:paraId="345D4842" w14:textId="68DA2733" w:rsidR="00424417" w:rsidRPr="00CD29D0" w:rsidRDefault="00405424" w:rsidP="00A72EBC">
      <w:pPr>
        <w:pStyle w:val="TableNote"/>
      </w:pPr>
      <w:r w:rsidRPr="00CD29D0">
        <w:t xml:space="preserve">**Negative Climate is rated on an inverse scale. An original score of 1 is given a value of 7. The scoring in the table reflects the normalized adjustment: </w:t>
      </w:r>
      <w:bookmarkStart w:id="190" w:name="High_NC_Calc"/>
      <w:r w:rsidRPr="00CD29D0">
        <w:t>([7 x 20]) ÷ 20 observations = 7.0</w:t>
      </w:r>
      <w:bookmarkEnd w:id="190"/>
      <w:r w:rsidR="00424417" w:rsidRPr="00CD29D0">
        <w:br w:type="page"/>
      </w:r>
    </w:p>
    <w:p w14:paraId="79A9E849" w14:textId="77777777" w:rsidR="00405424" w:rsidRPr="00CD29D0" w:rsidRDefault="00405424" w:rsidP="00BA12E3">
      <w:pPr>
        <w:pStyle w:val="DIORDimensions"/>
      </w:pPr>
      <w:bookmarkStart w:id="191" w:name="_Toc430114891"/>
      <w:bookmarkStart w:id="192" w:name="_Toc496109993"/>
      <w:bookmarkStart w:id="193" w:name="_Toc227587579"/>
      <w:r w:rsidRPr="00CD29D0">
        <w:lastRenderedPageBreak/>
        <w:t>References</w:t>
      </w:r>
      <w:bookmarkEnd w:id="191"/>
      <w:bookmarkEnd w:id="192"/>
      <w:bookmarkEnd w:id="193"/>
    </w:p>
    <w:p w14:paraId="06413055" w14:textId="0C8109CC" w:rsidR="00405424" w:rsidRPr="00CD29D0" w:rsidRDefault="00405424" w:rsidP="00BF0B5C">
      <w:pPr>
        <w:pStyle w:val="Reference"/>
        <w:rPr>
          <w:rStyle w:val="Hyperlink"/>
          <w:rFonts w:eastAsiaTheme="minorEastAsia"/>
        </w:rPr>
      </w:pPr>
      <w:r w:rsidRPr="00CD29D0">
        <w:t xml:space="preserve">Center for Advanced Study of Teaching and Learning. (n.d.). </w:t>
      </w:r>
      <w:r w:rsidRPr="00CD29D0">
        <w:rPr>
          <w:i/>
        </w:rPr>
        <w:t>Measuring and improving teacher-student interactions in PK−12 settings to enhance students’ learning</w:t>
      </w:r>
      <w:r w:rsidRPr="00CD29D0">
        <w:t xml:space="preserve">. Charlottesville, VA: University of Virginia. Retrieved from </w:t>
      </w:r>
      <w:hyperlink r:id="rId37" w:history="1">
        <w:r w:rsidRPr="00CD29D0">
          <w:rPr>
            <w:rStyle w:val="Hyperlink"/>
            <w:rFonts w:eastAsiaTheme="minorEastAsia"/>
          </w:rPr>
          <w:t>http://www.teachstone.com/wp-content/uploads/2011/05/class-mtp-pk-12-brief.pdf</w:t>
        </w:r>
      </w:hyperlink>
    </w:p>
    <w:p w14:paraId="0DE7F171" w14:textId="77777777" w:rsidR="00405424" w:rsidRPr="00CD29D0" w:rsidRDefault="00405424" w:rsidP="00BF0B5C">
      <w:pPr>
        <w:pStyle w:val="Reference"/>
        <w:rPr>
          <w:rStyle w:val="Hyperlink"/>
          <w:rFonts w:eastAsiaTheme="minorEastAsia"/>
        </w:rPr>
      </w:pPr>
      <w:r w:rsidRPr="00CD29D0">
        <w:t xml:space="preserve">MET Project. (2010). </w:t>
      </w:r>
      <w:r w:rsidRPr="00CD29D0">
        <w:rPr>
          <w:i/>
        </w:rPr>
        <w:t>The CLASS protocol for classroom observations</w:t>
      </w:r>
      <w:r w:rsidRPr="00CD29D0">
        <w:t xml:space="preserve">. Seattle, WA: Bill &amp; Melinda Gates Foundation. Retrieved from </w:t>
      </w:r>
      <w:hyperlink r:id="rId38" w:history="1">
        <w:r w:rsidRPr="00CD29D0">
          <w:rPr>
            <w:rStyle w:val="Hyperlink"/>
            <w:rFonts w:eastAsiaTheme="minorEastAsia"/>
          </w:rPr>
          <w:t>http://metproject.org/resources/CLASS_10_29_10.pdf</w:t>
        </w:r>
      </w:hyperlink>
    </w:p>
    <w:p w14:paraId="1626373F" w14:textId="77777777" w:rsidR="00405424" w:rsidRPr="00CD29D0" w:rsidRDefault="00405424" w:rsidP="00BF0B5C">
      <w:pPr>
        <w:pStyle w:val="Reference"/>
      </w:pPr>
      <w:r w:rsidRPr="00AA2E97">
        <w:rPr>
          <w:lang w:val="es-ES"/>
        </w:rPr>
        <w:t xml:space="preserve">Pianta, R. C., Hamre, B. K., &amp; Mintz, S. (2012). </w:t>
      </w:r>
      <w:r w:rsidRPr="00CD29D0">
        <w:rPr>
          <w:i/>
        </w:rPr>
        <w:t>Classroom Assessment Scoring System (CLASS) Manual, Secondary.</w:t>
      </w:r>
      <w:r w:rsidRPr="00CD29D0">
        <w:t xml:space="preserve"> Charlottesville, VA:</w:t>
      </w:r>
      <w:r w:rsidRPr="00CD29D0">
        <w:rPr>
          <w:i/>
        </w:rPr>
        <w:t xml:space="preserve"> </w:t>
      </w:r>
      <w:r w:rsidRPr="00CD29D0">
        <w:t>Teachstone.</w:t>
      </w:r>
    </w:p>
    <w:p w14:paraId="53223265" w14:textId="77777777" w:rsidR="00405424" w:rsidRPr="00AA2E97" w:rsidRDefault="00405424" w:rsidP="00BF0B5C">
      <w:pPr>
        <w:pStyle w:val="Reference"/>
        <w:rPr>
          <w:lang w:val="es-ES"/>
        </w:rPr>
      </w:pPr>
      <w:r w:rsidRPr="00CD29D0">
        <w:t xml:space="preserve">Pianta, R. C., Hamre, B. K., &amp; Mintz, S. (2012). </w:t>
      </w:r>
      <w:r w:rsidRPr="00CD29D0">
        <w:rPr>
          <w:i/>
        </w:rPr>
        <w:t>Classroom Assessment Scoring System (CLASS) Manual, Upper Elementary.</w:t>
      </w:r>
      <w:r w:rsidRPr="00CD29D0">
        <w:t xml:space="preserve"> </w:t>
      </w:r>
      <w:r w:rsidRPr="00AA2E97">
        <w:rPr>
          <w:lang w:val="es-ES"/>
        </w:rPr>
        <w:t>Charlottesville, VA:</w:t>
      </w:r>
      <w:r w:rsidRPr="00AA2E97">
        <w:rPr>
          <w:i/>
          <w:lang w:val="es-ES"/>
        </w:rPr>
        <w:t xml:space="preserve"> </w:t>
      </w:r>
      <w:r w:rsidRPr="00AA2E97">
        <w:rPr>
          <w:lang w:val="es-ES"/>
        </w:rPr>
        <w:t>Teachstone.</w:t>
      </w:r>
    </w:p>
    <w:p w14:paraId="45646AEE" w14:textId="77777777" w:rsidR="00424417" w:rsidRPr="00CD29D0" w:rsidRDefault="00405424" w:rsidP="00BF0B5C">
      <w:pPr>
        <w:pStyle w:val="Reference"/>
        <w:sectPr w:rsidR="00424417" w:rsidRPr="00CD29D0" w:rsidSect="00D54A2B">
          <w:footerReference w:type="default" r:id="rId39"/>
          <w:type w:val="continuous"/>
          <w:pgSz w:w="12240" w:h="15840"/>
          <w:pgMar w:top="1440" w:right="1440" w:bottom="1440" w:left="1440" w:header="720" w:footer="720" w:gutter="0"/>
          <w:pgNumType w:start="3"/>
          <w:cols w:space="720"/>
          <w:docGrid w:linePitch="360"/>
        </w:sectPr>
      </w:pPr>
      <w:r w:rsidRPr="00AA2E97">
        <w:rPr>
          <w:lang w:val="es-ES"/>
        </w:rPr>
        <w:t xml:space="preserve">Pianta, R. C., La Paro, K. M., &amp; Hamre, B. K. (2008). </w:t>
      </w:r>
      <w:r w:rsidRPr="00CD29D0">
        <w:rPr>
          <w:i/>
        </w:rPr>
        <w:t xml:space="preserve">Classroom Assessment Scoring System (CLASS) Manual, PK–3. </w:t>
      </w:r>
      <w:r w:rsidRPr="00CD29D0">
        <w:t>Baltimore, MD: Paul H. Brookes Publishing Co.</w:t>
      </w:r>
    </w:p>
    <w:p w14:paraId="24DC4234" w14:textId="77777777" w:rsidR="00486B55" w:rsidRPr="00CD29D0" w:rsidRDefault="00486B55" w:rsidP="001C3C1D">
      <w:pPr>
        <w:pStyle w:val="Heading2"/>
      </w:pPr>
      <w:bookmarkStart w:id="194" w:name="_Toc227589900"/>
      <w:r w:rsidRPr="00CD29D0">
        <w:lastRenderedPageBreak/>
        <w:t>Appendix C. Resources to Support Implementation of DESE’s District Standards and Indicators</w:t>
      </w:r>
      <w:bookmarkEnd w:id="74"/>
      <w:bookmarkEnd w:id="75"/>
      <w:bookmarkEnd w:id="194"/>
    </w:p>
    <w:p w14:paraId="75279D1C" w14:textId="4918B813" w:rsidR="00D00B7C" w:rsidRPr="00D00B7C" w:rsidRDefault="00D00B7C" w:rsidP="00D00B7C">
      <w:pPr>
        <w:keepNext/>
        <w:spacing w:before="240" w:after="60"/>
        <w:rPr>
          <w:rFonts w:ascii="Franklin Gothic Book" w:eastAsia="Aptos" w:hAnsi="Franklin Gothic Book" w:cs="Arial"/>
        </w:rPr>
      </w:pPr>
      <w:r w:rsidRPr="00D00B7C">
        <w:rPr>
          <w:rFonts w:ascii="Franklin Gothic Book" w:eastAsia="Aptos" w:hAnsi="Franklin Gothic Book" w:cs="Arial"/>
        </w:rPr>
        <w:t xml:space="preserve">Table C1. Resources to Support </w:t>
      </w:r>
      <w:r w:rsidR="00904095">
        <w:rPr>
          <w:rFonts w:ascii="Franklin Gothic Book" w:eastAsia="Aptos" w:hAnsi="Franklin Gothic Book" w:cs="Arial"/>
        </w:rPr>
        <w:t>Curriculum and Instruction</w:t>
      </w:r>
    </w:p>
    <w:tbl>
      <w:tblPr>
        <w:tblStyle w:val="MSVTable13"/>
        <w:tblW w:w="5000" w:type="pct"/>
        <w:tblLayout w:type="fixed"/>
        <w:tblLook w:val="0620" w:firstRow="1" w:lastRow="0" w:firstColumn="0" w:lastColumn="0" w:noHBand="1" w:noVBand="1"/>
        <w:tblCaption w:val="Table C1. Resources to Support Curriculum and Instruction"/>
        <w:tblDescription w:val="Resources to Support Curriculum and Instruction"/>
      </w:tblPr>
      <w:tblGrid>
        <w:gridCol w:w="3592"/>
        <w:gridCol w:w="5752"/>
      </w:tblGrid>
      <w:tr w:rsidR="00D00B7C" w:rsidRPr="00D00B7C" w14:paraId="6DBAF224" w14:textId="77777777" w:rsidTr="00BC1137">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shd w:val="clear" w:color="auto" w:fill="2F5496" w:themeFill="accent5" w:themeFillShade="BF"/>
            <w:hideMark/>
          </w:tcPr>
          <w:p w14:paraId="0BC32E57" w14:textId="77777777" w:rsidR="00D00B7C" w:rsidRPr="0066471F" w:rsidRDefault="00D00B7C" w:rsidP="0066471F">
            <w:pPr>
              <w:pStyle w:val="TableColHeadingLeft"/>
              <w:rPr>
                <w:rFonts w:ascii="Franklin Gothic Book" w:hAnsi="Franklin Gothic Book" w:cs="Arial"/>
              </w:rPr>
            </w:pPr>
            <w:r w:rsidRPr="0066471F">
              <w:rPr>
                <w:rFonts w:ascii="Franklin Gothic Book" w:hAnsi="Franklin Gothic Book" w:cs="Arial"/>
              </w:rPr>
              <w:t>Resource</w:t>
            </w:r>
          </w:p>
        </w:tc>
        <w:tc>
          <w:tcPr>
            <w:tcW w:w="5752" w:type="dxa"/>
            <w:tcBorders>
              <w:top w:val="single" w:sz="6" w:space="0" w:color="2F5496"/>
              <w:bottom w:val="single" w:sz="6" w:space="0" w:color="2F5496"/>
              <w:right w:val="single" w:sz="6" w:space="0" w:color="2F5496"/>
            </w:tcBorders>
            <w:shd w:val="clear" w:color="auto" w:fill="2F5496" w:themeFill="accent5" w:themeFillShade="BF"/>
            <w:hideMark/>
          </w:tcPr>
          <w:p w14:paraId="59D57A20" w14:textId="77777777" w:rsidR="00D00B7C" w:rsidRPr="0066471F" w:rsidRDefault="00D00B7C" w:rsidP="0066471F">
            <w:pPr>
              <w:pStyle w:val="TableColHeadingLeft"/>
              <w:rPr>
                <w:rFonts w:ascii="Franklin Gothic Book" w:hAnsi="Franklin Gothic Book" w:cs="Arial"/>
              </w:rPr>
            </w:pPr>
            <w:r w:rsidRPr="0066471F">
              <w:rPr>
                <w:rFonts w:ascii="Franklin Gothic Book" w:hAnsi="Franklin Gothic Book" w:cs="Arial"/>
              </w:rPr>
              <w:t>Description</w:t>
            </w:r>
          </w:p>
        </w:tc>
      </w:tr>
      <w:tr w:rsidR="00D00B7C" w:rsidRPr="00D00B7C" w14:paraId="2D16AA66" w14:textId="77777777">
        <w:tc>
          <w:tcPr>
            <w:tcW w:w="3592" w:type="dxa"/>
            <w:tcBorders>
              <w:top w:val="single" w:sz="6" w:space="0" w:color="2F5496"/>
              <w:left w:val="single" w:sz="6" w:space="0" w:color="2F5496"/>
              <w:bottom w:val="single" w:sz="6" w:space="0" w:color="2F5496"/>
              <w:right w:val="single" w:sz="6" w:space="0" w:color="2F5496"/>
            </w:tcBorders>
            <w:hideMark/>
          </w:tcPr>
          <w:p w14:paraId="37E84B16" w14:textId="77777777" w:rsidR="00D00B7C" w:rsidRPr="00D00B7C" w:rsidRDefault="00D00B7C" w:rsidP="00D00B7C">
            <w:pPr>
              <w:spacing w:line="240" w:lineRule="auto"/>
              <w:rPr>
                <w:rFonts w:ascii="Franklin Gothic Book" w:eastAsia="HGGothicE" w:hAnsi="Franklin Gothic Book" w:cs="Arial"/>
                <w:bCs/>
                <w:sz w:val="20"/>
                <w:szCs w:val="20"/>
              </w:rPr>
            </w:pPr>
            <w:hyperlink r:id="rId40" w:history="1">
              <w:r w:rsidRPr="00083B11">
                <w:rPr>
                  <w:rStyle w:val="Hyperlink"/>
                  <w:rFonts w:eastAsiaTheme="majorEastAsia"/>
                  <w:sz w:val="20"/>
                  <w:szCs w:val="20"/>
                </w:rPr>
                <w:t>Coherence Guidebook</w:t>
              </w:r>
            </w:hyperlink>
            <w:r w:rsidRPr="00083B11">
              <w:rPr>
                <w:rStyle w:val="Hyperlink"/>
                <w:rFonts w:eastAsiaTheme="majorEastAsia"/>
                <w:sz w:val="20"/>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65955625" w14:textId="77777777" w:rsidR="00D00B7C" w:rsidRPr="00D00B7C" w:rsidRDefault="00D00B7C" w:rsidP="00D00B7C">
            <w:pPr>
              <w:spacing w:line="240" w:lineRule="auto"/>
              <w:rPr>
                <w:rFonts w:ascii="Franklin Gothic Book" w:eastAsia="HGGothicE" w:hAnsi="Franklin Gothic Book" w:cs="Arial"/>
                <w:bCs/>
                <w:sz w:val="20"/>
                <w:szCs w:val="20"/>
              </w:rPr>
            </w:pPr>
            <w:r w:rsidRPr="00D00B7C">
              <w:rPr>
                <w:rFonts w:ascii="Franklin Gothic Book" w:eastAsia="Times New Roman" w:hAnsi="Franklin Gothic Book" w:cs="Arial"/>
                <w:sz w:val="20"/>
                <w:szCs w:val="20"/>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083B11" w:rsidRPr="00D00B7C" w14:paraId="37161954" w14:textId="77777777">
        <w:tc>
          <w:tcPr>
            <w:tcW w:w="3592" w:type="dxa"/>
            <w:tcBorders>
              <w:top w:val="single" w:sz="6" w:space="0" w:color="2F5496"/>
              <w:left w:val="single" w:sz="6" w:space="0" w:color="2F5496"/>
              <w:bottom w:val="single" w:sz="6" w:space="0" w:color="2F5496"/>
              <w:right w:val="single" w:sz="6" w:space="0" w:color="2F5496"/>
            </w:tcBorders>
          </w:tcPr>
          <w:p w14:paraId="2985D467" w14:textId="49C0D005" w:rsidR="00083B11" w:rsidRPr="00083B11" w:rsidRDefault="00083B11" w:rsidP="00083B11">
            <w:pPr>
              <w:spacing w:line="240" w:lineRule="auto"/>
              <w:rPr>
                <w:rFonts w:ascii="Aptos" w:eastAsia="Times New Roman" w:hAnsi="Aptos" w:cs="Times New Roman"/>
                <w:sz w:val="20"/>
                <w:szCs w:val="20"/>
              </w:rPr>
            </w:pPr>
            <w:hyperlink r:id="rId41">
              <w:r w:rsidRPr="00083B11">
                <w:rPr>
                  <w:rStyle w:val="Hyperlink"/>
                  <w:rFonts w:ascii="Franklin Gothic Book" w:eastAsiaTheme="majorEastAsia" w:hAnsi="Franklin Gothic Book" w:cs="Arial"/>
                  <w:sz w:val="20"/>
                  <w:szCs w:val="20"/>
                </w:rPr>
                <w:t>Synthesized ILT Framework</w:t>
              </w:r>
            </w:hyperlink>
          </w:p>
        </w:tc>
        <w:tc>
          <w:tcPr>
            <w:tcW w:w="5752" w:type="dxa"/>
            <w:tcBorders>
              <w:top w:val="single" w:sz="6" w:space="0" w:color="2F5496"/>
              <w:left w:val="single" w:sz="6" w:space="0" w:color="2F5496"/>
              <w:bottom w:val="single" w:sz="6" w:space="0" w:color="2F5496"/>
              <w:right w:val="single" w:sz="6" w:space="0" w:color="2F5496"/>
            </w:tcBorders>
          </w:tcPr>
          <w:p w14:paraId="0E323489" w14:textId="04F93CB1" w:rsidR="00083B11" w:rsidRPr="00083B11" w:rsidRDefault="00083B11" w:rsidP="00083B11">
            <w:pPr>
              <w:spacing w:line="240" w:lineRule="auto"/>
              <w:rPr>
                <w:rFonts w:ascii="Franklin Gothic Book" w:eastAsia="Times New Roman" w:hAnsi="Franklin Gothic Book" w:cs="Arial"/>
                <w:sz w:val="20"/>
                <w:szCs w:val="20"/>
              </w:rPr>
            </w:pPr>
            <w:r w:rsidRPr="00083B11">
              <w:rPr>
                <w:rFonts w:ascii="Franklin Gothic Book" w:hAnsi="Franklin Gothic Book" w:cs="Arial"/>
                <w:sz w:val="20"/>
                <w:szCs w:val="20"/>
              </w:rPr>
              <w:t>District and school teams can use this resource to reflect and identify specific actions they could take to establish or improve their instructional leadership teams (ILTs).</w:t>
            </w:r>
          </w:p>
        </w:tc>
      </w:tr>
      <w:tr w:rsidR="00CF12FD" w:rsidRPr="00D00B7C" w14:paraId="5BF5B3CB" w14:textId="77777777">
        <w:tc>
          <w:tcPr>
            <w:tcW w:w="3592" w:type="dxa"/>
            <w:tcBorders>
              <w:top w:val="single" w:sz="6" w:space="0" w:color="2F5496"/>
              <w:left w:val="single" w:sz="6" w:space="0" w:color="2F5496"/>
              <w:bottom w:val="single" w:sz="6" w:space="0" w:color="2F5496"/>
              <w:right w:val="single" w:sz="6" w:space="0" w:color="2F5496"/>
            </w:tcBorders>
          </w:tcPr>
          <w:p w14:paraId="1A93248E" w14:textId="62BEEFBD" w:rsidR="00CF12FD" w:rsidRPr="00CF12FD" w:rsidRDefault="00CF12FD" w:rsidP="00CF12FD">
            <w:pPr>
              <w:spacing w:line="240" w:lineRule="auto"/>
              <w:rPr>
                <w:rFonts w:ascii="Franklin Gothic Book" w:hAnsi="Franklin Gothic Book" w:cs="Arial"/>
                <w:sz w:val="20"/>
                <w:szCs w:val="20"/>
              </w:rPr>
            </w:pPr>
            <w:hyperlink r:id="rId42" w:history="1">
              <w:r w:rsidRPr="00CF12FD">
                <w:rPr>
                  <w:rStyle w:val="Hyperlink"/>
                  <w:rFonts w:ascii="Franklin Gothic Book" w:eastAsiaTheme="majorEastAsia" w:hAnsi="Franklin Gothic Book" w:cs="Arial"/>
                  <w:sz w:val="20"/>
                  <w:szCs w:val="20"/>
                </w:rPr>
                <w:t>WIDA Professional Development</w:t>
              </w:r>
            </w:hyperlink>
          </w:p>
        </w:tc>
        <w:tc>
          <w:tcPr>
            <w:tcW w:w="5752" w:type="dxa"/>
            <w:tcBorders>
              <w:top w:val="single" w:sz="6" w:space="0" w:color="2F5496"/>
              <w:left w:val="single" w:sz="6" w:space="0" w:color="2F5496"/>
              <w:bottom w:val="single" w:sz="6" w:space="0" w:color="2F5496"/>
              <w:right w:val="single" w:sz="6" w:space="0" w:color="2F5496"/>
            </w:tcBorders>
          </w:tcPr>
          <w:p w14:paraId="19EE09AB" w14:textId="52000A83" w:rsidR="00CF12FD" w:rsidRPr="00CF12FD" w:rsidRDefault="00CF12FD" w:rsidP="00CF12FD">
            <w:pPr>
              <w:spacing w:line="240" w:lineRule="auto"/>
              <w:rPr>
                <w:rFonts w:ascii="Franklin Gothic Book" w:hAnsi="Franklin Gothic Book" w:cs="Arial"/>
                <w:sz w:val="20"/>
                <w:szCs w:val="20"/>
              </w:rPr>
            </w:pPr>
            <w:r w:rsidRPr="00CF12FD">
              <w:rPr>
                <w:rFonts w:ascii="Franklin Gothic Book" w:hAnsi="Franklin Gothic Book" w:cs="Arial"/>
                <w:color w:val="000000"/>
                <w:sz w:val="20"/>
                <w:szCs w:val="20"/>
              </w:rPr>
              <w:t>WIDA professional development provides information and strategies to support multilingual learners in Massachusetts public schools, and WIDA PDPs satisfy educator licensure renewal requirements. These DESE-sponsored courses are available at no cost to participants and are perfect for teams of teachers seeking impactful collaboration to support students’ access to rigorous course content.</w:t>
            </w:r>
          </w:p>
        </w:tc>
      </w:tr>
    </w:tbl>
    <w:p w14:paraId="5D6BD0F0" w14:textId="68C06E39" w:rsidR="0066471F" w:rsidRPr="00AB7B1E" w:rsidRDefault="0066471F" w:rsidP="0066471F">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2</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Caption w:val="Table C2. Resources to Support Human Resources and Professional Development"/>
        <w:tblDescription w:val="Resources to Support Human Resources and Professional Development"/>
      </w:tblPr>
      <w:tblGrid>
        <w:gridCol w:w="3592"/>
        <w:gridCol w:w="5759"/>
      </w:tblGrid>
      <w:tr w:rsidR="0066471F" w:rsidRPr="00AB7B1E" w14:paraId="6172EC1D" w14:textId="77777777" w:rsidTr="00BC113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0C3B7722" w14:textId="77777777" w:rsidR="0066471F" w:rsidRPr="00AB7B1E" w:rsidRDefault="0066471F" w:rsidP="0066471F">
            <w:pPr>
              <w:pStyle w:val="TableColHeadingLeft"/>
              <w:jc w:val="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60561510" w14:textId="77777777" w:rsidR="0066471F" w:rsidRPr="00AB7B1E" w:rsidRDefault="0066471F" w:rsidP="0066471F">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66471F" w:rsidRPr="00AB7B1E" w14:paraId="4F05CA06"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E019F91" w14:textId="77777777" w:rsidR="0066471F" w:rsidRPr="00AB7B1E" w:rsidRDefault="0066471F">
            <w:pPr>
              <w:pStyle w:val="TableText"/>
              <w:rPr>
                <w:rFonts w:ascii="Franklin Gothic Book" w:eastAsia="HGGothicE" w:hAnsi="Franklin Gothic Book" w:cs="Arial"/>
                <w:bCs/>
              </w:rPr>
            </w:pPr>
            <w:hyperlink r:id="rId43"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F53703E" w14:textId="77777777" w:rsidR="0066471F" w:rsidRPr="00AB7B1E" w:rsidRDefault="0066471F">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bl>
    <w:p w14:paraId="403AE85E" w14:textId="70642A7B" w:rsidR="001A65D8" w:rsidRPr="00AB7B1E" w:rsidRDefault="001A65D8" w:rsidP="001A65D8">
      <w:pPr>
        <w:pStyle w:val="TableTitle0"/>
        <w:rPr>
          <w:rFonts w:ascii="Franklin Gothic Book" w:hAnsi="Franklin Gothic Book" w:cs="Arial"/>
        </w:rPr>
      </w:pPr>
      <w:r w:rsidRPr="00AB7B1E">
        <w:rPr>
          <w:rFonts w:ascii="Franklin Gothic Book" w:hAnsi="Franklin Gothic Book" w:cs="Arial"/>
        </w:rPr>
        <w:t>Table C</w:t>
      </w:r>
      <w:r w:rsidR="00FC79A8">
        <w:rPr>
          <w:rFonts w:ascii="Franklin Gothic Book" w:hAnsi="Franklin Gothic Book" w:cs="Arial"/>
        </w:rPr>
        <w:t>3</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Caption w:val="Table C3. Resources to Support Student Support"/>
        <w:tblDescription w:val="Resources to Support Student Support"/>
      </w:tblPr>
      <w:tblGrid>
        <w:gridCol w:w="3592"/>
        <w:gridCol w:w="5752"/>
      </w:tblGrid>
      <w:tr w:rsidR="001A65D8" w:rsidRPr="00AB7B1E" w14:paraId="022013A6"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2EF13D62" w14:textId="77777777" w:rsidR="001A65D8" w:rsidRPr="00AB7B1E" w:rsidRDefault="001A65D8" w:rsidP="001A65D8">
            <w:pPr>
              <w:pStyle w:val="TableColHeadingLeft"/>
              <w:jc w:val="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77CCAD44" w14:textId="77777777" w:rsidR="001A65D8" w:rsidRPr="00AB7B1E" w:rsidRDefault="001A65D8" w:rsidP="001A65D8">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1A65D8" w:rsidRPr="00AB7B1E" w14:paraId="0CCC9FC1"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55C0AD15" w14:textId="77777777" w:rsidR="001A65D8" w:rsidRPr="00AB7B1E" w:rsidRDefault="001A65D8">
            <w:pPr>
              <w:pStyle w:val="TableText"/>
              <w:rPr>
                <w:rFonts w:ascii="Franklin Gothic Book" w:hAnsi="Franklin Gothic Book" w:cs="Arial"/>
                <w:shd w:val="clear" w:color="auto" w:fill="FFFFFF"/>
              </w:rPr>
            </w:pPr>
            <w:hyperlink r:id="rId44" w:history="1">
              <w:r w:rsidRPr="00604641">
                <w:rPr>
                  <w:rStyle w:val="Hyperlink"/>
                  <w:rFonts w:ascii="Franklin Gothic Book" w:hAnsi="Franklin Gothic Book" w:cs="Arial"/>
                  <w:shd w:val="clear" w:color="auto" w:fill="FFFFFF"/>
                </w:rPr>
                <w:t>Family Engagement Initiatives and Resources</w:t>
              </w:r>
            </w:hyperlink>
          </w:p>
          <w:p w14:paraId="5BBCD804" w14:textId="77777777" w:rsidR="001A65D8" w:rsidRPr="00AB7B1E" w:rsidRDefault="001A65D8">
            <w:pPr>
              <w:pStyle w:val="TableBullet1"/>
              <w:numPr>
                <w:ilvl w:val="0"/>
                <w:numId w:val="0"/>
              </w:numPr>
              <w:rPr>
                <w:rFonts w:ascii="Franklin Gothic Book" w:hAnsi="Franklin Gothic Book" w:cs="Arial"/>
                <w:color w:val="0563C1" w:themeColor="hyperlink"/>
                <w:szCs w:val="20"/>
                <w:u w:val="single"/>
              </w:rPr>
            </w:pPr>
          </w:p>
        </w:tc>
        <w:tc>
          <w:tcPr>
            <w:tcW w:w="5752" w:type="dxa"/>
            <w:tcBorders>
              <w:top w:val="single" w:sz="6" w:space="0" w:color="2F5496"/>
              <w:left w:val="single" w:sz="6" w:space="0" w:color="2F5496"/>
              <w:bottom w:val="single" w:sz="6" w:space="0" w:color="2F5496"/>
              <w:right w:val="single" w:sz="6" w:space="0" w:color="2F5496"/>
            </w:tcBorders>
            <w:hideMark/>
          </w:tcPr>
          <w:p w14:paraId="76B8060A" w14:textId="77777777" w:rsidR="001A65D8" w:rsidRPr="00AB7B1E" w:rsidRDefault="001A65D8">
            <w:pPr>
              <w:pStyle w:val="TableText"/>
              <w:rPr>
                <w:rFonts w:ascii="Franklin Gothic Book" w:hAnsi="Franklin Gothic Book" w:cs="Arial"/>
                <w:color w:val="000000" w:themeColor="text1"/>
              </w:rPr>
            </w:pPr>
            <w:r w:rsidRPr="008F6E5B">
              <w:rPr>
                <w:rFonts w:ascii="Franklin Gothic Book" w:eastAsia="Franklin Gothic Book" w:hAnsi="Franklin Gothic Book" w:cs="Arial"/>
                <w:shd w:val="clear" w:color="auto" w:fill="FFFFFF"/>
              </w:rPr>
              <w:t xml:space="preserve">The Family Engagement Program is designed to strengthen partnerships between families, schools, and communities to foster student success. This </w:t>
            </w:r>
            <w:r>
              <w:rPr>
                <w:rFonts w:ascii="Franklin Gothic Book" w:eastAsia="Franklin Gothic Book" w:hAnsi="Franklin Gothic Book" w:cs="Arial"/>
                <w:shd w:val="clear" w:color="auto" w:fill="FFFFFF"/>
              </w:rPr>
              <w:t>webpage</w:t>
            </w:r>
            <w:r w:rsidRPr="008F6E5B">
              <w:rPr>
                <w:rFonts w:ascii="Franklin Gothic Book" w:eastAsia="Franklin Gothic Book" w:hAnsi="Franklin Gothic Book" w:cs="Arial"/>
                <w:shd w:val="clear" w:color="auto" w:fill="FFFFFF"/>
              </w:rPr>
              <w:t xml:space="preserve"> provide</w:t>
            </w:r>
            <w:r>
              <w:rPr>
                <w:rFonts w:ascii="Franklin Gothic Book" w:eastAsia="Franklin Gothic Book" w:hAnsi="Franklin Gothic Book" w:cs="Arial"/>
                <w:shd w:val="clear" w:color="auto" w:fill="FFFFFF"/>
              </w:rPr>
              <w:t>s</w:t>
            </w:r>
            <w:r w:rsidRPr="008F6E5B">
              <w:rPr>
                <w:rFonts w:ascii="Franklin Gothic Book" w:eastAsia="Franklin Gothic Book" w:hAnsi="Franklin Gothic Book" w:cs="Arial"/>
                <w:shd w:val="clear" w:color="auto" w:fill="FFFFFF"/>
              </w:rPr>
              <w:t xml:space="preserve"> resources, training, and collaborative opportunities that create an inclusive educational environment where every family feels valued and empowered. </w:t>
            </w:r>
          </w:p>
        </w:tc>
      </w:tr>
      <w:tr w:rsidR="00435D89" w:rsidRPr="00AB7B1E" w14:paraId="3C8AEDF4"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6CA8A43A" w14:textId="77777777" w:rsidR="00435D89" w:rsidRPr="00AB7B1E" w:rsidRDefault="00435D89" w:rsidP="00435D89">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1CB13338" w14:textId="77777777" w:rsidR="00435D89" w:rsidRPr="00AB7B1E" w:rsidRDefault="00435D89" w:rsidP="00435D89">
            <w:pPr>
              <w:pStyle w:val="TableBullet1"/>
              <w:rPr>
                <w:rStyle w:val="Hyperlink"/>
                <w:rFonts w:ascii="Franklin Gothic Book" w:eastAsia="Franklin Gothic Book" w:hAnsi="Franklin Gothic Book" w:cs="Arial"/>
                <w:szCs w:val="20"/>
                <w:shd w:val="clear" w:color="auto" w:fill="FFFFFF"/>
              </w:rPr>
            </w:pPr>
            <w:hyperlink r:id="rId45" w:history="1">
              <w:r w:rsidRPr="00AB7B1E">
                <w:rPr>
                  <w:rStyle w:val="Hyperlink"/>
                  <w:rFonts w:ascii="Franklin Gothic Book" w:hAnsi="Franklin Gothic Book" w:cs="Arial"/>
                  <w:szCs w:val="20"/>
                </w:rPr>
                <w:t>MTSS Blueprint, Self-Assessment, and Resources</w:t>
              </w:r>
            </w:hyperlink>
          </w:p>
          <w:p w14:paraId="3A3A594C" w14:textId="55069F6B" w:rsidR="00435D89" w:rsidRDefault="00435D89" w:rsidP="00435D89">
            <w:pPr>
              <w:pStyle w:val="TableText"/>
            </w:pPr>
            <w:hyperlink r:id="rId46" w:history="1">
              <w:r w:rsidRPr="00AB7B1E">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6B808569" w14:textId="7A1EAEEC" w:rsidR="00435D89" w:rsidRPr="008F6E5B" w:rsidRDefault="00435D89" w:rsidP="00435D89">
            <w:pPr>
              <w:pStyle w:val="TableText"/>
              <w:rPr>
                <w:rFonts w:ascii="Franklin Gothic Book" w:eastAsia="Franklin Gothic Book" w:hAnsi="Franklin Gothic Book" w:cs="Arial"/>
                <w:shd w:val="clear" w:color="auto" w:fill="FFFFFF"/>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bl>
    <w:p w14:paraId="52483EC0" w14:textId="77777777" w:rsidR="00D00B7C" w:rsidRPr="00CD29D0" w:rsidRDefault="00D00B7C" w:rsidP="002F14A5">
      <w:pPr>
        <w:sectPr w:rsidR="00D00B7C" w:rsidRPr="00CD29D0" w:rsidSect="00424417">
          <w:footerReference w:type="default" r:id="rId47"/>
          <w:pgSz w:w="12240" w:h="15840"/>
          <w:pgMar w:top="1440" w:right="1440" w:bottom="1440" w:left="1440" w:header="720" w:footer="720" w:gutter="0"/>
          <w:pgNumType w:start="1"/>
          <w:cols w:space="720"/>
          <w:docGrid w:linePitch="360"/>
        </w:sectPr>
      </w:pPr>
    </w:p>
    <w:p w14:paraId="398D5748" w14:textId="77777777" w:rsidR="00C51F69" w:rsidRPr="00CD29D0" w:rsidRDefault="00C51F69" w:rsidP="00424417">
      <w:pPr>
        <w:pStyle w:val="Heading2"/>
      </w:pPr>
      <w:bookmarkStart w:id="195" w:name="_Toc124513009"/>
      <w:bookmarkStart w:id="196" w:name="_Toc227589901"/>
      <w:bookmarkStart w:id="197" w:name="AppendixE"/>
      <w:bookmarkEnd w:id="76"/>
      <w:r w:rsidRPr="00CD29D0">
        <w:lastRenderedPageBreak/>
        <w:t>Appendix D. Enrollment, Attendance, Expenditures</w:t>
      </w:r>
      <w:bookmarkEnd w:id="195"/>
      <w:bookmarkEnd w:id="196"/>
    </w:p>
    <w:p w14:paraId="7E5A2DFC" w14:textId="77777777" w:rsidR="00C51F69" w:rsidRPr="00CD29D0" w:rsidRDefault="00C51F69" w:rsidP="00424417">
      <w:pPr>
        <w:pStyle w:val="TableTitle0"/>
      </w:pPr>
      <w:r w:rsidRPr="00CD29D0">
        <w:t>Table D1. Student Enrollment by Race/Ethnicity, 2025-2026</w:t>
      </w:r>
    </w:p>
    <w:tbl>
      <w:tblPr>
        <w:tblStyle w:val="MSVTable1"/>
        <w:tblW w:w="5000" w:type="pct"/>
        <w:tblLook w:val="06A0" w:firstRow="1" w:lastRow="0" w:firstColumn="1" w:lastColumn="0" w:noHBand="1" w:noVBand="1"/>
        <w:tblCaption w:val="Table D1. Student Enrollment by Race/Ethnicity, 2025-2026"/>
        <w:tblDescription w:val="Student Enrollment by Race/Ethnicity, 2025-2026"/>
      </w:tblPr>
      <w:tblGrid>
        <w:gridCol w:w="3052"/>
        <w:gridCol w:w="1573"/>
        <w:gridCol w:w="1573"/>
        <w:gridCol w:w="1573"/>
        <w:gridCol w:w="1573"/>
      </w:tblGrid>
      <w:tr w:rsidR="00C51F69" w:rsidRPr="00CD29D0" w14:paraId="2787D375" w14:textId="77777777" w:rsidTr="000548DA">
        <w:trPr>
          <w:cnfStyle w:val="100000000000" w:firstRow="1" w:lastRow="0" w:firstColumn="0" w:lastColumn="0" w:oddVBand="0" w:evenVBand="0" w:oddHBand="0" w:evenHBand="0" w:firstRowFirstColumn="0" w:firstRowLastColumn="0" w:lastRowFirstColumn="0" w:lastRowLastColumn="0"/>
          <w:tblHeader/>
        </w:trPr>
        <w:tc>
          <w:tcPr>
            <w:tcW w:w="3052" w:type="dxa"/>
            <w:vAlign w:val="center"/>
          </w:tcPr>
          <w:p w14:paraId="64A30BAA" w14:textId="77777777" w:rsidR="00C51F69" w:rsidRPr="00CD29D0" w:rsidRDefault="00C51F69" w:rsidP="00BF0B5C">
            <w:pPr>
              <w:pStyle w:val="TableColHeadingLeft"/>
              <w:spacing w:before="0" w:after="0" w:line="240" w:lineRule="auto"/>
              <w:rPr>
                <w:rFonts w:eastAsia="Calibri" w:cs="Calibri"/>
              </w:rPr>
            </w:pPr>
            <w:r w:rsidRPr="00CD29D0">
              <w:t>Group</w:t>
            </w:r>
          </w:p>
        </w:tc>
        <w:tc>
          <w:tcPr>
            <w:tcW w:w="1573" w:type="dxa"/>
            <w:vAlign w:val="center"/>
          </w:tcPr>
          <w:p w14:paraId="5E0360FB" w14:textId="77777777" w:rsidR="00C51F69" w:rsidRPr="00CD29D0" w:rsidRDefault="00C51F69" w:rsidP="00BF0B5C">
            <w:pPr>
              <w:pStyle w:val="TableColHeadingCenter"/>
              <w:spacing w:before="0" w:after="0" w:line="240" w:lineRule="auto"/>
            </w:pPr>
            <w:r w:rsidRPr="00CD29D0">
              <w:t>District</w:t>
            </w:r>
          </w:p>
        </w:tc>
        <w:tc>
          <w:tcPr>
            <w:tcW w:w="1573" w:type="dxa"/>
            <w:vAlign w:val="center"/>
          </w:tcPr>
          <w:p w14:paraId="42AC706C" w14:textId="77777777" w:rsidR="00C51F69" w:rsidRPr="00CD29D0" w:rsidRDefault="00C51F69" w:rsidP="00BF0B5C">
            <w:pPr>
              <w:pStyle w:val="TableColHeadingCenter"/>
              <w:spacing w:before="0" w:after="0" w:line="240" w:lineRule="auto"/>
            </w:pPr>
            <w:r w:rsidRPr="00CD29D0">
              <w:t>Percentage of District</w:t>
            </w:r>
          </w:p>
        </w:tc>
        <w:tc>
          <w:tcPr>
            <w:tcW w:w="1573" w:type="dxa"/>
            <w:vAlign w:val="center"/>
          </w:tcPr>
          <w:p w14:paraId="6C61C702" w14:textId="77777777" w:rsidR="00C51F69" w:rsidRPr="00CD29D0" w:rsidRDefault="00C51F69" w:rsidP="00BF0B5C">
            <w:pPr>
              <w:pStyle w:val="TableColHeadingCenter"/>
              <w:spacing w:before="0" w:after="0" w:line="240" w:lineRule="auto"/>
            </w:pPr>
            <w:r w:rsidRPr="00CD29D0">
              <w:t>State</w:t>
            </w:r>
          </w:p>
        </w:tc>
        <w:tc>
          <w:tcPr>
            <w:tcW w:w="1573" w:type="dxa"/>
            <w:vAlign w:val="center"/>
          </w:tcPr>
          <w:p w14:paraId="7E1C8784" w14:textId="77777777" w:rsidR="00C51F69" w:rsidRPr="00CD29D0" w:rsidRDefault="00C51F69" w:rsidP="00BF0B5C">
            <w:pPr>
              <w:pStyle w:val="TableColHeadingCenter"/>
              <w:spacing w:before="0" w:after="0" w:line="240" w:lineRule="auto"/>
            </w:pPr>
            <w:r w:rsidRPr="00CD29D0">
              <w:t>Percentage of State</w:t>
            </w:r>
          </w:p>
        </w:tc>
      </w:tr>
      <w:tr w:rsidR="00C51F69" w:rsidRPr="00CD29D0" w14:paraId="2C286AAD" w14:textId="77777777" w:rsidTr="00BF0B5C">
        <w:tc>
          <w:tcPr>
            <w:tcW w:w="3052" w:type="dxa"/>
          </w:tcPr>
          <w:p w14:paraId="20C7F6C3" w14:textId="77777777" w:rsidR="00C51F69" w:rsidRPr="00CD29D0" w:rsidRDefault="00C51F69" w:rsidP="00BF0B5C">
            <w:pPr>
              <w:pStyle w:val="TableText"/>
            </w:pPr>
            <w:r w:rsidRPr="00CD29D0">
              <w:t>All Students</w:t>
            </w:r>
          </w:p>
        </w:tc>
        <w:tc>
          <w:tcPr>
            <w:tcW w:w="1573" w:type="dxa"/>
            <w:vAlign w:val="center"/>
          </w:tcPr>
          <w:p w14:paraId="325266B7" w14:textId="77777777" w:rsidR="00C51F69" w:rsidRPr="00CD29D0" w:rsidRDefault="00C51F69" w:rsidP="00BF0B5C">
            <w:pPr>
              <w:pStyle w:val="TableTextCentered"/>
            </w:pPr>
            <w:r w:rsidRPr="00CD29D0">
              <w:rPr>
                <w:rFonts w:ascii="Franklin Gothic Book" w:hAnsi="Franklin Gothic Book" w:cs="Calibri"/>
                <w:color w:val="000000"/>
                <w:szCs w:val="20"/>
              </w:rPr>
              <w:t>2,277</w:t>
            </w:r>
          </w:p>
        </w:tc>
        <w:tc>
          <w:tcPr>
            <w:tcW w:w="1573" w:type="dxa"/>
            <w:shd w:val="clear" w:color="auto" w:fill="D9E2F3" w:themeFill="accent5" w:themeFillTint="33"/>
            <w:vAlign w:val="center"/>
          </w:tcPr>
          <w:p w14:paraId="1E3B4616"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100.0%</w:t>
            </w:r>
          </w:p>
        </w:tc>
        <w:tc>
          <w:tcPr>
            <w:tcW w:w="1573" w:type="dxa"/>
            <w:vAlign w:val="center"/>
          </w:tcPr>
          <w:p w14:paraId="62FC7808" w14:textId="77777777" w:rsidR="00C51F69" w:rsidRPr="00CD29D0" w:rsidRDefault="00C51F69" w:rsidP="00BF0B5C">
            <w:pPr>
              <w:pStyle w:val="TableTextCentered"/>
            </w:pPr>
            <w:r w:rsidRPr="00CD29D0">
              <w:rPr>
                <w:rFonts w:ascii="Franklin Gothic Book" w:hAnsi="Franklin Gothic Book" w:cs="Calibri"/>
                <w:color w:val="000000"/>
                <w:szCs w:val="20"/>
              </w:rPr>
              <w:t>900,490</w:t>
            </w:r>
          </w:p>
        </w:tc>
        <w:tc>
          <w:tcPr>
            <w:tcW w:w="1573" w:type="dxa"/>
            <w:shd w:val="clear" w:color="auto" w:fill="D9E2F3" w:themeFill="accent5" w:themeFillTint="33"/>
            <w:vAlign w:val="center"/>
          </w:tcPr>
          <w:p w14:paraId="0A95B409" w14:textId="77777777" w:rsidR="00C51F69" w:rsidRPr="00CD29D0" w:rsidRDefault="00C51F69" w:rsidP="00BF0B5C">
            <w:pPr>
              <w:pStyle w:val="TableText"/>
              <w:jc w:val="center"/>
            </w:pPr>
            <w:r w:rsidRPr="00CD29D0">
              <w:rPr>
                <w:rFonts w:ascii="Franklin Gothic Book" w:hAnsi="Franklin Gothic Book" w:cs="Calibri"/>
                <w:color w:val="000000"/>
                <w:szCs w:val="20"/>
              </w:rPr>
              <w:t>100.0%</w:t>
            </w:r>
          </w:p>
        </w:tc>
      </w:tr>
      <w:tr w:rsidR="00C51F69" w:rsidRPr="00CD29D0" w14:paraId="2D0B6E63" w14:textId="77777777" w:rsidTr="00BF0B5C">
        <w:tc>
          <w:tcPr>
            <w:tcW w:w="3052" w:type="dxa"/>
          </w:tcPr>
          <w:p w14:paraId="25914B89" w14:textId="77777777" w:rsidR="00C51F69" w:rsidRPr="00CD29D0" w:rsidRDefault="00C51F69" w:rsidP="00BF0B5C">
            <w:pPr>
              <w:pStyle w:val="TableText"/>
            </w:pPr>
            <w:r w:rsidRPr="00CD29D0">
              <w:t>American Indian or Alaska Native</w:t>
            </w:r>
          </w:p>
        </w:tc>
        <w:tc>
          <w:tcPr>
            <w:tcW w:w="1573" w:type="dxa"/>
            <w:vAlign w:val="center"/>
          </w:tcPr>
          <w:p w14:paraId="520B94B2" w14:textId="77777777" w:rsidR="00C51F69" w:rsidRPr="00CD29D0" w:rsidRDefault="00C51F69" w:rsidP="00BF0B5C">
            <w:pPr>
              <w:pStyle w:val="TableTextCentered"/>
            </w:pPr>
            <w:r w:rsidRPr="00CD29D0">
              <w:rPr>
                <w:rFonts w:ascii="Franklin Gothic Book" w:hAnsi="Franklin Gothic Book" w:cs="Calibri"/>
                <w:color w:val="000000"/>
                <w:szCs w:val="20"/>
              </w:rPr>
              <w:t>0</w:t>
            </w:r>
          </w:p>
        </w:tc>
        <w:tc>
          <w:tcPr>
            <w:tcW w:w="1573" w:type="dxa"/>
            <w:shd w:val="clear" w:color="auto" w:fill="D9E2F3" w:themeFill="accent5" w:themeFillTint="33"/>
            <w:vAlign w:val="center"/>
          </w:tcPr>
          <w:p w14:paraId="215446E9"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0.0%</w:t>
            </w:r>
          </w:p>
        </w:tc>
        <w:tc>
          <w:tcPr>
            <w:tcW w:w="1573" w:type="dxa"/>
            <w:vAlign w:val="center"/>
          </w:tcPr>
          <w:p w14:paraId="39310EBE" w14:textId="77777777" w:rsidR="00C51F69" w:rsidRPr="00CD29D0" w:rsidRDefault="00C51F69" w:rsidP="00BF0B5C">
            <w:pPr>
              <w:pStyle w:val="TableTextCentered"/>
            </w:pPr>
            <w:r w:rsidRPr="00CD29D0">
              <w:rPr>
                <w:rFonts w:ascii="Franklin Gothic Book" w:hAnsi="Franklin Gothic Book" w:cs="Calibri"/>
                <w:color w:val="000000"/>
                <w:szCs w:val="20"/>
              </w:rPr>
              <w:t>2,188</w:t>
            </w:r>
          </w:p>
        </w:tc>
        <w:tc>
          <w:tcPr>
            <w:tcW w:w="1573" w:type="dxa"/>
            <w:shd w:val="clear" w:color="auto" w:fill="D9E2F3" w:themeFill="accent5" w:themeFillTint="33"/>
            <w:vAlign w:val="center"/>
          </w:tcPr>
          <w:p w14:paraId="2A0F6E69" w14:textId="77777777" w:rsidR="00C51F69" w:rsidRPr="00CD29D0" w:rsidRDefault="00C51F69" w:rsidP="00BF0B5C">
            <w:pPr>
              <w:pStyle w:val="TableText"/>
              <w:jc w:val="center"/>
            </w:pPr>
            <w:r w:rsidRPr="00CD29D0">
              <w:rPr>
                <w:rFonts w:ascii="Franklin Gothic Book" w:hAnsi="Franklin Gothic Book" w:cs="Calibri"/>
                <w:color w:val="000000"/>
                <w:szCs w:val="20"/>
              </w:rPr>
              <w:t>0.2%</w:t>
            </w:r>
          </w:p>
        </w:tc>
      </w:tr>
      <w:tr w:rsidR="00C51F69" w:rsidRPr="00CD29D0" w14:paraId="02DE60BD" w14:textId="77777777" w:rsidTr="00BF0B5C">
        <w:tc>
          <w:tcPr>
            <w:tcW w:w="3052" w:type="dxa"/>
          </w:tcPr>
          <w:p w14:paraId="2A96A74E" w14:textId="77777777" w:rsidR="00C51F69" w:rsidRPr="00CD29D0" w:rsidRDefault="00C51F69" w:rsidP="00BF0B5C">
            <w:pPr>
              <w:pStyle w:val="TableText"/>
            </w:pPr>
            <w:r w:rsidRPr="00CD29D0">
              <w:t>Asian</w:t>
            </w:r>
          </w:p>
        </w:tc>
        <w:tc>
          <w:tcPr>
            <w:tcW w:w="1573" w:type="dxa"/>
            <w:vAlign w:val="center"/>
          </w:tcPr>
          <w:p w14:paraId="709D1EEB" w14:textId="77777777" w:rsidR="00C51F69" w:rsidRPr="00CD29D0" w:rsidRDefault="00C51F69" w:rsidP="00BF0B5C">
            <w:pPr>
              <w:pStyle w:val="TableTextCentered"/>
            </w:pPr>
            <w:r w:rsidRPr="00CD29D0">
              <w:rPr>
                <w:rFonts w:ascii="Franklin Gothic Book" w:hAnsi="Franklin Gothic Book" w:cs="Calibri"/>
                <w:color w:val="000000"/>
                <w:szCs w:val="20"/>
              </w:rPr>
              <w:t>47</w:t>
            </w:r>
          </w:p>
        </w:tc>
        <w:tc>
          <w:tcPr>
            <w:tcW w:w="1573" w:type="dxa"/>
            <w:shd w:val="clear" w:color="auto" w:fill="D9E2F3" w:themeFill="accent5" w:themeFillTint="33"/>
            <w:vAlign w:val="center"/>
          </w:tcPr>
          <w:p w14:paraId="56B8176E"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2.1%</w:t>
            </w:r>
          </w:p>
        </w:tc>
        <w:tc>
          <w:tcPr>
            <w:tcW w:w="1573" w:type="dxa"/>
            <w:vAlign w:val="center"/>
          </w:tcPr>
          <w:p w14:paraId="6F67ACC0" w14:textId="77777777" w:rsidR="00C51F69" w:rsidRPr="00CD29D0" w:rsidRDefault="00C51F69" w:rsidP="00BF0B5C">
            <w:pPr>
              <w:pStyle w:val="TableTextCentered"/>
            </w:pPr>
            <w:r w:rsidRPr="00CD29D0">
              <w:rPr>
                <w:rFonts w:ascii="Franklin Gothic Book" w:hAnsi="Franklin Gothic Book" w:cs="Calibri"/>
                <w:color w:val="000000"/>
                <w:szCs w:val="20"/>
              </w:rPr>
              <w:t>68,002</w:t>
            </w:r>
          </w:p>
        </w:tc>
        <w:tc>
          <w:tcPr>
            <w:tcW w:w="1573" w:type="dxa"/>
            <w:shd w:val="clear" w:color="auto" w:fill="D9E2F3" w:themeFill="accent5" w:themeFillTint="33"/>
            <w:vAlign w:val="center"/>
          </w:tcPr>
          <w:p w14:paraId="775B4120" w14:textId="77777777" w:rsidR="00C51F69" w:rsidRPr="00CD29D0" w:rsidRDefault="00C51F69" w:rsidP="00BF0B5C">
            <w:pPr>
              <w:pStyle w:val="TableText"/>
              <w:jc w:val="center"/>
            </w:pPr>
            <w:r w:rsidRPr="00CD29D0">
              <w:rPr>
                <w:rFonts w:ascii="Franklin Gothic Book" w:hAnsi="Franklin Gothic Book" w:cs="Calibri"/>
                <w:color w:val="000000"/>
                <w:szCs w:val="20"/>
              </w:rPr>
              <w:t>7.6%</w:t>
            </w:r>
          </w:p>
        </w:tc>
      </w:tr>
      <w:tr w:rsidR="00C51F69" w:rsidRPr="00CD29D0" w14:paraId="5F04E56C" w14:textId="77777777" w:rsidTr="00BF0B5C">
        <w:tc>
          <w:tcPr>
            <w:tcW w:w="3052" w:type="dxa"/>
          </w:tcPr>
          <w:p w14:paraId="2831ECBB" w14:textId="77777777" w:rsidR="00C51F69" w:rsidRPr="00CD29D0" w:rsidRDefault="00C51F69" w:rsidP="00BF0B5C">
            <w:pPr>
              <w:pStyle w:val="TableText"/>
            </w:pPr>
            <w:r w:rsidRPr="00CD29D0">
              <w:t>Black or African American</w:t>
            </w:r>
          </w:p>
        </w:tc>
        <w:tc>
          <w:tcPr>
            <w:tcW w:w="1573" w:type="dxa"/>
            <w:vAlign w:val="center"/>
          </w:tcPr>
          <w:p w14:paraId="1E539303" w14:textId="77777777" w:rsidR="00C51F69" w:rsidRPr="00CD29D0" w:rsidRDefault="00C51F69" w:rsidP="00BF0B5C">
            <w:pPr>
              <w:pStyle w:val="TableTextCentered"/>
            </w:pPr>
            <w:r w:rsidRPr="00CD29D0">
              <w:rPr>
                <w:rFonts w:ascii="Franklin Gothic Book" w:hAnsi="Franklin Gothic Book" w:cs="Calibri"/>
                <w:color w:val="000000"/>
                <w:szCs w:val="20"/>
              </w:rPr>
              <w:t>136</w:t>
            </w:r>
          </w:p>
        </w:tc>
        <w:tc>
          <w:tcPr>
            <w:tcW w:w="1573" w:type="dxa"/>
            <w:shd w:val="clear" w:color="auto" w:fill="D9E2F3" w:themeFill="accent5" w:themeFillTint="33"/>
            <w:vAlign w:val="center"/>
          </w:tcPr>
          <w:p w14:paraId="073B92BD"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6.0%</w:t>
            </w:r>
          </w:p>
        </w:tc>
        <w:tc>
          <w:tcPr>
            <w:tcW w:w="1573" w:type="dxa"/>
            <w:vAlign w:val="center"/>
          </w:tcPr>
          <w:p w14:paraId="13791C6D" w14:textId="77777777" w:rsidR="00C51F69" w:rsidRPr="00CD29D0" w:rsidRDefault="00C51F69" w:rsidP="00BF0B5C">
            <w:pPr>
              <w:pStyle w:val="TableTextCentered"/>
            </w:pPr>
            <w:r w:rsidRPr="00CD29D0">
              <w:rPr>
                <w:rFonts w:ascii="Franklin Gothic Book" w:hAnsi="Franklin Gothic Book" w:cs="Calibri"/>
                <w:color w:val="000000"/>
                <w:szCs w:val="20"/>
              </w:rPr>
              <w:t>93,528</w:t>
            </w:r>
          </w:p>
        </w:tc>
        <w:tc>
          <w:tcPr>
            <w:tcW w:w="1573" w:type="dxa"/>
            <w:shd w:val="clear" w:color="auto" w:fill="D9E2F3" w:themeFill="accent5" w:themeFillTint="33"/>
            <w:vAlign w:val="center"/>
          </w:tcPr>
          <w:p w14:paraId="28444B2E" w14:textId="77777777" w:rsidR="00C51F69" w:rsidRPr="00CD29D0" w:rsidRDefault="00C51F69" w:rsidP="00BF0B5C">
            <w:pPr>
              <w:pStyle w:val="TableText"/>
              <w:jc w:val="center"/>
            </w:pPr>
            <w:r w:rsidRPr="00CD29D0">
              <w:rPr>
                <w:rFonts w:ascii="Franklin Gothic Book" w:hAnsi="Franklin Gothic Book" w:cs="Calibri"/>
                <w:color w:val="000000"/>
                <w:szCs w:val="20"/>
              </w:rPr>
              <w:t>10.4%</w:t>
            </w:r>
          </w:p>
        </w:tc>
      </w:tr>
      <w:tr w:rsidR="00C51F69" w:rsidRPr="00CD29D0" w14:paraId="4779A948" w14:textId="77777777" w:rsidTr="00BF0B5C">
        <w:tc>
          <w:tcPr>
            <w:tcW w:w="3052" w:type="dxa"/>
          </w:tcPr>
          <w:p w14:paraId="59E24589" w14:textId="77777777" w:rsidR="00C51F69" w:rsidRPr="00CD29D0" w:rsidRDefault="00C51F69" w:rsidP="00BF0B5C">
            <w:pPr>
              <w:pStyle w:val="TableText"/>
            </w:pPr>
            <w:r w:rsidRPr="00CD29D0">
              <w:t>Hispanic or Latino</w:t>
            </w:r>
          </w:p>
        </w:tc>
        <w:tc>
          <w:tcPr>
            <w:tcW w:w="1573" w:type="dxa"/>
            <w:vAlign w:val="center"/>
          </w:tcPr>
          <w:p w14:paraId="589288C9" w14:textId="77777777" w:rsidR="00C51F69" w:rsidRPr="00CD29D0" w:rsidRDefault="00C51F69" w:rsidP="00BF0B5C">
            <w:pPr>
              <w:pStyle w:val="TableTextCentered"/>
            </w:pPr>
            <w:r w:rsidRPr="00CD29D0">
              <w:rPr>
                <w:rFonts w:ascii="Franklin Gothic Book" w:hAnsi="Franklin Gothic Book" w:cs="Calibri"/>
                <w:color w:val="000000"/>
                <w:szCs w:val="20"/>
              </w:rPr>
              <w:t>117</w:t>
            </w:r>
          </w:p>
        </w:tc>
        <w:tc>
          <w:tcPr>
            <w:tcW w:w="1573" w:type="dxa"/>
            <w:shd w:val="clear" w:color="auto" w:fill="D9E2F3" w:themeFill="accent5" w:themeFillTint="33"/>
            <w:vAlign w:val="center"/>
          </w:tcPr>
          <w:p w14:paraId="08967611"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5.1%</w:t>
            </w:r>
          </w:p>
        </w:tc>
        <w:tc>
          <w:tcPr>
            <w:tcW w:w="1573" w:type="dxa"/>
            <w:vAlign w:val="center"/>
          </w:tcPr>
          <w:p w14:paraId="0F3C24FF" w14:textId="77777777" w:rsidR="00C51F69" w:rsidRPr="00CD29D0" w:rsidRDefault="00C51F69" w:rsidP="00BF0B5C">
            <w:pPr>
              <w:pStyle w:val="TableTextCentered"/>
            </w:pPr>
            <w:r w:rsidRPr="00CD29D0">
              <w:rPr>
                <w:rFonts w:ascii="Franklin Gothic Book" w:hAnsi="Franklin Gothic Book" w:cs="Calibri"/>
                <w:color w:val="000000"/>
                <w:szCs w:val="20"/>
              </w:rPr>
              <w:t>235,969</w:t>
            </w:r>
          </w:p>
        </w:tc>
        <w:tc>
          <w:tcPr>
            <w:tcW w:w="1573" w:type="dxa"/>
            <w:shd w:val="clear" w:color="auto" w:fill="D9E2F3" w:themeFill="accent5" w:themeFillTint="33"/>
            <w:vAlign w:val="center"/>
          </w:tcPr>
          <w:p w14:paraId="116414AB" w14:textId="77777777" w:rsidR="00C51F69" w:rsidRPr="00CD29D0" w:rsidRDefault="00C51F69" w:rsidP="00BF0B5C">
            <w:pPr>
              <w:pStyle w:val="TableText"/>
              <w:jc w:val="center"/>
            </w:pPr>
            <w:r w:rsidRPr="00CD29D0">
              <w:rPr>
                <w:rFonts w:ascii="Franklin Gothic Book" w:hAnsi="Franklin Gothic Book" w:cs="Calibri"/>
                <w:color w:val="000000"/>
                <w:szCs w:val="20"/>
              </w:rPr>
              <w:t>26.2%</w:t>
            </w:r>
          </w:p>
        </w:tc>
      </w:tr>
      <w:tr w:rsidR="00C51F69" w:rsidRPr="00CD29D0" w14:paraId="177D4AA4" w14:textId="77777777" w:rsidTr="00BF0B5C">
        <w:tc>
          <w:tcPr>
            <w:tcW w:w="3052" w:type="dxa"/>
          </w:tcPr>
          <w:p w14:paraId="215FFBBC" w14:textId="77777777" w:rsidR="00C51F69" w:rsidRPr="00CD29D0" w:rsidRDefault="00C51F69" w:rsidP="00BF0B5C">
            <w:pPr>
              <w:pStyle w:val="TableText"/>
            </w:pPr>
            <w:r w:rsidRPr="00CD29D0">
              <w:t>Multi-Race, Not Hispanic or Latino</w:t>
            </w:r>
          </w:p>
        </w:tc>
        <w:tc>
          <w:tcPr>
            <w:tcW w:w="1573" w:type="dxa"/>
            <w:vAlign w:val="center"/>
          </w:tcPr>
          <w:p w14:paraId="7A492732" w14:textId="77777777" w:rsidR="00C51F69" w:rsidRPr="00CD29D0" w:rsidRDefault="00C51F69" w:rsidP="00BF0B5C">
            <w:pPr>
              <w:pStyle w:val="TableTextCentered"/>
            </w:pPr>
            <w:r w:rsidRPr="00CD29D0">
              <w:rPr>
                <w:rFonts w:ascii="Franklin Gothic Book" w:hAnsi="Franklin Gothic Book" w:cs="Calibri"/>
                <w:color w:val="000000"/>
                <w:szCs w:val="20"/>
              </w:rPr>
              <w:t>101</w:t>
            </w:r>
          </w:p>
        </w:tc>
        <w:tc>
          <w:tcPr>
            <w:tcW w:w="1573" w:type="dxa"/>
            <w:shd w:val="clear" w:color="auto" w:fill="D9E2F3" w:themeFill="accent5" w:themeFillTint="33"/>
            <w:vAlign w:val="center"/>
          </w:tcPr>
          <w:p w14:paraId="6371A971"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4.4%</w:t>
            </w:r>
          </w:p>
        </w:tc>
        <w:tc>
          <w:tcPr>
            <w:tcW w:w="1573" w:type="dxa"/>
            <w:vAlign w:val="center"/>
          </w:tcPr>
          <w:p w14:paraId="1A7E2CB2" w14:textId="77777777" w:rsidR="00C51F69" w:rsidRPr="00CD29D0" w:rsidRDefault="00C51F69" w:rsidP="00BF0B5C">
            <w:pPr>
              <w:pStyle w:val="TableTextCentered"/>
            </w:pPr>
            <w:r w:rsidRPr="00CD29D0">
              <w:rPr>
                <w:rFonts w:ascii="Franklin Gothic Book" w:hAnsi="Franklin Gothic Book" w:cs="Calibri"/>
                <w:color w:val="000000"/>
                <w:szCs w:val="20"/>
              </w:rPr>
              <w:t>42,988</w:t>
            </w:r>
          </w:p>
        </w:tc>
        <w:tc>
          <w:tcPr>
            <w:tcW w:w="1573" w:type="dxa"/>
            <w:shd w:val="clear" w:color="auto" w:fill="D9E2F3" w:themeFill="accent5" w:themeFillTint="33"/>
            <w:vAlign w:val="center"/>
          </w:tcPr>
          <w:p w14:paraId="75855791" w14:textId="77777777" w:rsidR="00C51F69" w:rsidRPr="00CD29D0" w:rsidRDefault="00C51F69" w:rsidP="00BF0B5C">
            <w:pPr>
              <w:pStyle w:val="TableText"/>
              <w:jc w:val="center"/>
            </w:pPr>
            <w:r w:rsidRPr="00CD29D0">
              <w:rPr>
                <w:rFonts w:ascii="Franklin Gothic Book" w:hAnsi="Franklin Gothic Book" w:cs="Calibri"/>
                <w:color w:val="000000"/>
                <w:szCs w:val="20"/>
              </w:rPr>
              <w:t>4.8%</w:t>
            </w:r>
          </w:p>
        </w:tc>
      </w:tr>
      <w:tr w:rsidR="00C51F69" w:rsidRPr="00CD29D0" w14:paraId="60F9E6F4" w14:textId="77777777" w:rsidTr="00BF0B5C">
        <w:tc>
          <w:tcPr>
            <w:tcW w:w="3052" w:type="dxa"/>
          </w:tcPr>
          <w:p w14:paraId="3CA53DE2" w14:textId="77777777" w:rsidR="00C51F69" w:rsidRPr="00CD29D0" w:rsidRDefault="00C51F69" w:rsidP="00BF0B5C">
            <w:pPr>
              <w:pStyle w:val="TableText"/>
            </w:pPr>
            <w:r w:rsidRPr="00CD29D0">
              <w:t>Native Hawaiian or Other Pacific Islander</w:t>
            </w:r>
          </w:p>
        </w:tc>
        <w:tc>
          <w:tcPr>
            <w:tcW w:w="1573" w:type="dxa"/>
            <w:vAlign w:val="center"/>
          </w:tcPr>
          <w:p w14:paraId="2A43EBCF" w14:textId="77777777" w:rsidR="00C51F69" w:rsidRPr="00CD29D0" w:rsidRDefault="00C51F69" w:rsidP="00BF0B5C">
            <w:pPr>
              <w:pStyle w:val="TableTextCentered"/>
            </w:pPr>
            <w:r w:rsidRPr="00CD29D0">
              <w:rPr>
                <w:rFonts w:ascii="Franklin Gothic Book" w:hAnsi="Franklin Gothic Book" w:cs="Calibri"/>
                <w:color w:val="000000"/>
                <w:szCs w:val="20"/>
              </w:rPr>
              <w:t>1</w:t>
            </w:r>
          </w:p>
        </w:tc>
        <w:tc>
          <w:tcPr>
            <w:tcW w:w="1573" w:type="dxa"/>
            <w:shd w:val="clear" w:color="auto" w:fill="D9E2F3" w:themeFill="accent5" w:themeFillTint="33"/>
            <w:vAlign w:val="center"/>
          </w:tcPr>
          <w:p w14:paraId="0ABA1C79"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0.0%</w:t>
            </w:r>
          </w:p>
        </w:tc>
        <w:tc>
          <w:tcPr>
            <w:tcW w:w="1573" w:type="dxa"/>
            <w:vAlign w:val="center"/>
          </w:tcPr>
          <w:p w14:paraId="20E3113F" w14:textId="77777777" w:rsidR="00C51F69" w:rsidRPr="00CD29D0" w:rsidRDefault="00C51F69" w:rsidP="00BF0B5C">
            <w:pPr>
              <w:pStyle w:val="TableTextCentered"/>
            </w:pPr>
            <w:r w:rsidRPr="00CD29D0">
              <w:rPr>
                <w:rFonts w:ascii="Franklin Gothic Book" w:hAnsi="Franklin Gothic Book" w:cs="Calibri"/>
                <w:color w:val="000000"/>
                <w:szCs w:val="20"/>
              </w:rPr>
              <w:t>754</w:t>
            </w:r>
          </w:p>
        </w:tc>
        <w:tc>
          <w:tcPr>
            <w:tcW w:w="1573" w:type="dxa"/>
            <w:shd w:val="clear" w:color="auto" w:fill="D9E2F3" w:themeFill="accent5" w:themeFillTint="33"/>
            <w:vAlign w:val="center"/>
          </w:tcPr>
          <w:p w14:paraId="421955B5" w14:textId="77777777" w:rsidR="00C51F69" w:rsidRPr="00CD29D0" w:rsidRDefault="00C51F69" w:rsidP="00BF0B5C">
            <w:pPr>
              <w:pStyle w:val="TableText"/>
              <w:jc w:val="center"/>
            </w:pPr>
            <w:r w:rsidRPr="00CD29D0">
              <w:rPr>
                <w:rFonts w:ascii="Franklin Gothic Book" w:hAnsi="Franklin Gothic Book" w:cs="Calibri"/>
                <w:color w:val="000000"/>
                <w:szCs w:val="20"/>
              </w:rPr>
              <w:t>0.1%</w:t>
            </w:r>
          </w:p>
        </w:tc>
      </w:tr>
      <w:tr w:rsidR="00C51F69" w:rsidRPr="00CD29D0" w14:paraId="31C55B0E" w14:textId="77777777" w:rsidTr="00BF0B5C">
        <w:tc>
          <w:tcPr>
            <w:tcW w:w="3052" w:type="dxa"/>
          </w:tcPr>
          <w:p w14:paraId="6E1E158D" w14:textId="77777777" w:rsidR="00C51F69" w:rsidRPr="00CD29D0" w:rsidRDefault="00C51F69" w:rsidP="00BF0B5C">
            <w:pPr>
              <w:pStyle w:val="TableText"/>
            </w:pPr>
            <w:r w:rsidRPr="00CD29D0">
              <w:t>White</w:t>
            </w:r>
          </w:p>
        </w:tc>
        <w:tc>
          <w:tcPr>
            <w:tcW w:w="1573" w:type="dxa"/>
            <w:vAlign w:val="center"/>
          </w:tcPr>
          <w:p w14:paraId="132DA62E" w14:textId="77777777" w:rsidR="00C51F69" w:rsidRPr="00CD29D0" w:rsidRDefault="00C51F69" w:rsidP="00BF0B5C">
            <w:pPr>
              <w:pStyle w:val="TableTextCentered"/>
            </w:pPr>
            <w:r w:rsidRPr="00CD29D0">
              <w:rPr>
                <w:rFonts w:ascii="Franklin Gothic Book" w:hAnsi="Franklin Gothic Book" w:cs="Calibri"/>
                <w:color w:val="000000"/>
                <w:szCs w:val="20"/>
              </w:rPr>
              <w:t>1,875</w:t>
            </w:r>
          </w:p>
        </w:tc>
        <w:tc>
          <w:tcPr>
            <w:tcW w:w="1573" w:type="dxa"/>
            <w:shd w:val="clear" w:color="auto" w:fill="D9E2F3" w:themeFill="accent5" w:themeFillTint="33"/>
            <w:vAlign w:val="center"/>
          </w:tcPr>
          <w:p w14:paraId="594CF22D"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82.3%</w:t>
            </w:r>
          </w:p>
        </w:tc>
        <w:tc>
          <w:tcPr>
            <w:tcW w:w="1573" w:type="dxa"/>
            <w:vAlign w:val="center"/>
          </w:tcPr>
          <w:p w14:paraId="77F37C6A" w14:textId="77777777" w:rsidR="00C51F69" w:rsidRPr="00CD29D0" w:rsidRDefault="00C51F69" w:rsidP="00BF0B5C">
            <w:pPr>
              <w:pStyle w:val="TableTextCentered"/>
            </w:pPr>
            <w:r w:rsidRPr="00CD29D0">
              <w:rPr>
                <w:rFonts w:ascii="Franklin Gothic Book" w:hAnsi="Franklin Gothic Book" w:cs="Calibri"/>
                <w:color w:val="000000"/>
                <w:szCs w:val="20"/>
              </w:rPr>
              <w:t>457,061</w:t>
            </w:r>
          </w:p>
        </w:tc>
        <w:tc>
          <w:tcPr>
            <w:tcW w:w="1573" w:type="dxa"/>
            <w:shd w:val="clear" w:color="auto" w:fill="D9E2F3" w:themeFill="accent5" w:themeFillTint="33"/>
            <w:vAlign w:val="center"/>
          </w:tcPr>
          <w:p w14:paraId="52F8E711" w14:textId="77777777" w:rsidR="00C51F69" w:rsidRPr="00CD29D0" w:rsidRDefault="00C51F69" w:rsidP="00BF0B5C">
            <w:pPr>
              <w:pStyle w:val="TableText"/>
              <w:jc w:val="center"/>
            </w:pPr>
            <w:r w:rsidRPr="00CD29D0">
              <w:rPr>
                <w:rFonts w:ascii="Franklin Gothic Book" w:hAnsi="Franklin Gothic Book" w:cs="Calibri"/>
                <w:color w:val="000000"/>
                <w:szCs w:val="20"/>
              </w:rPr>
              <w:t>50.8%</w:t>
            </w:r>
          </w:p>
        </w:tc>
      </w:tr>
    </w:tbl>
    <w:p w14:paraId="7B4306CB" w14:textId="77777777" w:rsidR="00C51F69" w:rsidRPr="00CD29D0" w:rsidRDefault="00C51F69" w:rsidP="00424417">
      <w:pPr>
        <w:pStyle w:val="TableNote"/>
      </w:pPr>
      <w:r w:rsidRPr="00CD29D0">
        <w:rPr>
          <w:i/>
          <w:iCs/>
        </w:rPr>
        <w:t>Note</w:t>
      </w:r>
      <w:r w:rsidRPr="00CD29D0">
        <w:t>. As of October 1, 2025.</w:t>
      </w:r>
    </w:p>
    <w:p w14:paraId="2690EBED" w14:textId="77777777" w:rsidR="00C51F69" w:rsidRPr="00CD29D0" w:rsidRDefault="00C51F69" w:rsidP="00424417">
      <w:pPr>
        <w:pStyle w:val="TableTitle0"/>
      </w:pPr>
      <w:r w:rsidRPr="00CD29D0">
        <w:t>Table D2. 2025-2026 Student Enrollment by High-Need Populations</w:t>
      </w:r>
    </w:p>
    <w:tbl>
      <w:tblPr>
        <w:tblStyle w:val="MSVTable1"/>
        <w:tblW w:w="5000" w:type="pct"/>
        <w:tblLayout w:type="fixed"/>
        <w:tblLook w:val="0620" w:firstRow="1" w:lastRow="0" w:firstColumn="0" w:lastColumn="0" w:noHBand="1" w:noVBand="1"/>
        <w:tblCaption w:val="Table D2. 2025-2026 Student Enrollment by High-Need Populations"/>
        <w:tblDescription w:val="2025-2026 Student Enrollment by High-Need Populations"/>
      </w:tblPr>
      <w:tblGrid>
        <w:gridCol w:w="2287"/>
        <w:gridCol w:w="1176"/>
        <w:gridCol w:w="1176"/>
        <w:gridCol w:w="1176"/>
        <w:gridCol w:w="1176"/>
        <w:gridCol w:w="1176"/>
        <w:gridCol w:w="1177"/>
      </w:tblGrid>
      <w:tr w:rsidR="00C51F69" w:rsidRPr="00CD29D0" w14:paraId="0C9D9A0B" w14:textId="77777777" w:rsidTr="00BF0B5C">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20B7AA48" w14:textId="77777777" w:rsidR="00C51F69" w:rsidRPr="00CD29D0" w:rsidRDefault="00C51F69" w:rsidP="003011C7">
            <w:pPr>
              <w:pStyle w:val="TableColHeadingCenter"/>
              <w:spacing w:before="0" w:after="0" w:line="240" w:lineRule="auto"/>
            </w:pPr>
            <w:r w:rsidRPr="00CD29D0">
              <w:t>Group</w:t>
            </w:r>
          </w:p>
        </w:tc>
        <w:tc>
          <w:tcPr>
            <w:tcW w:w="1176" w:type="dxa"/>
            <w:vAlign w:val="center"/>
          </w:tcPr>
          <w:p w14:paraId="410C5510" w14:textId="77777777" w:rsidR="00C51F69" w:rsidRPr="00CD29D0" w:rsidRDefault="00C51F69" w:rsidP="00BF0B5C">
            <w:pPr>
              <w:pStyle w:val="TableColHeadingCenter"/>
              <w:spacing w:before="0" w:after="0" w:line="240" w:lineRule="auto"/>
              <w:rPr>
                <w:i/>
                <w:iCs/>
              </w:rPr>
            </w:pPr>
            <w:r w:rsidRPr="00CD29D0">
              <w:rPr>
                <w:i/>
                <w:iCs/>
              </w:rPr>
              <w:t>N</w:t>
            </w:r>
          </w:p>
          <w:p w14:paraId="1128168A" w14:textId="77777777" w:rsidR="00C51F69" w:rsidRPr="00CD29D0" w:rsidRDefault="00C51F69" w:rsidP="00BF0B5C">
            <w:pPr>
              <w:pStyle w:val="TableColHeadingCenter"/>
              <w:spacing w:before="0" w:after="0" w:line="240" w:lineRule="auto"/>
            </w:pPr>
            <w:r w:rsidRPr="00CD29D0">
              <w:t>(District)</w:t>
            </w:r>
          </w:p>
        </w:tc>
        <w:tc>
          <w:tcPr>
            <w:tcW w:w="1176" w:type="dxa"/>
            <w:vAlign w:val="center"/>
          </w:tcPr>
          <w:p w14:paraId="49F569CC" w14:textId="77777777" w:rsidR="00C51F69" w:rsidRPr="00CD29D0" w:rsidRDefault="00C51F69" w:rsidP="00BF0B5C">
            <w:pPr>
              <w:pStyle w:val="TableColHeadingCenter"/>
              <w:spacing w:before="0" w:after="0" w:line="240" w:lineRule="auto"/>
            </w:pPr>
            <w:r w:rsidRPr="00CD29D0">
              <w:t>Percentage of High Needs</w:t>
            </w:r>
          </w:p>
          <w:p w14:paraId="66E8A3C1" w14:textId="77777777" w:rsidR="00C51F69" w:rsidRPr="00CD29D0" w:rsidRDefault="00C51F69" w:rsidP="00BF0B5C">
            <w:pPr>
              <w:pStyle w:val="TableColHeadingCenter"/>
              <w:spacing w:before="0" w:after="0" w:line="240" w:lineRule="auto"/>
            </w:pPr>
            <w:r w:rsidRPr="00CD29D0">
              <w:t>(District)</w:t>
            </w:r>
          </w:p>
        </w:tc>
        <w:tc>
          <w:tcPr>
            <w:tcW w:w="1176" w:type="dxa"/>
            <w:vAlign w:val="center"/>
          </w:tcPr>
          <w:p w14:paraId="05DF0B7E" w14:textId="77777777" w:rsidR="00C51F69" w:rsidRPr="00CD29D0" w:rsidRDefault="00C51F69" w:rsidP="00BF0B5C">
            <w:pPr>
              <w:pStyle w:val="TableColHeadingCenter"/>
              <w:spacing w:before="0" w:after="0" w:line="240" w:lineRule="auto"/>
            </w:pPr>
            <w:r w:rsidRPr="00CD29D0">
              <w:t>Percentage of District</w:t>
            </w:r>
          </w:p>
        </w:tc>
        <w:tc>
          <w:tcPr>
            <w:tcW w:w="1176" w:type="dxa"/>
            <w:vAlign w:val="center"/>
          </w:tcPr>
          <w:p w14:paraId="58C89539" w14:textId="77777777" w:rsidR="00C51F69" w:rsidRPr="00CD29D0" w:rsidRDefault="00C51F69" w:rsidP="00BF0B5C">
            <w:pPr>
              <w:pStyle w:val="TableColHeadingCenter"/>
              <w:spacing w:before="0" w:after="0" w:line="240" w:lineRule="auto"/>
              <w:rPr>
                <w:i/>
                <w:iCs/>
              </w:rPr>
            </w:pPr>
            <w:r w:rsidRPr="00CD29D0">
              <w:rPr>
                <w:i/>
                <w:iCs/>
              </w:rPr>
              <w:t>N</w:t>
            </w:r>
          </w:p>
          <w:p w14:paraId="22118B3E" w14:textId="77777777" w:rsidR="00C51F69" w:rsidRPr="00CD29D0" w:rsidRDefault="00C51F69" w:rsidP="00BF0B5C">
            <w:pPr>
              <w:pStyle w:val="TableColHeadingCenter"/>
              <w:spacing w:before="0" w:after="0" w:line="240" w:lineRule="auto"/>
            </w:pPr>
            <w:r w:rsidRPr="00CD29D0">
              <w:t>(State)</w:t>
            </w:r>
          </w:p>
        </w:tc>
        <w:tc>
          <w:tcPr>
            <w:tcW w:w="1176" w:type="dxa"/>
            <w:vAlign w:val="center"/>
          </w:tcPr>
          <w:p w14:paraId="161793B5" w14:textId="77777777" w:rsidR="00C51F69" w:rsidRPr="00CD29D0" w:rsidRDefault="00C51F69" w:rsidP="00BF0B5C">
            <w:pPr>
              <w:pStyle w:val="TableColHeadingCenter"/>
              <w:spacing w:before="0" w:after="0" w:line="240" w:lineRule="auto"/>
            </w:pPr>
            <w:r w:rsidRPr="00CD29D0">
              <w:t>Percentage of High Needs</w:t>
            </w:r>
          </w:p>
          <w:p w14:paraId="218A337D" w14:textId="77777777" w:rsidR="00C51F69" w:rsidRPr="00CD29D0" w:rsidRDefault="00C51F69" w:rsidP="00BF0B5C">
            <w:pPr>
              <w:pStyle w:val="TableColHeadingCenter"/>
              <w:spacing w:before="0" w:after="0" w:line="240" w:lineRule="auto"/>
            </w:pPr>
            <w:r w:rsidRPr="00CD29D0">
              <w:t>(State)</w:t>
            </w:r>
          </w:p>
        </w:tc>
        <w:tc>
          <w:tcPr>
            <w:tcW w:w="1177" w:type="dxa"/>
            <w:vAlign w:val="center"/>
          </w:tcPr>
          <w:p w14:paraId="4DE606BF" w14:textId="77777777" w:rsidR="00C51F69" w:rsidRPr="00CD29D0" w:rsidRDefault="00C51F69" w:rsidP="00BF0B5C">
            <w:pPr>
              <w:pStyle w:val="TableColHeadingCenter"/>
              <w:spacing w:before="0" w:after="0" w:line="240" w:lineRule="auto"/>
            </w:pPr>
            <w:r w:rsidRPr="00CD29D0">
              <w:t>Percentage of State</w:t>
            </w:r>
          </w:p>
        </w:tc>
      </w:tr>
      <w:tr w:rsidR="00C51F69" w:rsidRPr="00CD29D0" w14:paraId="4B98C36E" w14:textId="77777777" w:rsidTr="00BF0B5C">
        <w:tc>
          <w:tcPr>
            <w:tcW w:w="2287" w:type="dxa"/>
          </w:tcPr>
          <w:p w14:paraId="152B4482" w14:textId="77777777" w:rsidR="00C51F69" w:rsidRPr="00CD29D0" w:rsidRDefault="00C51F69" w:rsidP="00BF0B5C">
            <w:pPr>
              <w:pStyle w:val="TableText"/>
            </w:pPr>
            <w:r w:rsidRPr="00CD29D0">
              <w:t>All Students with High Needs</w:t>
            </w:r>
          </w:p>
        </w:tc>
        <w:tc>
          <w:tcPr>
            <w:tcW w:w="1176" w:type="dxa"/>
            <w:vAlign w:val="center"/>
          </w:tcPr>
          <w:p w14:paraId="37EFDEA8" w14:textId="77777777" w:rsidR="00C51F69" w:rsidRPr="00CD29D0" w:rsidRDefault="00C51F69" w:rsidP="00BF0B5C">
            <w:pPr>
              <w:pStyle w:val="TableTextCentered"/>
            </w:pPr>
            <w:r w:rsidRPr="00CD29D0">
              <w:rPr>
                <w:rFonts w:ascii="Franklin Gothic Book" w:hAnsi="Franklin Gothic Book" w:cs="Calibri"/>
                <w:color w:val="000000"/>
                <w:szCs w:val="20"/>
              </w:rPr>
              <w:t>966</w:t>
            </w:r>
          </w:p>
        </w:tc>
        <w:tc>
          <w:tcPr>
            <w:tcW w:w="1176" w:type="dxa"/>
            <w:shd w:val="clear" w:color="auto" w:fill="D9E2F3" w:themeFill="accent5" w:themeFillTint="33"/>
            <w:vAlign w:val="center"/>
          </w:tcPr>
          <w:p w14:paraId="083DAC0D"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100.0%</w:t>
            </w:r>
          </w:p>
        </w:tc>
        <w:tc>
          <w:tcPr>
            <w:tcW w:w="1176" w:type="dxa"/>
            <w:shd w:val="clear" w:color="auto" w:fill="D9E2F3" w:themeFill="accent5" w:themeFillTint="33"/>
            <w:vAlign w:val="center"/>
          </w:tcPr>
          <w:p w14:paraId="40FE1A1B"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41.9%</w:t>
            </w:r>
          </w:p>
        </w:tc>
        <w:tc>
          <w:tcPr>
            <w:tcW w:w="1176" w:type="dxa"/>
            <w:vAlign w:val="center"/>
          </w:tcPr>
          <w:p w14:paraId="6F3C5E2A" w14:textId="77777777" w:rsidR="00C51F69" w:rsidRPr="00CD29D0" w:rsidRDefault="00C51F69" w:rsidP="00BF0B5C">
            <w:pPr>
              <w:pStyle w:val="TableTextCentered"/>
            </w:pPr>
            <w:r w:rsidRPr="00CD29D0">
              <w:rPr>
                <w:rFonts w:ascii="Franklin Gothic Book" w:hAnsi="Franklin Gothic Book" w:cs="Calibri"/>
                <w:color w:val="000000"/>
                <w:szCs w:val="20"/>
              </w:rPr>
              <w:t>504,445</w:t>
            </w:r>
          </w:p>
        </w:tc>
        <w:tc>
          <w:tcPr>
            <w:tcW w:w="1176" w:type="dxa"/>
            <w:shd w:val="clear" w:color="auto" w:fill="D9E2F3" w:themeFill="accent5" w:themeFillTint="33"/>
            <w:vAlign w:val="center"/>
          </w:tcPr>
          <w:p w14:paraId="79F561B9"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100.0%</w:t>
            </w:r>
          </w:p>
        </w:tc>
        <w:tc>
          <w:tcPr>
            <w:tcW w:w="1177" w:type="dxa"/>
            <w:shd w:val="clear" w:color="auto" w:fill="D9E2F3" w:themeFill="accent5" w:themeFillTint="33"/>
            <w:vAlign w:val="center"/>
          </w:tcPr>
          <w:p w14:paraId="55B2E8C5"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55.4%</w:t>
            </w:r>
          </w:p>
        </w:tc>
      </w:tr>
      <w:tr w:rsidR="00C51F69" w:rsidRPr="00CD29D0" w14:paraId="366D33F5" w14:textId="77777777" w:rsidTr="00BF0B5C">
        <w:tc>
          <w:tcPr>
            <w:tcW w:w="2287" w:type="dxa"/>
          </w:tcPr>
          <w:p w14:paraId="3E8E2216" w14:textId="77777777" w:rsidR="00C51F69" w:rsidRPr="00CD29D0" w:rsidRDefault="00C51F69" w:rsidP="00BF0B5C">
            <w:pPr>
              <w:pStyle w:val="TableText"/>
            </w:pPr>
            <w:r w:rsidRPr="00CD29D0">
              <w:t>English Learners</w:t>
            </w:r>
          </w:p>
        </w:tc>
        <w:tc>
          <w:tcPr>
            <w:tcW w:w="1176" w:type="dxa"/>
            <w:vAlign w:val="center"/>
          </w:tcPr>
          <w:p w14:paraId="6DBE78A3" w14:textId="77777777" w:rsidR="00C51F69" w:rsidRPr="00CD29D0" w:rsidRDefault="00C51F69" w:rsidP="00BF0B5C">
            <w:pPr>
              <w:pStyle w:val="TableTextCentered"/>
            </w:pPr>
            <w:r w:rsidRPr="00CD29D0">
              <w:rPr>
                <w:rFonts w:ascii="Franklin Gothic Book" w:hAnsi="Franklin Gothic Book" w:cs="Calibri"/>
                <w:color w:val="000000"/>
                <w:szCs w:val="20"/>
              </w:rPr>
              <w:t>54</w:t>
            </w:r>
          </w:p>
        </w:tc>
        <w:tc>
          <w:tcPr>
            <w:tcW w:w="1176" w:type="dxa"/>
            <w:shd w:val="clear" w:color="auto" w:fill="D9E2F3" w:themeFill="accent5" w:themeFillTint="33"/>
            <w:vAlign w:val="center"/>
          </w:tcPr>
          <w:p w14:paraId="3F26EC77"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5.6%</w:t>
            </w:r>
          </w:p>
        </w:tc>
        <w:tc>
          <w:tcPr>
            <w:tcW w:w="1176" w:type="dxa"/>
            <w:shd w:val="clear" w:color="auto" w:fill="D9E2F3" w:themeFill="accent5" w:themeFillTint="33"/>
            <w:vAlign w:val="center"/>
          </w:tcPr>
          <w:p w14:paraId="534A76C2"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2.4%</w:t>
            </w:r>
          </w:p>
        </w:tc>
        <w:tc>
          <w:tcPr>
            <w:tcW w:w="1176" w:type="dxa"/>
            <w:vAlign w:val="center"/>
          </w:tcPr>
          <w:p w14:paraId="6ABACF09" w14:textId="77777777" w:rsidR="00C51F69" w:rsidRPr="00CD29D0" w:rsidRDefault="00C51F69" w:rsidP="00BF0B5C">
            <w:pPr>
              <w:pStyle w:val="TableTextCentered"/>
            </w:pPr>
            <w:r w:rsidRPr="00CD29D0">
              <w:rPr>
                <w:rFonts w:ascii="Franklin Gothic Book" w:hAnsi="Franklin Gothic Book" w:cs="Calibri"/>
                <w:color w:val="000000"/>
                <w:szCs w:val="20"/>
              </w:rPr>
              <w:t>120,784</w:t>
            </w:r>
          </w:p>
        </w:tc>
        <w:tc>
          <w:tcPr>
            <w:tcW w:w="1176" w:type="dxa"/>
            <w:shd w:val="clear" w:color="auto" w:fill="D9E2F3" w:themeFill="accent5" w:themeFillTint="33"/>
            <w:vAlign w:val="center"/>
          </w:tcPr>
          <w:p w14:paraId="1BA56EF4"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23.9%</w:t>
            </w:r>
          </w:p>
        </w:tc>
        <w:tc>
          <w:tcPr>
            <w:tcW w:w="1177" w:type="dxa"/>
            <w:shd w:val="clear" w:color="auto" w:fill="D9E2F3" w:themeFill="accent5" w:themeFillTint="33"/>
            <w:vAlign w:val="center"/>
          </w:tcPr>
          <w:p w14:paraId="349E4296"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13.4%</w:t>
            </w:r>
          </w:p>
        </w:tc>
      </w:tr>
      <w:tr w:rsidR="00C51F69" w:rsidRPr="00CD29D0" w14:paraId="69B1C70B" w14:textId="77777777" w:rsidTr="00BF0B5C">
        <w:tc>
          <w:tcPr>
            <w:tcW w:w="2287" w:type="dxa"/>
          </w:tcPr>
          <w:p w14:paraId="166F1214" w14:textId="77777777" w:rsidR="00C51F69" w:rsidRPr="00CD29D0" w:rsidRDefault="00C51F69" w:rsidP="00BF0B5C">
            <w:pPr>
              <w:pStyle w:val="TableText"/>
            </w:pPr>
            <w:r w:rsidRPr="00CD29D0">
              <w:t>Low Income</w:t>
            </w:r>
          </w:p>
        </w:tc>
        <w:tc>
          <w:tcPr>
            <w:tcW w:w="1176" w:type="dxa"/>
            <w:vAlign w:val="center"/>
          </w:tcPr>
          <w:p w14:paraId="3E153519" w14:textId="77777777" w:rsidR="00C51F69" w:rsidRPr="00CD29D0" w:rsidRDefault="00C51F69" w:rsidP="00BF0B5C">
            <w:pPr>
              <w:pStyle w:val="TableTextCentered"/>
            </w:pPr>
            <w:r w:rsidRPr="00CD29D0">
              <w:rPr>
                <w:rFonts w:ascii="Franklin Gothic Book" w:hAnsi="Franklin Gothic Book" w:cs="Calibri"/>
                <w:color w:val="000000"/>
                <w:szCs w:val="20"/>
              </w:rPr>
              <w:t>582</w:t>
            </w:r>
          </w:p>
        </w:tc>
        <w:tc>
          <w:tcPr>
            <w:tcW w:w="1176" w:type="dxa"/>
            <w:shd w:val="clear" w:color="auto" w:fill="D9E2F3" w:themeFill="accent5" w:themeFillTint="33"/>
            <w:vAlign w:val="center"/>
          </w:tcPr>
          <w:p w14:paraId="4EA2E3E3"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60.2%</w:t>
            </w:r>
          </w:p>
        </w:tc>
        <w:tc>
          <w:tcPr>
            <w:tcW w:w="1176" w:type="dxa"/>
            <w:shd w:val="clear" w:color="auto" w:fill="D9E2F3" w:themeFill="accent5" w:themeFillTint="33"/>
            <w:vAlign w:val="center"/>
          </w:tcPr>
          <w:p w14:paraId="5A0D5334"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25.6%</w:t>
            </w:r>
          </w:p>
        </w:tc>
        <w:tc>
          <w:tcPr>
            <w:tcW w:w="1176" w:type="dxa"/>
            <w:vAlign w:val="center"/>
          </w:tcPr>
          <w:p w14:paraId="4C3DE6A1" w14:textId="77777777" w:rsidR="00C51F69" w:rsidRPr="00CD29D0" w:rsidRDefault="00C51F69" w:rsidP="00BF0B5C">
            <w:pPr>
              <w:pStyle w:val="TableTextCentered"/>
            </w:pPr>
            <w:r w:rsidRPr="00CD29D0">
              <w:rPr>
                <w:rFonts w:ascii="Franklin Gothic Book" w:hAnsi="Franklin Gothic Book" w:cs="Calibri"/>
                <w:color w:val="000000"/>
                <w:szCs w:val="20"/>
              </w:rPr>
              <w:t>369,909</w:t>
            </w:r>
          </w:p>
        </w:tc>
        <w:tc>
          <w:tcPr>
            <w:tcW w:w="1176" w:type="dxa"/>
            <w:shd w:val="clear" w:color="auto" w:fill="D9E2F3" w:themeFill="accent5" w:themeFillTint="33"/>
            <w:vAlign w:val="center"/>
          </w:tcPr>
          <w:p w14:paraId="7DC5882D"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73.3%</w:t>
            </w:r>
          </w:p>
        </w:tc>
        <w:tc>
          <w:tcPr>
            <w:tcW w:w="1177" w:type="dxa"/>
            <w:shd w:val="clear" w:color="auto" w:fill="D9E2F3" w:themeFill="accent5" w:themeFillTint="33"/>
            <w:vAlign w:val="center"/>
          </w:tcPr>
          <w:p w14:paraId="1E061073"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41.1%</w:t>
            </w:r>
          </w:p>
        </w:tc>
      </w:tr>
      <w:tr w:rsidR="00C51F69" w:rsidRPr="00CD29D0" w14:paraId="22893F48" w14:textId="77777777" w:rsidTr="00BF0B5C">
        <w:tc>
          <w:tcPr>
            <w:tcW w:w="2287" w:type="dxa"/>
          </w:tcPr>
          <w:p w14:paraId="642DE4D5" w14:textId="77777777" w:rsidR="00C51F69" w:rsidRPr="00CD29D0" w:rsidRDefault="00C51F69" w:rsidP="00BF0B5C">
            <w:pPr>
              <w:pStyle w:val="TableText"/>
            </w:pPr>
            <w:r w:rsidRPr="00CD29D0">
              <w:t>Students with Disabilities</w:t>
            </w:r>
          </w:p>
        </w:tc>
        <w:tc>
          <w:tcPr>
            <w:tcW w:w="1176" w:type="dxa"/>
            <w:vAlign w:val="center"/>
          </w:tcPr>
          <w:p w14:paraId="4FB0B88A" w14:textId="77777777" w:rsidR="00C51F69" w:rsidRPr="00CD29D0" w:rsidRDefault="00C51F69" w:rsidP="00BF0B5C">
            <w:pPr>
              <w:pStyle w:val="TableTextCentered"/>
            </w:pPr>
            <w:r w:rsidRPr="00CD29D0">
              <w:rPr>
                <w:rFonts w:ascii="Franklin Gothic Book" w:hAnsi="Franklin Gothic Book" w:cs="Calibri"/>
                <w:color w:val="000000"/>
                <w:szCs w:val="20"/>
              </w:rPr>
              <w:t>546</w:t>
            </w:r>
          </w:p>
        </w:tc>
        <w:tc>
          <w:tcPr>
            <w:tcW w:w="1176" w:type="dxa"/>
            <w:shd w:val="clear" w:color="auto" w:fill="D9E2F3" w:themeFill="accent5" w:themeFillTint="33"/>
            <w:vAlign w:val="center"/>
          </w:tcPr>
          <w:p w14:paraId="49A454F5"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56.5%</w:t>
            </w:r>
          </w:p>
        </w:tc>
        <w:tc>
          <w:tcPr>
            <w:tcW w:w="1176" w:type="dxa"/>
            <w:shd w:val="clear" w:color="auto" w:fill="D9E2F3" w:themeFill="accent5" w:themeFillTint="33"/>
            <w:vAlign w:val="center"/>
          </w:tcPr>
          <w:p w14:paraId="405C1824"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23.7%</w:t>
            </w:r>
          </w:p>
        </w:tc>
        <w:tc>
          <w:tcPr>
            <w:tcW w:w="1176" w:type="dxa"/>
            <w:vAlign w:val="center"/>
          </w:tcPr>
          <w:p w14:paraId="2816EE74" w14:textId="77777777" w:rsidR="00C51F69" w:rsidRPr="00CD29D0" w:rsidRDefault="00C51F69" w:rsidP="00BF0B5C">
            <w:pPr>
              <w:pStyle w:val="TableTextCentered"/>
            </w:pPr>
            <w:r w:rsidRPr="00CD29D0">
              <w:rPr>
                <w:rFonts w:ascii="Franklin Gothic Book" w:hAnsi="Franklin Gothic Book" w:cs="Calibri"/>
                <w:color w:val="000000"/>
                <w:szCs w:val="20"/>
              </w:rPr>
              <w:t>192,218</w:t>
            </w:r>
          </w:p>
        </w:tc>
        <w:tc>
          <w:tcPr>
            <w:tcW w:w="1176" w:type="dxa"/>
            <w:shd w:val="clear" w:color="auto" w:fill="D9E2F3" w:themeFill="accent5" w:themeFillTint="33"/>
            <w:vAlign w:val="center"/>
          </w:tcPr>
          <w:p w14:paraId="12C695A9"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38.1%</w:t>
            </w:r>
          </w:p>
        </w:tc>
        <w:tc>
          <w:tcPr>
            <w:tcW w:w="1177" w:type="dxa"/>
            <w:shd w:val="clear" w:color="auto" w:fill="D9E2F3" w:themeFill="accent5" w:themeFillTint="33"/>
            <w:vAlign w:val="center"/>
          </w:tcPr>
          <w:p w14:paraId="67682CBD" w14:textId="77777777" w:rsidR="00C51F69" w:rsidRPr="00CD29D0" w:rsidRDefault="00C51F69" w:rsidP="00BF0B5C">
            <w:pPr>
              <w:pStyle w:val="TableText"/>
              <w:tabs>
                <w:tab w:val="decimal" w:pos="0"/>
              </w:tabs>
              <w:jc w:val="center"/>
            </w:pPr>
            <w:r w:rsidRPr="00CD29D0">
              <w:rPr>
                <w:rFonts w:ascii="Franklin Gothic Book" w:hAnsi="Franklin Gothic Book" w:cs="Calibri"/>
                <w:color w:val="000000"/>
                <w:szCs w:val="20"/>
              </w:rPr>
              <w:t>21.1%</w:t>
            </w:r>
          </w:p>
        </w:tc>
      </w:tr>
    </w:tbl>
    <w:p w14:paraId="769E43BD" w14:textId="724DDC15" w:rsidR="00C51F69" w:rsidRPr="00CD29D0" w:rsidRDefault="00C51F69" w:rsidP="00424417">
      <w:pPr>
        <w:pStyle w:val="TableNote"/>
        <w:rPr>
          <w:rFonts w:ascii="Franklin Gothic Demi" w:hAnsi="Franklin Gothic Demi"/>
        </w:rPr>
      </w:pPr>
      <w:r w:rsidRPr="00CD29D0">
        <w:rPr>
          <w:rFonts w:eastAsia="Calibri"/>
          <w:i/>
          <w:iCs/>
        </w:rPr>
        <w:t>Note</w:t>
      </w:r>
      <w:r w:rsidRPr="00CD29D0">
        <w:rPr>
          <w:rFonts w:eastAsia="Calibri"/>
        </w:rPr>
        <w:t>. As of October 1, 2025. District and state numbers and percentages for students with disabilities and high needs are calculated including students in out-of-district placements. Total district enrollment including students in out-of-district placement is 2,308; total state enrollment including students in out-of-district placement is 910,659.</w:t>
      </w:r>
      <w:r w:rsidRPr="00CD29D0">
        <w:br w:type="page"/>
      </w:r>
    </w:p>
    <w:p w14:paraId="30999F60" w14:textId="77777777" w:rsidR="00C51F69" w:rsidRPr="00CD29D0" w:rsidRDefault="00C51F69" w:rsidP="00424417">
      <w:pPr>
        <w:pStyle w:val="TableTitle0"/>
        <w:rPr>
          <w:spacing w:val="-4"/>
        </w:rPr>
      </w:pPr>
      <w:r w:rsidRPr="00CD29D0">
        <w:lastRenderedPageBreak/>
        <w:t>Table D3. Chronic Absence</w:t>
      </w:r>
      <w:r w:rsidRPr="00CD29D0">
        <w:rPr>
          <w:vertAlign w:val="superscript"/>
        </w:rPr>
        <w:t>a</w:t>
      </w:r>
      <w:r w:rsidRPr="00CD29D0">
        <w:t xml:space="preserve"> Rates by Student Group, 2023-2025</w:t>
      </w:r>
    </w:p>
    <w:tbl>
      <w:tblPr>
        <w:tblStyle w:val="MSVTable1"/>
        <w:tblW w:w="5000" w:type="pct"/>
        <w:tblLook w:val="0420" w:firstRow="1" w:lastRow="0" w:firstColumn="0" w:lastColumn="0" w:noHBand="0" w:noVBand="1"/>
        <w:tblCaption w:val="Table D3. Chronic Absencea Rates by Student Group, 2023-2025"/>
        <w:tblDescription w:val="Chronic Absencea Rates by Student Group, 2023-2025"/>
      </w:tblPr>
      <w:tblGrid>
        <w:gridCol w:w="2872"/>
        <w:gridCol w:w="1160"/>
        <w:gridCol w:w="1325"/>
        <w:gridCol w:w="1326"/>
        <w:gridCol w:w="1325"/>
        <w:gridCol w:w="1336"/>
      </w:tblGrid>
      <w:tr w:rsidR="00C51F69" w:rsidRPr="00CD29D0" w14:paraId="03F87E75" w14:textId="77777777" w:rsidTr="000548DA">
        <w:trPr>
          <w:cnfStyle w:val="100000000000" w:firstRow="1" w:lastRow="0" w:firstColumn="0" w:lastColumn="0" w:oddVBand="0" w:evenVBand="0" w:oddHBand="0" w:evenHBand="0" w:firstRowFirstColumn="0" w:firstRowLastColumn="0" w:lastRowFirstColumn="0" w:lastRowLastColumn="0"/>
          <w:tblHeader/>
        </w:trPr>
        <w:tc>
          <w:tcPr>
            <w:tcW w:w="2872" w:type="dxa"/>
          </w:tcPr>
          <w:p w14:paraId="1083E724" w14:textId="77777777" w:rsidR="00C51F69" w:rsidRPr="00CD29D0" w:rsidRDefault="00C51F69" w:rsidP="00BF0B5C">
            <w:pPr>
              <w:pStyle w:val="TableColHeadingLeft"/>
              <w:spacing w:before="0" w:after="0" w:line="240" w:lineRule="auto"/>
            </w:pPr>
            <w:r w:rsidRPr="00CD29D0">
              <w:t>Group</w:t>
            </w:r>
          </w:p>
        </w:tc>
        <w:tc>
          <w:tcPr>
            <w:tcW w:w="1160" w:type="dxa"/>
          </w:tcPr>
          <w:p w14:paraId="2F470B93" w14:textId="77777777" w:rsidR="00C51F69" w:rsidRPr="00CD29D0" w:rsidRDefault="00C51F69" w:rsidP="00BF0B5C">
            <w:pPr>
              <w:pStyle w:val="TableColHeadingCenter"/>
              <w:spacing w:before="0" w:after="0" w:line="240" w:lineRule="auto"/>
            </w:pPr>
            <w:r w:rsidRPr="00CD29D0">
              <w:rPr>
                <w:i/>
                <w:iCs/>
              </w:rPr>
              <w:t>N</w:t>
            </w:r>
            <w:r w:rsidRPr="00CD29D0">
              <w:t xml:space="preserve"> (2025)</w:t>
            </w:r>
          </w:p>
        </w:tc>
        <w:tc>
          <w:tcPr>
            <w:tcW w:w="1325" w:type="dxa"/>
          </w:tcPr>
          <w:p w14:paraId="5393C26B" w14:textId="77777777" w:rsidR="00C51F69" w:rsidRPr="00CD29D0" w:rsidRDefault="00C51F69" w:rsidP="00BF0B5C">
            <w:pPr>
              <w:pStyle w:val="TableColHeadingCenter"/>
              <w:spacing w:before="0" w:after="0" w:line="240" w:lineRule="auto"/>
            </w:pPr>
            <w:r w:rsidRPr="00CD29D0">
              <w:t>2023</w:t>
            </w:r>
          </w:p>
        </w:tc>
        <w:tc>
          <w:tcPr>
            <w:tcW w:w="1326" w:type="dxa"/>
          </w:tcPr>
          <w:p w14:paraId="66966FAA" w14:textId="77777777" w:rsidR="00C51F69" w:rsidRPr="00CD29D0" w:rsidRDefault="00C51F69" w:rsidP="00BF0B5C">
            <w:pPr>
              <w:pStyle w:val="TableColHeadingCenter"/>
              <w:spacing w:before="0" w:after="0" w:line="240" w:lineRule="auto"/>
            </w:pPr>
            <w:r w:rsidRPr="00CD29D0">
              <w:t>2024</w:t>
            </w:r>
          </w:p>
        </w:tc>
        <w:tc>
          <w:tcPr>
            <w:tcW w:w="1325" w:type="dxa"/>
          </w:tcPr>
          <w:p w14:paraId="3446C312" w14:textId="77777777" w:rsidR="00C51F69" w:rsidRPr="00CD29D0" w:rsidRDefault="00C51F69" w:rsidP="00BF0B5C">
            <w:pPr>
              <w:pStyle w:val="TableColHeadingCenter"/>
              <w:spacing w:before="0" w:after="0" w:line="240" w:lineRule="auto"/>
            </w:pPr>
            <w:r w:rsidRPr="00CD29D0">
              <w:t>2025</w:t>
            </w:r>
          </w:p>
        </w:tc>
        <w:tc>
          <w:tcPr>
            <w:tcW w:w="1336" w:type="dxa"/>
          </w:tcPr>
          <w:p w14:paraId="19B65C1D" w14:textId="77777777" w:rsidR="00C51F69" w:rsidRPr="00CD29D0" w:rsidRDefault="00C51F69" w:rsidP="00BF0B5C">
            <w:pPr>
              <w:pStyle w:val="TableColHeadingCenter"/>
              <w:spacing w:before="0" w:after="0" w:line="240" w:lineRule="auto"/>
            </w:pPr>
            <w:r w:rsidRPr="00CD29D0">
              <w:t>State (2025)</w:t>
            </w:r>
          </w:p>
        </w:tc>
      </w:tr>
      <w:tr w:rsidR="00C51F69" w:rsidRPr="00CD29D0" w14:paraId="14BFE169"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6F1811A3" w14:textId="77777777" w:rsidR="00C51F69" w:rsidRPr="00CD29D0" w:rsidRDefault="00C51F69" w:rsidP="00BF0B5C">
            <w:pPr>
              <w:pStyle w:val="TableText"/>
              <w:spacing w:before="20" w:after="20"/>
            </w:pPr>
            <w:r w:rsidRPr="00CD29D0">
              <w:t>All Students</w:t>
            </w:r>
          </w:p>
        </w:tc>
        <w:tc>
          <w:tcPr>
            <w:tcW w:w="1160" w:type="dxa"/>
            <w:vAlign w:val="center"/>
          </w:tcPr>
          <w:p w14:paraId="096990D4"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2,413</w:t>
            </w:r>
          </w:p>
        </w:tc>
        <w:tc>
          <w:tcPr>
            <w:tcW w:w="1325" w:type="dxa"/>
            <w:vAlign w:val="center"/>
          </w:tcPr>
          <w:p w14:paraId="31E5DD2C"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18.7</w:t>
            </w:r>
          </w:p>
        </w:tc>
        <w:tc>
          <w:tcPr>
            <w:tcW w:w="1326" w:type="dxa"/>
            <w:vAlign w:val="center"/>
          </w:tcPr>
          <w:p w14:paraId="5A62B7C0"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16.7</w:t>
            </w:r>
          </w:p>
        </w:tc>
        <w:tc>
          <w:tcPr>
            <w:tcW w:w="1325" w:type="dxa"/>
            <w:vAlign w:val="center"/>
          </w:tcPr>
          <w:p w14:paraId="183027A1"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18.1</w:t>
            </w:r>
          </w:p>
        </w:tc>
        <w:tc>
          <w:tcPr>
            <w:tcW w:w="1336" w:type="dxa"/>
            <w:vAlign w:val="center"/>
          </w:tcPr>
          <w:p w14:paraId="0A6D0E07"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18.8</w:t>
            </w:r>
          </w:p>
        </w:tc>
      </w:tr>
      <w:tr w:rsidR="00C51F69" w:rsidRPr="00CD29D0" w14:paraId="5FF7EF8F" w14:textId="77777777" w:rsidTr="00BF0B5C">
        <w:tc>
          <w:tcPr>
            <w:tcW w:w="2872" w:type="dxa"/>
          </w:tcPr>
          <w:p w14:paraId="20373BD5" w14:textId="77777777" w:rsidR="00C51F69" w:rsidRPr="00CD29D0" w:rsidRDefault="00C51F69" w:rsidP="00BF0B5C">
            <w:pPr>
              <w:pStyle w:val="TableText"/>
              <w:spacing w:before="20" w:after="20"/>
            </w:pPr>
            <w:r w:rsidRPr="00CD29D0">
              <w:t>American Indian or Alaskan Native</w:t>
            </w:r>
          </w:p>
        </w:tc>
        <w:tc>
          <w:tcPr>
            <w:tcW w:w="1160" w:type="dxa"/>
            <w:vAlign w:val="center"/>
          </w:tcPr>
          <w:p w14:paraId="01FF272F" w14:textId="3AD4D2FA"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color w:val="000000"/>
                <w:szCs w:val="20"/>
              </w:rPr>
              <w:t>N/A</w:t>
            </w:r>
          </w:p>
        </w:tc>
        <w:tc>
          <w:tcPr>
            <w:tcW w:w="1325" w:type="dxa"/>
            <w:vAlign w:val="center"/>
          </w:tcPr>
          <w:p w14:paraId="348EF085" w14:textId="743082E4"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color w:val="000000"/>
                <w:szCs w:val="20"/>
              </w:rPr>
              <w:t>N/A</w:t>
            </w:r>
          </w:p>
        </w:tc>
        <w:tc>
          <w:tcPr>
            <w:tcW w:w="1326" w:type="dxa"/>
            <w:vAlign w:val="center"/>
          </w:tcPr>
          <w:p w14:paraId="6AADEBDE" w14:textId="7F36289B"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color w:val="000000"/>
                <w:szCs w:val="20"/>
              </w:rPr>
              <w:t>N/A</w:t>
            </w:r>
          </w:p>
        </w:tc>
        <w:tc>
          <w:tcPr>
            <w:tcW w:w="1325" w:type="dxa"/>
            <w:vAlign w:val="center"/>
          </w:tcPr>
          <w:p w14:paraId="2D3E946B" w14:textId="0A0A6EC3"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szCs w:val="20"/>
              </w:rPr>
              <w:t>N/A</w:t>
            </w:r>
          </w:p>
        </w:tc>
        <w:tc>
          <w:tcPr>
            <w:tcW w:w="1336" w:type="dxa"/>
            <w:vAlign w:val="center"/>
          </w:tcPr>
          <w:p w14:paraId="54D08E82"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27.3</w:t>
            </w:r>
          </w:p>
        </w:tc>
      </w:tr>
      <w:tr w:rsidR="00C51F69" w:rsidRPr="00CD29D0" w14:paraId="13FD3C31"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45AE3517" w14:textId="77777777" w:rsidR="00C51F69" w:rsidRPr="00CD29D0" w:rsidRDefault="00C51F69" w:rsidP="00BF0B5C">
            <w:pPr>
              <w:pStyle w:val="TableText"/>
              <w:spacing w:before="20" w:after="20"/>
            </w:pPr>
            <w:r w:rsidRPr="00CD29D0">
              <w:t>Asian</w:t>
            </w:r>
          </w:p>
        </w:tc>
        <w:tc>
          <w:tcPr>
            <w:tcW w:w="1160" w:type="dxa"/>
            <w:vAlign w:val="center"/>
          </w:tcPr>
          <w:p w14:paraId="47377BA9"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51</w:t>
            </w:r>
          </w:p>
        </w:tc>
        <w:tc>
          <w:tcPr>
            <w:tcW w:w="1325" w:type="dxa"/>
            <w:vAlign w:val="center"/>
          </w:tcPr>
          <w:p w14:paraId="368FE719"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19.6</w:t>
            </w:r>
          </w:p>
        </w:tc>
        <w:tc>
          <w:tcPr>
            <w:tcW w:w="1326" w:type="dxa"/>
            <w:vAlign w:val="center"/>
          </w:tcPr>
          <w:p w14:paraId="49A188B7"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18.2</w:t>
            </w:r>
          </w:p>
        </w:tc>
        <w:tc>
          <w:tcPr>
            <w:tcW w:w="1325" w:type="dxa"/>
            <w:vAlign w:val="center"/>
          </w:tcPr>
          <w:p w14:paraId="5506BE21"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25.5</w:t>
            </w:r>
          </w:p>
        </w:tc>
        <w:tc>
          <w:tcPr>
            <w:tcW w:w="1336" w:type="dxa"/>
            <w:vAlign w:val="center"/>
          </w:tcPr>
          <w:p w14:paraId="7EB8D62B"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10.9</w:t>
            </w:r>
          </w:p>
        </w:tc>
      </w:tr>
      <w:tr w:rsidR="00C51F69" w:rsidRPr="00CD29D0" w14:paraId="1EE02D8C" w14:textId="77777777" w:rsidTr="00BF0B5C">
        <w:tc>
          <w:tcPr>
            <w:tcW w:w="2872" w:type="dxa"/>
          </w:tcPr>
          <w:p w14:paraId="74FACDFC" w14:textId="77777777" w:rsidR="00C51F69" w:rsidRPr="00CD29D0" w:rsidRDefault="00C51F69" w:rsidP="00BF0B5C">
            <w:pPr>
              <w:pStyle w:val="TableText"/>
              <w:spacing w:before="20" w:after="20"/>
            </w:pPr>
            <w:r w:rsidRPr="00CD29D0">
              <w:t>Black or African American</w:t>
            </w:r>
          </w:p>
        </w:tc>
        <w:tc>
          <w:tcPr>
            <w:tcW w:w="1160" w:type="dxa"/>
            <w:vAlign w:val="center"/>
          </w:tcPr>
          <w:p w14:paraId="54BD2080"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140</w:t>
            </w:r>
          </w:p>
        </w:tc>
        <w:tc>
          <w:tcPr>
            <w:tcW w:w="1325" w:type="dxa"/>
            <w:vAlign w:val="center"/>
          </w:tcPr>
          <w:p w14:paraId="7694B453"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26.0</w:t>
            </w:r>
          </w:p>
        </w:tc>
        <w:tc>
          <w:tcPr>
            <w:tcW w:w="1326" w:type="dxa"/>
            <w:vAlign w:val="center"/>
          </w:tcPr>
          <w:p w14:paraId="41D6CE9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22.8</w:t>
            </w:r>
          </w:p>
        </w:tc>
        <w:tc>
          <w:tcPr>
            <w:tcW w:w="1325" w:type="dxa"/>
            <w:vAlign w:val="center"/>
          </w:tcPr>
          <w:p w14:paraId="68C022D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30.7</w:t>
            </w:r>
          </w:p>
        </w:tc>
        <w:tc>
          <w:tcPr>
            <w:tcW w:w="1336" w:type="dxa"/>
            <w:vAlign w:val="center"/>
          </w:tcPr>
          <w:p w14:paraId="2E055D7C"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20.7</w:t>
            </w:r>
          </w:p>
        </w:tc>
      </w:tr>
      <w:tr w:rsidR="00C51F69" w:rsidRPr="00CD29D0" w14:paraId="69A098A3"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194022FD" w14:textId="77777777" w:rsidR="00C51F69" w:rsidRPr="00CD29D0" w:rsidRDefault="00C51F69" w:rsidP="00BF0B5C">
            <w:pPr>
              <w:pStyle w:val="TableText"/>
              <w:spacing w:before="20" w:after="20"/>
            </w:pPr>
            <w:r w:rsidRPr="00CD29D0">
              <w:t>Hispanic or Latino</w:t>
            </w:r>
          </w:p>
        </w:tc>
        <w:tc>
          <w:tcPr>
            <w:tcW w:w="1160" w:type="dxa"/>
            <w:vAlign w:val="center"/>
          </w:tcPr>
          <w:p w14:paraId="4C8AF031"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116</w:t>
            </w:r>
          </w:p>
        </w:tc>
        <w:tc>
          <w:tcPr>
            <w:tcW w:w="1325" w:type="dxa"/>
            <w:vAlign w:val="center"/>
          </w:tcPr>
          <w:p w14:paraId="092D6F0E"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33.0</w:t>
            </w:r>
          </w:p>
        </w:tc>
        <w:tc>
          <w:tcPr>
            <w:tcW w:w="1326" w:type="dxa"/>
            <w:vAlign w:val="center"/>
          </w:tcPr>
          <w:p w14:paraId="2F0A2B1A"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29.4</w:t>
            </w:r>
          </w:p>
        </w:tc>
        <w:tc>
          <w:tcPr>
            <w:tcW w:w="1325" w:type="dxa"/>
            <w:vAlign w:val="center"/>
          </w:tcPr>
          <w:p w14:paraId="34245512"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22.4</w:t>
            </w:r>
          </w:p>
        </w:tc>
        <w:tc>
          <w:tcPr>
            <w:tcW w:w="1336" w:type="dxa"/>
            <w:vAlign w:val="center"/>
          </w:tcPr>
          <w:p w14:paraId="70E05819"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29.5</w:t>
            </w:r>
          </w:p>
        </w:tc>
      </w:tr>
      <w:tr w:rsidR="00C51F69" w:rsidRPr="00CD29D0" w14:paraId="7C4CF827" w14:textId="77777777" w:rsidTr="00BF0B5C">
        <w:tc>
          <w:tcPr>
            <w:tcW w:w="2872" w:type="dxa"/>
          </w:tcPr>
          <w:p w14:paraId="510C923C" w14:textId="77777777" w:rsidR="00C51F69" w:rsidRPr="00CD29D0" w:rsidRDefault="00C51F69" w:rsidP="00BF0B5C">
            <w:pPr>
              <w:pStyle w:val="TableText"/>
              <w:spacing w:before="20" w:after="20"/>
            </w:pPr>
            <w:r w:rsidRPr="00CD29D0">
              <w:t>Multi-Race, Not Hispanic or Latino</w:t>
            </w:r>
          </w:p>
        </w:tc>
        <w:tc>
          <w:tcPr>
            <w:tcW w:w="1160" w:type="dxa"/>
            <w:vAlign w:val="center"/>
          </w:tcPr>
          <w:p w14:paraId="6A52ECA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109</w:t>
            </w:r>
          </w:p>
        </w:tc>
        <w:tc>
          <w:tcPr>
            <w:tcW w:w="1325" w:type="dxa"/>
            <w:vAlign w:val="center"/>
          </w:tcPr>
          <w:p w14:paraId="0A4D88E1"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18.2</w:t>
            </w:r>
          </w:p>
        </w:tc>
        <w:tc>
          <w:tcPr>
            <w:tcW w:w="1326" w:type="dxa"/>
            <w:vAlign w:val="center"/>
          </w:tcPr>
          <w:p w14:paraId="5B88DAC8"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19.6</w:t>
            </w:r>
          </w:p>
        </w:tc>
        <w:tc>
          <w:tcPr>
            <w:tcW w:w="1325" w:type="dxa"/>
            <w:vAlign w:val="center"/>
          </w:tcPr>
          <w:p w14:paraId="2C3E0998"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16.5</w:t>
            </w:r>
          </w:p>
        </w:tc>
        <w:tc>
          <w:tcPr>
            <w:tcW w:w="1336" w:type="dxa"/>
            <w:vAlign w:val="center"/>
          </w:tcPr>
          <w:p w14:paraId="6302C503"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19.3</w:t>
            </w:r>
          </w:p>
        </w:tc>
      </w:tr>
      <w:tr w:rsidR="00C51F69" w:rsidRPr="00CD29D0" w14:paraId="79293F03"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2FD8D7DF" w14:textId="77777777" w:rsidR="00C51F69" w:rsidRPr="00CD29D0" w:rsidRDefault="00C51F69" w:rsidP="00BF0B5C">
            <w:pPr>
              <w:pStyle w:val="TableText"/>
              <w:spacing w:before="20" w:after="20"/>
              <w:rPr>
                <w:spacing w:val="-4"/>
              </w:rPr>
            </w:pPr>
            <w:r w:rsidRPr="00CD29D0">
              <w:t>Native Hawaiian or Other Pacific Islander</w:t>
            </w:r>
          </w:p>
        </w:tc>
        <w:tc>
          <w:tcPr>
            <w:tcW w:w="1160" w:type="dxa"/>
            <w:vAlign w:val="center"/>
          </w:tcPr>
          <w:p w14:paraId="2CDE487A"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w:t>
            </w:r>
          </w:p>
        </w:tc>
        <w:tc>
          <w:tcPr>
            <w:tcW w:w="1325" w:type="dxa"/>
            <w:vAlign w:val="center"/>
          </w:tcPr>
          <w:p w14:paraId="668F2837" w14:textId="58AB3BA4"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color w:val="000000"/>
                <w:szCs w:val="20"/>
              </w:rPr>
              <w:t>N/A</w:t>
            </w:r>
          </w:p>
        </w:tc>
        <w:tc>
          <w:tcPr>
            <w:tcW w:w="1326" w:type="dxa"/>
            <w:vAlign w:val="center"/>
          </w:tcPr>
          <w:p w14:paraId="1D06B327" w14:textId="163C8B84"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color w:val="000000"/>
                <w:szCs w:val="20"/>
              </w:rPr>
              <w:t>N/A</w:t>
            </w:r>
          </w:p>
        </w:tc>
        <w:tc>
          <w:tcPr>
            <w:tcW w:w="1325" w:type="dxa"/>
            <w:vAlign w:val="center"/>
          </w:tcPr>
          <w:p w14:paraId="2513AB99" w14:textId="286A9C12" w:rsidR="00C51F69" w:rsidRPr="00CD29D0" w:rsidRDefault="006E428E" w:rsidP="00BF0B5C">
            <w:pPr>
              <w:pStyle w:val="TableTextCentered"/>
              <w:spacing w:before="20" w:after="20"/>
              <w:rPr>
                <w:rFonts w:ascii="Franklin Gothic Book" w:eastAsia="Calibri" w:hAnsi="Franklin Gothic Book" w:cs="Times New Roman"/>
              </w:rPr>
            </w:pPr>
            <w:r>
              <w:rPr>
                <w:rFonts w:ascii="Franklin Gothic Book" w:hAnsi="Franklin Gothic Book" w:cs="Calibri"/>
                <w:szCs w:val="20"/>
              </w:rPr>
              <w:t>N/A</w:t>
            </w:r>
          </w:p>
        </w:tc>
        <w:tc>
          <w:tcPr>
            <w:tcW w:w="1336" w:type="dxa"/>
            <w:vAlign w:val="center"/>
          </w:tcPr>
          <w:p w14:paraId="7EAACA8B"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22.7</w:t>
            </w:r>
          </w:p>
        </w:tc>
      </w:tr>
      <w:tr w:rsidR="00C51F69" w:rsidRPr="00CD29D0" w14:paraId="510EA4C5" w14:textId="77777777" w:rsidTr="00BF0B5C">
        <w:tc>
          <w:tcPr>
            <w:tcW w:w="2872" w:type="dxa"/>
          </w:tcPr>
          <w:p w14:paraId="3E63547F" w14:textId="77777777" w:rsidR="00C51F69" w:rsidRPr="00CD29D0" w:rsidRDefault="00C51F69" w:rsidP="00BF0B5C">
            <w:pPr>
              <w:pStyle w:val="TableText"/>
              <w:spacing w:before="20" w:after="20"/>
            </w:pPr>
            <w:r w:rsidRPr="00CD29D0">
              <w:t>White</w:t>
            </w:r>
          </w:p>
        </w:tc>
        <w:tc>
          <w:tcPr>
            <w:tcW w:w="1160" w:type="dxa"/>
            <w:vAlign w:val="center"/>
          </w:tcPr>
          <w:p w14:paraId="03AD501A"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1,996</w:t>
            </w:r>
          </w:p>
        </w:tc>
        <w:tc>
          <w:tcPr>
            <w:tcW w:w="1325" w:type="dxa"/>
            <w:vAlign w:val="center"/>
          </w:tcPr>
          <w:p w14:paraId="2AE69F42"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17.7</w:t>
            </w:r>
          </w:p>
        </w:tc>
        <w:tc>
          <w:tcPr>
            <w:tcW w:w="1326" w:type="dxa"/>
            <w:vAlign w:val="center"/>
          </w:tcPr>
          <w:p w14:paraId="6C78681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15.6</w:t>
            </w:r>
          </w:p>
        </w:tc>
        <w:tc>
          <w:tcPr>
            <w:tcW w:w="1325" w:type="dxa"/>
            <w:vAlign w:val="center"/>
          </w:tcPr>
          <w:p w14:paraId="623E0E4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16.9</w:t>
            </w:r>
          </w:p>
        </w:tc>
        <w:tc>
          <w:tcPr>
            <w:tcW w:w="1336" w:type="dxa"/>
            <w:vAlign w:val="center"/>
          </w:tcPr>
          <w:p w14:paraId="01B67E0F"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13.9</w:t>
            </w:r>
          </w:p>
        </w:tc>
      </w:tr>
      <w:tr w:rsidR="00C51F69" w:rsidRPr="00CD29D0" w14:paraId="58266DB3"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39D3F090" w14:textId="77777777" w:rsidR="00C51F69" w:rsidRPr="00CD29D0" w:rsidRDefault="00C51F69" w:rsidP="00BF0B5C">
            <w:pPr>
              <w:pStyle w:val="TableText"/>
              <w:spacing w:before="20" w:after="20"/>
            </w:pPr>
            <w:r w:rsidRPr="00CD29D0">
              <w:t>High Needs</w:t>
            </w:r>
          </w:p>
        </w:tc>
        <w:tc>
          <w:tcPr>
            <w:tcW w:w="1160" w:type="dxa"/>
            <w:vAlign w:val="center"/>
          </w:tcPr>
          <w:p w14:paraId="12C08A60"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1,048</w:t>
            </w:r>
          </w:p>
        </w:tc>
        <w:tc>
          <w:tcPr>
            <w:tcW w:w="1325" w:type="dxa"/>
            <w:vAlign w:val="center"/>
          </w:tcPr>
          <w:p w14:paraId="7F8931FA"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28.4</w:t>
            </w:r>
          </w:p>
        </w:tc>
        <w:tc>
          <w:tcPr>
            <w:tcW w:w="1326" w:type="dxa"/>
            <w:vAlign w:val="center"/>
          </w:tcPr>
          <w:p w14:paraId="4D4F515C"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26.4</w:t>
            </w:r>
          </w:p>
        </w:tc>
        <w:tc>
          <w:tcPr>
            <w:tcW w:w="1325" w:type="dxa"/>
            <w:vAlign w:val="center"/>
          </w:tcPr>
          <w:p w14:paraId="76F114E7"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28.7</w:t>
            </w:r>
          </w:p>
        </w:tc>
        <w:tc>
          <w:tcPr>
            <w:tcW w:w="1336" w:type="dxa"/>
            <w:vAlign w:val="center"/>
          </w:tcPr>
          <w:p w14:paraId="19BBE3FF"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25.9</w:t>
            </w:r>
          </w:p>
        </w:tc>
      </w:tr>
      <w:tr w:rsidR="00C51F69" w:rsidRPr="00CD29D0" w14:paraId="62D792DD" w14:textId="77777777" w:rsidTr="00BF0B5C">
        <w:tc>
          <w:tcPr>
            <w:tcW w:w="2872" w:type="dxa"/>
          </w:tcPr>
          <w:p w14:paraId="554B517B" w14:textId="77777777" w:rsidR="00C51F69" w:rsidRPr="00CD29D0" w:rsidRDefault="00C51F69" w:rsidP="00BF0B5C">
            <w:pPr>
              <w:pStyle w:val="TableText"/>
              <w:spacing w:before="20" w:after="20"/>
            </w:pPr>
            <w:r w:rsidRPr="00CD29D0">
              <w:t>English Learners</w:t>
            </w:r>
          </w:p>
        </w:tc>
        <w:tc>
          <w:tcPr>
            <w:tcW w:w="1160" w:type="dxa"/>
            <w:vAlign w:val="center"/>
          </w:tcPr>
          <w:p w14:paraId="4581B34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70</w:t>
            </w:r>
          </w:p>
        </w:tc>
        <w:tc>
          <w:tcPr>
            <w:tcW w:w="1325" w:type="dxa"/>
            <w:vAlign w:val="center"/>
          </w:tcPr>
          <w:p w14:paraId="1BC76B3C"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32.8</w:t>
            </w:r>
          </w:p>
        </w:tc>
        <w:tc>
          <w:tcPr>
            <w:tcW w:w="1326" w:type="dxa"/>
            <w:vAlign w:val="center"/>
          </w:tcPr>
          <w:p w14:paraId="4C69985D"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30.9</w:t>
            </w:r>
          </w:p>
        </w:tc>
        <w:tc>
          <w:tcPr>
            <w:tcW w:w="1325" w:type="dxa"/>
            <w:vAlign w:val="center"/>
          </w:tcPr>
          <w:p w14:paraId="0A071123"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28.6</w:t>
            </w:r>
          </w:p>
        </w:tc>
        <w:tc>
          <w:tcPr>
            <w:tcW w:w="1336" w:type="dxa"/>
            <w:vAlign w:val="center"/>
          </w:tcPr>
          <w:p w14:paraId="4C292E07"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27.8</w:t>
            </w:r>
          </w:p>
        </w:tc>
      </w:tr>
      <w:tr w:rsidR="00C51F69" w:rsidRPr="00CD29D0" w14:paraId="384E8E40" w14:textId="77777777" w:rsidTr="00BF0B5C">
        <w:trPr>
          <w:cnfStyle w:val="000000100000" w:firstRow="0" w:lastRow="0" w:firstColumn="0" w:lastColumn="0" w:oddVBand="0" w:evenVBand="0" w:oddHBand="1" w:evenHBand="0" w:firstRowFirstColumn="0" w:firstRowLastColumn="0" w:lastRowFirstColumn="0" w:lastRowLastColumn="0"/>
        </w:trPr>
        <w:tc>
          <w:tcPr>
            <w:tcW w:w="2872" w:type="dxa"/>
          </w:tcPr>
          <w:p w14:paraId="032A1DB4" w14:textId="77777777" w:rsidR="00C51F69" w:rsidRPr="00CD29D0" w:rsidRDefault="00C51F69" w:rsidP="00BF0B5C">
            <w:pPr>
              <w:pStyle w:val="TableText"/>
              <w:spacing w:before="20" w:after="20"/>
            </w:pPr>
            <w:r w:rsidRPr="00CD29D0">
              <w:t>Low Income</w:t>
            </w:r>
          </w:p>
        </w:tc>
        <w:tc>
          <w:tcPr>
            <w:tcW w:w="1160" w:type="dxa"/>
            <w:vAlign w:val="center"/>
          </w:tcPr>
          <w:p w14:paraId="01C227B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684</w:t>
            </w:r>
          </w:p>
        </w:tc>
        <w:tc>
          <w:tcPr>
            <w:tcW w:w="1325" w:type="dxa"/>
            <w:vAlign w:val="center"/>
          </w:tcPr>
          <w:p w14:paraId="107A0FC5"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32.4</w:t>
            </w:r>
          </w:p>
        </w:tc>
        <w:tc>
          <w:tcPr>
            <w:tcW w:w="1326" w:type="dxa"/>
            <w:vAlign w:val="center"/>
          </w:tcPr>
          <w:p w14:paraId="35BBA7D8"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30.9</w:t>
            </w:r>
          </w:p>
        </w:tc>
        <w:tc>
          <w:tcPr>
            <w:tcW w:w="1325" w:type="dxa"/>
            <w:vAlign w:val="center"/>
          </w:tcPr>
          <w:p w14:paraId="7B22CCEB"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33.6</w:t>
            </w:r>
          </w:p>
        </w:tc>
        <w:tc>
          <w:tcPr>
            <w:tcW w:w="1336" w:type="dxa"/>
            <w:vAlign w:val="center"/>
          </w:tcPr>
          <w:p w14:paraId="011C5DFE"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28.9</w:t>
            </w:r>
          </w:p>
        </w:tc>
      </w:tr>
      <w:tr w:rsidR="00C51F69" w:rsidRPr="00CD29D0" w14:paraId="7828784D" w14:textId="77777777" w:rsidTr="00BF0B5C">
        <w:tc>
          <w:tcPr>
            <w:tcW w:w="2872" w:type="dxa"/>
          </w:tcPr>
          <w:p w14:paraId="38B3F0D6" w14:textId="77777777" w:rsidR="00C51F69" w:rsidRPr="00CD29D0" w:rsidRDefault="00C51F69" w:rsidP="00BF0B5C">
            <w:pPr>
              <w:pStyle w:val="TableText"/>
              <w:spacing w:before="20" w:after="20"/>
            </w:pPr>
            <w:r w:rsidRPr="00CD29D0">
              <w:t>Students with Disabilities</w:t>
            </w:r>
          </w:p>
        </w:tc>
        <w:tc>
          <w:tcPr>
            <w:tcW w:w="1160" w:type="dxa"/>
            <w:vAlign w:val="center"/>
          </w:tcPr>
          <w:p w14:paraId="6A2B20E6"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587</w:t>
            </w:r>
          </w:p>
        </w:tc>
        <w:tc>
          <w:tcPr>
            <w:tcW w:w="1325" w:type="dxa"/>
            <w:vAlign w:val="center"/>
          </w:tcPr>
          <w:p w14:paraId="139A0B9F"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26.8</w:t>
            </w:r>
          </w:p>
        </w:tc>
        <w:tc>
          <w:tcPr>
            <w:tcW w:w="1326" w:type="dxa"/>
            <w:vAlign w:val="center"/>
          </w:tcPr>
          <w:p w14:paraId="17BC941A"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25.3</w:t>
            </w:r>
          </w:p>
        </w:tc>
        <w:tc>
          <w:tcPr>
            <w:tcW w:w="1325" w:type="dxa"/>
            <w:vAlign w:val="center"/>
          </w:tcPr>
          <w:p w14:paraId="388A6BE8"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szCs w:val="20"/>
              </w:rPr>
              <w:t>26.7</w:t>
            </w:r>
          </w:p>
        </w:tc>
        <w:tc>
          <w:tcPr>
            <w:tcW w:w="1336" w:type="dxa"/>
            <w:vAlign w:val="center"/>
          </w:tcPr>
          <w:p w14:paraId="315A818B" w14:textId="77777777" w:rsidR="00C51F69" w:rsidRPr="00CD29D0" w:rsidRDefault="00C51F69" w:rsidP="00BF0B5C">
            <w:pPr>
              <w:pStyle w:val="TableTextCentered"/>
              <w:spacing w:before="20" w:after="20"/>
              <w:rPr>
                <w:rFonts w:ascii="Franklin Gothic Book" w:eastAsia="Calibri" w:hAnsi="Franklin Gothic Book" w:cs="Times New Roman"/>
              </w:rPr>
            </w:pPr>
            <w:r w:rsidRPr="00CD29D0">
              <w:rPr>
                <w:rFonts w:ascii="Franklin Gothic Book" w:hAnsi="Franklin Gothic Book" w:cs="Calibri"/>
                <w:color w:val="000000"/>
                <w:szCs w:val="20"/>
              </w:rPr>
              <w:t>26.5</w:t>
            </w:r>
          </w:p>
        </w:tc>
      </w:tr>
    </w:tbl>
    <w:p w14:paraId="55D5612B" w14:textId="6B7B0555" w:rsidR="00C51F69" w:rsidRPr="00CD29D0" w:rsidRDefault="00C51F69" w:rsidP="00424417">
      <w:pPr>
        <w:pStyle w:val="TableNote"/>
      </w:pPr>
      <w:r w:rsidRPr="00CD29D0">
        <w:rPr>
          <w:vertAlign w:val="superscript"/>
        </w:rPr>
        <w:t>a</w:t>
      </w:r>
      <w:r w:rsidRPr="00CD29D0" w:rsidDel="00305C73">
        <w:t xml:space="preserve"> </w:t>
      </w:r>
      <w:r w:rsidRPr="00CD29D0">
        <w:t>The</w:t>
      </w:r>
      <w:r w:rsidRPr="00CD29D0">
        <w:rPr>
          <w:shd w:val="clear" w:color="auto" w:fill="FFFFFF" w:themeFill="background1"/>
        </w:rPr>
        <w:t xml:space="preserve"> percentage of students absent 10 percent or more of their total number of student </w:t>
      </w:r>
      <w:r w:rsidRPr="00CD29D0">
        <w:t>days</w:t>
      </w:r>
      <w:r w:rsidRPr="00CD29D0">
        <w:rPr>
          <w:shd w:val="clear" w:color="auto" w:fill="FFFFFF" w:themeFill="background1"/>
        </w:rPr>
        <w:t xml:space="preserve"> of membership in a school</w:t>
      </w:r>
      <w:r w:rsidRPr="00CD29D0">
        <w:t>.</w:t>
      </w:r>
    </w:p>
    <w:p w14:paraId="75FD90C6" w14:textId="786127E5" w:rsidR="00C51F69" w:rsidRPr="00CD29D0" w:rsidRDefault="00C51F69" w:rsidP="00424417">
      <w:pPr>
        <w:pStyle w:val="TableTitle0"/>
        <w:rPr>
          <w:szCs w:val="20"/>
        </w:rPr>
      </w:pPr>
      <w:r w:rsidRPr="00CD29D0">
        <w:t>Table D4. Total Expenditures Fiscal Years, 2022-2024</w:t>
      </w:r>
    </w:p>
    <w:tbl>
      <w:tblPr>
        <w:tblStyle w:val="MSVTable1"/>
        <w:tblW w:w="0" w:type="auto"/>
        <w:tblLook w:val="04A0" w:firstRow="1" w:lastRow="0" w:firstColumn="1" w:lastColumn="0" w:noHBand="0" w:noVBand="1"/>
        <w:tblCaption w:val="Table D4. Total Expenditures Fiscal Years, 2022-2024"/>
        <w:tblDescription w:val="Total Expenditures Fiscal Years, 2022-2024"/>
      </w:tblPr>
      <w:tblGrid>
        <w:gridCol w:w="2782"/>
        <w:gridCol w:w="2187"/>
        <w:gridCol w:w="2187"/>
        <w:gridCol w:w="2188"/>
      </w:tblGrid>
      <w:tr w:rsidR="00C51F69" w:rsidRPr="00CD29D0" w14:paraId="67214510" w14:textId="77777777" w:rsidTr="000548DA">
        <w:trPr>
          <w:cnfStyle w:val="100000000000" w:firstRow="1" w:lastRow="0" w:firstColumn="0" w:lastColumn="0" w:oddVBand="0" w:evenVBand="0" w:oddHBand="0" w:evenHBand="0" w:firstRowFirstColumn="0" w:firstRowLastColumn="0" w:lastRowFirstColumn="0" w:lastRowLastColumn="0"/>
          <w:tblHeader/>
        </w:trPr>
        <w:tc>
          <w:tcPr>
            <w:tcW w:w="2782" w:type="dxa"/>
          </w:tcPr>
          <w:p w14:paraId="1BA7FA30"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Expenditures</w:t>
            </w:r>
          </w:p>
        </w:tc>
        <w:tc>
          <w:tcPr>
            <w:tcW w:w="2187" w:type="dxa"/>
          </w:tcPr>
          <w:p w14:paraId="1635B977"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2022</w:t>
            </w:r>
          </w:p>
        </w:tc>
        <w:tc>
          <w:tcPr>
            <w:tcW w:w="2187" w:type="dxa"/>
          </w:tcPr>
          <w:p w14:paraId="2618BC49"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2023</w:t>
            </w:r>
          </w:p>
        </w:tc>
        <w:tc>
          <w:tcPr>
            <w:tcW w:w="2188" w:type="dxa"/>
          </w:tcPr>
          <w:p w14:paraId="1DFBFCE3"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2024</w:t>
            </w:r>
          </w:p>
        </w:tc>
      </w:tr>
      <w:tr w:rsidR="00C51F69" w:rsidRPr="00CD29D0" w14:paraId="654B3B02" w14:textId="77777777" w:rsidTr="00BF0B5C">
        <w:trPr>
          <w:cnfStyle w:val="000000100000" w:firstRow="0" w:lastRow="0" w:firstColumn="0" w:lastColumn="0" w:oddVBand="0" w:evenVBand="0" w:oddHBand="1" w:evenHBand="0" w:firstRowFirstColumn="0" w:firstRowLastColumn="0" w:lastRowFirstColumn="0" w:lastRowLastColumn="0"/>
        </w:trPr>
        <w:tc>
          <w:tcPr>
            <w:tcW w:w="2782" w:type="dxa"/>
          </w:tcPr>
          <w:p w14:paraId="02636449" w14:textId="77777777" w:rsidR="00C51F69" w:rsidRPr="00CD29D0" w:rsidRDefault="00C51F69" w:rsidP="00BF0B5C">
            <w:pPr>
              <w:pStyle w:val="TableNote"/>
              <w:spacing w:before="20" w:after="20" w:line="259" w:lineRule="auto"/>
            </w:pPr>
            <w:r w:rsidRPr="00CD29D0">
              <w:t>By school committee</w:t>
            </w:r>
          </w:p>
        </w:tc>
        <w:tc>
          <w:tcPr>
            <w:tcW w:w="2187" w:type="dxa"/>
            <w:vAlign w:val="center"/>
          </w:tcPr>
          <w:p w14:paraId="3A0B0675"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$32,424,044</w:t>
            </w:r>
          </w:p>
        </w:tc>
        <w:tc>
          <w:tcPr>
            <w:tcW w:w="2187" w:type="dxa"/>
            <w:vAlign w:val="center"/>
          </w:tcPr>
          <w:p w14:paraId="54038A5A"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$33,273,979</w:t>
            </w:r>
          </w:p>
        </w:tc>
        <w:tc>
          <w:tcPr>
            <w:tcW w:w="2188" w:type="dxa"/>
            <w:vAlign w:val="center"/>
          </w:tcPr>
          <w:p w14:paraId="26DF72FE"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$34,424,489</w:t>
            </w:r>
          </w:p>
        </w:tc>
      </w:tr>
      <w:tr w:rsidR="00C51F69" w:rsidRPr="00CD29D0" w14:paraId="40C57211" w14:textId="77777777" w:rsidTr="00BF0B5C">
        <w:tc>
          <w:tcPr>
            <w:tcW w:w="2782" w:type="dxa"/>
          </w:tcPr>
          <w:p w14:paraId="1223B989" w14:textId="77777777" w:rsidR="00C51F69" w:rsidRPr="00CD29D0" w:rsidRDefault="00C51F69" w:rsidP="00BF0B5C">
            <w:pPr>
              <w:pStyle w:val="TableNote"/>
              <w:spacing w:before="20" w:after="20" w:line="259" w:lineRule="auto"/>
            </w:pPr>
            <w:r w:rsidRPr="00CD29D0">
              <w:t>By Municipality</w:t>
            </w:r>
          </w:p>
        </w:tc>
        <w:tc>
          <w:tcPr>
            <w:tcW w:w="2187" w:type="dxa"/>
            <w:vAlign w:val="center"/>
          </w:tcPr>
          <w:p w14:paraId="7F916F45"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$8,740,693</w:t>
            </w:r>
          </w:p>
        </w:tc>
        <w:tc>
          <w:tcPr>
            <w:tcW w:w="2187" w:type="dxa"/>
            <w:vAlign w:val="center"/>
          </w:tcPr>
          <w:p w14:paraId="0966943E"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$8,541,830</w:t>
            </w:r>
          </w:p>
        </w:tc>
        <w:tc>
          <w:tcPr>
            <w:tcW w:w="2188" w:type="dxa"/>
            <w:vAlign w:val="center"/>
          </w:tcPr>
          <w:p w14:paraId="3F51D0D6"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$9,582,549</w:t>
            </w:r>
          </w:p>
        </w:tc>
      </w:tr>
      <w:tr w:rsidR="00C51F69" w:rsidRPr="00CD29D0" w14:paraId="21086C9D" w14:textId="77777777" w:rsidTr="00BF0B5C">
        <w:trPr>
          <w:cnfStyle w:val="000000100000" w:firstRow="0" w:lastRow="0" w:firstColumn="0" w:lastColumn="0" w:oddVBand="0" w:evenVBand="0" w:oddHBand="1" w:evenHBand="0" w:firstRowFirstColumn="0" w:firstRowLastColumn="0" w:lastRowFirstColumn="0" w:lastRowLastColumn="0"/>
        </w:trPr>
        <w:tc>
          <w:tcPr>
            <w:tcW w:w="2782" w:type="dxa"/>
          </w:tcPr>
          <w:p w14:paraId="71B5C539" w14:textId="77777777" w:rsidR="00C51F69" w:rsidRPr="00CD29D0" w:rsidRDefault="00C51F69" w:rsidP="00BF0B5C">
            <w:pPr>
              <w:pStyle w:val="TableNote"/>
              <w:spacing w:before="20" w:after="20" w:line="259" w:lineRule="auto"/>
            </w:pPr>
            <w:r w:rsidRPr="00CD29D0">
              <w:t>Total from local appropriations</w:t>
            </w:r>
          </w:p>
        </w:tc>
        <w:tc>
          <w:tcPr>
            <w:tcW w:w="2187" w:type="dxa"/>
            <w:vAlign w:val="center"/>
          </w:tcPr>
          <w:p w14:paraId="655C0DBF"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$41,164,738</w:t>
            </w:r>
          </w:p>
        </w:tc>
        <w:tc>
          <w:tcPr>
            <w:tcW w:w="2187" w:type="dxa"/>
            <w:vAlign w:val="center"/>
          </w:tcPr>
          <w:p w14:paraId="178843E9"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$41,815,809</w:t>
            </w:r>
          </w:p>
        </w:tc>
        <w:tc>
          <w:tcPr>
            <w:tcW w:w="2188" w:type="dxa"/>
            <w:vAlign w:val="center"/>
          </w:tcPr>
          <w:p w14:paraId="61A20E38"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rPr>
              <w:t>$44,007,037</w:t>
            </w:r>
          </w:p>
        </w:tc>
      </w:tr>
      <w:tr w:rsidR="00C51F69" w:rsidRPr="00CD29D0" w14:paraId="690F9C04" w14:textId="77777777" w:rsidTr="00BF0B5C">
        <w:tc>
          <w:tcPr>
            <w:tcW w:w="2782" w:type="dxa"/>
          </w:tcPr>
          <w:p w14:paraId="5B3B7696" w14:textId="77777777" w:rsidR="00C51F69" w:rsidRPr="00CD29D0" w:rsidRDefault="00C51F69" w:rsidP="00BF0B5C">
            <w:pPr>
              <w:pStyle w:val="TableNote"/>
              <w:spacing w:before="20" w:after="20" w:line="259" w:lineRule="auto"/>
            </w:pPr>
            <w:r w:rsidRPr="00CD29D0">
              <w:t>From revolving funds and grants</w:t>
            </w:r>
          </w:p>
        </w:tc>
        <w:tc>
          <w:tcPr>
            <w:tcW w:w="2187" w:type="dxa"/>
            <w:vAlign w:val="center"/>
          </w:tcPr>
          <w:p w14:paraId="13413123"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$6,345,901</w:t>
            </w:r>
          </w:p>
        </w:tc>
        <w:tc>
          <w:tcPr>
            <w:tcW w:w="2187" w:type="dxa"/>
            <w:vAlign w:val="center"/>
          </w:tcPr>
          <w:p w14:paraId="4706BA9F"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$7,398,074</w:t>
            </w:r>
          </w:p>
        </w:tc>
        <w:tc>
          <w:tcPr>
            <w:tcW w:w="2188" w:type="dxa"/>
            <w:vAlign w:val="center"/>
          </w:tcPr>
          <w:p w14:paraId="6832345C"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rPr>
              <w:t>$8,371,651</w:t>
            </w:r>
          </w:p>
        </w:tc>
      </w:tr>
      <w:tr w:rsidR="00C51F69" w:rsidRPr="00CD29D0" w14:paraId="5141C71E" w14:textId="77777777" w:rsidTr="00BF0B5C">
        <w:trPr>
          <w:cnfStyle w:val="000000100000" w:firstRow="0" w:lastRow="0" w:firstColumn="0" w:lastColumn="0" w:oddVBand="0" w:evenVBand="0" w:oddHBand="1" w:evenHBand="0" w:firstRowFirstColumn="0" w:firstRowLastColumn="0" w:lastRowFirstColumn="0" w:lastRowLastColumn="0"/>
        </w:trPr>
        <w:tc>
          <w:tcPr>
            <w:tcW w:w="2782" w:type="dxa"/>
          </w:tcPr>
          <w:p w14:paraId="16E12331" w14:textId="77777777" w:rsidR="00C51F69" w:rsidRPr="00CD29D0" w:rsidRDefault="00C51F69" w:rsidP="00BF0B5C">
            <w:pPr>
              <w:pStyle w:val="TableNote"/>
              <w:spacing w:before="20" w:after="20" w:line="259" w:lineRule="auto"/>
            </w:pPr>
            <w:r w:rsidRPr="00CD29D0">
              <w:t>Total expenditures</w:t>
            </w:r>
          </w:p>
        </w:tc>
        <w:tc>
          <w:tcPr>
            <w:tcW w:w="2187" w:type="dxa"/>
            <w:vAlign w:val="center"/>
          </w:tcPr>
          <w:p w14:paraId="560FCB31"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$47,510,639</w:t>
            </w:r>
          </w:p>
        </w:tc>
        <w:tc>
          <w:tcPr>
            <w:tcW w:w="2187" w:type="dxa"/>
            <w:vAlign w:val="center"/>
          </w:tcPr>
          <w:p w14:paraId="36F30013"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$49,213,884</w:t>
            </w:r>
          </w:p>
        </w:tc>
        <w:tc>
          <w:tcPr>
            <w:tcW w:w="2188" w:type="dxa"/>
            <w:vAlign w:val="center"/>
          </w:tcPr>
          <w:p w14:paraId="2356BA9C"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rPr>
              <w:t>$52,378,688</w:t>
            </w:r>
          </w:p>
        </w:tc>
      </w:tr>
    </w:tbl>
    <w:p w14:paraId="63809892" w14:textId="1992396D" w:rsidR="000548DA" w:rsidRPr="00CD29D0" w:rsidRDefault="00C51F69" w:rsidP="00BF0B5C">
      <w:pPr>
        <w:pStyle w:val="TableNote"/>
        <w:spacing w:before="0" w:line="240" w:lineRule="auto"/>
      </w:pPr>
      <w:r w:rsidRPr="00CD29D0">
        <w:rPr>
          <w:i/>
          <w:iCs/>
        </w:rPr>
        <w:t>Note</w:t>
      </w:r>
      <w:r w:rsidRPr="00CD29D0">
        <w:t xml:space="preserve">. Expenditures from the School Finance Dashboard sourced from </w:t>
      </w:r>
      <w:hyperlink r:id="rId48" w:history="1">
        <w:r w:rsidRPr="00CD29D0">
          <w:rPr>
            <w:rStyle w:val="Hyperlink"/>
          </w:rPr>
          <w:t xml:space="preserve">Resource Allocation and District Action Reports (RADAR) </w:t>
        </w:r>
      </w:hyperlink>
      <w:r w:rsidRPr="00CD29D0">
        <w:t>last updated April 2025.</w:t>
      </w:r>
      <w:r w:rsidR="000548DA" w:rsidRPr="00CD29D0">
        <w:br w:type="page"/>
      </w:r>
    </w:p>
    <w:p w14:paraId="1ABF0390" w14:textId="3A1CA7E1" w:rsidR="00C51F69" w:rsidRPr="00CD29D0" w:rsidRDefault="00C51F69" w:rsidP="00424417">
      <w:pPr>
        <w:pStyle w:val="TableTitle0"/>
        <w:rPr>
          <w:szCs w:val="20"/>
        </w:rPr>
      </w:pPr>
      <w:r w:rsidRPr="00CD29D0">
        <w:lastRenderedPageBreak/>
        <w:t>Table D5. Chapter 70 State Aid, and Net School Spending Fiscal Years, 2022-2024</w:t>
      </w:r>
    </w:p>
    <w:tbl>
      <w:tblPr>
        <w:tblStyle w:val="MSVTable1"/>
        <w:tblW w:w="0" w:type="auto"/>
        <w:tblLook w:val="04A0" w:firstRow="1" w:lastRow="0" w:firstColumn="1" w:lastColumn="0" w:noHBand="0" w:noVBand="1"/>
        <w:tblCaption w:val="Table D5. Chapter 70 State Aid, and Net School Spending Fiscal Years, 2022-2024"/>
        <w:tblDescription w:val="Chapter 70 State Aid, and Net School Spending Fiscal Years, 2022-2024"/>
      </w:tblPr>
      <w:tblGrid>
        <w:gridCol w:w="2692"/>
        <w:gridCol w:w="2217"/>
        <w:gridCol w:w="2217"/>
        <w:gridCol w:w="2218"/>
      </w:tblGrid>
      <w:tr w:rsidR="00C51F69" w:rsidRPr="00CD29D0" w14:paraId="2965495E" w14:textId="77777777" w:rsidTr="000548DA">
        <w:trPr>
          <w:cnfStyle w:val="100000000000" w:firstRow="1" w:lastRow="0" w:firstColumn="0" w:lastColumn="0" w:oddVBand="0" w:evenVBand="0" w:oddHBand="0" w:evenHBand="0" w:firstRowFirstColumn="0" w:firstRowLastColumn="0" w:lastRowFirstColumn="0" w:lastRowLastColumn="0"/>
          <w:tblHeader/>
        </w:trPr>
        <w:tc>
          <w:tcPr>
            <w:tcW w:w="2692" w:type="dxa"/>
          </w:tcPr>
          <w:p w14:paraId="2CF86815"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Chapter 70 aid to education program</w:t>
            </w:r>
          </w:p>
        </w:tc>
        <w:tc>
          <w:tcPr>
            <w:tcW w:w="2217" w:type="dxa"/>
            <w:vAlign w:val="center"/>
          </w:tcPr>
          <w:p w14:paraId="50BDAD04"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2022</w:t>
            </w:r>
          </w:p>
        </w:tc>
        <w:tc>
          <w:tcPr>
            <w:tcW w:w="2217" w:type="dxa"/>
            <w:vAlign w:val="center"/>
          </w:tcPr>
          <w:p w14:paraId="17A365EC"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2023</w:t>
            </w:r>
          </w:p>
        </w:tc>
        <w:tc>
          <w:tcPr>
            <w:tcW w:w="2218" w:type="dxa"/>
            <w:vAlign w:val="center"/>
          </w:tcPr>
          <w:p w14:paraId="7289BEB0" w14:textId="77777777" w:rsidR="00C51F69" w:rsidRPr="00CD29D0" w:rsidRDefault="00C51F69" w:rsidP="00BF0B5C">
            <w:pPr>
              <w:pStyle w:val="TableNote"/>
              <w:spacing w:before="20" w:after="20" w:line="259" w:lineRule="auto"/>
              <w:rPr>
                <w:rFonts w:asciiTheme="majorHAnsi" w:hAnsiTheme="majorHAnsi"/>
                <w:b/>
                <w:bCs/>
              </w:rPr>
            </w:pPr>
            <w:r w:rsidRPr="00CD29D0">
              <w:rPr>
                <w:rFonts w:asciiTheme="majorHAnsi" w:hAnsiTheme="majorHAnsi"/>
                <w:b/>
                <w:bCs/>
              </w:rPr>
              <w:t>FY 2024</w:t>
            </w:r>
          </w:p>
        </w:tc>
      </w:tr>
      <w:tr w:rsidR="00C51F69" w:rsidRPr="00CD29D0" w14:paraId="24F26FA1" w14:textId="77777777" w:rsidTr="00BF0B5C">
        <w:trPr>
          <w:cnfStyle w:val="000000100000" w:firstRow="0" w:lastRow="0" w:firstColumn="0" w:lastColumn="0" w:oddVBand="0" w:evenVBand="0" w:oddHBand="1" w:evenHBand="0" w:firstRowFirstColumn="0" w:firstRowLastColumn="0" w:lastRowFirstColumn="0" w:lastRowLastColumn="0"/>
        </w:trPr>
        <w:tc>
          <w:tcPr>
            <w:tcW w:w="2692" w:type="dxa"/>
          </w:tcPr>
          <w:p w14:paraId="2DBC767D" w14:textId="77777777" w:rsidR="00C51F69" w:rsidRPr="00CD29D0" w:rsidRDefault="00C51F69" w:rsidP="00BF0B5C">
            <w:pPr>
              <w:pStyle w:val="TableNote"/>
              <w:spacing w:before="20" w:after="20" w:line="259" w:lineRule="auto"/>
            </w:pPr>
            <w:r w:rsidRPr="00CD29D0">
              <w:rPr>
                <w:rFonts w:ascii="Franklin Gothic Book" w:hAnsi="Franklin Gothic Book"/>
              </w:rPr>
              <w:t>Chapter 70 state aid</w:t>
            </w:r>
            <w:r w:rsidRPr="00CD29D0">
              <w:rPr>
                <w:rFonts w:ascii="Franklin Gothic Book" w:hAnsi="Franklin Gothic Book"/>
                <w:vertAlign w:val="superscript"/>
              </w:rPr>
              <w:t>a</w:t>
            </w:r>
          </w:p>
        </w:tc>
        <w:tc>
          <w:tcPr>
            <w:tcW w:w="2217" w:type="dxa"/>
            <w:vAlign w:val="center"/>
          </w:tcPr>
          <w:p w14:paraId="321A5CFF"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$12,896,420</w:t>
            </w:r>
          </w:p>
        </w:tc>
        <w:tc>
          <w:tcPr>
            <w:tcW w:w="2217" w:type="dxa"/>
            <w:vAlign w:val="center"/>
          </w:tcPr>
          <w:p w14:paraId="386E7655"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$13,029,200</w:t>
            </w:r>
          </w:p>
        </w:tc>
        <w:tc>
          <w:tcPr>
            <w:tcW w:w="2218" w:type="dxa"/>
            <w:vAlign w:val="center"/>
          </w:tcPr>
          <w:p w14:paraId="00BE709A"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$13,160,540</w:t>
            </w:r>
          </w:p>
        </w:tc>
      </w:tr>
      <w:tr w:rsidR="00C51F69" w:rsidRPr="00CD29D0" w14:paraId="09A54CEA" w14:textId="77777777" w:rsidTr="00BF0B5C">
        <w:tc>
          <w:tcPr>
            <w:tcW w:w="2692" w:type="dxa"/>
          </w:tcPr>
          <w:p w14:paraId="03B1495C" w14:textId="77777777" w:rsidR="00C51F69" w:rsidRPr="00CD29D0" w:rsidRDefault="00C51F69" w:rsidP="00BF0B5C">
            <w:pPr>
              <w:pStyle w:val="TableNote"/>
              <w:spacing w:before="20" w:after="20" w:line="259" w:lineRule="auto"/>
            </w:pPr>
            <w:r w:rsidRPr="00CD29D0">
              <w:rPr>
                <w:rFonts w:ascii="Franklin Gothic Book" w:hAnsi="Franklin Gothic Book"/>
              </w:rPr>
              <w:t>Required local contribution</w:t>
            </w:r>
          </w:p>
        </w:tc>
        <w:tc>
          <w:tcPr>
            <w:tcW w:w="2217" w:type="dxa"/>
            <w:vAlign w:val="center"/>
          </w:tcPr>
          <w:p w14:paraId="4358138B"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$18,951,479</w:t>
            </w:r>
          </w:p>
        </w:tc>
        <w:tc>
          <w:tcPr>
            <w:tcW w:w="2217" w:type="dxa"/>
            <w:vAlign w:val="center"/>
          </w:tcPr>
          <w:p w14:paraId="24F297C6"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$19,965,440</w:t>
            </w:r>
          </w:p>
        </w:tc>
        <w:tc>
          <w:tcPr>
            <w:tcW w:w="2218" w:type="dxa"/>
            <w:vAlign w:val="center"/>
          </w:tcPr>
          <w:p w14:paraId="09B541AD"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$20,948,264</w:t>
            </w:r>
          </w:p>
        </w:tc>
      </w:tr>
      <w:tr w:rsidR="00C51F69" w:rsidRPr="00CD29D0" w14:paraId="38DF0B63" w14:textId="77777777" w:rsidTr="00BF0B5C">
        <w:trPr>
          <w:cnfStyle w:val="000000100000" w:firstRow="0" w:lastRow="0" w:firstColumn="0" w:lastColumn="0" w:oddVBand="0" w:evenVBand="0" w:oddHBand="1" w:evenHBand="0" w:firstRowFirstColumn="0" w:firstRowLastColumn="0" w:lastRowFirstColumn="0" w:lastRowLastColumn="0"/>
        </w:trPr>
        <w:tc>
          <w:tcPr>
            <w:tcW w:w="2692" w:type="dxa"/>
          </w:tcPr>
          <w:p w14:paraId="25844FED" w14:textId="77777777" w:rsidR="00C51F69" w:rsidRPr="00CD29D0" w:rsidRDefault="00C51F69" w:rsidP="00BF0B5C">
            <w:pPr>
              <w:pStyle w:val="TableNote"/>
              <w:spacing w:before="20" w:after="20" w:line="259" w:lineRule="auto"/>
            </w:pPr>
            <w:r w:rsidRPr="00CD29D0">
              <w:rPr>
                <w:rFonts w:ascii="Franklin Gothic Book" w:hAnsi="Franklin Gothic Book"/>
              </w:rPr>
              <w:t>Required net school spending</w:t>
            </w:r>
            <w:r w:rsidRPr="00CD29D0">
              <w:rPr>
                <w:rFonts w:ascii="Franklin Gothic Book" w:hAnsi="Franklin Gothic Book"/>
                <w:vertAlign w:val="superscript"/>
              </w:rPr>
              <w:t>b</w:t>
            </w:r>
          </w:p>
        </w:tc>
        <w:tc>
          <w:tcPr>
            <w:tcW w:w="2217" w:type="dxa"/>
            <w:vAlign w:val="center"/>
          </w:tcPr>
          <w:p w14:paraId="5FFB034C"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$31,847,899</w:t>
            </w:r>
          </w:p>
        </w:tc>
        <w:tc>
          <w:tcPr>
            <w:tcW w:w="2217" w:type="dxa"/>
            <w:vAlign w:val="center"/>
          </w:tcPr>
          <w:p w14:paraId="3BBA7066"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$32,994,640</w:t>
            </w:r>
          </w:p>
        </w:tc>
        <w:tc>
          <w:tcPr>
            <w:tcW w:w="2218" w:type="dxa"/>
            <w:vAlign w:val="center"/>
          </w:tcPr>
          <w:p w14:paraId="7A76C135"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$34,108,804</w:t>
            </w:r>
          </w:p>
        </w:tc>
      </w:tr>
      <w:tr w:rsidR="00C51F69" w:rsidRPr="00CD29D0" w14:paraId="4FE13AE5" w14:textId="77777777" w:rsidTr="00BF0B5C">
        <w:tc>
          <w:tcPr>
            <w:tcW w:w="2692" w:type="dxa"/>
          </w:tcPr>
          <w:p w14:paraId="5FC495A0" w14:textId="77777777" w:rsidR="00C51F69" w:rsidRPr="00CD29D0" w:rsidRDefault="00C51F69" w:rsidP="00BF0B5C">
            <w:pPr>
              <w:pStyle w:val="TableNote"/>
              <w:spacing w:before="20" w:after="20" w:line="259" w:lineRule="auto"/>
            </w:pPr>
            <w:r w:rsidRPr="00CD29D0">
              <w:rPr>
                <w:rFonts w:ascii="Franklin Gothic Book" w:hAnsi="Franklin Gothic Book"/>
              </w:rPr>
              <w:t>Actual net school spending</w:t>
            </w:r>
          </w:p>
        </w:tc>
        <w:tc>
          <w:tcPr>
            <w:tcW w:w="2217" w:type="dxa"/>
            <w:vAlign w:val="center"/>
          </w:tcPr>
          <w:p w14:paraId="13AD11F7"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$38,154,905</w:t>
            </w:r>
          </w:p>
        </w:tc>
        <w:tc>
          <w:tcPr>
            <w:tcW w:w="2217" w:type="dxa"/>
            <w:vAlign w:val="center"/>
          </w:tcPr>
          <w:p w14:paraId="7196E75A"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$38,965,034</w:t>
            </w:r>
          </w:p>
        </w:tc>
        <w:tc>
          <w:tcPr>
            <w:tcW w:w="2218" w:type="dxa"/>
            <w:vAlign w:val="center"/>
          </w:tcPr>
          <w:p w14:paraId="4536517E"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color w:val="000000"/>
                <w:szCs w:val="20"/>
              </w:rPr>
              <w:t>$41,071,899</w:t>
            </w:r>
          </w:p>
        </w:tc>
      </w:tr>
      <w:tr w:rsidR="00C51F69" w:rsidRPr="00CD29D0" w14:paraId="23CF9F87" w14:textId="77777777" w:rsidTr="00BF0B5C">
        <w:trPr>
          <w:cnfStyle w:val="000000100000" w:firstRow="0" w:lastRow="0" w:firstColumn="0" w:lastColumn="0" w:oddVBand="0" w:evenVBand="0" w:oddHBand="1" w:evenHBand="0" w:firstRowFirstColumn="0" w:firstRowLastColumn="0" w:lastRowFirstColumn="0" w:lastRowLastColumn="0"/>
        </w:trPr>
        <w:tc>
          <w:tcPr>
            <w:tcW w:w="2692" w:type="dxa"/>
          </w:tcPr>
          <w:p w14:paraId="0E9D4128" w14:textId="77777777" w:rsidR="00C51F69" w:rsidRPr="00CD29D0" w:rsidRDefault="00C51F69" w:rsidP="00BF0B5C">
            <w:pPr>
              <w:pStyle w:val="TableNote"/>
              <w:spacing w:before="20" w:after="20" w:line="259" w:lineRule="auto"/>
            </w:pPr>
            <w:r w:rsidRPr="00CD29D0">
              <w:rPr>
                <w:rFonts w:ascii="Franklin Gothic Book" w:hAnsi="Franklin Gothic Book"/>
              </w:rPr>
              <w:t>Over/under required ($)</w:t>
            </w:r>
          </w:p>
        </w:tc>
        <w:tc>
          <w:tcPr>
            <w:tcW w:w="2217" w:type="dxa"/>
            <w:vAlign w:val="center"/>
          </w:tcPr>
          <w:p w14:paraId="41D94677"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$6,307,006</w:t>
            </w:r>
          </w:p>
        </w:tc>
        <w:tc>
          <w:tcPr>
            <w:tcW w:w="2217" w:type="dxa"/>
            <w:vAlign w:val="center"/>
          </w:tcPr>
          <w:p w14:paraId="47712024"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$5,970,394</w:t>
            </w:r>
          </w:p>
        </w:tc>
        <w:tc>
          <w:tcPr>
            <w:tcW w:w="2218" w:type="dxa"/>
            <w:vAlign w:val="center"/>
          </w:tcPr>
          <w:p w14:paraId="59EAE7E8"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$6,963,095</w:t>
            </w:r>
          </w:p>
        </w:tc>
      </w:tr>
      <w:tr w:rsidR="00C51F69" w:rsidRPr="00CD29D0" w14:paraId="0EB2CFE2" w14:textId="77777777" w:rsidTr="00BF0B5C">
        <w:tc>
          <w:tcPr>
            <w:tcW w:w="2692" w:type="dxa"/>
          </w:tcPr>
          <w:p w14:paraId="6F27B543" w14:textId="77777777" w:rsidR="00C51F69" w:rsidRPr="00CD29D0" w:rsidRDefault="00C51F69" w:rsidP="00BF0B5C">
            <w:pPr>
              <w:pStyle w:val="TableNote"/>
              <w:spacing w:before="20" w:after="20" w:line="259" w:lineRule="auto"/>
            </w:pPr>
            <w:r w:rsidRPr="00CD29D0">
              <w:t>Over/under required (%)</w:t>
            </w:r>
          </w:p>
        </w:tc>
        <w:tc>
          <w:tcPr>
            <w:tcW w:w="2217" w:type="dxa"/>
            <w:vAlign w:val="center"/>
          </w:tcPr>
          <w:p w14:paraId="6161C685"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19.8%</w:t>
            </w:r>
          </w:p>
        </w:tc>
        <w:tc>
          <w:tcPr>
            <w:tcW w:w="2217" w:type="dxa"/>
            <w:vAlign w:val="center"/>
          </w:tcPr>
          <w:p w14:paraId="7F09CDD4"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18.1%</w:t>
            </w:r>
          </w:p>
        </w:tc>
        <w:tc>
          <w:tcPr>
            <w:tcW w:w="2218" w:type="dxa"/>
            <w:vAlign w:val="center"/>
          </w:tcPr>
          <w:p w14:paraId="362A4556" w14:textId="77777777" w:rsidR="00C51F69" w:rsidRPr="00CD29D0" w:rsidRDefault="00C51F69" w:rsidP="00BF0B5C">
            <w:pPr>
              <w:pStyle w:val="TableNote"/>
              <w:spacing w:before="20" w:after="20" w:line="259" w:lineRule="auto"/>
              <w:jc w:val="center"/>
              <w:rPr>
                <w:rFonts w:ascii="Franklin Gothic Book" w:hAnsi="Franklin Gothic Book"/>
              </w:rPr>
            </w:pPr>
            <w:r w:rsidRPr="00CD29D0">
              <w:rPr>
                <w:rFonts w:ascii="Franklin Gothic Book" w:hAnsi="Franklin Gothic Book" w:cs="Calibri"/>
                <w:szCs w:val="20"/>
              </w:rPr>
              <w:t>20.4%</w:t>
            </w:r>
          </w:p>
        </w:tc>
      </w:tr>
    </w:tbl>
    <w:p w14:paraId="7CDDCA32" w14:textId="77777777" w:rsidR="00C51F69" w:rsidRPr="00CD29D0" w:rsidRDefault="00C51F69" w:rsidP="00424417">
      <w:pPr>
        <w:pStyle w:val="TableNote"/>
      </w:pPr>
      <w:r w:rsidRPr="00CD29D0">
        <w:rPr>
          <w:i/>
          <w:iCs/>
        </w:rPr>
        <w:t>Note</w:t>
      </w:r>
      <w:r w:rsidRPr="00CD29D0">
        <w:t>. Chapter 70 aid to education from Chapter 70 District Profiles sourced from</w:t>
      </w:r>
      <w:r w:rsidRPr="00CD29D0">
        <w:rPr>
          <w:rFonts w:eastAsiaTheme="minorHAnsi" w:cstheme="minorBidi"/>
          <w:sz w:val="22"/>
          <w:szCs w:val="22"/>
        </w:rPr>
        <w:t xml:space="preserve"> </w:t>
      </w:r>
      <w:hyperlink r:id="rId49" w:history="1">
        <w:r w:rsidRPr="00CD29D0">
          <w:rPr>
            <w:rStyle w:val="Hyperlink"/>
          </w:rPr>
          <w:t>Chapter 70 Program - School Finance</w:t>
        </w:r>
      </w:hyperlink>
      <w:r w:rsidRPr="00CD29D0">
        <w:t xml:space="preserve"> last updated April 11, 2025.</w:t>
      </w:r>
    </w:p>
    <w:p w14:paraId="481B25B2" w14:textId="77777777" w:rsidR="00424417" w:rsidRPr="00CD29D0" w:rsidRDefault="00C51F69" w:rsidP="00424417">
      <w:pPr>
        <w:pStyle w:val="TableNote"/>
      </w:pPr>
      <w:r w:rsidRPr="00CD29D0">
        <w:rPr>
          <w:vertAlign w:val="superscript"/>
        </w:rPr>
        <w:t xml:space="preserve">a </w:t>
      </w:r>
      <w:r w:rsidRPr="00CD29D0">
        <w:t xml:space="preserve">Chapter 70 state aid funds are deposited in the local general fund and spent as local appropriations. </w:t>
      </w:r>
    </w:p>
    <w:p w14:paraId="63A2C9BC" w14:textId="581210CB" w:rsidR="00C51F69" w:rsidRPr="00CD29D0" w:rsidRDefault="00C51F69" w:rsidP="00424417">
      <w:pPr>
        <w:pStyle w:val="TableNote"/>
      </w:pPr>
      <w:r w:rsidRPr="00CD29D0">
        <w:rPr>
          <w:vertAlign w:val="superscript"/>
        </w:rPr>
        <w:t xml:space="preserve">b </w:t>
      </w:r>
      <w:r w:rsidRPr="00CD29D0">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75701191" w14:textId="77777777" w:rsidR="00C51F69" w:rsidRPr="00CD29D0" w:rsidRDefault="00C51F69" w:rsidP="00424417">
      <w:pPr>
        <w:pStyle w:val="TableTitle0"/>
      </w:pPr>
      <w:r w:rsidRPr="00CD29D0">
        <w:t>Table D6. Expenditures Per In-District Pupil, Fiscal Years 2022-2024</w:t>
      </w:r>
    </w:p>
    <w:tbl>
      <w:tblPr>
        <w:tblStyle w:val="MSVTable1"/>
        <w:tblW w:w="5000" w:type="pct"/>
        <w:tblLayout w:type="fixed"/>
        <w:tblLook w:val="0420" w:firstRow="1" w:lastRow="0" w:firstColumn="0" w:lastColumn="0" w:noHBand="0" w:noVBand="1"/>
        <w:tblCaption w:val="Table D6. Expenditures Per In-District Pupil, Fiscal Years 2022-2024"/>
        <w:tblDescription w:val="Expenditures Per In-District Pupil, Fiscal Years 2022-2024"/>
      </w:tblPr>
      <w:tblGrid>
        <w:gridCol w:w="5246"/>
        <w:gridCol w:w="1366"/>
        <w:gridCol w:w="1366"/>
        <w:gridCol w:w="1366"/>
      </w:tblGrid>
      <w:tr w:rsidR="00C51F69" w:rsidRPr="00CD29D0" w14:paraId="786CA8B2" w14:textId="77777777" w:rsidTr="000548DA">
        <w:trPr>
          <w:cnfStyle w:val="100000000000" w:firstRow="1" w:lastRow="0" w:firstColumn="0" w:lastColumn="0" w:oddVBand="0" w:evenVBand="0" w:oddHBand="0" w:evenHBand="0" w:firstRowFirstColumn="0" w:firstRowLastColumn="0" w:lastRowFirstColumn="0" w:lastRowLastColumn="0"/>
          <w:tblHeader/>
        </w:trPr>
        <w:tc>
          <w:tcPr>
            <w:tcW w:w="5246" w:type="dxa"/>
          </w:tcPr>
          <w:p w14:paraId="675EDA17" w14:textId="77777777" w:rsidR="00C51F69" w:rsidRPr="00CD29D0" w:rsidRDefault="00C51F69" w:rsidP="005D13E7">
            <w:pPr>
              <w:pStyle w:val="TableColHeadingLeft"/>
            </w:pPr>
            <w:r w:rsidRPr="00CD29D0">
              <w:t>Expenditure category</w:t>
            </w:r>
          </w:p>
        </w:tc>
        <w:tc>
          <w:tcPr>
            <w:tcW w:w="1366" w:type="dxa"/>
          </w:tcPr>
          <w:p w14:paraId="3CE18C48" w14:textId="77777777" w:rsidR="00C51F69" w:rsidRPr="00CD29D0" w:rsidRDefault="00C51F69" w:rsidP="005D13E7">
            <w:pPr>
              <w:pStyle w:val="TableColHeadingCenter"/>
            </w:pPr>
            <w:r w:rsidRPr="00CD29D0">
              <w:t>FY 2022</w:t>
            </w:r>
          </w:p>
        </w:tc>
        <w:tc>
          <w:tcPr>
            <w:tcW w:w="1366" w:type="dxa"/>
          </w:tcPr>
          <w:p w14:paraId="33CF7D86" w14:textId="77777777" w:rsidR="00C51F69" w:rsidRPr="00CD29D0" w:rsidRDefault="00C51F69" w:rsidP="005D13E7">
            <w:pPr>
              <w:pStyle w:val="TableColHeadingCenter"/>
            </w:pPr>
            <w:r w:rsidRPr="00CD29D0">
              <w:t>FY 2023</w:t>
            </w:r>
          </w:p>
        </w:tc>
        <w:tc>
          <w:tcPr>
            <w:tcW w:w="1366" w:type="dxa"/>
          </w:tcPr>
          <w:p w14:paraId="3A0F4F94" w14:textId="77777777" w:rsidR="00C51F69" w:rsidRPr="00CD29D0" w:rsidRDefault="00C51F69" w:rsidP="005D13E7">
            <w:pPr>
              <w:pStyle w:val="TableColHeadingCenter"/>
            </w:pPr>
            <w:r w:rsidRPr="00CD29D0">
              <w:t>FY 2024</w:t>
            </w:r>
          </w:p>
        </w:tc>
      </w:tr>
      <w:tr w:rsidR="00C51F69" w:rsidRPr="00CD29D0" w14:paraId="3D85ADD3"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7B909CE3" w14:textId="77777777" w:rsidR="00C51F69" w:rsidRPr="00CD29D0" w:rsidRDefault="00C51F69" w:rsidP="00BF0B5C">
            <w:pPr>
              <w:pStyle w:val="TableText"/>
            </w:pPr>
            <w:r w:rsidRPr="00CD29D0">
              <w:t>Administration</w:t>
            </w:r>
          </w:p>
        </w:tc>
        <w:tc>
          <w:tcPr>
            <w:tcW w:w="1366" w:type="dxa"/>
            <w:vAlign w:val="center"/>
          </w:tcPr>
          <w:p w14:paraId="75DFA3C7"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$657</w:t>
            </w:r>
          </w:p>
        </w:tc>
        <w:tc>
          <w:tcPr>
            <w:tcW w:w="1366" w:type="dxa"/>
            <w:vAlign w:val="center"/>
          </w:tcPr>
          <w:p w14:paraId="1F9AF81D"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$640</w:t>
            </w:r>
          </w:p>
        </w:tc>
        <w:tc>
          <w:tcPr>
            <w:tcW w:w="1366" w:type="dxa"/>
            <w:vAlign w:val="center"/>
          </w:tcPr>
          <w:p w14:paraId="172D3CE4"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$569</w:t>
            </w:r>
          </w:p>
        </w:tc>
      </w:tr>
      <w:tr w:rsidR="00C51F69" w:rsidRPr="00CD29D0" w14:paraId="54F62FD1" w14:textId="77777777" w:rsidTr="00BF0B5C">
        <w:tc>
          <w:tcPr>
            <w:tcW w:w="5246" w:type="dxa"/>
          </w:tcPr>
          <w:p w14:paraId="4C6A5DEE" w14:textId="77777777" w:rsidR="00C51F69" w:rsidRPr="00CD29D0" w:rsidRDefault="00C51F69" w:rsidP="00BF0B5C">
            <w:pPr>
              <w:pStyle w:val="TableText"/>
            </w:pPr>
            <w:r w:rsidRPr="00CD29D0">
              <w:t>Instructional leadership (district and school)</w:t>
            </w:r>
          </w:p>
        </w:tc>
        <w:tc>
          <w:tcPr>
            <w:tcW w:w="1366" w:type="dxa"/>
            <w:vAlign w:val="center"/>
          </w:tcPr>
          <w:p w14:paraId="27A24AFB"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$995</w:t>
            </w:r>
          </w:p>
        </w:tc>
        <w:tc>
          <w:tcPr>
            <w:tcW w:w="1366" w:type="dxa"/>
            <w:vAlign w:val="center"/>
          </w:tcPr>
          <w:p w14:paraId="182338A8"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$993</w:t>
            </w:r>
          </w:p>
        </w:tc>
        <w:tc>
          <w:tcPr>
            <w:tcW w:w="1366" w:type="dxa"/>
            <w:vAlign w:val="center"/>
          </w:tcPr>
          <w:p w14:paraId="1A4144B9"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$972</w:t>
            </w:r>
          </w:p>
        </w:tc>
      </w:tr>
      <w:tr w:rsidR="00C51F69" w:rsidRPr="00CD29D0" w14:paraId="0BDB861F"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03955120" w14:textId="77777777" w:rsidR="00C51F69" w:rsidRPr="00CD29D0" w:rsidRDefault="00C51F69" w:rsidP="00BF0B5C">
            <w:pPr>
              <w:pStyle w:val="TableText"/>
            </w:pPr>
            <w:r w:rsidRPr="00CD29D0">
              <w:t>Teachers</w:t>
            </w:r>
          </w:p>
        </w:tc>
        <w:tc>
          <w:tcPr>
            <w:tcW w:w="1366" w:type="dxa"/>
            <w:vAlign w:val="center"/>
          </w:tcPr>
          <w:p w14:paraId="1255F731"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$6,831</w:t>
            </w:r>
          </w:p>
        </w:tc>
        <w:tc>
          <w:tcPr>
            <w:tcW w:w="1366" w:type="dxa"/>
            <w:vAlign w:val="center"/>
          </w:tcPr>
          <w:p w14:paraId="06F8DFFB"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$7,591</w:t>
            </w:r>
          </w:p>
        </w:tc>
        <w:tc>
          <w:tcPr>
            <w:tcW w:w="1366" w:type="dxa"/>
            <w:vAlign w:val="center"/>
          </w:tcPr>
          <w:p w14:paraId="14B5571C"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$7,827</w:t>
            </w:r>
          </w:p>
        </w:tc>
      </w:tr>
      <w:tr w:rsidR="00C51F69" w:rsidRPr="00CD29D0" w14:paraId="2295DEA3" w14:textId="77777777" w:rsidTr="00BF0B5C">
        <w:tc>
          <w:tcPr>
            <w:tcW w:w="5246" w:type="dxa"/>
          </w:tcPr>
          <w:p w14:paraId="7FB50888" w14:textId="77777777" w:rsidR="00C51F69" w:rsidRPr="00CD29D0" w:rsidDel="00DB21D5" w:rsidRDefault="00C51F69" w:rsidP="00BF0B5C">
            <w:pPr>
              <w:pStyle w:val="TableText"/>
            </w:pPr>
            <w:r w:rsidRPr="00CD29D0">
              <w:t>Other teaching services</w:t>
            </w:r>
          </w:p>
        </w:tc>
        <w:tc>
          <w:tcPr>
            <w:tcW w:w="1366" w:type="dxa"/>
            <w:vAlign w:val="center"/>
          </w:tcPr>
          <w:p w14:paraId="5F154F3A"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$1,741</w:t>
            </w:r>
          </w:p>
        </w:tc>
        <w:tc>
          <w:tcPr>
            <w:tcW w:w="1366" w:type="dxa"/>
            <w:vAlign w:val="center"/>
          </w:tcPr>
          <w:p w14:paraId="4F8D4DCB"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$1,677</w:t>
            </w:r>
          </w:p>
        </w:tc>
        <w:tc>
          <w:tcPr>
            <w:tcW w:w="1366" w:type="dxa"/>
            <w:vAlign w:val="center"/>
          </w:tcPr>
          <w:p w14:paraId="7AEE49E5"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$2,036</w:t>
            </w:r>
          </w:p>
        </w:tc>
      </w:tr>
      <w:tr w:rsidR="00C51F69" w:rsidRPr="00CD29D0" w14:paraId="6BC01374"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6A8AE436" w14:textId="77777777" w:rsidR="00C51F69" w:rsidRPr="00CD29D0" w:rsidRDefault="00C51F69" w:rsidP="00BF0B5C">
            <w:pPr>
              <w:pStyle w:val="TableText"/>
            </w:pPr>
            <w:r w:rsidRPr="00CD29D0">
              <w:t>Professional development</w:t>
            </w:r>
          </w:p>
        </w:tc>
        <w:tc>
          <w:tcPr>
            <w:tcW w:w="1366" w:type="dxa"/>
            <w:vAlign w:val="center"/>
          </w:tcPr>
          <w:p w14:paraId="6D61D304"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$39</w:t>
            </w:r>
          </w:p>
        </w:tc>
        <w:tc>
          <w:tcPr>
            <w:tcW w:w="1366" w:type="dxa"/>
            <w:vAlign w:val="center"/>
          </w:tcPr>
          <w:p w14:paraId="5CE933C4"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$82</w:t>
            </w:r>
          </w:p>
        </w:tc>
        <w:tc>
          <w:tcPr>
            <w:tcW w:w="1366" w:type="dxa"/>
            <w:vAlign w:val="center"/>
          </w:tcPr>
          <w:p w14:paraId="7973D505"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$166</w:t>
            </w:r>
          </w:p>
        </w:tc>
      </w:tr>
      <w:tr w:rsidR="00C51F69" w:rsidRPr="00CD29D0" w14:paraId="4D20E382" w14:textId="77777777" w:rsidTr="00BF0B5C">
        <w:tc>
          <w:tcPr>
            <w:tcW w:w="5246" w:type="dxa"/>
          </w:tcPr>
          <w:p w14:paraId="42B7460C" w14:textId="77777777" w:rsidR="00C51F69" w:rsidRPr="00CD29D0" w:rsidRDefault="00C51F69" w:rsidP="00BF0B5C">
            <w:pPr>
              <w:pStyle w:val="TableText"/>
            </w:pPr>
            <w:r w:rsidRPr="00CD29D0">
              <w:t>Instructional materials, equipment, and technology</w:t>
            </w:r>
          </w:p>
        </w:tc>
        <w:tc>
          <w:tcPr>
            <w:tcW w:w="1366" w:type="dxa"/>
            <w:vAlign w:val="center"/>
          </w:tcPr>
          <w:p w14:paraId="0C070C69"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$600</w:t>
            </w:r>
          </w:p>
        </w:tc>
        <w:tc>
          <w:tcPr>
            <w:tcW w:w="1366" w:type="dxa"/>
            <w:vAlign w:val="center"/>
          </w:tcPr>
          <w:p w14:paraId="0573C7A7"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$541</w:t>
            </w:r>
          </w:p>
        </w:tc>
        <w:tc>
          <w:tcPr>
            <w:tcW w:w="1366" w:type="dxa"/>
            <w:vAlign w:val="center"/>
          </w:tcPr>
          <w:p w14:paraId="45BF0B4A"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$447</w:t>
            </w:r>
          </w:p>
        </w:tc>
      </w:tr>
      <w:tr w:rsidR="00C51F69" w:rsidRPr="00CD29D0" w14:paraId="47F99DD2"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01C4D2F7" w14:textId="77777777" w:rsidR="00C51F69" w:rsidRPr="00CD29D0" w:rsidRDefault="00C51F69" w:rsidP="00BF0B5C">
            <w:pPr>
              <w:pStyle w:val="TableText"/>
            </w:pPr>
            <w:r w:rsidRPr="00CD29D0">
              <w:t>Guidance, counseling, and testing services</w:t>
            </w:r>
          </w:p>
        </w:tc>
        <w:tc>
          <w:tcPr>
            <w:tcW w:w="1366" w:type="dxa"/>
            <w:vAlign w:val="center"/>
          </w:tcPr>
          <w:p w14:paraId="76DDEDF2"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$845</w:t>
            </w:r>
          </w:p>
        </w:tc>
        <w:tc>
          <w:tcPr>
            <w:tcW w:w="1366" w:type="dxa"/>
            <w:vAlign w:val="center"/>
          </w:tcPr>
          <w:p w14:paraId="3AFE612A"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$800</w:t>
            </w:r>
          </w:p>
        </w:tc>
        <w:tc>
          <w:tcPr>
            <w:tcW w:w="1366" w:type="dxa"/>
            <w:vAlign w:val="center"/>
          </w:tcPr>
          <w:p w14:paraId="4BE26997"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$818</w:t>
            </w:r>
          </w:p>
        </w:tc>
      </w:tr>
      <w:tr w:rsidR="00C51F69" w:rsidRPr="00CD29D0" w14:paraId="7BBDDC00" w14:textId="77777777" w:rsidTr="00BF0B5C">
        <w:tc>
          <w:tcPr>
            <w:tcW w:w="5246" w:type="dxa"/>
          </w:tcPr>
          <w:p w14:paraId="4E286492" w14:textId="77777777" w:rsidR="00C51F69" w:rsidRPr="00CD29D0" w:rsidRDefault="00C51F69" w:rsidP="00BF0B5C">
            <w:pPr>
              <w:pStyle w:val="TableText"/>
            </w:pPr>
            <w:r w:rsidRPr="00CD29D0">
              <w:t>Pupil services</w:t>
            </w:r>
          </w:p>
        </w:tc>
        <w:tc>
          <w:tcPr>
            <w:tcW w:w="1366" w:type="dxa"/>
            <w:vAlign w:val="center"/>
          </w:tcPr>
          <w:p w14:paraId="7EA7025D"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$1,685</w:t>
            </w:r>
          </w:p>
        </w:tc>
        <w:tc>
          <w:tcPr>
            <w:tcW w:w="1366" w:type="dxa"/>
            <w:vAlign w:val="center"/>
          </w:tcPr>
          <w:p w14:paraId="68129501"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$1,985</w:t>
            </w:r>
          </w:p>
        </w:tc>
        <w:tc>
          <w:tcPr>
            <w:tcW w:w="1366" w:type="dxa"/>
            <w:vAlign w:val="center"/>
          </w:tcPr>
          <w:p w14:paraId="2BEB44DF"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$2,062</w:t>
            </w:r>
          </w:p>
        </w:tc>
      </w:tr>
      <w:tr w:rsidR="00C51F69" w:rsidRPr="00CD29D0" w14:paraId="0EA9200D"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3DADE6A8" w14:textId="77777777" w:rsidR="00C51F69" w:rsidRPr="00CD29D0" w:rsidRDefault="00C51F69" w:rsidP="00BF0B5C">
            <w:pPr>
              <w:pStyle w:val="TableText"/>
            </w:pPr>
            <w:r w:rsidRPr="00CD29D0">
              <w:t>Operations and maintenance</w:t>
            </w:r>
          </w:p>
        </w:tc>
        <w:tc>
          <w:tcPr>
            <w:tcW w:w="1366" w:type="dxa"/>
            <w:vAlign w:val="center"/>
          </w:tcPr>
          <w:p w14:paraId="5376A235"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$1,274</w:t>
            </w:r>
          </w:p>
        </w:tc>
        <w:tc>
          <w:tcPr>
            <w:tcW w:w="1366" w:type="dxa"/>
            <w:vAlign w:val="center"/>
          </w:tcPr>
          <w:p w14:paraId="0939A9AB"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$1,352</w:t>
            </w:r>
          </w:p>
        </w:tc>
        <w:tc>
          <w:tcPr>
            <w:tcW w:w="1366" w:type="dxa"/>
            <w:vAlign w:val="center"/>
          </w:tcPr>
          <w:p w14:paraId="042EB381"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$1,154</w:t>
            </w:r>
          </w:p>
        </w:tc>
      </w:tr>
      <w:tr w:rsidR="00C51F69" w:rsidRPr="00CD29D0" w14:paraId="2C5954AF" w14:textId="77777777" w:rsidTr="00BF0B5C">
        <w:tc>
          <w:tcPr>
            <w:tcW w:w="5246" w:type="dxa"/>
          </w:tcPr>
          <w:p w14:paraId="093F5171" w14:textId="77777777" w:rsidR="00C51F69" w:rsidRPr="00CD29D0" w:rsidRDefault="00C51F69" w:rsidP="00BF0B5C">
            <w:pPr>
              <w:pStyle w:val="TableText"/>
            </w:pPr>
            <w:r w:rsidRPr="00CD29D0">
              <w:t>Insurance, retirement, and other fixed costs</w:t>
            </w:r>
          </w:p>
        </w:tc>
        <w:tc>
          <w:tcPr>
            <w:tcW w:w="1366" w:type="dxa"/>
            <w:vAlign w:val="center"/>
          </w:tcPr>
          <w:p w14:paraId="5D2410CD"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$3,031</w:t>
            </w:r>
          </w:p>
        </w:tc>
        <w:tc>
          <w:tcPr>
            <w:tcW w:w="1366" w:type="dxa"/>
            <w:vAlign w:val="center"/>
          </w:tcPr>
          <w:p w14:paraId="4BA55D84"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$2,889</w:t>
            </w:r>
          </w:p>
        </w:tc>
        <w:tc>
          <w:tcPr>
            <w:tcW w:w="1366" w:type="dxa"/>
            <w:vAlign w:val="center"/>
          </w:tcPr>
          <w:p w14:paraId="22017103"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$3,406</w:t>
            </w:r>
          </w:p>
        </w:tc>
      </w:tr>
      <w:tr w:rsidR="00C51F69" w:rsidRPr="00CD29D0" w14:paraId="3A331CC8" w14:textId="77777777" w:rsidTr="00BF0B5C">
        <w:trPr>
          <w:cnfStyle w:val="000000100000" w:firstRow="0" w:lastRow="0" w:firstColumn="0" w:lastColumn="0" w:oddVBand="0" w:evenVBand="0" w:oddHBand="1" w:evenHBand="0" w:firstRowFirstColumn="0" w:firstRowLastColumn="0" w:lastRowFirstColumn="0" w:lastRowLastColumn="0"/>
        </w:trPr>
        <w:tc>
          <w:tcPr>
            <w:tcW w:w="5246" w:type="dxa"/>
          </w:tcPr>
          <w:p w14:paraId="7A129A2F" w14:textId="77777777" w:rsidR="00C51F69" w:rsidRPr="00CD29D0" w:rsidRDefault="00C51F69" w:rsidP="00BF0B5C">
            <w:pPr>
              <w:pStyle w:val="TableText"/>
            </w:pPr>
            <w:r w:rsidRPr="00CD29D0">
              <w:t>Total expenditures per in-district pupil</w:t>
            </w:r>
          </w:p>
        </w:tc>
        <w:tc>
          <w:tcPr>
            <w:tcW w:w="1366" w:type="dxa"/>
            <w:vAlign w:val="center"/>
          </w:tcPr>
          <w:p w14:paraId="36B1EA65"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$17,698</w:t>
            </w:r>
          </w:p>
        </w:tc>
        <w:tc>
          <w:tcPr>
            <w:tcW w:w="1366" w:type="dxa"/>
            <w:vAlign w:val="center"/>
          </w:tcPr>
          <w:p w14:paraId="6279FF21"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$18,551</w:t>
            </w:r>
          </w:p>
        </w:tc>
        <w:tc>
          <w:tcPr>
            <w:tcW w:w="1366" w:type="dxa"/>
            <w:vAlign w:val="center"/>
          </w:tcPr>
          <w:p w14:paraId="7D3D780A" w14:textId="77777777" w:rsidR="00C51F69" w:rsidRPr="00CD29D0" w:rsidRDefault="00C51F69" w:rsidP="00BF0B5C">
            <w:pPr>
              <w:pStyle w:val="TableTextCentered"/>
              <w:rPr>
                <w:rFonts w:ascii="Franklin Gothic Book" w:hAnsi="Franklin Gothic Book"/>
              </w:rPr>
            </w:pPr>
            <w:r w:rsidRPr="00CD29D0">
              <w:rPr>
                <w:rFonts w:ascii="Franklin Gothic Book" w:hAnsi="Franklin Gothic Book" w:cs="Calibri"/>
                <w:color w:val="000000"/>
                <w:szCs w:val="20"/>
              </w:rPr>
              <w:t>$19,457</w:t>
            </w:r>
          </w:p>
        </w:tc>
      </w:tr>
    </w:tbl>
    <w:p w14:paraId="255F6E8E" w14:textId="361AEACA" w:rsidR="00C51F69" w:rsidRPr="00CD29D0" w:rsidRDefault="00C51F69" w:rsidP="00424417">
      <w:pPr>
        <w:pStyle w:val="TableNote"/>
        <w:rPr>
          <w:szCs w:val="20"/>
        </w:rPr>
      </w:pPr>
      <w:r w:rsidRPr="00CD29D0">
        <w:rPr>
          <w:i/>
          <w:iCs/>
          <w:szCs w:val="20"/>
        </w:rPr>
        <w:t>Note</w:t>
      </w:r>
      <w:r w:rsidRPr="00CD29D0">
        <w:rPr>
          <w:szCs w:val="20"/>
        </w:rPr>
        <w:t xml:space="preserve">. Any </w:t>
      </w:r>
      <w:r w:rsidRPr="00CD29D0">
        <w:t>discrepancy</w:t>
      </w:r>
      <w:r w:rsidRPr="00CD29D0">
        <w:rPr>
          <w:szCs w:val="20"/>
        </w:rPr>
        <w:t xml:space="preserve"> between expenditures and total is because of rounding. Data are </w:t>
      </w:r>
      <w:r w:rsidRPr="00CD29D0">
        <w:t xml:space="preserve">from the School Finance Dashboard sourced from </w:t>
      </w:r>
      <w:hyperlink r:id="rId50" w:history="1">
        <w:r w:rsidRPr="00CD29D0">
          <w:rPr>
            <w:rStyle w:val="Hyperlink"/>
          </w:rPr>
          <w:t>Resource Allocation and District Action Reports (RADAR)</w:t>
        </w:r>
      </w:hyperlink>
      <w:r w:rsidRPr="00CD29D0">
        <w:t xml:space="preserve"> last updated April 2025.</w:t>
      </w:r>
    </w:p>
    <w:p w14:paraId="6DDCB14A" w14:textId="77777777" w:rsidR="00C51F69" w:rsidRPr="00CD29D0" w:rsidRDefault="00C51F69" w:rsidP="00405424">
      <w:pPr>
        <w:pStyle w:val="BodyText"/>
        <w:sectPr w:rsidR="00C51F69" w:rsidRPr="00CD29D0" w:rsidSect="00424417">
          <w:footerReference w:type="default" r:id="rId51"/>
          <w:pgSz w:w="12240" w:h="15840"/>
          <w:pgMar w:top="1440" w:right="1440" w:bottom="1440" w:left="1440" w:header="720" w:footer="720" w:gutter="0"/>
          <w:pgNumType w:start="1"/>
          <w:cols w:space="720"/>
          <w:docGrid w:linePitch="360"/>
        </w:sectPr>
      </w:pPr>
    </w:p>
    <w:p w14:paraId="347506D3" w14:textId="1F530DC5" w:rsidR="00332F08" w:rsidRPr="00CD29D0" w:rsidRDefault="00332F08" w:rsidP="007C125E">
      <w:pPr>
        <w:pStyle w:val="Heading2"/>
        <w:rPr>
          <w:rFonts w:ascii="Franklin Gothic Book" w:eastAsia="Calibri" w:hAnsi="Franklin Gothic Book" w:cs="Times New Roman"/>
          <w:color w:val="2F5496"/>
        </w:rPr>
      </w:pPr>
      <w:bookmarkStart w:id="198" w:name="_Toc227589902"/>
      <w:bookmarkStart w:id="199" w:name="_Hlk138316045"/>
      <w:r w:rsidRPr="00CD29D0">
        <w:lastRenderedPageBreak/>
        <w:t>Appendix E. Norton Public Schools: Student Performance Data</w:t>
      </w:r>
      <w:r w:rsidRPr="00CD29D0">
        <w:rPr>
          <w:rStyle w:val="FootnoteReference"/>
          <w:rFonts w:ascii="Franklin Gothic Medium" w:eastAsia="Franklin Gothic Book" w:hAnsi="Franklin Gothic Medium" w:cs="Tahoma"/>
          <w:color w:val="2E74B5" w:themeColor="accent1" w:themeShade="BF"/>
          <w:szCs w:val="32"/>
        </w:rPr>
        <w:footnoteReference w:id="7"/>
      </w:r>
      <w:bookmarkEnd w:id="198"/>
    </w:p>
    <w:bookmarkEnd w:id="199"/>
    <w:p w14:paraId="6B5CB719" w14:textId="2A3EABE2"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r w:rsidRPr="00CD29D0">
        <w:fldChar w:fldCharType="begin"/>
      </w:r>
      <w:r w:rsidRPr="00CD29D0">
        <w:instrText xml:space="preserve"> TOC \h \z \t "Table E Title,1" </w:instrText>
      </w:r>
      <w:r w:rsidRPr="00CD29D0">
        <w:fldChar w:fldCharType="separate"/>
      </w:r>
      <w:hyperlink w:anchor="_Toc227587036" w:history="1">
        <w:r w:rsidRPr="00CD29D0">
          <w:rPr>
            <w:rStyle w:val="Hyperlink"/>
            <w:noProof/>
          </w:rPr>
          <w:t>Table E1. MCAS ELA Achievement by Student Group, Grades 3-8,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_Toc227587036 \h </w:instrText>
        </w:r>
        <w:r w:rsidRPr="00CD29D0">
          <w:rPr>
            <w:noProof/>
            <w:webHidden/>
          </w:rPr>
        </w:r>
        <w:r w:rsidRPr="00CD29D0">
          <w:rPr>
            <w:noProof/>
            <w:webHidden/>
          </w:rPr>
          <w:fldChar w:fldCharType="separate"/>
        </w:r>
        <w:r w:rsidR="00730DC1">
          <w:rPr>
            <w:noProof/>
            <w:webHidden/>
          </w:rPr>
          <w:t>2</w:t>
        </w:r>
        <w:r w:rsidRPr="00CD29D0">
          <w:rPr>
            <w:noProof/>
            <w:webHidden/>
          </w:rPr>
          <w:fldChar w:fldCharType="end"/>
        </w:r>
      </w:hyperlink>
    </w:p>
    <w:p w14:paraId="5EE91BC9" w14:textId="6A8DDDD9"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37" w:history="1">
        <w:r w:rsidRPr="00CD29D0">
          <w:rPr>
            <w:rStyle w:val="Hyperlink"/>
            <w:noProof/>
          </w:rPr>
          <w:t>Table E2. MCAS ELA Achievement by Student Group, Grade 10,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_Toc227587037 \h </w:instrText>
        </w:r>
        <w:r w:rsidRPr="00CD29D0">
          <w:rPr>
            <w:noProof/>
            <w:webHidden/>
          </w:rPr>
        </w:r>
        <w:r w:rsidRPr="00CD29D0">
          <w:rPr>
            <w:noProof/>
            <w:webHidden/>
          </w:rPr>
          <w:fldChar w:fldCharType="separate"/>
        </w:r>
        <w:r w:rsidR="00730DC1">
          <w:rPr>
            <w:noProof/>
            <w:webHidden/>
          </w:rPr>
          <w:t>2</w:t>
        </w:r>
        <w:r w:rsidRPr="00CD29D0">
          <w:rPr>
            <w:noProof/>
            <w:webHidden/>
          </w:rPr>
          <w:fldChar w:fldCharType="end"/>
        </w:r>
      </w:hyperlink>
    </w:p>
    <w:p w14:paraId="2FDBE8D4" w14:textId="014EEA12"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38" w:history="1">
        <w:r w:rsidRPr="00CD29D0">
          <w:rPr>
            <w:rStyle w:val="Hyperlink"/>
            <w:noProof/>
          </w:rPr>
          <w:t>Table E3. MCAS Mathematics Achievement by Student Group, Grades 3-8,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_Toc227587038 \h </w:instrText>
        </w:r>
        <w:r w:rsidRPr="00CD29D0">
          <w:rPr>
            <w:noProof/>
            <w:webHidden/>
          </w:rPr>
        </w:r>
        <w:r w:rsidRPr="00CD29D0">
          <w:rPr>
            <w:noProof/>
            <w:webHidden/>
          </w:rPr>
          <w:fldChar w:fldCharType="separate"/>
        </w:r>
        <w:r w:rsidR="00730DC1">
          <w:rPr>
            <w:noProof/>
            <w:webHidden/>
          </w:rPr>
          <w:t>3</w:t>
        </w:r>
        <w:r w:rsidRPr="00CD29D0">
          <w:rPr>
            <w:noProof/>
            <w:webHidden/>
          </w:rPr>
          <w:fldChar w:fldCharType="end"/>
        </w:r>
      </w:hyperlink>
    </w:p>
    <w:p w14:paraId="227FDBB1" w14:textId="195BA94D"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39" w:history="1">
        <w:r w:rsidRPr="00CD29D0">
          <w:rPr>
            <w:rStyle w:val="Hyperlink"/>
            <w:noProof/>
          </w:rPr>
          <w:t>Table E4. MCAS Mathematics Achievement by Student Group, Grade 10,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_Toc227587039 \h </w:instrText>
        </w:r>
        <w:r w:rsidRPr="00CD29D0">
          <w:rPr>
            <w:noProof/>
            <w:webHidden/>
          </w:rPr>
        </w:r>
        <w:r w:rsidRPr="00CD29D0">
          <w:rPr>
            <w:noProof/>
            <w:webHidden/>
          </w:rPr>
          <w:fldChar w:fldCharType="separate"/>
        </w:r>
        <w:r w:rsidR="00730DC1">
          <w:rPr>
            <w:noProof/>
            <w:webHidden/>
          </w:rPr>
          <w:t>3</w:t>
        </w:r>
        <w:r w:rsidRPr="00CD29D0">
          <w:rPr>
            <w:noProof/>
            <w:webHidden/>
          </w:rPr>
          <w:fldChar w:fldCharType="end"/>
        </w:r>
      </w:hyperlink>
    </w:p>
    <w:p w14:paraId="1E1BE481" w14:textId="386BFF4D"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0" w:history="1">
        <w:r w:rsidRPr="00CD29D0">
          <w:rPr>
            <w:rStyle w:val="Hyperlink"/>
            <w:noProof/>
          </w:rPr>
          <w:t>Table E5. MCAS Science Achievement by Student Group, Grades 5 and 8,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_Toc227587040 \h </w:instrText>
        </w:r>
        <w:r w:rsidRPr="00CD29D0">
          <w:rPr>
            <w:noProof/>
            <w:webHidden/>
          </w:rPr>
        </w:r>
        <w:r w:rsidRPr="00CD29D0">
          <w:rPr>
            <w:noProof/>
            <w:webHidden/>
          </w:rPr>
          <w:fldChar w:fldCharType="separate"/>
        </w:r>
        <w:r w:rsidR="00730DC1">
          <w:rPr>
            <w:noProof/>
            <w:webHidden/>
          </w:rPr>
          <w:t>4</w:t>
        </w:r>
        <w:r w:rsidRPr="00CD29D0">
          <w:rPr>
            <w:noProof/>
            <w:webHidden/>
          </w:rPr>
          <w:fldChar w:fldCharType="end"/>
        </w:r>
      </w:hyperlink>
    </w:p>
    <w:p w14:paraId="2F19DC1E" w14:textId="5C0FDC7D"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1" w:history="1">
        <w:r w:rsidRPr="00CD29D0">
          <w:rPr>
            <w:rStyle w:val="Hyperlink"/>
            <w:noProof/>
          </w:rPr>
          <w:t>Table E6. MCAS Science Achievement by Student Group, Grade 10,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_Toc227587041 \h </w:instrText>
        </w:r>
        <w:r w:rsidRPr="00CD29D0">
          <w:rPr>
            <w:noProof/>
            <w:webHidden/>
          </w:rPr>
        </w:r>
        <w:r w:rsidRPr="00CD29D0">
          <w:rPr>
            <w:noProof/>
            <w:webHidden/>
          </w:rPr>
          <w:fldChar w:fldCharType="separate"/>
        </w:r>
        <w:r w:rsidR="00730DC1">
          <w:rPr>
            <w:noProof/>
            <w:webHidden/>
          </w:rPr>
          <w:t>4</w:t>
        </w:r>
        <w:r w:rsidRPr="00CD29D0">
          <w:rPr>
            <w:noProof/>
            <w:webHidden/>
          </w:rPr>
          <w:fldChar w:fldCharType="end"/>
        </w:r>
      </w:hyperlink>
    </w:p>
    <w:p w14:paraId="0E1E27AB" w14:textId="4BD194C7"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2" w:history="1">
        <w:r w:rsidRPr="00CD29D0">
          <w:rPr>
            <w:rStyle w:val="Hyperlink"/>
            <w:noProof/>
          </w:rPr>
          <w:t>Table E7. MCAS ELA Achievement by Grade,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_Toc227587042 \h </w:instrText>
        </w:r>
        <w:r w:rsidRPr="00CD29D0">
          <w:rPr>
            <w:noProof/>
            <w:webHidden/>
          </w:rPr>
        </w:r>
        <w:r w:rsidRPr="00CD29D0">
          <w:rPr>
            <w:noProof/>
            <w:webHidden/>
          </w:rPr>
          <w:fldChar w:fldCharType="separate"/>
        </w:r>
        <w:r w:rsidR="00730DC1">
          <w:rPr>
            <w:noProof/>
            <w:webHidden/>
          </w:rPr>
          <w:t>5</w:t>
        </w:r>
        <w:r w:rsidRPr="00CD29D0">
          <w:rPr>
            <w:noProof/>
            <w:webHidden/>
          </w:rPr>
          <w:fldChar w:fldCharType="end"/>
        </w:r>
      </w:hyperlink>
    </w:p>
    <w:p w14:paraId="35E48A83" w14:textId="7DE2CEE6"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3" w:history="1">
        <w:r w:rsidRPr="00CD29D0">
          <w:rPr>
            <w:rStyle w:val="Hyperlink"/>
            <w:noProof/>
          </w:rPr>
          <w:t>Table E8. MCAS Mathematics Achievement by Grade,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_Toc227587043 \h </w:instrText>
        </w:r>
        <w:r w:rsidRPr="00CD29D0">
          <w:rPr>
            <w:noProof/>
            <w:webHidden/>
          </w:rPr>
        </w:r>
        <w:r w:rsidRPr="00CD29D0">
          <w:rPr>
            <w:noProof/>
            <w:webHidden/>
          </w:rPr>
          <w:fldChar w:fldCharType="separate"/>
        </w:r>
        <w:r w:rsidR="00730DC1">
          <w:rPr>
            <w:noProof/>
            <w:webHidden/>
          </w:rPr>
          <w:t>5</w:t>
        </w:r>
        <w:r w:rsidRPr="00CD29D0">
          <w:rPr>
            <w:noProof/>
            <w:webHidden/>
          </w:rPr>
          <w:fldChar w:fldCharType="end"/>
        </w:r>
      </w:hyperlink>
    </w:p>
    <w:p w14:paraId="1BA290B2" w14:textId="00CBEDC8"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4" w:history="1">
        <w:r w:rsidRPr="00CD29D0">
          <w:rPr>
            <w:rStyle w:val="Hyperlink"/>
            <w:noProof/>
          </w:rPr>
          <w:t>Table E9. MCAS Science Achievement by Grade,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_Toc227587044 \h </w:instrText>
        </w:r>
        <w:r w:rsidRPr="00CD29D0">
          <w:rPr>
            <w:noProof/>
            <w:webHidden/>
          </w:rPr>
        </w:r>
        <w:r w:rsidRPr="00CD29D0">
          <w:rPr>
            <w:noProof/>
            <w:webHidden/>
          </w:rPr>
          <w:fldChar w:fldCharType="separate"/>
        </w:r>
        <w:r w:rsidR="00730DC1">
          <w:rPr>
            <w:noProof/>
            <w:webHidden/>
          </w:rPr>
          <w:t>5</w:t>
        </w:r>
        <w:r w:rsidRPr="00CD29D0">
          <w:rPr>
            <w:noProof/>
            <w:webHidden/>
          </w:rPr>
          <w:fldChar w:fldCharType="end"/>
        </w:r>
      </w:hyperlink>
    </w:p>
    <w:p w14:paraId="4695AC9E" w14:textId="4FBAABD3"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5" w:history="1">
        <w:r w:rsidRPr="00CD29D0">
          <w:rPr>
            <w:rStyle w:val="Hyperlink"/>
            <w:noProof/>
          </w:rPr>
          <w:t>Table E14. MCAS ELA Mean Student Growth Percentile by Grade,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_Toc227587045 \h </w:instrText>
        </w:r>
        <w:r w:rsidRPr="00CD29D0">
          <w:rPr>
            <w:noProof/>
            <w:webHidden/>
          </w:rPr>
        </w:r>
        <w:r w:rsidRPr="00CD29D0">
          <w:rPr>
            <w:noProof/>
            <w:webHidden/>
          </w:rPr>
          <w:fldChar w:fldCharType="separate"/>
        </w:r>
        <w:r w:rsidR="00730DC1">
          <w:rPr>
            <w:noProof/>
            <w:webHidden/>
          </w:rPr>
          <w:t>8</w:t>
        </w:r>
        <w:r w:rsidRPr="00CD29D0">
          <w:rPr>
            <w:noProof/>
            <w:webHidden/>
          </w:rPr>
          <w:fldChar w:fldCharType="end"/>
        </w:r>
      </w:hyperlink>
    </w:p>
    <w:p w14:paraId="770C0CD3" w14:textId="13E7D2E9"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6" w:history="1">
        <w:r w:rsidRPr="00CD29D0">
          <w:rPr>
            <w:rStyle w:val="Hyperlink"/>
            <w:noProof/>
          </w:rPr>
          <w:t>Table E15. MCAS Mathematics Mean Student Growth Percentile by Grade,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_Toc227587046 \h </w:instrText>
        </w:r>
        <w:r w:rsidRPr="00CD29D0">
          <w:rPr>
            <w:noProof/>
            <w:webHidden/>
          </w:rPr>
        </w:r>
        <w:r w:rsidRPr="00CD29D0">
          <w:rPr>
            <w:noProof/>
            <w:webHidden/>
          </w:rPr>
          <w:fldChar w:fldCharType="separate"/>
        </w:r>
        <w:r w:rsidR="00730DC1">
          <w:rPr>
            <w:noProof/>
            <w:webHidden/>
          </w:rPr>
          <w:t>8</w:t>
        </w:r>
        <w:r w:rsidRPr="00CD29D0">
          <w:rPr>
            <w:noProof/>
            <w:webHidden/>
          </w:rPr>
          <w:fldChar w:fldCharType="end"/>
        </w:r>
      </w:hyperlink>
    </w:p>
    <w:p w14:paraId="2454FC48" w14:textId="048BE028"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7" w:history="1">
        <w:r w:rsidRPr="00CD29D0">
          <w:rPr>
            <w:rStyle w:val="Hyperlink"/>
            <w:noProof/>
          </w:rPr>
          <w:t>Table E16. Four-Year Cohort Graduation Rates by Student Group, 2022-2024</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_Toc227587047 \h </w:instrText>
        </w:r>
        <w:r w:rsidRPr="00CD29D0">
          <w:rPr>
            <w:noProof/>
            <w:webHidden/>
          </w:rPr>
        </w:r>
        <w:r w:rsidRPr="00CD29D0">
          <w:rPr>
            <w:noProof/>
            <w:webHidden/>
          </w:rPr>
          <w:fldChar w:fldCharType="separate"/>
        </w:r>
        <w:r w:rsidR="00730DC1">
          <w:rPr>
            <w:noProof/>
            <w:webHidden/>
          </w:rPr>
          <w:t>8</w:t>
        </w:r>
        <w:r w:rsidRPr="00CD29D0">
          <w:rPr>
            <w:noProof/>
            <w:webHidden/>
          </w:rPr>
          <w:fldChar w:fldCharType="end"/>
        </w:r>
      </w:hyperlink>
    </w:p>
    <w:p w14:paraId="6B5F12EC" w14:textId="2FE38C77"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8" w:history="1">
        <w:r w:rsidRPr="00CD29D0">
          <w:rPr>
            <w:rStyle w:val="Hyperlink"/>
            <w:noProof/>
          </w:rPr>
          <w:t>Table E17. Five-Year Cohort Graduation Rates by Student Group, 2021-2023</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_Toc227587048 \h </w:instrText>
        </w:r>
        <w:r w:rsidRPr="00CD29D0">
          <w:rPr>
            <w:noProof/>
            <w:webHidden/>
          </w:rPr>
        </w:r>
        <w:r w:rsidRPr="00CD29D0">
          <w:rPr>
            <w:noProof/>
            <w:webHidden/>
          </w:rPr>
          <w:fldChar w:fldCharType="separate"/>
        </w:r>
        <w:r w:rsidR="00730DC1">
          <w:rPr>
            <w:noProof/>
            <w:webHidden/>
          </w:rPr>
          <w:t>9</w:t>
        </w:r>
        <w:r w:rsidRPr="00CD29D0">
          <w:rPr>
            <w:noProof/>
            <w:webHidden/>
          </w:rPr>
          <w:fldChar w:fldCharType="end"/>
        </w:r>
      </w:hyperlink>
    </w:p>
    <w:p w14:paraId="3965CD7D" w14:textId="0DF7D171"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49" w:history="1">
        <w:r w:rsidRPr="00CD29D0">
          <w:rPr>
            <w:rStyle w:val="Hyperlink"/>
            <w:noProof/>
          </w:rPr>
          <w:t>Table E18. Annual Dropout Rates by Student Group, 2022-2024</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_Toc227587049 \h </w:instrText>
        </w:r>
        <w:r w:rsidRPr="00CD29D0">
          <w:rPr>
            <w:noProof/>
            <w:webHidden/>
          </w:rPr>
        </w:r>
        <w:r w:rsidRPr="00CD29D0">
          <w:rPr>
            <w:noProof/>
            <w:webHidden/>
          </w:rPr>
          <w:fldChar w:fldCharType="separate"/>
        </w:r>
        <w:r w:rsidR="00730DC1">
          <w:rPr>
            <w:noProof/>
            <w:webHidden/>
          </w:rPr>
          <w:t>9</w:t>
        </w:r>
        <w:r w:rsidRPr="00CD29D0">
          <w:rPr>
            <w:noProof/>
            <w:webHidden/>
          </w:rPr>
          <w:fldChar w:fldCharType="end"/>
        </w:r>
      </w:hyperlink>
    </w:p>
    <w:p w14:paraId="118901AA" w14:textId="35B18CA6"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50" w:history="1">
        <w:r w:rsidRPr="00CD29D0">
          <w:rPr>
            <w:rStyle w:val="Hyperlink"/>
            <w:noProof/>
          </w:rPr>
          <w:t>Table E19. In-School Suspension Rates by Student Group, 2022-2024</w:t>
        </w:r>
        <w:r w:rsidRPr="00CD29D0">
          <w:rPr>
            <w:noProof/>
            <w:webHidden/>
          </w:rPr>
          <w:tab/>
        </w:r>
        <w:r w:rsidR="00922170">
          <w:rPr>
            <w:noProof/>
            <w:webHidden/>
          </w:rPr>
          <w:t>E-</w:t>
        </w:r>
        <w:r w:rsidRPr="00CD29D0">
          <w:rPr>
            <w:noProof/>
            <w:webHidden/>
          </w:rPr>
          <w:fldChar w:fldCharType="begin"/>
        </w:r>
        <w:r w:rsidRPr="00CD29D0">
          <w:rPr>
            <w:noProof/>
            <w:webHidden/>
          </w:rPr>
          <w:instrText xml:space="preserve"> PAGEREF _Toc227587050 \h </w:instrText>
        </w:r>
        <w:r w:rsidRPr="00CD29D0">
          <w:rPr>
            <w:noProof/>
            <w:webHidden/>
          </w:rPr>
        </w:r>
        <w:r w:rsidRPr="00CD29D0">
          <w:rPr>
            <w:noProof/>
            <w:webHidden/>
          </w:rPr>
          <w:fldChar w:fldCharType="separate"/>
        </w:r>
        <w:r w:rsidR="00730DC1">
          <w:rPr>
            <w:noProof/>
            <w:webHidden/>
          </w:rPr>
          <w:t>10</w:t>
        </w:r>
        <w:r w:rsidRPr="00CD29D0">
          <w:rPr>
            <w:noProof/>
            <w:webHidden/>
          </w:rPr>
          <w:fldChar w:fldCharType="end"/>
        </w:r>
      </w:hyperlink>
    </w:p>
    <w:p w14:paraId="501194A6" w14:textId="409EECB4"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51" w:history="1">
        <w:r w:rsidRPr="00CD29D0">
          <w:rPr>
            <w:rStyle w:val="Hyperlink"/>
            <w:noProof/>
          </w:rPr>
          <w:t>Table E20. Out-of-School Suspension Rates by Student Group, 2022-2024</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_Toc227587051 \h </w:instrText>
        </w:r>
        <w:r w:rsidRPr="00CD29D0">
          <w:rPr>
            <w:noProof/>
            <w:webHidden/>
          </w:rPr>
        </w:r>
        <w:r w:rsidRPr="00CD29D0">
          <w:rPr>
            <w:noProof/>
            <w:webHidden/>
          </w:rPr>
          <w:fldChar w:fldCharType="separate"/>
        </w:r>
        <w:r w:rsidR="00730DC1">
          <w:rPr>
            <w:noProof/>
            <w:webHidden/>
          </w:rPr>
          <w:t>10</w:t>
        </w:r>
        <w:r w:rsidRPr="00CD29D0">
          <w:rPr>
            <w:noProof/>
            <w:webHidden/>
          </w:rPr>
          <w:fldChar w:fldCharType="end"/>
        </w:r>
      </w:hyperlink>
    </w:p>
    <w:p w14:paraId="4D807F7E" w14:textId="0498367E"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52" w:history="1">
        <w:r w:rsidRPr="00CD29D0">
          <w:rPr>
            <w:rStyle w:val="Hyperlink"/>
            <w:noProof/>
          </w:rPr>
          <w:t>Table E21. Advanced Coursework Completion Rates by Student Group, 2023-2025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_Toc227587052 \h </w:instrText>
        </w:r>
        <w:r w:rsidRPr="00CD29D0">
          <w:rPr>
            <w:noProof/>
            <w:webHidden/>
          </w:rPr>
        </w:r>
        <w:r w:rsidRPr="00CD29D0">
          <w:rPr>
            <w:noProof/>
            <w:webHidden/>
          </w:rPr>
          <w:fldChar w:fldCharType="separate"/>
        </w:r>
        <w:r w:rsidR="00730DC1">
          <w:rPr>
            <w:noProof/>
            <w:webHidden/>
          </w:rPr>
          <w:t>11</w:t>
        </w:r>
        <w:r w:rsidRPr="00CD29D0">
          <w:rPr>
            <w:noProof/>
            <w:webHidden/>
          </w:rPr>
          <w:fldChar w:fldCharType="end"/>
        </w:r>
      </w:hyperlink>
    </w:p>
    <w:p w14:paraId="55A7E0C9" w14:textId="6A7E3663" w:rsidR="00424417" w:rsidRPr="00CD29D0" w:rsidRDefault="00424417" w:rsidP="008865DA">
      <w:pPr>
        <w:pStyle w:val="TOC1"/>
        <w:tabs>
          <w:tab w:val="clear" w:pos="9350"/>
          <w:tab w:val="right" w:leader="dot" w:pos="12870"/>
        </w:tabs>
        <w:rPr>
          <w:rFonts w:eastAsiaTheme="minorEastAsia"/>
          <w:noProof/>
          <w:kern w:val="2"/>
          <w:sz w:val="24"/>
          <w:szCs w:val="24"/>
          <w14:ligatures w14:val="standardContextual"/>
        </w:rPr>
      </w:pPr>
      <w:hyperlink w:anchor="_Toc227587053" w:history="1">
        <w:r w:rsidRPr="00CD29D0">
          <w:rPr>
            <w:rStyle w:val="Hyperlink"/>
            <w:noProof/>
          </w:rPr>
          <w:t>Table E22. Accountability Results, 2025</w:t>
        </w:r>
        <w:r w:rsidRPr="00CD29D0">
          <w:rPr>
            <w:noProof/>
            <w:webHidden/>
          </w:rPr>
          <w:tab/>
        </w:r>
        <w:r w:rsidR="000548DA" w:rsidRPr="00CD29D0">
          <w:rPr>
            <w:noProof/>
            <w:webHidden/>
          </w:rPr>
          <w:t>E-</w:t>
        </w:r>
        <w:r w:rsidRPr="00CD29D0">
          <w:rPr>
            <w:noProof/>
            <w:webHidden/>
          </w:rPr>
          <w:fldChar w:fldCharType="begin"/>
        </w:r>
        <w:r w:rsidRPr="00CD29D0">
          <w:rPr>
            <w:noProof/>
            <w:webHidden/>
          </w:rPr>
          <w:instrText xml:space="preserve"> PAGEREF _Toc227587053 \h </w:instrText>
        </w:r>
        <w:r w:rsidRPr="00CD29D0">
          <w:rPr>
            <w:noProof/>
            <w:webHidden/>
          </w:rPr>
        </w:r>
        <w:r w:rsidRPr="00CD29D0">
          <w:rPr>
            <w:noProof/>
            <w:webHidden/>
          </w:rPr>
          <w:fldChar w:fldCharType="separate"/>
        </w:r>
        <w:r w:rsidR="00730DC1">
          <w:rPr>
            <w:noProof/>
            <w:webHidden/>
          </w:rPr>
          <w:t>11</w:t>
        </w:r>
        <w:r w:rsidRPr="00CD29D0">
          <w:rPr>
            <w:noProof/>
            <w:webHidden/>
          </w:rPr>
          <w:fldChar w:fldCharType="end"/>
        </w:r>
      </w:hyperlink>
    </w:p>
    <w:p w14:paraId="1EB4814E" w14:textId="24675AF5" w:rsidR="00332F08" w:rsidRPr="00CD29D0" w:rsidRDefault="00424417" w:rsidP="00332F08">
      <w:pPr>
        <w:pStyle w:val="BodyText"/>
      </w:pPr>
      <w:r w:rsidRPr="00CD29D0">
        <w:fldChar w:fldCharType="end"/>
      </w:r>
      <w:r w:rsidR="00332F08" w:rsidRPr="00CD29D0">
        <w:br w:type="page"/>
      </w:r>
    </w:p>
    <w:p w14:paraId="0DD153B2" w14:textId="77777777" w:rsidR="00332F08" w:rsidRPr="00CD29D0" w:rsidRDefault="00332F08" w:rsidP="00332F08">
      <w:pPr>
        <w:pStyle w:val="TableETitle"/>
      </w:pPr>
      <w:bookmarkStart w:id="200" w:name="_Toc211928944"/>
      <w:bookmarkStart w:id="201" w:name="_Toc227587036"/>
      <w:bookmarkStart w:id="202" w:name="_Hlk204603145"/>
      <w:r w:rsidRPr="00CD29D0">
        <w:lastRenderedPageBreak/>
        <w:t>Table E1. MCAS ELA Achievement by Student Group, Grades 3-8, 2023-2025</w:t>
      </w:r>
      <w:bookmarkEnd w:id="200"/>
      <w:bookmarkEnd w:id="201"/>
      <w:r w:rsidRPr="00CD29D0">
        <w:t xml:space="preserve"> </w:t>
      </w:r>
    </w:p>
    <w:tbl>
      <w:tblPr>
        <w:tblStyle w:val="MSVTable1"/>
        <w:tblW w:w="5107" w:type="pct"/>
        <w:jc w:val="center"/>
        <w:tblLayout w:type="fixed"/>
        <w:tblLook w:val="0420" w:firstRow="1" w:lastRow="0" w:firstColumn="0" w:lastColumn="0" w:noHBand="0" w:noVBand="1"/>
        <w:tblCaption w:val="Table E1. MCAS ELA Achievement by Student Group, Grades 3-8, 2023-2025 "/>
        <w:tblDescription w:val="MCAS ELA Achievement by Student Group, Grades 3-8, 2023-2025 "/>
      </w:tblPr>
      <w:tblGrid>
        <w:gridCol w:w="3411"/>
        <w:gridCol w:w="902"/>
        <w:gridCol w:w="743"/>
        <w:gridCol w:w="743"/>
        <w:gridCol w:w="743"/>
        <w:gridCol w:w="743"/>
        <w:gridCol w:w="743"/>
        <w:gridCol w:w="743"/>
        <w:gridCol w:w="743"/>
        <w:gridCol w:w="743"/>
        <w:gridCol w:w="743"/>
        <w:gridCol w:w="743"/>
        <w:gridCol w:w="743"/>
        <w:gridCol w:w="735"/>
      </w:tblGrid>
      <w:tr w:rsidR="00332F08" w:rsidRPr="0057552B" w14:paraId="3B25BB59"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32849CA5" w14:textId="77777777" w:rsidR="00332F08" w:rsidRPr="0057552B" w:rsidRDefault="00332F08" w:rsidP="00BF0B5C">
            <w:pPr>
              <w:pStyle w:val="TableColHeadingCenter"/>
              <w:spacing w:before="20" w:after="20"/>
            </w:pPr>
            <w:r w:rsidRPr="0057552B">
              <w:t>Group</w:t>
            </w:r>
          </w:p>
        </w:tc>
        <w:tc>
          <w:tcPr>
            <w:tcW w:w="341" w:type="pct"/>
            <w:vAlign w:val="center"/>
          </w:tcPr>
          <w:p w14:paraId="247A3CA3" w14:textId="77777777" w:rsidR="00332F08" w:rsidRPr="0057552B" w:rsidRDefault="00332F08" w:rsidP="00BF0B5C">
            <w:pPr>
              <w:pStyle w:val="TableColHeadingCenter"/>
              <w:spacing w:before="20" w:after="20"/>
            </w:pPr>
            <w:r w:rsidRPr="0057552B">
              <w:t># Included (2025)</w:t>
            </w:r>
          </w:p>
        </w:tc>
        <w:tc>
          <w:tcPr>
            <w:tcW w:w="281" w:type="pct"/>
            <w:vAlign w:val="center"/>
          </w:tcPr>
          <w:p w14:paraId="0074F2C4" w14:textId="77777777" w:rsidR="00332F08" w:rsidRPr="0057552B" w:rsidRDefault="00332F08" w:rsidP="00BF0B5C">
            <w:pPr>
              <w:pStyle w:val="TableColHeadingCenter"/>
              <w:spacing w:before="20" w:after="20"/>
            </w:pPr>
            <w:r w:rsidRPr="0057552B">
              <w:t>% M/E 2023</w:t>
            </w:r>
          </w:p>
        </w:tc>
        <w:tc>
          <w:tcPr>
            <w:tcW w:w="281" w:type="pct"/>
            <w:vAlign w:val="center"/>
          </w:tcPr>
          <w:p w14:paraId="2191E980" w14:textId="77777777" w:rsidR="00332F08" w:rsidRPr="0057552B" w:rsidRDefault="00332F08" w:rsidP="00BF0B5C">
            <w:pPr>
              <w:pStyle w:val="TableColHeadingCenter"/>
              <w:spacing w:before="20" w:after="20"/>
            </w:pPr>
            <w:r w:rsidRPr="0057552B">
              <w:t>% M/E 2024</w:t>
            </w:r>
          </w:p>
        </w:tc>
        <w:tc>
          <w:tcPr>
            <w:tcW w:w="281" w:type="pct"/>
            <w:vAlign w:val="center"/>
          </w:tcPr>
          <w:p w14:paraId="75B791FD" w14:textId="77777777" w:rsidR="00332F08" w:rsidRPr="0057552B" w:rsidRDefault="00332F08" w:rsidP="00BF0B5C">
            <w:pPr>
              <w:pStyle w:val="TableColHeadingCenter"/>
              <w:spacing w:before="20" w:after="20"/>
            </w:pPr>
            <w:r w:rsidRPr="0057552B">
              <w:t>% M/E 2025</w:t>
            </w:r>
          </w:p>
        </w:tc>
        <w:tc>
          <w:tcPr>
            <w:tcW w:w="281" w:type="pct"/>
            <w:vAlign w:val="center"/>
          </w:tcPr>
          <w:p w14:paraId="1E688EFC" w14:textId="77777777" w:rsidR="00332F08" w:rsidRPr="0057552B" w:rsidRDefault="00332F08" w:rsidP="00BF0B5C">
            <w:pPr>
              <w:pStyle w:val="TableColHeadingCenter"/>
              <w:spacing w:before="20" w:after="20"/>
            </w:pPr>
            <w:r w:rsidRPr="0057552B">
              <w:t>% M/E 2025 State</w:t>
            </w:r>
          </w:p>
        </w:tc>
        <w:tc>
          <w:tcPr>
            <w:tcW w:w="281" w:type="pct"/>
            <w:vAlign w:val="center"/>
          </w:tcPr>
          <w:p w14:paraId="2C42235A" w14:textId="77777777" w:rsidR="00332F08" w:rsidRPr="0057552B" w:rsidRDefault="00332F08" w:rsidP="00BF0B5C">
            <w:pPr>
              <w:pStyle w:val="TableColHeadingCenter"/>
              <w:spacing w:before="20" w:after="20"/>
            </w:pPr>
            <w:r w:rsidRPr="0057552B">
              <w:t>% PME 2023</w:t>
            </w:r>
          </w:p>
        </w:tc>
        <w:tc>
          <w:tcPr>
            <w:tcW w:w="281" w:type="pct"/>
            <w:vAlign w:val="center"/>
          </w:tcPr>
          <w:p w14:paraId="00530A51" w14:textId="77777777" w:rsidR="00332F08" w:rsidRPr="0057552B" w:rsidRDefault="00332F08" w:rsidP="00BF0B5C">
            <w:pPr>
              <w:pStyle w:val="TableColHeadingCenter"/>
              <w:spacing w:before="20" w:after="20"/>
            </w:pPr>
            <w:r w:rsidRPr="0057552B">
              <w:t>% PME 2024</w:t>
            </w:r>
          </w:p>
        </w:tc>
        <w:tc>
          <w:tcPr>
            <w:tcW w:w="281" w:type="pct"/>
            <w:vAlign w:val="center"/>
          </w:tcPr>
          <w:p w14:paraId="0CBF7801" w14:textId="77777777" w:rsidR="00332F08" w:rsidRPr="0057552B" w:rsidRDefault="00332F08" w:rsidP="00BF0B5C">
            <w:pPr>
              <w:pStyle w:val="TableColHeadingCenter"/>
              <w:spacing w:before="20" w:after="20"/>
            </w:pPr>
            <w:r w:rsidRPr="0057552B">
              <w:t>% PME 2025</w:t>
            </w:r>
          </w:p>
        </w:tc>
        <w:tc>
          <w:tcPr>
            <w:tcW w:w="281" w:type="pct"/>
            <w:vAlign w:val="center"/>
          </w:tcPr>
          <w:p w14:paraId="286B8925" w14:textId="77777777" w:rsidR="00332F08" w:rsidRPr="0057552B" w:rsidRDefault="00332F08" w:rsidP="00BF0B5C">
            <w:pPr>
              <w:pStyle w:val="TableColHeadingCenter"/>
              <w:spacing w:before="20" w:after="20"/>
            </w:pPr>
            <w:r w:rsidRPr="0057552B">
              <w:t>% PME 2025 State</w:t>
            </w:r>
          </w:p>
        </w:tc>
        <w:tc>
          <w:tcPr>
            <w:tcW w:w="281" w:type="pct"/>
            <w:vAlign w:val="center"/>
          </w:tcPr>
          <w:p w14:paraId="40791CEF" w14:textId="77777777" w:rsidR="00332F08" w:rsidRPr="0057552B" w:rsidRDefault="00332F08" w:rsidP="00BF0B5C">
            <w:pPr>
              <w:pStyle w:val="TableColHeadingCenter"/>
              <w:spacing w:before="20" w:after="20"/>
            </w:pPr>
            <w:r w:rsidRPr="0057552B">
              <w:t>% NM 2023</w:t>
            </w:r>
          </w:p>
        </w:tc>
        <w:tc>
          <w:tcPr>
            <w:tcW w:w="281" w:type="pct"/>
            <w:vAlign w:val="center"/>
          </w:tcPr>
          <w:p w14:paraId="0157D8E1" w14:textId="77777777" w:rsidR="00332F08" w:rsidRPr="0057552B" w:rsidRDefault="00332F08" w:rsidP="00BF0B5C">
            <w:pPr>
              <w:pStyle w:val="TableColHeadingCenter"/>
              <w:spacing w:before="20" w:after="20"/>
            </w:pPr>
            <w:r w:rsidRPr="0057552B">
              <w:t>% NM 2024</w:t>
            </w:r>
          </w:p>
        </w:tc>
        <w:tc>
          <w:tcPr>
            <w:tcW w:w="281" w:type="pct"/>
            <w:vAlign w:val="center"/>
          </w:tcPr>
          <w:p w14:paraId="2227D5A7" w14:textId="77777777" w:rsidR="00332F08" w:rsidRPr="0057552B" w:rsidRDefault="00332F08" w:rsidP="00BF0B5C">
            <w:pPr>
              <w:pStyle w:val="TableColHeadingCenter"/>
              <w:spacing w:before="20" w:after="20"/>
            </w:pPr>
            <w:r w:rsidRPr="0057552B">
              <w:t>% NM 2025</w:t>
            </w:r>
          </w:p>
        </w:tc>
        <w:tc>
          <w:tcPr>
            <w:tcW w:w="278" w:type="pct"/>
            <w:vAlign w:val="center"/>
          </w:tcPr>
          <w:p w14:paraId="6D3C3E0F" w14:textId="77777777" w:rsidR="00332F08" w:rsidRPr="0057552B" w:rsidRDefault="00332F08" w:rsidP="00BF0B5C">
            <w:pPr>
              <w:pStyle w:val="TableColHeadingCenter"/>
              <w:spacing w:before="20" w:after="20"/>
            </w:pPr>
            <w:r w:rsidRPr="0057552B">
              <w:t>% NM 2025 State</w:t>
            </w:r>
          </w:p>
        </w:tc>
      </w:tr>
      <w:tr w:rsidR="00332F08" w:rsidRPr="00CD29D0" w14:paraId="31076414"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1912B29" w14:textId="77777777" w:rsidR="00332F08" w:rsidRPr="00CD29D0" w:rsidRDefault="00332F08" w:rsidP="004E7A27">
            <w:pPr>
              <w:pStyle w:val="TableText"/>
              <w:spacing w:before="0" w:after="20"/>
              <w:rPr>
                <w:rFonts w:ascii="Franklin Gothic Book" w:hAnsi="Franklin Gothic Book"/>
              </w:rPr>
            </w:pPr>
            <w:bookmarkStart w:id="203" w:name="_Hlk204602703"/>
            <w:r w:rsidRPr="00CD29D0">
              <w:rPr>
                <w:rFonts w:ascii="Franklin Gothic Book" w:hAnsi="Franklin Gothic Book"/>
              </w:rPr>
              <w:t>All Students</w:t>
            </w:r>
          </w:p>
        </w:tc>
        <w:tc>
          <w:tcPr>
            <w:tcW w:w="341" w:type="pct"/>
            <w:vAlign w:val="center"/>
          </w:tcPr>
          <w:p w14:paraId="293197F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1,055</w:t>
            </w:r>
          </w:p>
        </w:tc>
        <w:tc>
          <w:tcPr>
            <w:tcW w:w="281" w:type="pct"/>
            <w:vAlign w:val="center"/>
          </w:tcPr>
          <w:p w14:paraId="6E9FB0E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7F5357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3B6010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6F6BF1D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1B29CC2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2D88CDC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744A2EB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5CEE24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36F65C4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243DFA3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78B5BA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78" w:type="pct"/>
            <w:vAlign w:val="bottom"/>
          </w:tcPr>
          <w:p w14:paraId="6EC9066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r>
      <w:tr w:rsidR="00332F08" w:rsidRPr="00CD29D0" w14:paraId="26E42D55" w14:textId="77777777" w:rsidTr="00BF0B5C">
        <w:trPr>
          <w:jc w:val="center"/>
        </w:trPr>
        <w:tc>
          <w:tcPr>
            <w:tcW w:w="1290" w:type="pct"/>
          </w:tcPr>
          <w:p w14:paraId="039711D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5593E58E" w14:textId="103C378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5DA55E0" w14:textId="018A741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41D2B52" w14:textId="74E64C2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E13C46E" w14:textId="3D64AF8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76369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4BC227A9" w14:textId="0CCF9B6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278559C" w14:textId="45D6213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D792C00" w14:textId="7BD0B4A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C99A5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2D7DBD8C" w14:textId="31D23F2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BDD73CF" w14:textId="0312E71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9B09EC6" w14:textId="688C0FF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57C7CBD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r>
      <w:tr w:rsidR="00332F08" w:rsidRPr="00CD29D0" w14:paraId="1DB3BE52"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AABE621"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4FA8481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05E1AA57" w14:textId="6BE2534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D50903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57</w:t>
            </w:r>
          </w:p>
        </w:tc>
        <w:tc>
          <w:tcPr>
            <w:tcW w:w="281" w:type="pct"/>
            <w:vAlign w:val="center"/>
          </w:tcPr>
          <w:p w14:paraId="56BA5CA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46828E5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64</w:t>
            </w:r>
          </w:p>
        </w:tc>
        <w:tc>
          <w:tcPr>
            <w:tcW w:w="281" w:type="pct"/>
            <w:vAlign w:val="center"/>
          </w:tcPr>
          <w:p w14:paraId="199ADD72" w14:textId="334DACD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52E295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81" w:type="pct"/>
            <w:vAlign w:val="center"/>
          </w:tcPr>
          <w:p w14:paraId="36F4E1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6B6964A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4547C485" w14:textId="0845F4F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D4AF8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7028A2A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78" w:type="pct"/>
            <w:vAlign w:val="bottom"/>
          </w:tcPr>
          <w:p w14:paraId="61F561B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r>
      <w:tr w:rsidR="00332F08" w:rsidRPr="00CD29D0" w14:paraId="3C9DB80B" w14:textId="77777777" w:rsidTr="00BF0B5C">
        <w:trPr>
          <w:jc w:val="center"/>
        </w:trPr>
        <w:tc>
          <w:tcPr>
            <w:tcW w:w="1290" w:type="pct"/>
          </w:tcPr>
          <w:p w14:paraId="139912C7"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72721E9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F0CF0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4E7845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771E7A9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6752049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5086F9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652F20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5C0F6C3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56B7F37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6A04FD5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5C78DBC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23938E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78" w:type="pct"/>
            <w:vAlign w:val="bottom"/>
          </w:tcPr>
          <w:p w14:paraId="6EDA02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r>
      <w:tr w:rsidR="00332F08" w:rsidRPr="00CD29D0" w14:paraId="0C35ADE2"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9AA60F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68572E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73A4F8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1AE05B8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2C23C1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72C6107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3371E2C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3315751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5938A3F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6CF6A9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4DDFAE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194479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72F0517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78" w:type="pct"/>
            <w:vAlign w:val="bottom"/>
          </w:tcPr>
          <w:p w14:paraId="0871AE3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r>
      <w:tr w:rsidR="00332F08" w:rsidRPr="00CD29D0" w14:paraId="6539DFD9" w14:textId="77777777" w:rsidTr="00BF0B5C">
        <w:trPr>
          <w:jc w:val="center"/>
        </w:trPr>
        <w:tc>
          <w:tcPr>
            <w:tcW w:w="1290" w:type="pct"/>
          </w:tcPr>
          <w:p w14:paraId="025C5D2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2C6EF89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384374A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0EDEF3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1A24BEC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0EB784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3157834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0554F4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273839F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3314B5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3C7AA0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4778EE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0571365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78" w:type="pct"/>
            <w:vAlign w:val="bottom"/>
          </w:tcPr>
          <w:p w14:paraId="633E39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394C4D6A"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84D8004"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503500C7" w14:textId="354F65E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C6BBEB7" w14:textId="6B97ACB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C8045F3" w14:textId="6934438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0086275" w14:textId="3966600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CB5DAA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579107D6" w14:textId="4830F0E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1E6832B" w14:textId="48774B2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342EE13" w14:textId="35E500B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9B426A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7F3B5650" w14:textId="00F26E6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26B3B1E" w14:textId="494A164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6C7B1B6" w14:textId="6E66970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35F955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r>
      <w:tr w:rsidR="00332F08" w:rsidRPr="00CD29D0" w14:paraId="44304A7D" w14:textId="77777777" w:rsidTr="00BF0B5C">
        <w:trPr>
          <w:jc w:val="center"/>
        </w:trPr>
        <w:tc>
          <w:tcPr>
            <w:tcW w:w="1290" w:type="pct"/>
          </w:tcPr>
          <w:p w14:paraId="3F42AEAE"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7C34148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894</w:t>
            </w:r>
          </w:p>
        </w:tc>
        <w:tc>
          <w:tcPr>
            <w:tcW w:w="281" w:type="pct"/>
            <w:vAlign w:val="center"/>
          </w:tcPr>
          <w:p w14:paraId="7503D47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2EFB6C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7E764B9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1B3ED1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53FBAA3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78BE767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3DD4B08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2385863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547A84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7B3C2B9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4E61A1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78" w:type="pct"/>
            <w:vAlign w:val="bottom"/>
          </w:tcPr>
          <w:p w14:paraId="1290483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r>
      <w:tr w:rsidR="00332F08" w:rsidRPr="00CD29D0" w14:paraId="1124430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BA680B2"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0DA3D3A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455</w:t>
            </w:r>
          </w:p>
        </w:tc>
        <w:tc>
          <w:tcPr>
            <w:tcW w:w="281" w:type="pct"/>
            <w:vAlign w:val="center"/>
          </w:tcPr>
          <w:p w14:paraId="60FA8C5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06E709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68606A7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55E0497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186F40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7F1BD1F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6952DE3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2B2332E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0064A2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81" w:type="pct"/>
            <w:vAlign w:val="center"/>
          </w:tcPr>
          <w:p w14:paraId="2FC3BF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81" w:type="pct"/>
            <w:vAlign w:val="center"/>
          </w:tcPr>
          <w:p w14:paraId="039528C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78" w:type="pct"/>
            <w:vAlign w:val="bottom"/>
          </w:tcPr>
          <w:p w14:paraId="0C4A156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32</w:t>
            </w:r>
          </w:p>
        </w:tc>
      </w:tr>
      <w:tr w:rsidR="00332F08" w:rsidRPr="00CD29D0" w14:paraId="56A6B99C" w14:textId="77777777" w:rsidTr="00BF0B5C">
        <w:trPr>
          <w:jc w:val="center"/>
        </w:trPr>
        <w:tc>
          <w:tcPr>
            <w:tcW w:w="1290" w:type="pct"/>
          </w:tcPr>
          <w:p w14:paraId="372CFE6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54285D2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2B899F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281" w:type="pct"/>
            <w:vAlign w:val="center"/>
          </w:tcPr>
          <w:p w14:paraId="59AC08D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37DC003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0E01FFB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7DBC34B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383E7E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508266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63</w:t>
            </w:r>
          </w:p>
        </w:tc>
        <w:tc>
          <w:tcPr>
            <w:tcW w:w="281" w:type="pct"/>
            <w:vAlign w:val="center"/>
          </w:tcPr>
          <w:p w14:paraId="359A063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70EC1DD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2D4219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5BE48C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78" w:type="pct"/>
            <w:vAlign w:val="bottom"/>
          </w:tcPr>
          <w:p w14:paraId="69F427C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r>
      <w:tr w:rsidR="00332F08" w:rsidRPr="00CD29D0" w14:paraId="5E4ECD06"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52B77FA"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7FA697A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298</w:t>
            </w:r>
          </w:p>
        </w:tc>
        <w:tc>
          <w:tcPr>
            <w:tcW w:w="281" w:type="pct"/>
            <w:vAlign w:val="center"/>
          </w:tcPr>
          <w:p w14:paraId="35148F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70CD283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098CDE1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7C30C1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75818D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062397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1E69C30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5A6AB40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4A8A943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4164E9F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5771208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78" w:type="pct"/>
            <w:vAlign w:val="bottom"/>
          </w:tcPr>
          <w:p w14:paraId="29F95C1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r>
      <w:tr w:rsidR="00332F08" w:rsidRPr="00CD29D0" w14:paraId="042864F7" w14:textId="77777777" w:rsidTr="00BF0B5C">
        <w:trPr>
          <w:jc w:val="center"/>
        </w:trPr>
        <w:tc>
          <w:tcPr>
            <w:tcW w:w="1290" w:type="pct"/>
          </w:tcPr>
          <w:p w14:paraId="101C43E3"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276513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253</w:t>
            </w:r>
          </w:p>
        </w:tc>
        <w:tc>
          <w:tcPr>
            <w:tcW w:w="281" w:type="pct"/>
            <w:vAlign w:val="center"/>
          </w:tcPr>
          <w:p w14:paraId="6BB2FC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4C9EAE1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7E89DB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09B12FF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6D88EA0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3886A7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20E2D8C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39A2F7B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3C056A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36DBBC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26D7B80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78" w:type="pct"/>
            <w:vAlign w:val="bottom"/>
          </w:tcPr>
          <w:p w14:paraId="3CBB9AA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r>
    </w:tbl>
    <w:p w14:paraId="102912CC" w14:textId="77777777" w:rsidR="00332F08" w:rsidRPr="00CD29D0" w:rsidRDefault="00332F08" w:rsidP="00332F08">
      <w:pPr>
        <w:pStyle w:val="TableETitle"/>
      </w:pPr>
      <w:bookmarkStart w:id="204" w:name="_Toc211928945"/>
      <w:bookmarkStart w:id="205" w:name="_Toc227587037"/>
      <w:bookmarkEnd w:id="202"/>
      <w:bookmarkEnd w:id="203"/>
      <w:r w:rsidRPr="00CD29D0">
        <w:t>Table E2. MCAS ELA Achievement by Student Group, Grade 10, 2023-2025</w:t>
      </w:r>
      <w:bookmarkEnd w:id="204"/>
      <w:bookmarkEnd w:id="205"/>
      <w:r w:rsidRPr="00CD29D0">
        <w:t xml:space="preserve"> </w:t>
      </w:r>
    </w:p>
    <w:tbl>
      <w:tblPr>
        <w:tblStyle w:val="MSVTable1"/>
        <w:tblW w:w="5107" w:type="pct"/>
        <w:jc w:val="center"/>
        <w:tblLayout w:type="fixed"/>
        <w:tblLook w:val="0420" w:firstRow="1" w:lastRow="0" w:firstColumn="0" w:lastColumn="0" w:noHBand="0" w:noVBand="1"/>
        <w:tblCaption w:val="Table E2. MCAS ELA Achievement by Student Group, Grade 10, 2023-2025"/>
        <w:tblDescription w:val="MCAS ELA Achievement by Student Group, Grade 10, 2023-2025"/>
      </w:tblPr>
      <w:tblGrid>
        <w:gridCol w:w="3411"/>
        <w:gridCol w:w="902"/>
        <w:gridCol w:w="743"/>
        <w:gridCol w:w="743"/>
        <w:gridCol w:w="743"/>
        <w:gridCol w:w="743"/>
        <w:gridCol w:w="743"/>
        <w:gridCol w:w="743"/>
        <w:gridCol w:w="743"/>
        <w:gridCol w:w="743"/>
        <w:gridCol w:w="743"/>
        <w:gridCol w:w="743"/>
        <w:gridCol w:w="743"/>
        <w:gridCol w:w="735"/>
      </w:tblGrid>
      <w:tr w:rsidR="00332F08" w:rsidRPr="00CD29D0" w14:paraId="20197952"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12C2DFB3" w14:textId="77777777" w:rsidR="00332F08" w:rsidRPr="00CD29D0" w:rsidRDefault="00332F08" w:rsidP="00BF0B5C">
            <w:pPr>
              <w:pStyle w:val="TableColHeadingCenter"/>
              <w:spacing w:before="20" w:after="20"/>
            </w:pPr>
            <w:r w:rsidRPr="00CD29D0">
              <w:t>Group</w:t>
            </w:r>
          </w:p>
        </w:tc>
        <w:tc>
          <w:tcPr>
            <w:tcW w:w="341" w:type="pct"/>
            <w:vAlign w:val="center"/>
          </w:tcPr>
          <w:p w14:paraId="590C835C" w14:textId="77777777" w:rsidR="00332F08" w:rsidRPr="00CD29D0" w:rsidRDefault="00332F08" w:rsidP="00BF0B5C">
            <w:pPr>
              <w:pStyle w:val="TableColHeadingCenter"/>
              <w:spacing w:before="20" w:after="20"/>
            </w:pPr>
            <w:r w:rsidRPr="00CD29D0">
              <w:t># Included (2025)</w:t>
            </w:r>
          </w:p>
        </w:tc>
        <w:tc>
          <w:tcPr>
            <w:tcW w:w="281" w:type="pct"/>
            <w:vAlign w:val="center"/>
          </w:tcPr>
          <w:p w14:paraId="50183624" w14:textId="77777777" w:rsidR="00332F08" w:rsidRPr="00CD29D0" w:rsidRDefault="00332F08" w:rsidP="00BF0B5C">
            <w:pPr>
              <w:pStyle w:val="TableColHeadingCenter"/>
              <w:spacing w:before="20" w:after="20"/>
            </w:pPr>
            <w:r w:rsidRPr="00CD29D0">
              <w:t>% M/E 2023</w:t>
            </w:r>
          </w:p>
        </w:tc>
        <w:tc>
          <w:tcPr>
            <w:tcW w:w="281" w:type="pct"/>
            <w:vAlign w:val="center"/>
          </w:tcPr>
          <w:p w14:paraId="4BE1D520" w14:textId="77777777" w:rsidR="00332F08" w:rsidRPr="00CD29D0" w:rsidRDefault="00332F08" w:rsidP="00BF0B5C">
            <w:pPr>
              <w:pStyle w:val="TableColHeadingCenter"/>
              <w:spacing w:before="20" w:after="20"/>
            </w:pPr>
            <w:r w:rsidRPr="00CD29D0">
              <w:t>% M/E 2024</w:t>
            </w:r>
          </w:p>
        </w:tc>
        <w:tc>
          <w:tcPr>
            <w:tcW w:w="281" w:type="pct"/>
            <w:vAlign w:val="center"/>
          </w:tcPr>
          <w:p w14:paraId="31BA027E" w14:textId="77777777" w:rsidR="00332F08" w:rsidRPr="00CD29D0" w:rsidRDefault="00332F08" w:rsidP="00BF0B5C">
            <w:pPr>
              <w:pStyle w:val="TableColHeadingCenter"/>
              <w:spacing w:before="20" w:after="20"/>
            </w:pPr>
            <w:r w:rsidRPr="00CD29D0">
              <w:t>% M/E 2025</w:t>
            </w:r>
          </w:p>
        </w:tc>
        <w:tc>
          <w:tcPr>
            <w:tcW w:w="281" w:type="pct"/>
            <w:vAlign w:val="center"/>
          </w:tcPr>
          <w:p w14:paraId="47FE7BC2" w14:textId="77777777" w:rsidR="00332F08" w:rsidRPr="00CD29D0" w:rsidRDefault="00332F08" w:rsidP="00BF0B5C">
            <w:pPr>
              <w:pStyle w:val="TableColHeadingCenter"/>
              <w:spacing w:before="20" w:after="20"/>
            </w:pPr>
            <w:r w:rsidRPr="00CD29D0">
              <w:t>% M/E 2025 State</w:t>
            </w:r>
          </w:p>
        </w:tc>
        <w:tc>
          <w:tcPr>
            <w:tcW w:w="281" w:type="pct"/>
            <w:vAlign w:val="center"/>
          </w:tcPr>
          <w:p w14:paraId="08DE8F1B" w14:textId="77777777" w:rsidR="00332F08" w:rsidRPr="00CD29D0" w:rsidRDefault="00332F08" w:rsidP="00BF0B5C">
            <w:pPr>
              <w:pStyle w:val="TableColHeadingCenter"/>
              <w:spacing w:before="20" w:after="20"/>
            </w:pPr>
            <w:r w:rsidRPr="00CD29D0">
              <w:t>% PME 2023</w:t>
            </w:r>
          </w:p>
        </w:tc>
        <w:tc>
          <w:tcPr>
            <w:tcW w:w="281" w:type="pct"/>
            <w:vAlign w:val="center"/>
          </w:tcPr>
          <w:p w14:paraId="5D24B92D" w14:textId="77777777" w:rsidR="00332F08" w:rsidRPr="00CD29D0" w:rsidRDefault="00332F08" w:rsidP="00BF0B5C">
            <w:pPr>
              <w:pStyle w:val="TableColHeadingCenter"/>
              <w:spacing w:before="20" w:after="20"/>
            </w:pPr>
            <w:r w:rsidRPr="00CD29D0">
              <w:t>% PME 2024</w:t>
            </w:r>
          </w:p>
        </w:tc>
        <w:tc>
          <w:tcPr>
            <w:tcW w:w="281" w:type="pct"/>
            <w:vAlign w:val="center"/>
          </w:tcPr>
          <w:p w14:paraId="64E0E04B" w14:textId="77777777" w:rsidR="00332F08" w:rsidRPr="00CD29D0" w:rsidRDefault="00332F08" w:rsidP="00BF0B5C">
            <w:pPr>
              <w:pStyle w:val="TableColHeadingCenter"/>
              <w:spacing w:before="20" w:after="20"/>
            </w:pPr>
            <w:r w:rsidRPr="00CD29D0">
              <w:t>% PME 2025</w:t>
            </w:r>
          </w:p>
        </w:tc>
        <w:tc>
          <w:tcPr>
            <w:tcW w:w="281" w:type="pct"/>
            <w:vAlign w:val="center"/>
          </w:tcPr>
          <w:p w14:paraId="22097B22" w14:textId="77777777" w:rsidR="00332F08" w:rsidRPr="00CD29D0" w:rsidRDefault="00332F08" w:rsidP="00BF0B5C">
            <w:pPr>
              <w:pStyle w:val="TableColHeadingCenter"/>
              <w:spacing w:before="20" w:after="20"/>
            </w:pPr>
            <w:r w:rsidRPr="00CD29D0">
              <w:t>% PME 2025 State</w:t>
            </w:r>
          </w:p>
        </w:tc>
        <w:tc>
          <w:tcPr>
            <w:tcW w:w="281" w:type="pct"/>
            <w:vAlign w:val="center"/>
          </w:tcPr>
          <w:p w14:paraId="60C591AE" w14:textId="77777777" w:rsidR="00332F08" w:rsidRPr="00CD29D0" w:rsidRDefault="00332F08" w:rsidP="00BF0B5C">
            <w:pPr>
              <w:pStyle w:val="TableColHeadingCenter"/>
              <w:spacing w:before="20" w:after="20"/>
            </w:pPr>
            <w:r w:rsidRPr="00CD29D0">
              <w:t>% NM 2023</w:t>
            </w:r>
          </w:p>
        </w:tc>
        <w:tc>
          <w:tcPr>
            <w:tcW w:w="281" w:type="pct"/>
            <w:vAlign w:val="center"/>
          </w:tcPr>
          <w:p w14:paraId="1672A13F" w14:textId="77777777" w:rsidR="00332F08" w:rsidRPr="00CD29D0" w:rsidRDefault="00332F08" w:rsidP="00BF0B5C">
            <w:pPr>
              <w:pStyle w:val="TableColHeadingCenter"/>
              <w:spacing w:before="20" w:after="20"/>
            </w:pPr>
            <w:r w:rsidRPr="00CD29D0">
              <w:t>% NM 2024</w:t>
            </w:r>
          </w:p>
        </w:tc>
        <w:tc>
          <w:tcPr>
            <w:tcW w:w="281" w:type="pct"/>
            <w:vAlign w:val="center"/>
          </w:tcPr>
          <w:p w14:paraId="46A0A9FB" w14:textId="77777777" w:rsidR="00332F08" w:rsidRPr="00CD29D0" w:rsidRDefault="00332F08" w:rsidP="00BF0B5C">
            <w:pPr>
              <w:pStyle w:val="TableColHeadingCenter"/>
              <w:spacing w:before="20" w:after="20"/>
            </w:pPr>
            <w:r w:rsidRPr="00CD29D0">
              <w:t>% NM 2025</w:t>
            </w:r>
          </w:p>
        </w:tc>
        <w:tc>
          <w:tcPr>
            <w:tcW w:w="278" w:type="pct"/>
            <w:vAlign w:val="center"/>
          </w:tcPr>
          <w:p w14:paraId="1CA5CF96" w14:textId="77777777" w:rsidR="00332F08" w:rsidRPr="00CD29D0" w:rsidRDefault="00332F08" w:rsidP="00BF0B5C">
            <w:pPr>
              <w:pStyle w:val="TableColHeadingCenter"/>
              <w:spacing w:before="20" w:after="20"/>
            </w:pPr>
            <w:r w:rsidRPr="00CD29D0">
              <w:t>% NM 2025 State</w:t>
            </w:r>
          </w:p>
        </w:tc>
      </w:tr>
      <w:tr w:rsidR="00332F08" w:rsidRPr="00CD29D0" w14:paraId="64D40680"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C5011BD"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All Students</w:t>
            </w:r>
          </w:p>
        </w:tc>
        <w:tc>
          <w:tcPr>
            <w:tcW w:w="341" w:type="pct"/>
            <w:vAlign w:val="center"/>
          </w:tcPr>
          <w:p w14:paraId="76C536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160</w:t>
            </w:r>
          </w:p>
        </w:tc>
        <w:tc>
          <w:tcPr>
            <w:tcW w:w="281" w:type="pct"/>
            <w:vAlign w:val="center"/>
          </w:tcPr>
          <w:p w14:paraId="06B7B25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61</w:t>
            </w:r>
          </w:p>
        </w:tc>
        <w:tc>
          <w:tcPr>
            <w:tcW w:w="281" w:type="pct"/>
            <w:vAlign w:val="center"/>
          </w:tcPr>
          <w:p w14:paraId="5041AC2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281" w:type="pct"/>
            <w:vAlign w:val="center"/>
          </w:tcPr>
          <w:p w14:paraId="0276AB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1D8D5C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532481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3A9AAB0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5AA13F7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770D34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5096167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281" w:type="pct"/>
            <w:vAlign w:val="center"/>
          </w:tcPr>
          <w:p w14:paraId="28E9389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w:t>
            </w:r>
          </w:p>
        </w:tc>
        <w:tc>
          <w:tcPr>
            <w:tcW w:w="281" w:type="pct"/>
            <w:vAlign w:val="center"/>
          </w:tcPr>
          <w:p w14:paraId="162CAC6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78" w:type="pct"/>
            <w:vAlign w:val="bottom"/>
          </w:tcPr>
          <w:p w14:paraId="4ADEEA6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0FB86729" w14:textId="77777777" w:rsidTr="00BF0B5C">
        <w:trPr>
          <w:jc w:val="center"/>
        </w:trPr>
        <w:tc>
          <w:tcPr>
            <w:tcW w:w="1290" w:type="pct"/>
          </w:tcPr>
          <w:p w14:paraId="350A5177"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67E40A76" w14:textId="14425F2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2722E9B" w14:textId="5736FB0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172ACB3" w14:textId="04428AD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758384E" w14:textId="3D3BFDB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E74C3A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4083BEA8" w14:textId="0AAF59C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93601B5" w14:textId="31D52FE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7EC4BF4" w14:textId="20E40F9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F2AA94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32AC05BF" w14:textId="0550B6F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C652FC8" w14:textId="63B02D1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0E6B265" w14:textId="775B7AD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4D56A30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r>
      <w:tr w:rsidR="00332F08" w:rsidRPr="00CD29D0" w14:paraId="3E445DE3"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05A44CC"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120E02B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w:t>
            </w:r>
          </w:p>
        </w:tc>
        <w:tc>
          <w:tcPr>
            <w:tcW w:w="281" w:type="pct"/>
            <w:vAlign w:val="center"/>
          </w:tcPr>
          <w:p w14:paraId="3E8B7163" w14:textId="1CA315D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689B850" w14:textId="3B96BD9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C708444" w14:textId="38872FA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38F0F2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76</w:t>
            </w:r>
          </w:p>
        </w:tc>
        <w:tc>
          <w:tcPr>
            <w:tcW w:w="281" w:type="pct"/>
            <w:vAlign w:val="center"/>
          </w:tcPr>
          <w:p w14:paraId="12460F89" w14:textId="5ACB137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4CEBA9C" w14:textId="3E8F300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9D9C339" w14:textId="2D4F75E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2231F4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38748C4A" w14:textId="635ED0C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A36B903" w14:textId="7790E67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064A8E4" w14:textId="0EA105C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40B015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r>
      <w:tr w:rsidR="00332F08" w:rsidRPr="00CD29D0" w14:paraId="084641A8" w14:textId="77777777" w:rsidTr="00BF0B5C">
        <w:trPr>
          <w:jc w:val="center"/>
        </w:trPr>
        <w:tc>
          <w:tcPr>
            <w:tcW w:w="1290" w:type="pct"/>
          </w:tcPr>
          <w:p w14:paraId="5FD29EAF"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2E1E9B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281" w:type="pct"/>
            <w:vAlign w:val="center"/>
          </w:tcPr>
          <w:p w14:paraId="674EEDB0" w14:textId="6272A9F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A0168CE" w14:textId="0D4A171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31E87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455211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78886D19" w14:textId="2466B23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4CE61A7" w14:textId="7207BAB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C850A0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81" w:type="pct"/>
            <w:vAlign w:val="center"/>
          </w:tcPr>
          <w:p w14:paraId="36DE778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0F9C2660" w14:textId="244E788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478EA6B" w14:textId="3761BC3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DC5F7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78" w:type="pct"/>
            <w:vAlign w:val="bottom"/>
          </w:tcPr>
          <w:p w14:paraId="0EC3CAC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r>
      <w:tr w:rsidR="00332F08" w:rsidRPr="00CD29D0" w14:paraId="47AF320B"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A5180F5"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73CCEF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281" w:type="pct"/>
            <w:vAlign w:val="center"/>
          </w:tcPr>
          <w:p w14:paraId="181E18EB" w14:textId="067B7A3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5AEA88A" w14:textId="4855B1F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884A6AD" w14:textId="1DA4EAE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3FB0D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5152C13F" w14:textId="4CEA058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ECC80E6" w14:textId="2446099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679F0CA" w14:textId="25C8334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F174B5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3BB1961B" w14:textId="0F5B924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6D85377" w14:textId="6FA72F7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406C4E9" w14:textId="4C264DB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22BCFFD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r>
      <w:tr w:rsidR="00332F08" w:rsidRPr="00CD29D0" w14:paraId="63489C4C" w14:textId="77777777" w:rsidTr="00BF0B5C">
        <w:trPr>
          <w:jc w:val="center"/>
        </w:trPr>
        <w:tc>
          <w:tcPr>
            <w:tcW w:w="1290" w:type="pct"/>
          </w:tcPr>
          <w:p w14:paraId="271FBB85"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0769A9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7BA78217" w14:textId="6BA7419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436ACA1" w14:textId="4676DAA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0899B7E" w14:textId="6B8C32A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A1F060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281" w:type="pct"/>
            <w:vAlign w:val="center"/>
          </w:tcPr>
          <w:p w14:paraId="7337A298" w14:textId="7D89947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8658FD0" w14:textId="20D7A5C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B4AFC4D" w14:textId="3E17F86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6BDD2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6B3C230F" w14:textId="0630144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D19D83A" w14:textId="3C56899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3892AEB" w14:textId="519A5AA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2040715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r>
      <w:tr w:rsidR="00332F08" w:rsidRPr="00CD29D0" w14:paraId="60F9589C"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3A10851"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03C8FD2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w:t>
            </w:r>
          </w:p>
        </w:tc>
        <w:tc>
          <w:tcPr>
            <w:tcW w:w="281" w:type="pct"/>
            <w:vAlign w:val="center"/>
          </w:tcPr>
          <w:p w14:paraId="50A52A45" w14:textId="4D33EA4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B537620" w14:textId="6416D27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BE79A64" w14:textId="1D6698C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F1AD66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43A012CC" w14:textId="7AC5B77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EFDECCE" w14:textId="7AF3FD9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E728CBB" w14:textId="0F5AC2B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B8D990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7233A89B" w14:textId="15B6497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2D83C11" w14:textId="38E646A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C853875" w14:textId="6493DA5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1DD3CA0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69B60B6B" w14:textId="77777777" w:rsidTr="00BF0B5C">
        <w:trPr>
          <w:jc w:val="center"/>
        </w:trPr>
        <w:tc>
          <w:tcPr>
            <w:tcW w:w="1290" w:type="pct"/>
          </w:tcPr>
          <w:p w14:paraId="58C9471D"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3CBA19B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130</w:t>
            </w:r>
          </w:p>
        </w:tc>
        <w:tc>
          <w:tcPr>
            <w:tcW w:w="281" w:type="pct"/>
            <w:vAlign w:val="center"/>
          </w:tcPr>
          <w:p w14:paraId="4A78AC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62</w:t>
            </w:r>
          </w:p>
        </w:tc>
        <w:tc>
          <w:tcPr>
            <w:tcW w:w="281" w:type="pct"/>
            <w:vAlign w:val="center"/>
          </w:tcPr>
          <w:p w14:paraId="1284B7E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59</w:t>
            </w:r>
          </w:p>
        </w:tc>
        <w:tc>
          <w:tcPr>
            <w:tcW w:w="281" w:type="pct"/>
            <w:vAlign w:val="center"/>
          </w:tcPr>
          <w:p w14:paraId="08909B2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2E9BCB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59</w:t>
            </w:r>
          </w:p>
        </w:tc>
        <w:tc>
          <w:tcPr>
            <w:tcW w:w="281" w:type="pct"/>
            <w:vAlign w:val="center"/>
          </w:tcPr>
          <w:p w14:paraId="29DCD18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175E810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1F87EB3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3C576D6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010BF8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w:t>
            </w:r>
          </w:p>
        </w:tc>
        <w:tc>
          <w:tcPr>
            <w:tcW w:w="281" w:type="pct"/>
            <w:vAlign w:val="center"/>
          </w:tcPr>
          <w:p w14:paraId="433FC38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281" w:type="pct"/>
            <w:vAlign w:val="center"/>
          </w:tcPr>
          <w:p w14:paraId="003D242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78" w:type="pct"/>
            <w:vAlign w:val="bottom"/>
          </w:tcPr>
          <w:p w14:paraId="44A0D91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r>
      <w:tr w:rsidR="00332F08" w:rsidRPr="00CD29D0" w14:paraId="4FB83BAA"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7E106F4"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5ED4748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69</w:t>
            </w:r>
          </w:p>
        </w:tc>
        <w:tc>
          <w:tcPr>
            <w:tcW w:w="281" w:type="pct"/>
            <w:vAlign w:val="center"/>
          </w:tcPr>
          <w:p w14:paraId="1786B66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261188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09BEECA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7C8A76F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81" w:type="pct"/>
            <w:vAlign w:val="center"/>
          </w:tcPr>
          <w:p w14:paraId="6703FFC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1F7892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6F90292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0887669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4D780D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119841F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c>
          <w:tcPr>
            <w:tcW w:w="281" w:type="pct"/>
            <w:vAlign w:val="center"/>
          </w:tcPr>
          <w:p w14:paraId="1926C58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78" w:type="pct"/>
            <w:vAlign w:val="bottom"/>
          </w:tcPr>
          <w:p w14:paraId="7F753D2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r>
      <w:tr w:rsidR="00332F08" w:rsidRPr="00CD29D0" w14:paraId="6A0D7AF2" w14:textId="77777777" w:rsidTr="00BF0B5C">
        <w:trPr>
          <w:jc w:val="center"/>
        </w:trPr>
        <w:tc>
          <w:tcPr>
            <w:tcW w:w="1290" w:type="pct"/>
          </w:tcPr>
          <w:p w14:paraId="69D5C6A4"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493272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c>
          <w:tcPr>
            <w:tcW w:w="281" w:type="pct"/>
            <w:vAlign w:val="center"/>
          </w:tcPr>
          <w:p w14:paraId="2F56A21A" w14:textId="6CD2AB9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9957B8A" w14:textId="74B8652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6B12A88" w14:textId="34D61CF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5B995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2BACE187" w14:textId="3229B29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254D4CE" w14:textId="2498274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B74B7BB" w14:textId="030DB76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7B953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5BB41CEC" w14:textId="3C28E38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7C66599" w14:textId="5233E71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1346C96" w14:textId="0A40F3A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53366D5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r>
      <w:tr w:rsidR="00332F08" w:rsidRPr="00CD29D0" w14:paraId="1D59F519"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2328123"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0690F2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54</w:t>
            </w:r>
          </w:p>
        </w:tc>
        <w:tc>
          <w:tcPr>
            <w:tcW w:w="281" w:type="pct"/>
            <w:vAlign w:val="center"/>
          </w:tcPr>
          <w:p w14:paraId="01BEBF0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32</w:t>
            </w:r>
          </w:p>
        </w:tc>
        <w:tc>
          <w:tcPr>
            <w:tcW w:w="281" w:type="pct"/>
            <w:vAlign w:val="center"/>
          </w:tcPr>
          <w:p w14:paraId="0DB3E16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48DB5FE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22F9DFF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67125E3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46B599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3FDB542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5C38127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6E2A39B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64F45E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281" w:type="pct"/>
            <w:vAlign w:val="center"/>
          </w:tcPr>
          <w:p w14:paraId="0DD1599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78" w:type="pct"/>
            <w:vAlign w:val="bottom"/>
          </w:tcPr>
          <w:p w14:paraId="33674F4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r>
      <w:tr w:rsidR="00332F08" w:rsidRPr="00CD29D0" w14:paraId="6B7B1DFB" w14:textId="77777777" w:rsidTr="00BF0B5C">
        <w:trPr>
          <w:jc w:val="center"/>
        </w:trPr>
        <w:tc>
          <w:tcPr>
            <w:tcW w:w="1290" w:type="pct"/>
          </w:tcPr>
          <w:p w14:paraId="1F1C756F"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21D1E3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0C0D326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71540A7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402237A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7BBE7D0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55D0451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31F6AC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58</w:t>
            </w:r>
          </w:p>
        </w:tc>
        <w:tc>
          <w:tcPr>
            <w:tcW w:w="281" w:type="pct"/>
            <w:vAlign w:val="center"/>
          </w:tcPr>
          <w:p w14:paraId="5F3F4A0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1A0875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5183BF0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464513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6311291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78" w:type="pct"/>
            <w:vAlign w:val="bottom"/>
          </w:tcPr>
          <w:p w14:paraId="2462559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r>
    </w:tbl>
    <w:p w14:paraId="6D3A1DFE" w14:textId="77777777" w:rsidR="00332F08" w:rsidRPr="00CD29D0" w:rsidRDefault="00332F08" w:rsidP="00332F08">
      <w:pPr>
        <w:pStyle w:val="TableETitle"/>
      </w:pPr>
      <w:bookmarkStart w:id="206" w:name="_Toc211928946"/>
      <w:bookmarkStart w:id="207" w:name="_Toc227587038"/>
      <w:r w:rsidRPr="00CD29D0">
        <w:lastRenderedPageBreak/>
        <w:t>Table E3. MCAS Mathematics Achievement by Student Group, Grades 3-8, 2023-2025</w:t>
      </w:r>
      <w:bookmarkEnd w:id="206"/>
      <w:bookmarkEnd w:id="207"/>
      <w:r w:rsidRPr="00CD29D0">
        <w:t xml:space="preserve"> </w:t>
      </w:r>
    </w:p>
    <w:tbl>
      <w:tblPr>
        <w:tblStyle w:val="MSVTable1"/>
        <w:tblW w:w="5107" w:type="pct"/>
        <w:jc w:val="center"/>
        <w:tblLayout w:type="fixed"/>
        <w:tblLook w:val="0420" w:firstRow="1" w:lastRow="0" w:firstColumn="0" w:lastColumn="0" w:noHBand="0" w:noVBand="1"/>
        <w:tblCaption w:val="Table E3. MCAS Mathematics Achievement by Student Group, Grades 3-8, 2023-2025"/>
        <w:tblDescription w:val="MCAS Mathematics Achievement by Student Group, Grades 3-8, 2023-2025"/>
      </w:tblPr>
      <w:tblGrid>
        <w:gridCol w:w="3411"/>
        <w:gridCol w:w="902"/>
        <w:gridCol w:w="743"/>
        <w:gridCol w:w="743"/>
        <w:gridCol w:w="743"/>
        <w:gridCol w:w="743"/>
        <w:gridCol w:w="743"/>
        <w:gridCol w:w="743"/>
        <w:gridCol w:w="743"/>
        <w:gridCol w:w="743"/>
        <w:gridCol w:w="743"/>
        <w:gridCol w:w="743"/>
        <w:gridCol w:w="743"/>
        <w:gridCol w:w="735"/>
      </w:tblGrid>
      <w:tr w:rsidR="00332F08" w:rsidRPr="00CD29D0" w14:paraId="225A5FB0"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699D8432" w14:textId="77777777" w:rsidR="00332F08" w:rsidRPr="00CD29D0" w:rsidRDefault="00332F08" w:rsidP="00BF0B5C">
            <w:pPr>
              <w:pStyle w:val="TableColHeadingCenter"/>
              <w:spacing w:before="20" w:after="20"/>
            </w:pPr>
            <w:r w:rsidRPr="00CD29D0">
              <w:t>Group</w:t>
            </w:r>
          </w:p>
        </w:tc>
        <w:tc>
          <w:tcPr>
            <w:tcW w:w="341" w:type="pct"/>
            <w:vAlign w:val="center"/>
          </w:tcPr>
          <w:p w14:paraId="5AE553CB" w14:textId="77777777" w:rsidR="00332F08" w:rsidRPr="00CD29D0" w:rsidRDefault="00332F08" w:rsidP="00BF0B5C">
            <w:pPr>
              <w:pStyle w:val="TableColHeadingCenter"/>
              <w:spacing w:before="20" w:after="20"/>
            </w:pPr>
            <w:r w:rsidRPr="00CD29D0">
              <w:t># Included (2025)</w:t>
            </w:r>
          </w:p>
        </w:tc>
        <w:tc>
          <w:tcPr>
            <w:tcW w:w="281" w:type="pct"/>
            <w:vAlign w:val="center"/>
          </w:tcPr>
          <w:p w14:paraId="2ACC8696" w14:textId="77777777" w:rsidR="00332F08" w:rsidRPr="00CD29D0" w:rsidRDefault="00332F08" w:rsidP="00BF0B5C">
            <w:pPr>
              <w:pStyle w:val="TableColHeadingCenter"/>
              <w:spacing w:before="20" w:after="20"/>
            </w:pPr>
            <w:r w:rsidRPr="00CD29D0">
              <w:t>% M/E 2023</w:t>
            </w:r>
          </w:p>
        </w:tc>
        <w:tc>
          <w:tcPr>
            <w:tcW w:w="281" w:type="pct"/>
            <w:vAlign w:val="center"/>
          </w:tcPr>
          <w:p w14:paraId="0353FB4B" w14:textId="77777777" w:rsidR="00332F08" w:rsidRPr="00CD29D0" w:rsidRDefault="00332F08" w:rsidP="00BF0B5C">
            <w:pPr>
              <w:pStyle w:val="TableColHeadingCenter"/>
              <w:spacing w:before="20" w:after="20"/>
            </w:pPr>
            <w:r w:rsidRPr="00CD29D0">
              <w:t>% M/E 2024</w:t>
            </w:r>
          </w:p>
        </w:tc>
        <w:tc>
          <w:tcPr>
            <w:tcW w:w="281" w:type="pct"/>
            <w:vAlign w:val="center"/>
          </w:tcPr>
          <w:p w14:paraId="47DC14B5" w14:textId="77777777" w:rsidR="00332F08" w:rsidRPr="00CD29D0" w:rsidRDefault="00332F08" w:rsidP="00BF0B5C">
            <w:pPr>
              <w:pStyle w:val="TableColHeadingCenter"/>
              <w:spacing w:before="20" w:after="20"/>
            </w:pPr>
            <w:r w:rsidRPr="00CD29D0">
              <w:t>% M/E 2025</w:t>
            </w:r>
          </w:p>
        </w:tc>
        <w:tc>
          <w:tcPr>
            <w:tcW w:w="281" w:type="pct"/>
            <w:vAlign w:val="center"/>
          </w:tcPr>
          <w:p w14:paraId="611340E4" w14:textId="77777777" w:rsidR="00332F08" w:rsidRPr="00CD29D0" w:rsidRDefault="00332F08" w:rsidP="00BF0B5C">
            <w:pPr>
              <w:pStyle w:val="TableColHeadingCenter"/>
              <w:spacing w:before="20" w:after="20"/>
            </w:pPr>
            <w:r w:rsidRPr="00CD29D0">
              <w:t>% M/E 2025 State</w:t>
            </w:r>
          </w:p>
        </w:tc>
        <w:tc>
          <w:tcPr>
            <w:tcW w:w="281" w:type="pct"/>
            <w:vAlign w:val="center"/>
          </w:tcPr>
          <w:p w14:paraId="3AAD5334" w14:textId="77777777" w:rsidR="00332F08" w:rsidRPr="00CD29D0" w:rsidRDefault="00332F08" w:rsidP="00BF0B5C">
            <w:pPr>
              <w:pStyle w:val="TableColHeadingCenter"/>
              <w:spacing w:before="20" w:after="20"/>
            </w:pPr>
            <w:r w:rsidRPr="00CD29D0">
              <w:t>% PME 2023</w:t>
            </w:r>
          </w:p>
        </w:tc>
        <w:tc>
          <w:tcPr>
            <w:tcW w:w="281" w:type="pct"/>
            <w:vAlign w:val="center"/>
          </w:tcPr>
          <w:p w14:paraId="265DCCB5" w14:textId="77777777" w:rsidR="00332F08" w:rsidRPr="00CD29D0" w:rsidRDefault="00332F08" w:rsidP="00BF0B5C">
            <w:pPr>
              <w:pStyle w:val="TableColHeadingCenter"/>
              <w:spacing w:before="20" w:after="20"/>
            </w:pPr>
            <w:r w:rsidRPr="00CD29D0">
              <w:t>% PME 2024</w:t>
            </w:r>
          </w:p>
        </w:tc>
        <w:tc>
          <w:tcPr>
            <w:tcW w:w="281" w:type="pct"/>
            <w:vAlign w:val="center"/>
          </w:tcPr>
          <w:p w14:paraId="7782F4EC" w14:textId="77777777" w:rsidR="00332F08" w:rsidRPr="00CD29D0" w:rsidRDefault="00332F08" w:rsidP="00BF0B5C">
            <w:pPr>
              <w:pStyle w:val="TableColHeadingCenter"/>
              <w:spacing w:before="20" w:after="20"/>
            </w:pPr>
            <w:r w:rsidRPr="00CD29D0">
              <w:t>% PME 2025</w:t>
            </w:r>
          </w:p>
        </w:tc>
        <w:tc>
          <w:tcPr>
            <w:tcW w:w="281" w:type="pct"/>
            <w:vAlign w:val="center"/>
          </w:tcPr>
          <w:p w14:paraId="75FAF246" w14:textId="77777777" w:rsidR="00332F08" w:rsidRPr="00CD29D0" w:rsidRDefault="00332F08" w:rsidP="00BF0B5C">
            <w:pPr>
              <w:pStyle w:val="TableColHeadingCenter"/>
              <w:spacing w:before="20" w:after="20"/>
            </w:pPr>
            <w:r w:rsidRPr="00CD29D0">
              <w:t>% PME 2025 State</w:t>
            </w:r>
          </w:p>
        </w:tc>
        <w:tc>
          <w:tcPr>
            <w:tcW w:w="281" w:type="pct"/>
            <w:vAlign w:val="center"/>
          </w:tcPr>
          <w:p w14:paraId="372D610A" w14:textId="77777777" w:rsidR="00332F08" w:rsidRPr="00CD29D0" w:rsidRDefault="00332F08" w:rsidP="00BF0B5C">
            <w:pPr>
              <w:pStyle w:val="TableColHeadingCenter"/>
              <w:spacing w:before="20" w:after="20"/>
            </w:pPr>
            <w:r w:rsidRPr="00CD29D0">
              <w:t>% NM 2023</w:t>
            </w:r>
          </w:p>
        </w:tc>
        <w:tc>
          <w:tcPr>
            <w:tcW w:w="281" w:type="pct"/>
            <w:vAlign w:val="center"/>
          </w:tcPr>
          <w:p w14:paraId="62F08EFA" w14:textId="77777777" w:rsidR="00332F08" w:rsidRPr="00CD29D0" w:rsidRDefault="00332F08" w:rsidP="00BF0B5C">
            <w:pPr>
              <w:pStyle w:val="TableColHeadingCenter"/>
              <w:spacing w:before="20" w:after="20"/>
            </w:pPr>
            <w:r w:rsidRPr="00CD29D0">
              <w:t>% NM 2024</w:t>
            </w:r>
          </w:p>
        </w:tc>
        <w:tc>
          <w:tcPr>
            <w:tcW w:w="281" w:type="pct"/>
            <w:vAlign w:val="center"/>
          </w:tcPr>
          <w:p w14:paraId="41A9FE90" w14:textId="77777777" w:rsidR="00332F08" w:rsidRPr="00CD29D0" w:rsidRDefault="00332F08" w:rsidP="00BF0B5C">
            <w:pPr>
              <w:pStyle w:val="TableColHeadingCenter"/>
              <w:spacing w:before="20" w:after="20"/>
            </w:pPr>
            <w:r w:rsidRPr="00CD29D0">
              <w:t>% NM 2025</w:t>
            </w:r>
          </w:p>
        </w:tc>
        <w:tc>
          <w:tcPr>
            <w:tcW w:w="278" w:type="pct"/>
            <w:vAlign w:val="center"/>
          </w:tcPr>
          <w:p w14:paraId="3197A9D0" w14:textId="77777777" w:rsidR="00332F08" w:rsidRPr="00CD29D0" w:rsidRDefault="00332F08" w:rsidP="00BF0B5C">
            <w:pPr>
              <w:pStyle w:val="TableColHeadingCenter"/>
              <w:spacing w:before="20" w:after="20"/>
            </w:pPr>
            <w:r w:rsidRPr="00CD29D0">
              <w:t>% NM 2025 State</w:t>
            </w:r>
          </w:p>
        </w:tc>
      </w:tr>
      <w:tr w:rsidR="00332F08" w:rsidRPr="00CD29D0" w14:paraId="2DC9697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015B59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All Students</w:t>
            </w:r>
          </w:p>
        </w:tc>
        <w:tc>
          <w:tcPr>
            <w:tcW w:w="341" w:type="pct"/>
            <w:vAlign w:val="center"/>
          </w:tcPr>
          <w:p w14:paraId="5BE3FC6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1,045</w:t>
            </w:r>
          </w:p>
        </w:tc>
        <w:tc>
          <w:tcPr>
            <w:tcW w:w="281" w:type="pct"/>
            <w:vAlign w:val="center"/>
          </w:tcPr>
          <w:p w14:paraId="5455FA9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017C5DA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1B21E3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81" w:type="pct"/>
            <w:vAlign w:val="center"/>
          </w:tcPr>
          <w:p w14:paraId="7E160E5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2F30294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65AB938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024797F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0F9E4E4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472DC85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426ACA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15D653E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78" w:type="pct"/>
            <w:vAlign w:val="center"/>
          </w:tcPr>
          <w:p w14:paraId="5A5C9B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6FB32C37" w14:textId="77777777" w:rsidTr="00BF0B5C">
        <w:trPr>
          <w:jc w:val="center"/>
        </w:trPr>
        <w:tc>
          <w:tcPr>
            <w:tcW w:w="1290" w:type="pct"/>
          </w:tcPr>
          <w:p w14:paraId="22E0A964"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1FCF3806" w14:textId="5BB7FD6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BA4F7B9" w14:textId="5C4281D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2C0613B" w14:textId="7129270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95ED300" w14:textId="2F8F4B2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5D1742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2F62BFA2" w14:textId="543D852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A5E8928" w14:textId="22499EB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7C0C589" w14:textId="4196760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966D1F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5890D4BB" w14:textId="441039B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73DDD07" w14:textId="3A00390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B55403E" w14:textId="16BC2CD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center"/>
          </w:tcPr>
          <w:p w14:paraId="008E572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r>
      <w:tr w:rsidR="00332F08" w:rsidRPr="00CD29D0" w14:paraId="6C0B8C9F"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7B43623"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678DC15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443F24A3" w14:textId="2C636DB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56D489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0C87D99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52B29FC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71</w:t>
            </w:r>
          </w:p>
        </w:tc>
        <w:tc>
          <w:tcPr>
            <w:tcW w:w="281" w:type="pct"/>
            <w:vAlign w:val="center"/>
          </w:tcPr>
          <w:p w14:paraId="29A7E0FF" w14:textId="62160F2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86F52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51B73DF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60</w:t>
            </w:r>
          </w:p>
        </w:tc>
        <w:tc>
          <w:tcPr>
            <w:tcW w:w="281" w:type="pct"/>
            <w:vAlign w:val="center"/>
          </w:tcPr>
          <w:p w14:paraId="7DD1A69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6EF1CC78" w14:textId="651361B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D3E061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5F7D5D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78" w:type="pct"/>
            <w:vAlign w:val="center"/>
          </w:tcPr>
          <w:p w14:paraId="677419B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r>
      <w:tr w:rsidR="00332F08" w:rsidRPr="00CD29D0" w14:paraId="3C227D26" w14:textId="77777777" w:rsidTr="00BF0B5C">
        <w:trPr>
          <w:jc w:val="center"/>
        </w:trPr>
        <w:tc>
          <w:tcPr>
            <w:tcW w:w="1290" w:type="pct"/>
          </w:tcPr>
          <w:p w14:paraId="121E955E"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3A54F65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687A399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34016B7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3583B0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181178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7157708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59</w:t>
            </w:r>
          </w:p>
        </w:tc>
        <w:tc>
          <w:tcPr>
            <w:tcW w:w="281" w:type="pct"/>
            <w:vAlign w:val="center"/>
          </w:tcPr>
          <w:p w14:paraId="428509F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58</w:t>
            </w:r>
          </w:p>
        </w:tc>
        <w:tc>
          <w:tcPr>
            <w:tcW w:w="281" w:type="pct"/>
            <w:vAlign w:val="center"/>
          </w:tcPr>
          <w:p w14:paraId="04DC2C9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0DA83B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09FAE8D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79C3F39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6D66015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78" w:type="pct"/>
            <w:vAlign w:val="center"/>
          </w:tcPr>
          <w:p w14:paraId="7D4E33B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32</w:t>
            </w:r>
          </w:p>
        </w:tc>
      </w:tr>
      <w:tr w:rsidR="00332F08" w:rsidRPr="00CD29D0" w14:paraId="0E7AB7A6"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227DEE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1E9F951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6B287F2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0BA210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634D738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2D5692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6D44235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6A0CE6A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281" w:type="pct"/>
            <w:vAlign w:val="center"/>
          </w:tcPr>
          <w:p w14:paraId="0BF9359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57</w:t>
            </w:r>
          </w:p>
        </w:tc>
        <w:tc>
          <w:tcPr>
            <w:tcW w:w="281" w:type="pct"/>
            <w:vAlign w:val="center"/>
          </w:tcPr>
          <w:p w14:paraId="7288A52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7F35EE0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52F9DA1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5631545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78" w:type="pct"/>
            <w:vAlign w:val="center"/>
          </w:tcPr>
          <w:p w14:paraId="3D7D643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r>
      <w:tr w:rsidR="00332F08" w:rsidRPr="00CD29D0" w14:paraId="7D9AF747" w14:textId="77777777" w:rsidTr="00BF0B5C">
        <w:trPr>
          <w:jc w:val="center"/>
        </w:trPr>
        <w:tc>
          <w:tcPr>
            <w:tcW w:w="1290" w:type="pct"/>
          </w:tcPr>
          <w:p w14:paraId="14E4261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0F95D81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029073E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7ABB349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7ADC7B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7783E32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9ADC20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281" w:type="pct"/>
            <w:vAlign w:val="center"/>
          </w:tcPr>
          <w:p w14:paraId="39FA75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586DC38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61</w:t>
            </w:r>
          </w:p>
        </w:tc>
        <w:tc>
          <w:tcPr>
            <w:tcW w:w="281" w:type="pct"/>
            <w:vAlign w:val="center"/>
          </w:tcPr>
          <w:p w14:paraId="05F38B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6B4BFA8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5CD721C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4437983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78" w:type="pct"/>
            <w:vAlign w:val="center"/>
          </w:tcPr>
          <w:p w14:paraId="23D6AC4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r>
      <w:tr w:rsidR="00332F08" w:rsidRPr="00CD29D0" w14:paraId="42645D34"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D0D4B71"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4213F036" w14:textId="29B485F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1F3305F" w14:textId="2BFFA0D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9935D71" w14:textId="70D9C74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57482FA" w14:textId="44EE283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1D1A33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22701CA6" w14:textId="39E22A4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207DCB4" w14:textId="3E1BE26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2AABB69" w14:textId="1DCC79D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AE472B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191128C7" w14:textId="4CA5C73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2561569" w14:textId="12CEA8A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B80430B" w14:textId="40D7C9A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center"/>
          </w:tcPr>
          <w:p w14:paraId="0298FE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r>
      <w:tr w:rsidR="00332F08" w:rsidRPr="00CD29D0" w14:paraId="67F2355B" w14:textId="77777777" w:rsidTr="00BF0B5C">
        <w:trPr>
          <w:jc w:val="center"/>
        </w:trPr>
        <w:tc>
          <w:tcPr>
            <w:tcW w:w="1290" w:type="pct"/>
          </w:tcPr>
          <w:p w14:paraId="1F587F0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210E89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888</w:t>
            </w:r>
          </w:p>
        </w:tc>
        <w:tc>
          <w:tcPr>
            <w:tcW w:w="281" w:type="pct"/>
            <w:vAlign w:val="center"/>
          </w:tcPr>
          <w:p w14:paraId="45C6C8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760FD38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5832A5D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2A1184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7D232F5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49DBC5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0F2C9A0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3D1CBD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12B100B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2B74CDE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3B0C394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78" w:type="pct"/>
            <w:vAlign w:val="center"/>
          </w:tcPr>
          <w:p w14:paraId="5EFE96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r>
      <w:tr w:rsidR="00332F08" w:rsidRPr="00CD29D0" w14:paraId="19BF2FBE"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1F5C3A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5C60484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448</w:t>
            </w:r>
          </w:p>
        </w:tc>
        <w:tc>
          <w:tcPr>
            <w:tcW w:w="281" w:type="pct"/>
            <w:vAlign w:val="center"/>
          </w:tcPr>
          <w:p w14:paraId="74C14E0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36DBC0B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277CA8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746AAA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3B1FA97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48B60EA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54</w:t>
            </w:r>
          </w:p>
        </w:tc>
        <w:tc>
          <w:tcPr>
            <w:tcW w:w="281" w:type="pct"/>
            <w:vAlign w:val="center"/>
          </w:tcPr>
          <w:p w14:paraId="0B5C17C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6707CB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3112560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277A315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15C2B8C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78" w:type="pct"/>
            <w:vAlign w:val="center"/>
          </w:tcPr>
          <w:p w14:paraId="6A38A28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r>
      <w:tr w:rsidR="00332F08" w:rsidRPr="00CD29D0" w14:paraId="42A7C73E" w14:textId="77777777" w:rsidTr="00BF0B5C">
        <w:trPr>
          <w:jc w:val="center"/>
        </w:trPr>
        <w:tc>
          <w:tcPr>
            <w:tcW w:w="1290" w:type="pct"/>
          </w:tcPr>
          <w:p w14:paraId="56974FAF"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05D8C73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686040C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4FA124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74115D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594C32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5B325D4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36308A0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54</w:t>
            </w:r>
          </w:p>
        </w:tc>
        <w:tc>
          <w:tcPr>
            <w:tcW w:w="281" w:type="pct"/>
            <w:vAlign w:val="center"/>
          </w:tcPr>
          <w:p w14:paraId="7F2C6C0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68</w:t>
            </w:r>
          </w:p>
        </w:tc>
        <w:tc>
          <w:tcPr>
            <w:tcW w:w="281" w:type="pct"/>
            <w:vAlign w:val="center"/>
          </w:tcPr>
          <w:p w14:paraId="66397D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46879E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5BD4A33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07857D7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78" w:type="pct"/>
            <w:vAlign w:val="center"/>
          </w:tcPr>
          <w:p w14:paraId="272B494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r>
      <w:tr w:rsidR="00332F08" w:rsidRPr="00CD29D0" w14:paraId="6A84612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9937F2C"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6A8299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292</w:t>
            </w:r>
          </w:p>
        </w:tc>
        <w:tc>
          <w:tcPr>
            <w:tcW w:w="281" w:type="pct"/>
            <w:vAlign w:val="center"/>
          </w:tcPr>
          <w:p w14:paraId="2F3AEC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029C2B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3C32277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6B217F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7F1FEFE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0744022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571489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49F0ED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3AD09BA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6FF02C9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6BEB44F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78" w:type="pct"/>
            <w:vAlign w:val="center"/>
          </w:tcPr>
          <w:p w14:paraId="3BC0B24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32</w:t>
            </w:r>
          </w:p>
        </w:tc>
      </w:tr>
      <w:tr w:rsidR="00332F08" w:rsidRPr="00CD29D0" w14:paraId="05827512" w14:textId="77777777" w:rsidTr="00BF0B5C">
        <w:trPr>
          <w:jc w:val="center"/>
        </w:trPr>
        <w:tc>
          <w:tcPr>
            <w:tcW w:w="1290" w:type="pct"/>
          </w:tcPr>
          <w:p w14:paraId="7390E033"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17F5F11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247</w:t>
            </w:r>
          </w:p>
        </w:tc>
        <w:tc>
          <w:tcPr>
            <w:tcW w:w="281" w:type="pct"/>
            <w:vAlign w:val="center"/>
          </w:tcPr>
          <w:p w14:paraId="512F2D9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281" w:type="pct"/>
            <w:vAlign w:val="center"/>
          </w:tcPr>
          <w:p w14:paraId="19F3D33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39FAC00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63A54D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57AA080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310208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361E0C0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39C103E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3CC04D3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385F71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81" w:type="pct"/>
            <w:vAlign w:val="center"/>
          </w:tcPr>
          <w:p w14:paraId="408E53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78" w:type="pct"/>
            <w:vAlign w:val="center"/>
          </w:tcPr>
          <w:p w14:paraId="2F1CF8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r>
    </w:tbl>
    <w:p w14:paraId="295BA1D3" w14:textId="77777777" w:rsidR="00332F08" w:rsidRPr="00CD29D0" w:rsidRDefault="00332F08" w:rsidP="00332F08">
      <w:pPr>
        <w:pStyle w:val="TableETitle"/>
      </w:pPr>
      <w:bookmarkStart w:id="208" w:name="_Toc211928947"/>
      <w:bookmarkStart w:id="209" w:name="_Toc227587039"/>
      <w:r w:rsidRPr="00CD29D0">
        <w:t>Table E4. MCAS Mathematics Achievement by Student Group, Grade 10, 2023-2025</w:t>
      </w:r>
      <w:bookmarkEnd w:id="208"/>
      <w:bookmarkEnd w:id="209"/>
      <w:r w:rsidRPr="00CD29D0">
        <w:t xml:space="preserve"> </w:t>
      </w:r>
    </w:p>
    <w:tbl>
      <w:tblPr>
        <w:tblStyle w:val="MSVTable1"/>
        <w:tblW w:w="5107" w:type="pct"/>
        <w:jc w:val="center"/>
        <w:tblLayout w:type="fixed"/>
        <w:tblLook w:val="0420" w:firstRow="1" w:lastRow="0" w:firstColumn="0" w:lastColumn="0" w:noHBand="0" w:noVBand="1"/>
        <w:tblCaption w:val="Table E4. MCAS Mathematics Achievement by Student Group, Grade 10, 2023-2025 "/>
        <w:tblDescription w:val="MCAS Mathematics Achievement by Student Group, Grade 10, 2023-2025 "/>
      </w:tblPr>
      <w:tblGrid>
        <w:gridCol w:w="3411"/>
        <w:gridCol w:w="902"/>
        <w:gridCol w:w="743"/>
        <w:gridCol w:w="743"/>
        <w:gridCol w:w="743"/>
        <w:gridCol w:w="743"/>
        <w:gridCol w:w="743"/>
        <w:gridCol w:w="743"/>
        <w:gridCol w:w="743"/>
        <w:gridCol w:w="743"/>
        <w:gridCol w:w="743"/>
        <w:gridCol w:w="743"/>
        <w:gridCol w:w="743"/>
        <w:gridCol w:w="735"/>
      </w:tblGrid>
      <w:tr w:rsidR="00332F08" w:rsidRPr="00CD29D0" w14:paraId="5E4F4A1F"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3B5BD3ED" w14:textId="77777777" w:rsidR="00332F08" w:rsidRPr="00CD29D0" w:rsidRDefault="00332F08" w:rsidP="00BF0B5C">
            <w:pPr>
              <w:pStyle w:val="TableColHeadingCenter"/>
              <w:spacing w:before="20" w:after="20"/>
            </w:pPr>
            <w:r w:rsidRPr="00CD29D0">
              <w:t>Group</w:t>
            </w:r>
          </w:p>
        </w:tc>
        <w:tc>
          <w:tcPr>
            <w:tcW w:w="341" w:type="pct"/>
            <w:vAlign w:val="center"/>
          </w:tcPr>
          <w:p w14:paraId="4CDDEE62" w14:textId="77777777" w:rsidR="00332F08" w:rsidRPr="00CD29D0" w:rsidRDefault="00332F08" w:rsidP="00BF0B5C">
            <w:pPr>
              <w:pStyle w:val="TableColHeadingCenter"/>
              <w:spacing w:before="20" w:after="20"/>
            </w:pPr>
            <w:r w:rsidRPr="00CD29D0">
              <w:t># Included (2025)</w:t>
            </w:r>
          </w:p>
        </w:tc>
        <w:tc>
          <w:tcPr>
            <w:tcW w:w="281" w:type="pct"/>
            <w:vAlign w:val="center"/>
          </w:tcPr>
          <w:p w14:paraId="790F03C9" w14:textId="77777777" w:rsidR="00332F08" w:rsidRPr="00CD29D0" w:rsidRDefault="00332F08" w:rsidP="00BF0B5C">
            <w:pPr>
              <w:pStyle w:val="TableColHeadingCenter"/>
              <w:spacing w:before="20" w:after="20"/>
            </w:pPr>
            <w:r w:rsidRPr="00CD29D0">
              <w:t>% M/E 2023</w:t>
            </w:r>
          </w:p>
        </w:tc>
        <w:tc>
          <w:tcPr>
            <w:tcW w:w="281" w:type="pct"/>
            <w:vAlign w:val="center"/>
          </w:tcPr>
          <w:p w14:paraId="50111C39" w14:textId="77777777" w:rsidR="00332F08" w:rsidRPr="00CD29D0" w:rsidRDefault="00332F08" w:rsidP="00BF0B5C">
            <w:pPr>
              <w:pStyle w:val="TableColHeadingCenter"/>
              <w:spacing w:before="20" w:after="20"/>
            </w:pPr>
            <w:r w:rsidRPr="00CD29D0">
              <w:t>% M/E 2024</w:t>
            </w:r>
          </w:p>
        </w:tc>
        <w:tc>
          <w:tcPr>
            <w:tcW w:w="281" w:type="pct"/>
            <w:vAlign w:val="center"/>
          </w:tcPr>
          <w:p w14:paraId="3B748741" w14:textId="77777777" w:rsidR="00332F08" w:rsidRPr="00CD29D0" w:rsidRDefault="00332F08" w:rsidP="00BF0B5C">
            <w:pPr>
              <w:pStyle w:val="TableColHeadingCenter"/>
              <w:spacing w:before="20" w:after="20"/>
            </w:pPr>
            <w:r w:rsidRPr="00CD29D0">
              <w:t>% M/E 2025</w:t>
            </w:r>
          </w:p>
        </w:tc>
        <w:tc>
          <w:tcPr>
            <w:tcW w:w="281" w:type="pct"/>
            <w:vAlign w:val="center"/>
          </w:tcPr>
          <w:p w14:paraId="0075AC92" w14:textId="77777777" w:rsidR="00332F08" w:rsidRPr="00CD29D0" w:rsidRDefault="00332F08" w:rsidP="00BF0B5C">
            <w:pPr>
              <w:pStyle w:val="TableColHeadingCenter"/>
              <w:spacing w:before="20" w:after="20"/>
            </w:pPr>
            <w:r w:rsidRPr="00CD29D0">
              <w:t>% M/E 2025 State</w:t>
            </w:r>
          </w:p>
        </w:tc>
        <w:tc>
          <w:tcPr>
            <w:tcW w:w="281" w:type="pct"/>
            <w:vAlign w:val="center"/>
          </w:tcPr>
          <w:p w14:paraId="3D6A1C5B" w14:textId="77777777" w:rsidR="00332F08" w:rsidRPr="00CD29D0" w:rsidRDefault="00332F08" w:rsidP="00BF0B5C">
            <w:pPr>
              <w:pStyle w:val="TableColHeadingCenter"/>
              <w:spacing w:before="20" w:after="20"/>
            </w:pPr>
            <w:r w:rsidRPr="00CD29D0">
              <w:t>% PME 2023</w:t>
            </w:r>
          </w:p>
        </w:tc>
        <w:tc>
          <w:tcPr>
            <w:tcW w:w="281" w:type="pct"/>
            <w:vAlign w:val="center"/>
          </w:tcPr>
          <w:p w14:paraId="2ACE9532" w14:textId="77777777" w:rsidR="00332F08" w:rsidRPr="00CD29D0" w:rsidRDefault="00332F08" w:rsidP="00BF0B5C">
            <w:pPr>
              <w:pStyle w:val="TableColHeadingCenter"/>
              <w:spacing w:before="20" w:after="20"/>
            </w:pPr>
            <w:r w:rsidRPr="00CD29D0">
              <w:t>% PME 2024</w:t>
            </w:r>
          </w:p>
        </w:tc>
        <w:tc>
          <w:tcPr>
            <w:tcW w:w="281" w:type="pct"/>
            <w:vAlign w:val="center"/>
          </w:tcPr>
          <w:p w14:paraId="523E5EB4" w14:textId="77777777" w:rsidR="00332F08" w:rsidRPr="00CD29D0" w:rsidRDefault="00332F08" w:rsidP="00BF0B5C">
            <w:pPr>
              <w:pStyle w:val="TableColHeadingCenter"/>
              <w:spacing w:before="20" w:after="20"/>
            </w:pPr>
            <w:r w:rsidRPr="00CD29D0">
              <w:t>% PME 2025</w:t>
            </w:r>
          </w:p>
        </w:tc>
        <w:tc>
          <w:tcPr>
            <w:tcW w:w="281" w:type="pct"/>
            <w:vAlign w:val="center"/>
          </w:tcPr>
          <w:p w14:paraId="3DC3FA6E" w14:textId="77777777" w:rsidR="00332F08" w:rsidRPr="00CD29D0" w:rsidRDefault="00332F08" w:rsidP="00BF0B5C">
            <w:pPr>
              <w:pStyle w:val="TableColHeadingCenter"/>
              <w:spacing w:before="20" w:after="20"/>
            </w:pPr>
            <w:r w:rsidRPr="00CD29D0">
              <w:t>% PME 2025 State</w:t>
            </w:r>
          </w:p>
        </w:tc>
        <w:tc>
          <w:tcPr>
            <w:tcW w:w="281" w:type="pct"/>
            <w:vAlign w:val="center"/>
          </w:tcPr>
          <w:p w14:paraId="226B1C0A" w14:textId="77777777" w:rsidR="00332F08" w:rsidRPr="00CD29D0" w:rsidRDefault="00332F08" w:rsidP="00BF0B5C">
            <w:pPr>
              <w:pStyle w:val="TableColHeadingCenter"/>
              <w:spacing w:before="20" w:after="20"/>
            </w:pPr>
            <w:r w:rsidRPr="00CD29D0">
              <w:t>% NM 2023</w:t>
            </w:r>
          </w:p>
        </w:tc>
        <w:tc>
          <w:tcPr>
            <w:tcW w:w="281" w:type="pct"/>
            <w:vAlign w:val="center"/>
          </w:tcPr>
          <w:p w14:paraId="021F6974" w14:textId="77777777" w:rsidR="00332F08" w:rsidRPr="00CD29D0" w:rsidRDefault="00332F08" w:rsidP="00BF0B5C">
            <w:pPr>
              <w:pStyle w:val="TableColHeadingCenter"/>
              <w:spacing w:before="20" w:after="20"/>
            </w:pPr>
            <w:r w:rsidRPr="00CD29D0">
              <w:t>% NM 2024</w:t>
            </w:r>
          </w:p>
        </w:tc>
        <w:tc>
          <w:tcPr>
            <w:tcW w:w="281" w:type="pct"/>
            <w:vAlign w:val="center"/>
          </w:tcPr>
          <w:p w14:paraId="0A1D3500" w14:textId="77777777" w:rsidR="00332F08" w:rsidRPr="00CD29D0" w:rsidRDefault="00332F08" w:rsidP="00BF0B5C">
            <w:pPr>
              <w:pStyle w:val="TableColHeadingCenter"/>
              <w:spacing w:before="20" w:after="20"/>
            </w:pPr>
            <w:r w:rsidRPr="00CD29D0">
              <w:t>% NM 2025</w:t>
            </w:r>
          </w:p>
        </w:tc>
        <w:tc>
          <w:tcPr>
            <w:tcW w:w="278" w:type="pct"/>
            <w:vAlign w:val="center"/>
          </w:tcPr>
          <w:p w14:paraId="1D86FAC6" w14:textId="77777777" w:rsidR="00332F08" w:rsidRPr="00CD29D0" w:rsidRDefault="00332F08" w:rsidP="00BF0B5C">
            <w:pPr>
              <w:pStyle w:val="TableColHeadingCenter"/>
              <w:spacing w:before="20" w:after="20"/>
            </w:pPr>
            <w:r w:rsidRPr="00CD29D0">
              <w:t>% NM 2025 State</w:t>
            </w:r>
          </w:p>
        </w:tc>
      </w:tr>
      <w:tr w:rsidR="00332F08" w:rsidRPr="00CD29D0" w14:paraId="4BA4B4E0"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2DB6DCE"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All Students</w:t>
            </w:r>
          </w:p>
        </w:tc>
        <w:tc>
          <w:tcPr>
            <w:tcW w:w="341" w:type="pct"/>
            <w:vAlign w:val="center"/>
          </w:tcPr>
          <w:p w14:paraId="57102E3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160</w:t>
            </w:r>
          </w:p>
        </w:tc>
        <w:tc>
          <w:tcPr>
            <w:tcW w:w="281" w:type="pct"/>
            <w:vAlign w:val="center"/>
          </w:tcPr>
          <w:p w14:paraId="22CA88B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4EEAC06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EE4CC1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81" w:type="pct"/>
            <w:vAlign w:val="center"/>
          </w:tcPr>
          <w:p w14:paraId="4A75AA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1F16FF6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5051891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6304C2F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48B883D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69A7214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281" w:type="pct"/>
            <w:vAlign w:val="center"/>
          </w:tcPr>
          <w:p w14:paraId="4BB48DE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281" w:type="pct"/>
            <w:vAlign w:val="center"/>
          </w:tcPr>
          <w:p w14:paraId="68B4294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78" w:type="pct"/>
            <w:vAlign w:val="bottom"/>
          </w:tcPr>
          <w:p w14:paraId="62A0BDF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r>
      <w:tr w:rsidR="00332F08" w:rsidRPr="00CD29D0" w14:paraId="6D49480A" w14:textId="77777777" w:rsidTr="00BF0B5C">
        <w:trPr>
          <w:jc w:val="center"/>
        </w:trPr>
        <w:tc>
          <w:tcPr>
            <w:tcW w:w="1290" w:type="pct"/>
          </w:tcPr>
          <w:p w14:paraId="08BBD0C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28459FF0" w14:textId="5725836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21589C4" w14:textId="0E5C0B8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F52D3EE" w14:textId="500FC57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799465A" w14:textId="5FED2A2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E2CAB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32CDB7DD" w14:textId="26625AB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913554E" w14:textId="3A7810A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5BC57C5" w14:textId="022041B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57FF08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483ACA86" w14:textId="0736698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278571E" w14:textId="10DA860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DB2C49C" w14:textId="2BA7DF5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3E2D5CA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3F41FDAB"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F5D96C1"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346D2B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w:t>
            </w:r>
          </w:p>
        </w:tc>
        <w:tc>
          <w:tcPr>
            <w:tcW w:w="281" w:type="pct"/>
            <w:vAlign w:val="center"/>
          </w:tcPr>
          <w:p w14:paraId="5B3CE2B2" w14:textId="7A4B44D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9D1AE71" w14:textId="139B46C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C1DEE7C" w14:textId="31D4FE6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352BED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78</w:t>
            </w:r>
          </w:p>
        </w:tc>
        <w:tc>
          <w:tcPr>
            <w:tcW w:w="281" w:type="pct"/>
            <w:vAlign w:val="center"/>
          </w:tcPr>
          <w:p w14:paraId="486F6BD6" w14:textId="6C21D4A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588B9CB" w14:textId="7F395F8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94CA4C6" w14:textId="0E84FC3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C59F58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122C2AD6" w14:textId="1BC0D8B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3740678" w14:textId="5FA54E9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529024F" w14:textId="7438745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214A6CF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r>
      <w:tr w:rsidR="00332F08" w:rsidRPr="00CD29D0" w14:paraId="2031F7BE" w14:textId="77777777" w:rsidTr="00BF0B5C">
        <w:trPr>
          <w:jc w:val="center"/>
        </w:trPr>
        <w:tc>
          <w:tcPr>
            <w:tcW w:w="1290" w:type="pct"/>
          </w:tcPr>
          <w:p w14:paraId="61AD51BA"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512526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281" w:type="pct"/>
            <w:vAlign w:val="center"/>
          </w:tcPr>
          <w:p w14:paraId="194DBB2C" w14:textId="6C448FE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6124BC4" w14:textId="57C702C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6F194A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0</w:t>
            </w:r>
          </w:p>
        </w:tc>
        <w:tc>
          <w:tcPr>
            <w:tcW w:w="281" w:type="pct"/>
            <w:vAlign w:val="center"/>
          </w:tcPr>
          <w:p w14:paraId="4CE11E4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7352EEBE" w14:textId="4FAB2AA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F9DD945" w14:textId="4E08FFD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5A51BC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70</w:t>
            </w:r>
          </w:p>
        </w:tc>
        <w:tc>
          <w:tcPr>
            <w:tcW w:w="281" w:type="pct"/>
            <w:vAlign w:val="center"/>
          </w:tcPr>
          <w:p w14:paraId="5A27C13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422B4041" w14:textId="35636A6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04CD415" w14:textId="2C4D520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E70F4A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278" w:type="pct"/>
            <w:vAlign w:val="bottom"/>
          </w:tcPr>
          <w:p w14:paraId="7E65BDD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r>
      <w:tr w:rsidR="00332F08" w:rsidRPr="00CD29D0" w14:paraId="47FA0C74"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7FA04DF"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0D99B87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5D46F583" w14:textId="198ECFE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6459097" w14:textId="4F5A3A9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5C896D8" w14:textId="49B962F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B4FB9D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6C98E04A" w14:textId="4767E37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FE174D6" w14:textId="367975D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74C1C9E" w14:textId="6683A33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DF2C24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7514C2D6" w14:textId="5172246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88374CB" w14:textId="2915061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6245CB3" w14:textId="7D5C853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5C0507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r>
      <w:tr w:rsidR="00332F08" w:rsidRPr="00CD29D0" w14:paraId="391D46B5" w14:textId="77777777" w:rsidTr="00BF0B5C">
        <w:trPr>
          <w:jc w:val="center"/>
        </w:trPr>
        <w:tc>
          <w:tcPr>
            <w:tcW w:w="1290" w:type="pct"/>
          </w:tcPr>
          <w:p w14:paraId="5EBC98A7"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043928B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1FDAE8F7" w14:textId="16A2C17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C281D54" w14:textId="59E1044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9F9F1F0" w14:textId="2872201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4C3568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74DB9125" w14:textId="1142D50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65C2E4E" w14:textId="42F1576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9693589" w14:textId="72B7165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437A26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355D6CBC" w14:textId="6ECBCB7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C2127AF" w14:textId="7B52BF0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EFC5809" w14:textId="635C819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31CA4DF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r>
      <w:tr w:rsidR="00332F08" w:rsidRPr="00CD29D0" w14:paraId="2FC16B3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32E6905"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167FA17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w:t>
            </w:r>
          </w:p>
        </w:tc>
        <w:tc>
          <w:tcPr>
            <w:tcW w:w="281" w:type="pct"/>
            <w:vAlign w:val="center"/>
          </w:tcPr>
          <w:p w14:paraId="3960F724" w14:textId="55002F5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7F5F56C" w14:textId="43F12A4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1D505CE" w14:textId="49A9212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44C73F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7408E905" w14:textId="25E8494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4E06A6B" w14:textId="46E6E8E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05F3942" w14:textId="69CDCFB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02436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68571530" w14:textId="515C1B6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FD4BBEF" w14:textId="1A8507B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F3AB66F" w14:textId="12D30F0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1A75AED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r>
      <w:tr w:rsidR="00332F08" w:rsidRPr="00CD29D0" w14:paraId="22B3494B" w14:textId="77777777" w:rsidTr="00BF0B5C">
        <w:trPr>
          <w:jc w:val="center"/>
        </w:trPr>
        <w:tc>
          <w:tcPr>
            <w:tcW w:w="1290" w:type="pct"/>
          </w:tcPr>
          <w:p w14:paraId="2A3BC3AD"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51CE86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131</w:t>
            </w:r>
          </w:p>
        </w:tc>
        <w:tc>
          <w:tcPr>
            <w:tcW w:w="281" w:type="pct"/>
            <w:vAlign w:val="center"/>
          </w:tcPr>
          <w:p w14:paraId="7B0642D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3A3EA8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0C2612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0C14F75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1B62BC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35F29EC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37C3087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5029CA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6E55EC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281" w:type="pct"/>
            <w:vAlign w:val="center"/>
          </w:tcPr>
          <w:p w14:paraId="714E40F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w:t>
            </w:r>
          </w:p>
        </w:tc>
        <w:tc>
          <w:tcPr>
            <w:tcW w:w="281" w:type="pct"/>
            <w:vAlign w:val="center"/>
          </w:tcPr>
          <w:p w14:paraId="621EEFB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78" w:type="pct"/>
            <w:vAlign w:val="bottom"/>
          </w:tcPr>
          <w:p w14:paraId="57DF0A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r>
      <w:tr w:rsidR="00332F08" w:rsidRPr="00CD29D0" w14:paraId="6D2EE28F"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30F8D40"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16AAA34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67</w:t>
            </w:r>
          </w:p>
        </w:tc>
        <w:tc>
          <w:tcPr>
            <w:tcW w:w="281" w:type="pct"/>
            <w:vAlign w:val="center"/>
          </w:tcPr>
          <w:p w14:paraId="2B4671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48886F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353903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281" w:type="pct"/>
            <w:vAlign w:val="center"/>
          </w:tcPr>
          <w:p w14:paraId="674BDDE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648C87C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57</w:t>
            </w:r>
          </w:p>
        </w:tc>
        <w:tc>
          <w:tcPr>
            <w:tcW w:w="281" w:type="pct"/>
            <w:vAlign w:val="center"/>
          </w:tcPr>
          <w:p w14:paraId="7E43066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62</w:t>
            </w:r>
          </w:p>
        </w:tc>
        <w:tc>
          <w:tcPr>
            <w:tcW w:w="281" w:type="pct"/>
            <w:vAlign w:val="center"/>
          </w:tcPr>
          <w:p w14:paraId="6C5AC24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70DC75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548F3A9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15C789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22F49FC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78" w:type="pct"/>
            <w:vAlign w:val="bottom"/>
          </w:tcPr>
          <w:p w14:paraId="1DA20F3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r>
      <w:tr w:rsidR="00332F08" w:rsidRPr="00CD29D0" w14:paraId="0CC3B26C" w14:textId="77777777" w:rsidTr="00BF0B5C">
        <w:trPr>
          <w:jc w:val="center"/>
        </w:trPr>
        <w:tc>
          <w:tcPr>
            <w:tcW w:w="1290" w:type="pct"/>
          </w:tcPr>
          <w:p w14:paraId="3AB67485"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04A0F3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c>
          <w:tcPr>
            <w:tcW w:w="281" w:type="pct"/>
            <w:vAlign w:val="center"/>
          </w:tcPr>
          <w:p w14:paraId="2DB5BF03" w14:textId="46ABFD9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06DB121" w14:textId="72EE4CD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B310D0F" w14:textId="3B63394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3CF02F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57B29E91" w14:textId="2D39D1B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A7A07C6" w14:textId="0FD4306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68934BC" w14:textId="5EF4143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8B8E93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78D893EF" w14:textId="46ABE82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7B042AB" w14:textId="18E8E56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FFA63ED" w14:textId="2BDC86F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33D851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r>
      <w:tr w:rsidR="00332F08" w:rsidRPr="00CD29D0" w14:paraId="41B6F43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AA0A403"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0FC0EB9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771A09C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81" w:type="pct"/>
            <w:vAlign w:val="center"/>
          </w:tcPr>
          <w:p w14:paraId="3CF59A3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281" w:type="pct"/>
            <w:vAlign w:val="center"/>
          </w:tcPr>
          <w:p w14:paraId="352A0D1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2946094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7EDE7FF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38DF45A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58</w:t>
            </w:r>
          </w:p>
        </w:tc>
        <w:tc>
          <w:tcPr>
            <w:tcW w:w="281" w:type="pct"/>
            <w:vAlign w:val="center"/>
          </w:tcPr>
          <w:p w14:paraId="687ED5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64CCC44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E93A4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211C824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5DBDA0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78" w:type="pct"/>
            <w:vAlign w:val="bottom"/>
          </w:tcPr>
          <w:p w14:paraId="4EC6F5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r>
      <w:tr w:rsidR="00332F08" w:rsidRPr="00CD29D0" w14:paraId="09C1FA1B" w14:textId="77777777" w:rsidTr="00BF0B5C">
        <w:trPr>
          <w:jc w:val="center"/>
        </w:trPr>
        <w:tc>
          <w:tcPr>
            <w:tcW w:w="1290" w:type="pct"/>
          </w:tcPr>
          <w:p w14:paraId="22C4AEAA"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6E6D75D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784DA66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55F558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281" w:type="pct"/>
            <w:vAlign w:val="center"/>
          </w:tcPr>
          <w:p w14:paraId="403E7DE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w:t>
            </w:r>
          </w:p>
        </w:tc>
        <w:tc>
          <w:tcPr>
            <w:tcW w:w="281" w:type="pct"/>
            <w:vAlign w:val="center"/>
          </w:tcPr>
          <w:p w14:paraId="386FCDD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3438BEA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64</w:t>
            </w:r>
          </w:p>
        </w:tc>
        <w:tc>
          <w:tcPr>
            <w:tcW w:w="281" w:type="pct"/>
            <w:vAlign w:val="center"/>
          </w:tcPr>
          <w:p w14:paraId="7FF69E5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71</w:t>
            </w:r>
          </w:p>
        </w:tc>
        <w:tc>
          <w:tcPr>
            <w:tcW w:w="281" w:type="pct"/>
            <w:vAlign w:val="center"/>
          </w:tcPr>
          <w:p w14:paraId="3325B77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48FB2E4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672C78B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30210E6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7F3174A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78" w:type="pct"/>
            <w:vAlign w:val="bottom"/>
          </w:tcPr>
          <w:p w14:paraId="27552D9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r>
    </w:tbl>
    <w:p w14:paraId="71A49CE5" w14:textId="77777777" w:rsidR="00332F08" w:rsidRPr="00CD29D0" w:rsidRDefault="00332F08" w:rsidP="00332F08">
      <w:pPr>
        <w:pStyle w:val="TableETitle"/>
      </w:pPr>
      <w:bookmarkStart w:id="210" w:name="_Toc211928948"/>
      <w:bookmarkStart w:id="211" w:name="_Toc227587040"/>
      <w:r w:rsidRPr="00CD29D0">
        <w:lastRenderedPageBreak/>
        <w:t>Table E5. MCAS Science Achievement by Student Group, Grades 5 and 8, 2023-2025</w:t>
      </w:r>
      <w:bookmarkEnd w:id="210"/>
      <w:bookmarkEnd w:id="211"/>
      <w:r w:rsidRPr="00CD29D0">
        <w:t xml:space="preserve"> </w:t>
      </w:r>
    </w:p>
    <w:tbl>
      <w:tblPr>
        <w:tblStyle w:val="MSVTable1"/>
        <w:tblW w:w="5107" w:type="pct"/>
        <w:jc w:val="center"/>
        <w:tblLayout w:type="fixed"/>
        <w:tblLook w:val="0420" w:firstRow="1" w:lastRow="0" w:firstColumn="0" w:lastColumn="0" w:noHBand="0" w:noVBand="1"/>
        <w:tblCaption w:val="Table E5. MCAS Science Achievement by Student Group, Grades 5 and 8, 2023-2025"/>
        <w:tblDescription w:val="MCAS Science Achievement by Student Group, Grades 5 and 8, 2023-2025"/>
      </w:tblPr>
      <w:tblGrid>
        <w:gridCol w:w="3411"/>
        <w:gridCol w:w="902"/>
        <w:gridCol w:w="743"/>
        <w:gridCol w:w="743"/>
        <w:gridCol w:w="743"/>
        <w:gridCol w:w="743"/>
        <w:gridCol w:w="743"/>
        <w:gridCol w:w="743"/>
        <w:gridCol w:w="743"/>
        <w:gridCol w:w="743"/>
        <w:gridCol w:w="743"/>
        <w:gridCol w:w="743"/>
        <w:gridCol w:w="743"/>
        <w:gridCol w:w="735"/>
      </w:tblGrid>
      <w:tr w:rsidR="00332F08" w:rsidRPr="00CD29D0" w14:paraId="40704049"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5323FB25" w14:textId="77777777" w:rsidR="00332F08" w:rsidRPr="00CD29D0" w:rsidRDefault="00332F08" w:rsidP="00BF0B5C">
            <w:pPr>
              <w:pStyle w:val="TableColHeadingCenter"/>
              <w:spacing w:before="20" w:after="20"/>
            </w:pPr>
            <w:r w:rsidRPr="00CD29D0">
              <w:t>Group</w:t>
            </w:r>
          </w:p>
        </w:tc>
        <w:tc>
          <w:tcPr>
            <w:tcW w:w="341" w:type="pct"/>
            <w:vAlign w:val="center"/>
          </w:tcPr>
          <w:p w14:paraId="2666A152" w14:textId="77777777" w:rsidR="00332F08" w:rsidRPr="00CD29D0" w:rsidRDefault="00332F08" w:rsidP="00BF0B5C">
            <w:pPr>
              <w:pStyle w:val="TableColHeadingCenter"/>
              <w:spacing w:before="20" w:after="20"/>
            </w:pPr>
            <w:r w:rsidRPr="00CD29D0">
              <w:t># Included (2025)</w:t>
            </w:r>
          </w:p>
        </w:tc>
        <w:tc>
          <w:tcPr>
            <w:tcW w:w="281" w:type="pct"/>
            <w:vAlign w:val="center"/>
          </w:tcPr>
          <w:p w14:paraId="4A478953" w14:textId="77777777" w:rsidR="00332F08" w:rsidRPr="00CD29D0" w:rsidRDefault="00332F08" w:rsidP="00BF0B5C">
            <w:pPr>
              <w:pStyle w:val="TableColHeadingCenter"/>
              <w:spacing w:before="20" w:after="20"/>
            </w:pPr>
            <w:r w:rsidRPr="00CD29D0">
              <w:t>% M/E 2023</w:t>
            </w:r>
          </w:p>
        </w:tc>
        <w:tc>
          <w:tcPr>
            <w:tcW w:w="281" w:type="pct"/>
            <w:vAlign w:val="center"/>
          </w:tcPr>
          <w:p w14:paraId="356C1A62" w14:textId="77777777" w:rsidR="00332F08" w:rsidRPr="00CD29D0" w:rsidRDefault="00332F08" w:rsidP="00BF0B5C">
            <w:pPr>
              <w:pStyle w:val="TableColHeadingCenter"/>
              <w:spacing w:before="20" w:after="20"/>
            </w:pPr>
            <w:r w:rsidRPr="00CD29D0">
              <w:t>% M/E 2024</w:t>
            </w:r>
          </w:p>
        </w:tc>
        <w:tc>
          <w:tcPr>
            <w:tcW w:w="281" w:type="pct"/>
            <w:vAlign w:val="center"/>
          </w:tcPr>
          <w:p w14:paraId="0F3CE44B" w14:textId="77777777" w:rsidR="00332F08" w:rsidRPr="00CD29D0" w:rsidRDefault="00332F08" w:rsidP="00BF0B5C">
            <w:pPr>
              <w:pStyle w:val="TableColHeadingCenter"/>
              <w:spacing w:before="20" w:after="20"/>
            </w:pPr>
            <w:r w:rsidRPr="00CD29D0">
              <w:t>% M/E 2025</w:t>
            </w:r>
          </w:p>
        </w:tc>
        <w:tc>
          <w:tcPr>
            <w:tcW w:w="281" w:type="pct"/>
            <w:vAlign w:val="center"/>
          </w:tcPr>
          <w:p w14:paraId="2E0EB7B0" w14:textId="77777777" w:rsidR="00332F08" w:rsidRPr="00CD29D0" w:rsidRDefault="00332F08" w:rsidP="00BF0B5C">
            <w:pPr>
              <w:pStyle w:val="TableColHeadingCenter"/>
              <w:spacing w:before="20" w:after="20"/>
            </w:pPr>
            <w:r w:rsidRPr="00CD29D0">
              <w:t>% M/E 2025 State</w:t>
            </w:r>
          </w:p>
        </w:tc>
        <w:tc>
          <w:tcPr>
            <w:tcW w:w="281" w:type="pct"/>
            <w:vAlign w:val="center"/>
          </w:tcPr>
          <w:p w14:paraId="05A99563" w14:textId="77777777" w:rsidR="00332F08" w:rsidRPr="00CD29D0" w:rsidRDefault="00332F08" w:rsidP="00BF0B5C">
            <w:pPr>
              <w:pStyle w:val="TableColHeadingCenter"/>
              <w:spacing w:before="20" w:after="20"/>
            </w:pPr>
            <w:r w:rsidRPr="00CD29D0">
              <w:t>% PME 2023</w:t>
            </w:r>
          </w:p>
        </w:tc>
        <w:tc>
          <w:tcPr>
            <w:tcW w:w="281" w:type="pct"/>
            <w:vAlign w:val="center"/>
          </w:tcPr>
          <w:p w14:paraId="55D49E27" w14:textId="77777777" w:rsidR="00332F08" w:rsidRPr="00CD29D0" w:rsidRDefault="00332F08" w:rsidP="00BF0B5C">
            <w:pPr>
              <w:pStyle w:val="TableColHeadingCenter"/>
              <w:spacing w:before="20" w:after="20"/>
            </w:pPr>
            <w:r w:rsidRPr="00CD29D0">
              <w:t>% PME 2024</w:t>
            </w:r>
          </w:p>
        </w:tc>
        <w:tc>
          <w:tcPr>
            <w:tcW w:w="281" w:type="pct"/>
            <w:vAlign w:val="center"/>
          </w:tcPr>
          <w:p w14:paraId="58C417EE" w14:textId="77777777" w:rsidR="00332F08" w:rsidRPr="00CD29D0" w:rsidRDefault="00332F08" w:rsidP="00BF0B5C">
            <w:pPr>
              <w:pStyle w:val="TableColHeadingCenter"/>
              <w:spacing w:before="20" w:after="20"/>
            </w:pPr>
            <w:r w:rsidRPr="00CD29D0">
              <w:t>% PME 2025</w:t>
            </w:r>
          </w:p>
        </w:tc>
        <w:tc>
          <w:tcPr>
            <w:tcW w:w="281" w:type="pct"/>
            <w:vAlign w:val="center"/>
          </w:tcPr>
          <w:p w14:paraId="75D6F686" w14:textId="77777777" w:rsidR="00332F08" w:rsidRPr="00CD29D0" w:rsidRDefault="00332F08" w:rsidP="00BF0B5C">
            <w:pPr>
              <w:pStyle w:val="TableColHeadingCenter"/>
              <w:spacing w:before="20" w:after="20"/>
            </w:pPr>
            <w:r w:rsidRPr="00CD29D0">
              <w:t>% PME 2025 State</w:t>
            </w:r>
          </w:p>
        </w:tc>
        <w:tc>
          <w:tcPr>
            <w:tcW w:w="281" w:type="pct"/>
            <w:vAlign w:val="center"/>
          </w:tcPr>
          <w:p w14:paraId="52BC768D" w14:textId="77777777" w:rsidR="00332F08" w:rsidRPr="00CD29D0" w:rsidRDefault="00332F08" w:rsidP="00BF0B5C">
            <w:pPr>
              <w:pStyle w:val="TableColHeadingCenter"/>
              <w:spacing w:before="20" w:after="20"/>
            </w:pPr>
            <w:r w:rsidRPr="00CD29D0">
              <w:t>% NM 2023</w:t>
            </w:r>
          </w:p>
        </w:tc>
        <w:tc>
          <w:tcPr>
            <w:tcW w:w="281" w:type="pct"/>
            <w:vAlign w:val="center"/>
          </w:tcPr>
          <w:p w14:paraId="231CF370" w14:textId="77777777" w:rsidR="00332F08" w:rsidRPr="00CD29D0" w:rsidRDefault="00332F08" w:rsidP="00BF0B5C">
            <w:pPr>
              <w:pStyle w:val="TableColHeadingCenter"/>
              <w:spacing w:before="20" w:after="20"/>
            </w:pPr>
            <w:r w:rsidRPr="00CD29D0">
              <w:t>% NM 2024</w:t>
            </w:r>
          </w:p>
        </w:tc>
        <w:tc>
          <w:tcPr>
            <w:tcW w:w="281" w:type="pct"/>
            <w:vAlign w:val="center"/>
          </w:tcPr>
          <w:p w14:paraId="28B3DEF7" w14:textId="77777777" w:rsidR="00332F08" w:rsidRPr="00CD29D0" w:rsidRDefault="00332F08" w:rsidP="00BF0B5C">
            <w:pPr>
              <w:pStyle w:val="TableColHeadingCenter"/>
              <w:spacing w:before="20" w:after="20"/>
            </w:pPr>
            <w:r w:rsidRPr="00CD29D0">
              <w:t>% NM 2025</w:t>
            </w:r>
          </w:p>
        </w:tc>
        <w:tc>
          <w:tcPr>
            <w:tcW w:w="278" w:type="pct"/>
            <w:vAlign w:val="center"/>
          </w:tcPr>
          <w:p w14:paraId="177D63F4" w14:textId="77777777" w:rsidR="00332F08" w:rsidRPr="00CD29D0" w:rsidRDefault="00332F08" w:rsidP="00BF0B5C">
            <w:pPr>
              <w:pStyle w:val="TableColHeadingCenter"/>
              <w:spacing w:before="20" w:after="20"/>
            </w:pPr>
            <w:r w:rsidRPr="00CD29D0">
              <w:t>% NM 2025 State</w:t>
            </w:r>
          </w:p>
        </w:tc>
      </w:tr>
      <w:tr w:rsidR="00332F08" w:rsidRPr="00CD29D0" w14:paraId="665C4326"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D5F16A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All Students</w:t>
            </w:r>
          </w:p>
        </w:tc>
        <w:tc>
          <w:tcPr>
            <w:tcW w:w="341" w:type="pct"/>
            <w:vAlign w:val="center"/>
          </w:tcPr>
          <w:p w14:paraId="33F4A7E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338</w:t>
            </w:r>
          </w:p>
        </w:tc>
        <w:tc>
          <w:tcPr>
            <w:tcW w:w="281" w:type="pct"/>
            <w:vAlign w:val="center"/>
          </w:tcPr>
          <w:p w14:paraId="4BD9712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81" w:type="pct"/>
            <w:vAlign w:val="center"/>
          </w:tcPr>
          <w:p w14:paraId="6FD7B0A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40A0C05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81" w:type="pct"/>
            <w:vAlign w:val="center"/>
          </w:tcPr>
          <w:p w14:paraId="71FEF8E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5D9FC46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553F9C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045F2F1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529DAC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05F7C6E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0D95ED9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4BC7E49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78" w:type="pct"/>
            <w:vAlign w:val="bottom"/>
          </w:tcPr>
          <w:p w14:paraId="4E99339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1680EB84" w14:textId="77777777" w:rsidTr="00BF0B5C">
        <w:trPr>
          <w:jc w:val="center"/>
        </w:trPr>
        <w:tc>
          <w:tcPr>
            <w:tcW w:w="1290" w:type="pct"/>
          </w:tcPr>
          <w:p w14:paraId="7C890435"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2F736BAD" w14:textId="7DAAB09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9F6A097" w14:textId="1FCC0F5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57BAB68" w14:textId="242755F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46B73A5" w14:textId="670AF9D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94069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172F023A" w14:textId="2563856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1753375" w14:textId="143CF29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843AE74" w14:textId="48BA03A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7884C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32E3A869" w14:textId="310A1B4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2C08717" w14:textId="2CC090E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F0B75BB" w14:textId="72D61A5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45B0462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r>
      <w:tr w:rsidR="00332F08" w:rsidRPr="00CD29D0" w14:paraId="7EAB791F"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AD7DF2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7698977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w:t>
            </w:r>
          </w:p>
        </w:tc>
        <w:tc>
          <w:tcPr>
            <w:tcW w:w="281" w:type="pct"/>
            <w:vAlign w:val="center"/>
          </w:tcPr>
          <w:p w14:paraId="56F8526D" w14:textId="57E6359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F7F0C79" w14:textId="528E2C7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80E2E83" w14:textId="7818C6A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31B260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65</w:t>
            </w:r>
          </w:p>
        </w:tc>
        <w:tc>
          <w:tcPr>
            <w:tcW w:w="281" w:type="pct"/>
            <w:vAlign w:val="center"/>
          </w:tcPr>
          <w:p w14:paraId="738F2E4A" w14:textId="1A7EEF3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6EFB302" w14:textId="133DFE1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4B343BF" w14:textId="19835812"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C3ABF1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64C0D05B" w14:textId="613AAD1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4062373" w14:textId="3D59E7F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A8ADE4E" w14:textId="45F608C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0C7EFC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r>
      <w:tr w:rsidR="00332F08" w:rsidRPr="00CD29D0" w14:paraId="43C29B9A" w14:textId="77777777" w:rsidTr="00BF0B5C">
        <w:trPr>
          <w:jc w:val="center"/>
        </w:trPr>
        <w:tc>
          <w:tcPr>
            <w:tcW w:w="1290" w:type="pct"/>
          </w:tcPr>
          <w:p w14:paraId="13529A8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62FF78C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7DC9193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26D8882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5BEB22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668F7BF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2992F7E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063D8F4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02AF0E6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c>
          <w:tcPr>
            <w:tcW w:w="281" w:type="pct"/>
            <w:vAlign w:val="center"/>
          </w:tcPr>
          <w:p w14:paraId="10C978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1C13B3D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c>
          <w:tcPr>
            <w:tcW w:w="281" w:type="pct"/>
            <w:vAlign w:val="center"/>
          </w:tcPr>
          <w:p w14:paraId="3AE5E0C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1FEDA8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78" w:type="pct"/>
            <w:vAlign w:val="bottom"/>
          </w:tcPr>
          <w:p w14:paraId="7B6098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r>
      <w:tr w:rsidR="00332F08" w:rsidRPr="00CD29D0" w14:paraId="48CD2AA4"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BD83F2F"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51FCB8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6740E83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40187A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81" w:type="pct"/>
            <w:vAlign w:val="center"/>
          </w:tcPr>
          <w:p w14:paraId="060DB99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0</w:t>
            </w:r>
          </w:p>
        </w:tc>
        <w:tc>
          <w:tcPr>
            <w:tcW w:w="281" w:type="pct"/>
            <w:vAlign w:val="center"/>
          </w:tcPr>
          <w:p w14:paraId="5796341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38594CD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54E4CE6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68D050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1AA7EA0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36CA247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03E6218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2EA218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59</w:t>
            </w:r>
          </w:p>
        </w:tc>
        <w:tc>
          <w:tcPr>
            <w:tcW w:w="278" w:type="pct"/>
            <w:vAlign w:val="bottom"/>
          </w:tcPr>
          <w:p w14:paraId="1B8498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r>
      <w:tr w:rsidR="00332F08" w:rsidRPr="00CD29D0" w14:paraId="56034625" w14:textId="77777777" w:rsidTr="00BF0B5C">
        <w:trPr>
          <w:jc w:val="center"/>
        </w:trPr>
        <w:tc>
          <w:tcPr>
            <w:tcW w:w="1290" w:type="pct"/>
          </w:tcPr>
          <w:p w14:paraId="01E9AAB3"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7C4655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315237C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3A329AF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62</w:t>
            </w:r>
          </w:p>
        </w:tc>
        <w:tc>
          <w:tcPr>
            <w:tcW w:w="281" w:type="pct"/>
            <w:vAlign w:val="center"/>
          </w:tcPr>
          <w:p w14:paraId="4270E9F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00CCDE4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4E784E6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786525A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5B635C1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0DD12DD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2CD81C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79D57E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0E61C2E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78" w:type="pct"/>
            <w:vAlign w:val="bottom"/>
          </w:tcPr>
          <w:p w14:paraId="577F9E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38C5EA1A"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6A6EB68"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5CA1D92F" w14:textId="056F105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815C933" w14:textId="0D665F5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6D47D4D" w14:textId="6D2D0EC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0D7A94C" w14:textId="295AE44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C86968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281" w:type="pct"/>
            <w:vAlign w:val="center"/>
          </w:tcPr>
          <w:p w14:paraId="2249DC04" w14:textId="37E25A8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68A3B8E" w14:textId="7A73B88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01B6F9C" w14:textId="6B26D6A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7956FE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7AF33F58" w14:textId="302E905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0D20B4D" w14:textId="7549523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5087E62" w14:textId="6F4E5AB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61E567A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028A3D7D" w14:textId="77777777" w:rsidTr="00BF0B5C">
        <w:trPr>
          <w:jc w:val="center"/>
        </w:trPr>
        <w:tc>
          <w:tcPr>
            <w:tcW w:w="1290" w:type="pct"/>
          </w:tcPr>
          <w:p w14:paraId="1BB2B40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31B1161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280</w:t>
            </w:r>
          </w:p>
        </w:tc>
        <w:tc>
          <w:tcPr>
            <w:tcW w:w="281" w:type="pct"/>
            <w:vAlign w:val="center"/>
          </w:tcPr>
          <w:p w14:paraId="71A8FD8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7B1396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3973920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21B71F1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0930A6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2A7BBA1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679F30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611BC77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01BF55C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244991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356C14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78" w:type="pct"/>
            <w:vAlign w:val="bottom"/>
          </w:tcPr>
          <w:p w14:paraId="0E6638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r>
      <w:tr w:rsidR="00332F08" w:rsidRPr="00CD29D0" w14:paraId="6B1A86C5"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C658648"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2DDD2F8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150</w:t>
            </w:r>
          </w:p>
        </w:tc>
        <w:tc>
          <w:tcPr>
            <w:tcW w:w="281" w:type="pct"/>
            <w:vAlign w:val="center"/>
          </w:tcPr>
          <w:p w14:paraId="197547C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281" w:type="pct"/>
            <w:vAlign w:val="center"/>
          </w:tcPr>
          <w:p w14:paraId="435007B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70447B7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0E424C9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281" w:type="pct"/>
            <w:vAlign w:val="center"/>
          </w:tcPr>
          <w:p w14:paraId="20802EB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708D0CB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6E2E2B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7C39C9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4FEFB5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81" w:type="pct"/>
            <w:vAlign w:val="center"/>
          </w:tcPr>
          <w:p w14:paraId="3A14D34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4BFA9B6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78" w:type="pct"/>
            <w:vAlign w:val="bottom"/>
          </w:tcPr>
          <w:p w14:paraId="68283F8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32</w:t>
            </w:r>
          </w:p>
        </w:tc>
      </w:tr>
      <w:tr w:rsidR="00332F08" w:rsidRPr="00CD29D0" w14:paraId="17EBDE65" w14:textId="77777777" w:rsidTr="00BF0B5C">
        <w:trPr>
          <w:jc w:val="center"/>
        </w:trPr>
        <w:tc>
          <w:tcPr>
            <w:tcW w:w="1290" w:type="pct"/>
          </w:tcPr>
          <w:p w14:paraId="73B11425"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6B5ED4E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3019F5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81" w:type="pct"/>
            <w:vAlign w:val="center"/>
          </w:tcPr>
          <w:p w14:paraId="6EF13A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376669C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0</w:t>
            </w:r>
          </w:p>
        </w:tc>
        <w:tc>
          <w:tcPr>
            <w:tcW w:w="281" w:type="pct"/>
            <w:vAlign w:val="center"/>
          </w:tcPr>
          <w:p w14:paraId="6EF4D55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41A8CFC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0438049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74152C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64</w:t>
            </w:r>
          </w:p>
        </w:tc>
        <w:tc>
          <w:tcPr>
            <w:tcW w:w="281" w:type="pct"/>
            <w:vAlign w:val="center"/>
          </w:tcPr>
          <w:p w14:paraId="6B53A9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03A9CCB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281" w:type="pct"/>
            <w:vAlign w:val="center"/>
          </w:tcPr>
          <w:p w14:paraId="241FABE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58</w:t>
            </w:r>
          </w:p>
        </w:tc>
        <w:tc>
          <w:tcPr>
            <w:tcW w:w="281" w:type="pct"/>
            <w:vAlign w:val="center"/>
          </w:tcPr>
          <w:p w14:paraId="6E12767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78" w:type="pct"/>
            <w:vAlign w:val="bottom"/>
          </w:tcPr>
          <w:p w14:paraId="555779E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r>
      <w:tr w:rsidR="00332F08" w:rsidRPr="00CD29D0" w14:paraId="650BCB36"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EBF95DE"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26E542F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104</w:t>
            </w:r>
          </w:p>
        </w:tc>
        <w:tc>
          <w:tcPr>
            <w:tcW w:w="281" w:type="pct"/>
            <w:vAlign w:val="center"/>
          </w:tcPr>
          <w:p w14:paraId="4445AA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3F9CB5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79FE8A5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350F21B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281" w:type="pct"/>
            <w:vAlign w:val="center"/>
          </w:tcPr>
          <w:p w14:paraId="208D8D8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717A326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77ED720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6B3BC50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6F0201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3B0F87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5DBFEE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278" w:type="pct"/>
            <w:vAlign w:val="bottom"/>
          </w:tcPr>
          <w:p w14:paraId="27222C5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r>
      <w:tr w:rsidR="00332F08" w:rsidRPr="00CD29D0" w14:paraId="167CF127" w14:textId="77777777" w:rsidTr="00BF0B5C">
        <w:trPr>
          <w:jc w:val="center"/>
        </w:trPr>
        <w:tc>
          <w:tcPr>
            <w:tcW w:w="1290" w:type="pct"/>
          </w:tcPr>
          <w:p w14:paraId="107FCD02"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11E878E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78</w:t>
            </w:r>
          </w:p>
        </w:tc>
        <w:tc>
          <w:tcPr>
            <w:tcW w:w="281" w:type="pct"/>
            <w:vAlign w:val="center"/>
          </w:tcPr>
          <w:p w14:paraId="1E73121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281" w:type="pct"/>
            <w:vAlign w:val="center"/>
          </w:tcPr>
          <w:p w14:paraId="3F89732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c>
          <w:tcPr>
            <w:tcW w:w="281" w:type="pct"/>
            <w:vAlign w:val="center"/>
          </w:tcPr>
          <w:p w14:paraId="1712F8C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281" w:type="pct"/>
            <w:vAlign w:val="center"/>
          </w:tcPr>
          <w:p w14:paraId="4DDFD0A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1E554E8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49B21DB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512A76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652346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1565312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661BF9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5A31AE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78" w:type="pct"/>
            <w:vAlign w:val="bottom"/>
          </w:tcPr>
          <w:p w14:paraId="3F03F93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r>
    </w:tbl>
    <w:p w14:paraId="6690035A" w14:textId="77777777" w:rsidR="00332F08" w:rsidRPr="00CD29D0" w:rsidRDefault="00332F08" w:rsidP="00332F08">
      <w:pPr>
        <w:pStyle w:val="TableETitle"/>
      </w:pPr>
      <w:bookmarkStart w:id="212" w:name="_Toc211928949"/>
      <w:bookmarkStart w:id="213" w:name="_Toc227587041"/>
      <w:r w:rsidRPr="00CD29D0">
        <w:t>Table E6. MCAS Science Achievement by Student Group, Grade 10, 2023-2025</w:t>
      </w:r>
      <w:bookmarkEnd w:id="212"/>
      <w:bookmarkEnd w:id="213"/>
      <w:r w:rsidRPr="00CD29D0">
        <w:t xml:space="preserve"> </w:t>
      </w:r>
    </w:p>
    <w:tbl>
      <w:tblPr>
        <w:tblStyle w:val="MSVTable1"/>
        <w:tblW w:w="5107" w:type="pct"/>
        <w:jc w:val="center"/>
        <w:tblLayout w:type="fixed"/>
        <w:tblLook w:val="0420" w:firstRow="1" w:lastRow="0" w:firstColumn="0" w:lastColumn="0" w:noHBand="0" w:noVBand="1"/>
        <w:tblCaption w:val="Table E6. MCAS Science Achievement by Student Group, Grade 10, 2023-2025 "/>
        <w:tblDescription w:val="MCAS Science Achievement by Student Group, Grade 10, 2023-2025 "/>
      </w:tblPr>
      <w:tblGrid>
        <w:gridCol w:w="3411"/>
        <w:gridCol w:w="902"/>
        <w:gridCol w:w="743"/>
        <w:gridCol w:w="743"/>
        <w:gridCol w:w="743"/>
        <w:gridCol w:w="743"/>
        <w:gridCol w:w="743"/>
        <w:gridCol w:w="743"/>
        <w:gridCol w:w="743"/>
        <w:gridCol w:w="743"/>
        <w:gridCol w:w="743"/>
        <w:gridCol w:w="743"/>
        <w:gridCol w:w="743"/>
        <w:gridCol w:w="735"/>
      </w:tblGrid>
      <w:tr w:rsidR="00332F08" w:rsidRPr="00CD29D0" w14:paraId="1D855967"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3DDD8B35" w14:textId="77777777" w:rsidR="00332F08" w:rsidRPr="00CD29D0" w:rsidRDefault="00332F08" w:rsidP="00BF0B5C">
            <w:pPr>
              <w:pStyle w:val="TableColHeadingCenter"/>
              <w:spacing w:before="20" w:after="20"/>
            </w:pPr>
            <w:r w:rsidRPr="00CD29D0">
              <w:t>Group</w:t>
            </w:r>
          </w:p>
        </w:tc>
        <w:tc>
          <w:tcPr>
            <w:tcW w:w="341" w:type="pct"/>
            <w:vAlign w:val="center"/>
          </w:tcPr>
          <w:p w14:paraId="77323F3A" w14:textId="77777777" w:rsidR="00332F08" w:rsidRPr="00CD29D0" w:rsidRDefault="00332F08" w:rsidP="00BF0B5C">
            <w:pPr>
              <w:pStyle w:val="TableColHeadingCenter"/>
              <w:spacing w:before="20" w:after="20"/>
            </w:pPr>
            <w:r w:rsidRPr="00CD29D0">
              <w:t># Included (2025)</w:t>
            </w:r>
          </w:p>
        </w:tc>
        <w:tc>
          <w:tcPr>
            <w:tcW w:w="281" w:type="pct"/>
            <w:vAlign w:val="center"/>
          </w:tcPr>
          <w:p w14:paraId="5DB07F24" w14:textId="77777777" w:rsidR="00332F08" w:rsidRPr="00CD29D0" w:rsidRDefault="00332F08" w:rsidP="00BF0B5C">
            <w:pPr>
              <w:pStyle w:val="TableColHeadingCenter"/>
              <w:spacing w:before="20" w:after="20"/>
            </w:pPr>
            <w:r w:rsidRPr="00CD29D0">
              <w:t>% M/E 2023</w:t>
            </w:r>
          </w:p>
        </w:tc>
        <w:tc>
          <w:tcPr>
            <w:tcW w:w="281" w:type="pct"/>
            <w:vAlign w:val="center"/>
          </w:tcPr>
          <w:p w14:paraId="570A77A5" w14:textId="77777777" w:rsidR="00332F08" w:rsidRPr="00CD29D0" w:rsidRDefault="00332F08" w:rsidP="00BF0B5C">
            <w:pPr>
              <w:pStyle w:val="TableColHeadingCenter"/>
              <w:spacing w:before="20" w:after="20"/>
            </w:pPr>
            <w:r w:rsidRPr="00CD29D0">
              <w:t>% M/E 2024</w:t>
            </w:r>
          </w:p>
        </w:tc>
        <w:tc>
          <w:tcPr>
            <w:tcW w:w="281" w:type="pct"/>
            <w:vAlign w:val="center"/>
          </w:tcPr>
          <w:p w14:paraId="479CE08A" w14:textId="77777777" w:rsidR="00332F08" w:rsidRPr="00CD29D0" w:rsidRDefault="00332F08" w:rsidP="00BF0B5C">
            <w:pPr>
              <w:pStyle w:val="TableColHeadingCenter"/>
              <w:spacing w:before="20" w:after="20"/>
            </w:pPr>
            <w:r w:rsidRPr="00CD29D0">
              <w:t>% M/E 2025</w:t>
            </w:r>
          </w:p>
        </w:tc>
        <w:tc>
          <w:tcPr>
            <w:tcW w:w="281" w:type="pct"/>
            <w:vAlign w:val="center"/>
          </w:tcPr>
          <w:p w14:paraId="685EE1AD" w14:textId="77777777" w:rsidR="00332F08" w:rsidRPr="00CD29D0" w:rsidRDefault="00332F08" w:rsidP="00BF0B5C">
            <w:pPr>
              <w:pStyle w:val="TableColHeadingCenter"/>
              <w:spacing w:before="20" w:after="20"/>
            </w:pPr>
            <w:r w:rsidRPr="00CD29D0">
              <w:t>% M/E 2025 State</w:t>
            </w:r>
          </w:p>
        </w:tc>
        <w:tc>
          <w:tcPr>
            <w:tcW w:w="281" w:type="pct"/>
            <w:vAlign w:val="center"/>
          </w:tcPr>
          <w:p w14:paraId="1B0497FF" w14:textId="77777777" w:rsidR="00332F08" w:rsidRPr="00CD29D0" w:rsidRDefault="00332F08" w:rsidP="00BF0B5C">
            <w:pPr>
              <w:pStyle w:val="TableColHeadingCenter"/>
              <w:spacing w:before="20" w:after="20"/>
            </w:pPr>
            <w:r w:rsidRPr="00CD29D0">
              <w:t>% PME 2023</w:t>
            </w:r>
          </w:p>
        </w:tc>
        <w:tc>
          <w:tcPr>
            <w:tcW w:w="281" w:type="pct"/>
            <w:vAlign w:val="center"/>
          </w:tcPr>
          <w:p w14:paraId="1A47C591" w14:textId="77777777" w:rsidR="00332F08" w:rsidRPr="00CD29D0" w:rsidRDefault="00332F08" w:rsidP="00BF0B5C">
            <w:pPr>
              <w:pStyle w:val="TableColHeadingCenter"/>
              <w:spacing w:before="20" w:after="20"/>
            </w:pPr>
            <w:r w:rsidRPr="00CD29D0">
              <w:t>% PME 2024</w:t>
            </w:r>
          </w:p>
        </w:tc>
        <w:tc>
          <w:tcPr>
            <w:tcW w:w="281" w:type="pct"/>
            <w:vAlign w:val="center"/>
          </w:tcPr>
          <w:p w14:paraId="4E72FA6E" w14:textId="77777777" w:rsidR="00332F08" w:rsidRPr="00CD29D0" w:rsidRDefault="00332F08" w:rsidP="00BF0B5C">
            <w:pPr>
              <w:pStyle w:val="TableColHeadingCenter"/>
              <w:spacing w:before="20" w:after="20"/>
            </w:pPr>
            <w:r w:rsidRPr="00CD29D0">
              <w:t>% PME 2025</w:t>
            </w:r>
          </w:p>
        </w:tc>
        <w:tc>
          <w:tcPr>
            <w:tcW w:w="281" w:type="pct"/>
            <w:vAlign w:val="center"/>
          </w:tcPr>
          <w:p w14:paraId="2BFE34FD" w14:textId="77777777" w:rsidR="00332F08" w:rsidRPr="00CD29D0" w:rsidRDefault="00332F08" w:rsidP="00BF0B5C">
            <w:pPr>
              <w:pStyle w:val="TableColHeadingCenter"/>
              <w:spacing w:before="20" w:after="20"/>
            </w:pPr>
            <w:r w:rsidRPr="00CD29D0">
              <w:t>% PME 2025 State</w:t>
            </w:r>
          </w:p>
        </w:tc>
        <w:tc>
          <w:tcPr>
            <w:tcW w:w="281" w:type="pct"/>
            <w:vAlign w:val="center"/>
          </w:tcPr>
          <w:p w14:paraId="52439E62" w14:textId="77777777" w:rsidR="00332F08" w:rsidRPr="00CD29D0" w:rsidRDefault="00332F08" w:rsidP="00BF0B5C">
            <w:pPr>
              <w:pStyle w:val="TableColHeadingCenter"/>
              <w:spacing w:before="20" w:after="20"/>
            </w:pPr>
            <w:r w:rsidRPr="00CD29D0">
              <w:t>% NM 2023</w:t>
            </w:r>
          </w:p>
        </w:tc>
        <w:tc>
          <w:tcPr>
            <w:tcW w:w="281" w:type="pct"/>
            <w:vAlign w:val="center"/>
          </w:tcPr>
          <w:p w14:paraId="071FF297" w14:textId="77777777" w:rsidR="00332F08" w:rsidRPr="00CD29D0" w:rsidRDefault="00332F08" w:rsidP="00BF0B5C">
            <w:pPr>
              <w:pStyle w:val="TableColHeadingCenter"/>
              <w:spacing w:before="20" w:after="20"/>
            </w:pPr>
            <w:r w:rsidRPr="00CD29D0">
              <w:t>% NM 2024</w:t>
            </w:r>
          </w:p>
        </w:tc>
        <w:tc>
          <w:tcPr>
            <w:tcW w:w="281" w:type="pct"/>
            <w:vAlign w:val="center"/>
          </w:tcPr>
          <w:p w14:paraId="6FAA4E4A" w14:textId="77777777" w:rsidR="00332F08" w:rsidRPr="00CD29D0" w:rsidRDefault="00332F08" w:rsidP="00BF0B5C">
            <w:pPr>
              <w:pStyle w:val="TableColHeadingCenter"/>
              <w:spacing w:before="20" w:after="20"/>
            </w:pPr>
            <w:r w:rsidRPr="00CD29D0">
              <w:t>% NM 2025</w:t>
            </w:r>
          </w:p>
        </w:tc>
        <w:tc>
          <w:tcPr>
            <w:tcW w:w="278" w:type="pct"/>
            <w:vAlign w:val="center"/>
          </w:tcPr>
          <w:p w14:paraId="738A5900" w14:textId="77777777" w:rsidR="00332F08" w:rsidRPr="00CD29D0" w:rsidRDefault="00332F08" w:rsidP="00BF0B5C">
            <w:pPr>
              <w:pStyle w:val="TableColHeadingCenter"/>
              <w:spacing w:before="20" w:after="20"/>
            </w:pPr>
            <w:r w:rsidRPr="00CD29D0">
              <w:t>% NM 2025 State</w:t>
            </w:r>
          </w:p>
        </w:tc>
      </w:tr>
      <w:tr w:rsidR="00332F08" w:rsidRPr="00CD29D0" w14:paraId="6245F68C"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FC3766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All Students</w:t>
            </w:r>
          </w:p>
        </w:tc>
        <w:tc>
          <w:tcPr>
            <w:tcW w:w="341" w:type="pct"/>
            <w:vAlign w:val="center"/>
          </w:tcPr>
          <w:p w14:paraId="28A1E07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156</w:t>
            </w:r>
          </w:p>
        </w:tc>
        <w:tc>
          <w:tcPr>
            <w:tcW w:w="281" w:type="pct"/>
            <w:vAlign w:val="center"/>
          </w:tcPr>
          <w:p w14:paraId="652C7AD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767237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281" w:type="pct"/>
            <w:vAlign w:val="center"/>
          </w:tcPr>
          <w:p w14:paraId="16B5804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4C06E5F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3FB0AA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7785959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5AC9BF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08CBB5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09F925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c>
          <w:tcPr>
            <w:tcW w:w="281" w:type="pct"/>
            <w:vAlign w:val="center"/>
          </w:tcPr>
          <w:p w14:paraId="36223C4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281" w:type="pct"/>
            <w:vAlign w:val="center"/>
          </w:tcPr>
          <w:p w14:paraId="5A6E85F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78" w:type="pct"/>
            <w:vAlign w:val="bottom"/>
          </w:tcPr>
          <w:p w14:paraId="5D174F3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r>
      <w:tr w:rsidR="00332F08" w:rsidRPr="00CD29D0" w14:paraId="42898279" w14:textId="77777777" w:rsidTr="00BF0B5C">
        <w:trPr>
          <w:jc w:val="center"/>
        </w:trPr>
        <w:tc>
          <w:tcPr>
            <w:tcW w:w="1290" w:type="pct"/>
          </w:tcPr>
          <w:p w14:paraId="31103A58"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American Indian or Alaskan Native</w:t>
            </w:r>
          </w:p>
        </w:tc>
        <w:tc>
          <w:tcPr>
            <w:tcW w:w="341" w:type="pct"/>
            <w:vAlign w:val="center"/>
          </w:tcPr>
          <w:p w14:paraId="569B0182" w14:textId="4B564F6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395B344" w14:textId="4FEF26E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10B05C7" w14:textId="63C5A23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EE98779" w14:textId="0FB7EB0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FFF014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24DFDB5A" w14:textId="7A2EAD5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AEEE323" w14:textId="46CC22B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98C8E94" w14:textId="3F65298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046ADF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528BB8DD" w14:textId="5B50236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53FC69B" w14:textId="1C18E22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AB31DBA" w14:textId="2C52072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14880DE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r>
      <w:tr w:rsidR="00332F08" w:rsidRPr="00CD29D0" w14:paraId="2D9EA95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05F40F6"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Asian</w:t>
            </w:r>
          </w:p>
        </w:tc>
        <w:tc>
          <w:tcPr>
            <w:tcW w:w="341" w:type="pct"/>
            <w:vAlign w:val="center"/>
          </w:tcPr>
          <w:p w14:paraId="514BF18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w:t>
            </w:r>
          </w:p>
        </w:tc>
        <w:tc>
          <w:tcPr>
            <w:tcW w:w="281" w:type="pct"/>
            <w:vAlign w:val="center"/>
          </w:tcPr>
          <w:p w14:paraId="697D07C1" w14:textId="360DCDC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C9F56CB" w14:textId="78F2418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7D1A83B" w14:textId="554ADC8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12F83E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74</w:t>
            </w:r>
          </w:p>
        </w:tc>
        <w:tc>
          <w:tcPr>
            <w:tcW w:w="281" w:type="pct"/>
            <w:vAlign w:val="center"/>
          </w:tcPr>
          <w:p w14:paraId="66E4E02E" w14:textId="6166534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57930AE" w14:textId="39A9AFD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54D7999" w14:textId="75E09F1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83EBC1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281" w:type="pct"/>
            <w:vAlign w:val="center"/>
          </w:tcPr>
          <w:p w14:paraId="29C3CD6D" w14:textId="7BCC379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7AC921B" w14:textId="2A97A8F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26E08E7" w14:textId="148D2BF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2258396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w:t>
            </w:r>
          </w:p>
        </w:tc>
      </w:tr>
      <w:tr w:rsidR="00332F08" w:rsidRPr="00CD29D0" w14:paraId="4665D6AC" w14:textId="77777777" w:rsidTr="00BF0B5C">
        <w:trPr>
          <w:jc w:val="center"/>
        </w:trPr>
        <w:tc>
          <w:tcPr>
            <w:tcW w:w="1290" w:type="pct"/>
          </w:tcPr>
          <w:p w14:paraId="3AD42E2D"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Black or African American</w:t>
            </w:r>
          </w:p>
        </w:tc>
        <w:tc>
          <w:tcPr>
            <w:tcW w:w="341" w:type="pct"/>
            <w:vAlign w:val="center"/>
          </w:tcPr>
          <w:p w14:paraId="78FC429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281" w:type="pct"/>
            <w:vAlign w:val="center"/>
          </w:tcPr>
          <w:p w14:paraId="0092CD29" w14:textId="522B2FA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AD54396" w14:textId="0E16AFE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28E92FC" w14:textId="53DE436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2A9831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2C16A14D" w14:textId="3671F67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B36BF94" w14:textId="620A35A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E608696" w14:textId="56F12DE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8182DC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32A17D9E" w14:textId="599C23F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85CEB10" w14:textId="3088496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FB2CEC2" w14:textId="6898022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29B2AB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27</w:t>
            </w:r>
          </w:p>
        </w:tc>
      </w:tr>
      <w:tr w:rsidR="00332F08" w:rsidRPr="00CD29D0" w14:paraId="0018A0D9"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BE958EE"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Hispanic or Latino</w:t>
            </w:r>
          </w:p>
        </w:tc>
        <w:tc>
          <w:tcPr>
            <w:tcW w:w="341" w:type="pct"/>
            <w:vAlign w:val="center"/>
          </w:tcPr>
          <w:p w14:paraId="520571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35D21AEA" w14:textId="176EEECD"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85F5C9F" w14:textId="4D2E905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D7122E4" w14:textId="3691DD0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8546A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24</w:t>
            </w:r>
          </w:p>
        </w:tc>
        <w:tc>
          <w:tcPr>
            <w:tcW w:w="281" w:type="pct"/>
            <w:vAlign w:val="center"/>
          </w:tcPr>
          <w:p w14:paraId="3989A33B" w14:textId="58A2A79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047E4C0" w14:textId="041DCD3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11F7D2F" w14:textId="23237D5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01229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81" w:type="pct"/>
            <w:vAlign w:val="center"/>
          </w:tcPr>
          <w:p w14:paraId="53BD9B4F" w14:textId="64EB327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BFBF966" w14:textId="64E00C8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C9B7B0B" w14:textId="6476A3F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73CC4FA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r>
      <w:tr w:rsidR="00332F08" w:rsidRPr="00CD29D0" w14:paraId="7363AAF0" w14:textId="77777777" w:rsidTr="00BF0B5C">
        <w:trPr>
          <w:jc w:val="center"/>
        </w:trPr>
        <w:tc>
          <w:tcPr>
            <w:tcW w:w="1290" w:type="pct"/>
          </w:tcPr>
          <w:p w14:paraId="4BDF5CF4"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Multi-Race, Not Hispanic or Latino</w:t>
            </w:r>
          </w:p>
        </w:tc>
        <w:tc>
          <w:tcPr>
            <w:tcW w:w="341" w:type="pct"/>
            <w:vAlign w:val="center"/>
          </w:tcPr>
          <w:p w14:paraId="52FDD85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6F61E8C2" w14:textId="597EE7CA"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A2B422E" w14:textId="2FC1504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896A12D" w14:textId="5D70FCA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5B1F33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281" w:type="pct"/>
            <w:vAlign w:val="center"/>
          </w:tcPr>
          <w:p w14:paraId="66CD7EB1" w14:textId="13DF14C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4823F17" w14:textId="09667E9C"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3BB39AF" w14:textId="61E6A6F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0A0D0C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81" w:type="pct"/>
            <w:vAlign w:val="center"/>
          </w:tcPr>
          <w:p w14:paraId="34774DB2" w14:textId="0BB3450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FEC7DDB" w14:textId="288217B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EA517E3" w14:textId="67C433A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6E9208A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r>
      <w:tr w:rsidR="00332F08" w:rsidRPr="00CD29D0" w14:paraId="31A22235"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1A1AE26"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Native Hawaiian or Other Pacific Islander</w:t>
            </w:r>
          </w:p>
        </w:tc>
        <w:tc>
          <w:tcPr>
            <w:tcW w:w="341" w:type="pct"/>
            <w:vAlign w:val="center"/>
          </w:tcPr>
          <w:p w14:paraId="42A2D67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w:t>
            </w:r>
          </w:p>
        </w:tc>
        <w:tc>
          <w:tcPr>
            <w:tcW w:w="281" w:type="pct"/>
            <w:vAlign w:val="center"/>
          </w:tcPr>
          <w:p w14:paraId="7C0AC4A8" w14:textId="763A7EE1"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44276607" w14:textId="6E0FE64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6820445" w14:textId="1DF58D7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4EA89D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281" w:type="pct"/>
            <w:vAlign w:val="center"/>
          </w:tcPr>
          <w:p w14:paraId="24B778A4" w14:textId="6DA1DA3E"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D9BFC81" w14:textId="752D6C64"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4329AEF" w14:textId="34EC3B43"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346E93E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112CA690" w14:textId="530674B8"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8FEAB24" w14:textId="775FC915"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5CF87332" w14:textId="3B284179"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42682D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0CDF4DF5" w14:textId="77777777" w:rsidTr="00BF0B5C">
        <w:trPr>
          <w:jc w:val="center"/>
        </w:trPr>
        <w:tc>
          <w:tcPr>
            <w:tcW w:w="1290" w:type="pct"/>
          </w:tcPr>
          <w:p w14:paraId="34070CA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White</w:t>
            </w:r>
          </w:p>
        </w:tc>
        <w:tc>
          <w:tcPr>
            <w:tcW w:w="341" w:type="pct"/>
            <w:vAlign w:val="center"/>
          </w:tcPr>
          <w:p w14:paraId="0D7DC58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132</w:t>
            </w:r>
          </w:p>
        </w:tc>
        <w:tc>
          <w:tcPr>
            <w:tcW w:w="281" w:type="pct"/>
            <w:vAlign w:val="center"/>
          </w:tcPr>
          <w:p w14:paraId="2D108C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281" w:type="pct"/>
            <w:vAlign w:val="center"/>
          </w:tcPr>
          <w:p w14:paraId="6EE592F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54</w:t>
            </w:r>
          </w:p>
        </w:tc>
        <w:tc>
          <w:tcPr>
            <w:tcW w:w="281" w:type="pct"/>
            <w:vAlign w:val="center"/>
          </w:tcPr>
          <w:p w14:paraId="7843FCF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634DB8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37B7552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281" w:type="pct"/>
            <w:vAlign w:val="center"/>
          </w:tcPr>
          <w:p w14:paraId="0F4BB53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281" w:type="pct"/>
            <w:vAlign w:val="center"/>
          </w:tcPr>
          <w:p w14:paraId="6673708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75B075F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281" w:type="pct"/>
            <w:vAlign w:val="center"/>
          </w:tcPr>
          <w:p w14:paraId="0DAB0BF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w:t>
            </w:r>
          </w:p>
        </w:tc>
        <w:tc>
          <w:tcPr>
            <w:tcW w:w="281" w:type="pct"/>
            <w:vAlign w:val="center"/>
          </w:tcPr>
          <w:p w14:paraId="75F66D8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281" w:type="pct"/>
            <w:vAlign w:val="center"/>
          </w:tcPr>
          <w:p w14:paraId="09D49E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278" w:type="pct"/>
            <w:vAlign w:val="bottom"/>
          </w:tcPr>
          <w:p w14:paraId="3CCC838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r>
      <w:tr w:rsidR="00332F08" w:rsidRPr="00CD29D0" w14:paraId="1B120AA5"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DBE570A"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High Needs</w:t>
            </w:r>
          </w:p>
        </w:tc>
        <w:tc>
          <w:tcPr>
            <w:tcW w:w="341" w:type="pct"/>
            <w:vAlign w:val="center"/>
          </w:tcPr>
          <w:p w14:paraId="3A1E0C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65</w:t>
            </w:r>
          </w:p>
        </w:tc>
        <w:tc>
          <w:tcPr>
            <w:tcW w:w="281" w:type="pct"/>
            <w:vAlign w:val="center"/>
          </w:tcPr>
          <w:p w14:paraId="2DDECD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281" w:type="pct"/>
            <w:vAlign w:val="center"/>
          </w:tcPr>
          <w:p w14:paraId="5782435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281" w:type="pct"/>
            <w:vAlign w:val="center"/>
          </w:tcPr>
          <w:p w14:paraId="3B5E5BD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2DF6FF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77B1159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54</w:t>
            </w:r>
          </w:p>
        </w:tc>
        <w:tc>
          <w:tcPr>
            <w:tcW w:w="281" w:type="pct"/>
            <w:vAlign w:val="center"/>
          </w:tcPr>
          <w:p w14:paraId="5F972A4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60</w:t>
            </w:r>
          </w:p>
        </w:tc>
        <w:tc>
          <w:tcPr>
            <w:tcW w:w="281" w:type="pct"/>
            <w:vAlign w:val="center"/>
          </w:tcPr>
          <w:p w14:paraId="453D1A7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281" w:type="pct"/>
            <w:vAlign w:val="center"/>
          </w:tcPr>
          <w:p w14:paraId="542E188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0770F60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139C0A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6459BE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278" w:type="pct"/>
            <w:vAlign w:val="bottom"/>
          </w:tcPr>
          <w:p w14:paraId="61F5502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r>
      <w:tr w:rsidR="00332F08" w:rsidRPr="00CD29D0" w14:paraId="04229E4B" w14:textId="77777777" w:rsidTr="00BF0B5C">
        <w:trPr>
          <w:jc w:val="center"/>
        </w:trPr>
        <w:tc>
          <w:tcPr>
            <w:tcW w:w="1290" w:type="pct"/>
          </w:tcPr>
          <w:p w14:paraId="1E2F212D"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English Learners</w:t>
            </w:r>
          </w:p>
        </w:tc>
        <w:tc>
          <w:tcPr>
            <w:tcW w:w="341" w:type="pct"/>
            <w:vAlign w:val="center"/>
          </w:tcPr>
          <w:p w14:paraId="11188EE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c>
          <w:tcPr>
            <w:tcW w:w="281" w:type="pct"/>
            <w:vAlign w:val="center"/>
          </w:tcPr>
          <w:p w14:paraId="762EAEF8" w14:textId="373B47C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7FB60BE" w14:textId="16EE74B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1BB5496" w14:textId="1E37CB7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AA89FD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281" w:type="pct"/>
            <w:vAlign w:val="center"/>
          </w:tcPr>
          <w:p w14:paraId="0208A812" w14:textId="37F2287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21245E0C" w14:textId="3B470AFB"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0B38C0B2" w14:textId="6A392F40"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1B45111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281" w:type="pct"/>
            <w:vAlign w:val="center"/>
          </w:tcPr>
          <w:p w14:paraId="43AD10BF" w14:textId="79D212C7"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6168391D" w14:textId="005F0286"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81" w:type="pct"/>
            <w:vAlign w:val="center"/>
          </w:tcPr>
          <w:p w14:paraId="7664038B" w14:textId="42E8D13F" w:rsidR="00332F08" w:rsidRPr="00CD29D0" w:rsidRDefault="006E428E" w:rsidP="004E7A27">
            <w:pPr>
              <w:pStyle w:val="TableTextCentered"/>
              <w:spacing w:before="0" w:after="20"/>
              <w:rPr>
                <w:rFonts w:ascii="Franklin Gothic Book" w:hAnsi="Franklin Gothic Book"/>
              </w:rPr>
            </w:pPr>
            <w:r>
              <w:rPr>
                <w:rFonts w:ascii="Franklin Gothic Book" w:hAnsi="Franklin Gothic Book"/>
              </w:rPr>
              <w:t>N/A</w:t>
            </w:r>
          </w:p>
        </w:tc>
        <w:tc>
          <w:tcPr>
            <w:tcW w:w="278" w:type="pct"/>
            <w:vAlign w:val="bottom"/>
          </w:tcPr>
          <w:p w14:paraId="75E8EEE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r>
      <w:tr w:rsidR="00332F08" w:rsidRPr="00CD29D0" w14:paraId="6AE0BF6C"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F1F4C88" w14:textId="77777777" w:rsidR="00332F08" w:rsidRPr="00CD29D0" w:rsidRDefault="00332F08" w:rsidP="004E7A27">
            <w:pPr>
              <w:pStyle w:val="TableText"/>
              <w:spacing w:before="0" w:after="20"/>
              <w:rPr>
                <w:rFonts w:ascii="Franklin Gothic Book" w:hAnsi="Franklin Gothic Book"/>
                <w:spacing w:val="-4"/>
              </w:rPr>
            </w:pPr>
            <w:r w:rsidRPr="00CD29D0">
              <w:rPr>
                <w:rFonts w:ascii="Franklin Gothic Book" w:hAnsi="Franklin Gothic Book"/>
                <w:spacing w:val="-4"/>
              </w:rPr>
              <w:t>Low Income</w:t>
            </w:r>
          </w:p>
        </w:tc>
        <w:tc>
          <w:tcPr>
            <w:tcW w:w="341" w:type="pct"/>
            <w:vAlign w:val="center"/>
          </w:tcPr>
          <w:p w14:paraId="2EC7DA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281" w:type="pct"/>
            <w:vAlign w:val="center"/>
          </w:tcPr>
          <w:p w14:paraId="4414F7F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31</w:t>
            </w:r>
          </w:p>
        </w:tc>
        <w:tc>
          <w:tcPr>
            <w:tcW w:w="281" w:type="pct"/>
            <w:vAlign w:val="center"/>
          </w:tcPr>
          <w:p w14:paraId="737AD9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81" w:type="pct"/>
            <w:vAlign w:val="center"/>
          </w:tcPr>
          <w:p w14:paraId="4AFC20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c>
          <w:tcPr>
            <w:tcW w:w="281" w:type="pct"/>
            <w:vAlign w:val="center"/>
          </w:tcPr>
          <w:p w14:paraId="45798F1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281" w:type="pct"/>
            <w:vAlign w:val="center"/>
          </w:tcPr>
          <w:p w14:paraId="63729B2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281" w:type="pct"/>
            <w:vAlign w:val="center"/>
          </w:tcPr>
          <w:p w14:paraId="3EB7EDE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57</w:t>
            </w:r>
          </w:p>
        </w:tc>
        <w:tc>
          <w:tcPr>
            <w:tcW w:w="281" w:type="pct"/>
            <w:vAlign w:val="center"/>
          </w:tcPr>
          <w:p w14:paraId="312FA27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0B78BBB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281" w:type="pct"/>
            <w:vAlign w:val="center"/>
          </w:tcPr>
          <w:p w14:paraId="31C671C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2508141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281" w:type="pct"/>
            <w:vAlign w:val="center"/>
          </w:tcPr>
          <w:p w14:paraId="41F7C2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278" w:type="pct"/>
            <w:vAlign w:val="bottom"/>
          </w:tcPr>
          <w:p w14:paraId="58DB29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r>
      <w:tr w:rsidR="00332F08" w:rsidRPr="00CD29D0" w14:paraId="2528C13C" w14:textId="77777777" w:rsidTr="00BF0B5C">
        <w:trPr>
          <w:jc w:val="center"/>
        </w:trPr>
        <w:tc>
          <w:tcPr>
            <w:tcW w:w="1290" w:type="pct"/>
          </w:tcPr>
          <w:p w14:paraId="4B1C736B" w14:textId="77777777" w:rsidR="00332F08" w:rsidRPr="00CD29D0" w:rsidRDefault="00332F08" w:rsidP="004E7A27">
            <w:pPr>
              <w:pStyle w:val="TableText"/>
              <w:spacing w:before="0" w:after="20"/>
              <w:rPr>
                <w:rFonts w:ascii="Franklin Gothic Book" w:hAnsi="Franklin Gothic Book"/>
              </w:rPr>
            </w:pPr>
            <w:r w:rsidRPr="00CD29D0">
              <w:rPr>
                <w:rFonts w:ascii="Franklin Gothic Book" w:hAnsi="Franklin Gothic Book"/>
              </w:rPr>
              <w:t>Students with Disabilities</w:t>
            </w:r>
          </w:p>
        </w:tc>
        <w:tc>
          <w:tcPr>
            <w:tcW w:w="341" w:type="pct"/>
            <w:vAlign w:val="center"/>
          </w:tcPr>
          <w:p w14:paraId="1D8499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281" w:type="pct"/>
            <w:vAlign w:val="center"/>
          </w:tcPr>
          <w:p w14:paraId="0313D7F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281" w:type="pct"/>
            <w:vAlign w:val="center"/>
          </w:tcPr>
          <w:p w14:paraId="2B504D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42C2F1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281" w:type="pct"/>
            <w:vAlign w:val="center"/>
          </w:tcPr>
          <w:p w14:paraId="4BBA81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281" w:type="pct"/>
            <w:vAlign w:val="center"/>
          </w:tcPr>
          <w:p w14:paraId="4D12507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58</w:t>
            </w:r>
          </w:p>
        </w:tc>
        <w:tc>
          <w:tcPr>
            <w:tcW w:w="281" w:type="pct"/>
            <w:vAlign w:val="center"/>
          </w:tcPr>
          <w:p w14:paraId="52A4D7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63</w:t>
            </w:r>
          </w:p>
        </w:tc>
        <w:tc>
          <w:tcPr>
            <w:tcW w:w="281" w:type="pct"/>
            <w:vAlign w:val="center"/>
          </w:tcPr>
          <w:p w14:paraId="18D997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281" w:type="pct"/>
            <w:vAlign w:val="center"/>
          </w:tcPr>
          <w:p w14:paraId="6E9ED49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281" w:type="pct"/>
            <w:vAlign w:val="center"/>
          </w:tcPr>
          <w:p w14:paraId="5E4FC2F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281" w:type="pct"/>
            <w:vAlign w:val="center"/>
          </w:tcPr>
          <w:p w14:paraId="34F814B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281" w:type="pct"/>
            <w:vAlign w:val="center"/>
          </w:tcPr>
          <w:p w14:paraId="2C3E87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278" w:type="pct"/>
            <w:vAlign w:val="bottom"/>
          </w:tcPr>
          <w:p w14:paraId="75D91C8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r>
    </w:tbl>
    <w:p w14:paraId="721EE706" w14:textId="77777777" w:rsidR="00332F08" w:rsidRPr="00CD29D0" w:rsidRDefault="00332F08" w:rsidP="004E7A27">
      <w:pPr>
        <w:pStyle w:val="TableETitle"/>
        <w:spacing w:before="120" w:after="0"/>
      </w:pPr>
      <w:bookmarkStart w:id="214" w:name="_Toc211928950"/>
      <w:bookmarkStart w:id="215" w:name="_Toc227587042"/>
      <w:bookmarkStart w:id="216" w:name="_Hlk138323146"/>
      <w:r w:rsidRPr="00CD29D0">
        <w:lastRenderedPageBreak/>
        <w:t>Table E7. MCAS ELA Achievement by Grade, 2023-2025</w:t>
      </w:r>
      <w:bookmarkEnd w:id="214"/>
      <w:bookmarkEnd w:id="215"/>
    </w:p>
    <w:tbl>
      <w:tblPr>
        <w:tblStyle w:val="MSVTable1"/>
        <w:tblW w:w="5107" w:type="pct"/>
        <w:jc w:val="center"/>
        <w:tblLook w:val="0420" w:firstRow="1" w:lastRow="0" w:firstColumn="0" w:lastColumn="0" w:noHBand="0" w:noVBand="1"/>
        <w:tblCaption w:val="Table E7. MCAS ELA Achievement by Grade, 2023-2025"/>
        <w:tblDescription w:val="MCAS ELA Achievement by Grade, 2023-2025"/>
      </w:tblPr>
      <w:tblGrid>
        <w:gridCol w:w="980"/>
        <w:gridCol w:w="989"/>
        <w:gridCol w:w="936"/>
        <w:gridCol w:w="939"/>
        <w:gridCol w:w="936"/>
        <w:gridCol w:w="939"/>
        <w:gridCol w:w="939"/>
        <w:gridCol w:w="939"/>
        <w:gridCol w:w="939"/>
        <w:gridCol w:w="941"/>
        <w:gridCol w:w="936"/>
        <w:gridCol w:w="939"/>
        <w:gridCol w:w="936"/>
        <w:gridCol w:w="933"/>
      </w:tblGrid>
      <w:tr w:rsidR="00332F08" w:rsidRPr="00CD29D0" w14:paraId="17A330F1"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2691BB5B" w14:textId="77777777" w:rsidR="00332F08" w:rsidRPr="00CD29D0" w:rsidRDefault="00332F08" w:rsidP="00BF0B5C">
            <w:pPr>
              <w:pStyle w:val="TableColHeadingCenter"/>
              <w:spacing w:before="20" w:after="20"/>
            </w:pPr>
            <w:r w:rsidRPr="00CD29D0">
              <w:t>Grade</w:t>
            </w:r>
          </w:p>
        </w:tc>
        <w:tc>
          <w:tcPr>
            <w:tcW w:w="374" w:type="pct"/>
            <w:vAlign w:val="center"/>
          </w:tcPr>
          <w:p w14:paraId="3FCD545F" w14:textId="77777777" w:rsidR="00332F08" w:rsidRPr="00CD29D0" w:rsidRDefault="00332F08" w:rsidP="00BF0B5C">
            <w:pPr>
              <w:pStyle w:val="TableColHeadingCenter"/>
              <w:spacing w:before="20" w:after="20"/>
            </w:pPr>
            <w:r w:rsidRPr="00CD29D0">
              <w:t># Included (2025)</w:t>
            </w:r>
          </w:p>
        </w:tc>
        <w:tc>
          <w:tcPr>
            <w:tcW w:w="354" w:type="pct"/>
            <w:vAlign w:val="center"/>
          </w:tcPr>
          <w:p w14:paraId="432A90D6" w14:textId="77777777" w:rsidR="00332F08" w:rsidRPr="00CD29D0" w:rsidRDefault="00332F08" w:rsidP="00BF0B5C">
            <w:pPr>
              <w:pStyle w:val="TableColHeadingCenter"/>
              <w:spacing w:before="20" w:after="20"/>
            </w:pPr>
            <w:r w:rsidRPr="00CD29D0">
              <w:t>% M/E 2023</w:t>
            </w:r>
          </w:p>
        </w:tc>
        <w:tc>
          <w:tcPr>
            <w:tcW w:w="355" w:type="pct"/>
            <w:vAlign w:val="center"/>
          </w:tcPr>
          <w:p w14:paraId="530330CA" w14:textId="77777777" w:rsidR="00332F08" w:rsidRPr="00CD29D0" w:rsidRDefault="00332F08" w:rsidP="00BF0B5C">
            <w:pPr>
              <w:pStyle w:val="TableColHeadingCenter"/>
              <w:spacing w:before="20" w:after="20"/>
            </w:pPr>
            <w:r w:rsidRPr="00CD29D0">
              <w:t>% M/E 2024</w:t>
            </w:r>
          </w:p>
        </w:tc>
        <w:tc>
          <w:tcPr>
            <w:tcW w:w="354" w:type="pct"/>
            <w:vAlign w:val="center"/>
          </w:tcPr>
          <w:p w14:paraId="3C73A76D" w14:textId="77777777" w:rsidR="00332F08" w:rsidRPr="00CD29D0" w:rsidRDefault="00332F08" w:rsidP="00BF0B5C">
            <w:pPr>
              <w:pStyle w:val="TableColHeadingCenter"/>
              <w:spacing w:before="20" w:after="20"/>
            </w:pPr>
            <w:r w:rsidRPr="00CD29D0">
              <w:t>% M/E 2025</w:t>
            </w:r>
          </w:p>
        </w:tc>
        <w:tc>
          <w:tcPr>
            <w:tcW w:w="355" w:type="pct"/>
            <w:vAlign w:val="center"/>
          </w:tcPr>
          <w:p w14:paraId="3BEAC59B" w14:textId="77777777" w:rsidR="00332F08" w:rsidRPr="00CD29D0" w:rsidRDefault="00332F08" w:rsidP="00BF0B5C">
            <w:pPr>
              <w:pStyle w:val="TableColHeadingCenter"/>
              <w:spacing w:before="20" w:after="20"/>
            </w:pPr>
            <w:r w:rsidRPr="00CD29D0">
              <w:t>% M/E 2025 State</w:t>
            </w:r>
          </w:p>
        </w:tc>
        <w:tc>
          <w:tcPr>
            <w:tcW w:w="355" w:type="pct"/>
            <w:vAlign w:val="center"/>
          </w:tcPr>
          <w:p w14:paraId="38ABB050" w14:textId="77777777" w:rsidR="00332F08" w:rsidRPr="00CD29D0" w:rsidRDefault="00332F08" w:rsidP="00BF0B5C">
            <w:pPr>
              <w:pStyle w:val="TableColHeadingCenter"/>
              <w:spacing w:before="20" w:after="20"/>
            </w:pPr>
            <w:r w:rsidRPr="00CD29D0">
              <w:t>% PME 2023</w:t>
            </w:r>
          </w:p>
        </w:tc>
        <w:tc>
          <w:tcPr>
            <w:tcW w:w="355" w:type="pct"/>
            <w:vAlign w:val="center"/>
          </w:tcPr>
          <w:p w14:paraId="2D97C135" w14:textId="77777777" w:rsidR="00332F08" w:rsidRPr="00CD29D0" w:rsidRDefault="00332F08" w:rsidP="00BF0B5C">
            <w:pPr>
              <w:pStyle w:val="TableColHeadingCenter"/>
              <w:spacing w:before="20" w:after="20"/>
            </w:pPr>
            <w:r w:rsidRPr="00CD29D0">
              <w:t>% PME 2024</w:t>
            </w:r>
          </w:p>
        </w:tc>
        <w:tc>
          <w:tcPr>
            <w:tcW w:w="355" w:type="pct"/>
            <w:vAlign w:val="center"/>
          </w:tcPr>
          <w:p w14:paraId="31DBE76B" w14:textId="77777777" w:rsidR="00332F08" w:rsidRPr="00CD29D0" w:rsidRDefault="00332F08" w:rsidP="00BF0B5C">
            <w:pPr>
              <w:pStyle w:val="TableColHeadingCenter"/>
              <w:spacing w:before="20" w:after="20"/>
            </w:pPr>
            <w:r w:rsidRPr="00CD29D0">
              <w:t>% PME 2025</w:t>
            </w:r>
          </w:p>
        </w:tc>
        <w:tc>
          <w:tcPr>
            <w:tcW w:w="356" w:type="pct"/>
            <w:vAlign w:val="center"/>
          </w:tcPr>
          <w:p w14:paraId="5C49D38E" w14:textId="77777777" w:rsidR="00332F08" w:rsidRPr="00CD29D0" w:rsidRDefault="00332F08" w:rsidP="00BF0B5C">
            <w:pPr>
              <w:pStyle w:val="TableColHeadingCenter"/>
              <w:spacing w:before="20" w:after="20"/>
            </w:pPr>
            <w:r w:rsidRPr="00CD29D0">
              <w:t>% PME 2025 State</w:t>
            </w:r>
          </w:p>
        </w:tc>
        <w:tc>
          <w:tcPr>
            <w:tcW w:w="354" w:type="pct"/>
            <w:vAlign w:val="center"/>
          </w:tcPr>
          <w:p w14:paraId="1745C6B4" w14:textId="77777777" w:rsidR="00332F08" w:rsidRPr="00CD29D0" w:rsidRDefault="00332F08" w:rsidP="00BF0B5C">
            <w:pPr>
              <w:pStyle w:val="TableColHeadingCenter"/>
              <w:spacing w:before="20" w:after="20"/>
            </w:pPr>
            <w:r w:rsidRPr="00CD29D0">
              <w:t>% NM 2023</w:t>
            </w:r>
          </w:p>
        </w:tc>
        <w:tc>
          <w:tcPr>
            <w:tcW w:w="355" w:type="pct"/>
            <w:vAlign w:val="center"/>
          </w:tcPr>
          <w:p w14:paraId="6AE4B23E" w14:textId="77777777" w:rsidR="00332F08" w:rsidRPr="00CD29D0" w:rsidRDefault="00332F08" w:rsidP="00BF0B5C">
            <w:pPr>
              <w:pStyle w:val="TableColHeadingCenter"/>
              <w:spacing w:before="20" w:after="20"/>
            </w:pPr>
            <w:r w:rsidRPr="00CD29D0">
              <w:t>% NM 2024</w:t>
            </w:r>
          </w:p>
        </w:tc>
        <w:tc>
          <w:tcPr>
            <w:tcW w:w="354" w:type="pct"/>
            <w:vAlign w:val="center"/>
          </w:tcPr>
          <w:p w14:paraId="6296DFF8" w14:textId="77777777" w:rsidR="00332F08" w:rsidRPr="00CD29D0" w:rsidRDefault="00332F08" w:rsidP="00BF0B5C">
            <w:pPr>
              <w:pStyle w:val="TableColHeadingCenter"/>
              <w:spacing w:before="20" w:after="20"/>
            </w:pPr>
            <w:r w:rsidRPr="00CD29D0">
              <w:t>% NM 2025</w:t>
            </w:r>
          </w:p>
        </w:tc>
        <w:tc>
          <w:tcPr>
            <w:tcW w:w="353" w:type="pct"/>
            <w:vAlign w:val="center"/>
          </w:tcPr>
          <w:p w14:paraId="511B1937" w14:textId="77777777" w:rsidR="00332F08" w:rsidRPr="00CD29D0" w:rsidRDefault="00332F08" w:rsidP="00BF0B5C">
            <w:pPr>
              <w:pStyle w:val="TableColHeadingCenter"/>
              <w:spacing w:before="20" w:after="20"/>
            </w:pPr>
            <w:r w:rsidRPr="00CD29D0">
              <w:t>% NM 2025 State</w:t>
            </w:r>
          </w:p>
        </w:tc>
      </w:tr>
      <w:tr w:rsidR="00332F08" w:rsidRPr="00CD29D0" w14:paraId="5D7DE883"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A995ED9"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3</w:t>
            </w:r>
          </w:p>
        </w:tc>
        <w:tc>
          <w:tcPr>
            <w:tcW w:w="374" w:type="pct"/>
            <w:vAlign w:val="center"/>
          </w:tcPr>
          <w:p w14:paraId="18D887B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179</w:t>
            </w:r>
          </w:p>
        </w:tc>
        <w:tc>
          <w:tcPr>
            <w:tcW w:w="354" w:type="pct"/>
            <w:vAlign w:val="center"/>
          </w:tcPr>
          <w:p w14:paraId="45DC66D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3362A97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4" w:type="pct"/>
            <w:vAlign w:val="center"/>
          </w:tcPr>
          <w:p w14:paraId="6B0B0B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21BC514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5085CF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387283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1C26D5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6" w:type="pct"/>
            <w:vAlign w:val="center"/>
          </w:tcPr>
          <w:p w14:paraId="18D4224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4" w:type="pct"/>
            <w:vAlign w:val="center"/>
          </w:tcPr>
          <w:p w14:paraId="1D34FC2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355" w:type="pct"/>
            <w:vAlign w:val="center"/>
          </w:tcPr>
          <w:p w14:paraId="14BA3A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354" w:type="pct"/>
            <w:vAlign w:val="center"/>
          </w:tcPr>
          <w:p w14:paraId="47684A3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353" w:type="pct"/>
            <w:vAlign w:val="bottom"/>
          </w:tcPr>
          <w:p w14:paraId="06F4195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796C1702" w14:textId="77777777" w:rsidTr="00BF0B5C">
        <w:trPr>
          <w:jc w:val="center"/>
        </w:trPr>
        <w:tc>
          <w:tcPr>
            <w:tcW w:w="371" w:type="pct"/>
          </w:tcPr>
          <w:p w14:paraId="424DE0BA"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4</w:t>
            </w:r>
          </w:p>
        </w:tc>
        <w:tc>
          <w:tcPr>
            <w:tcW w:w="374" w:type="pct"/>
            <w:vAlign w:val="center"/>
          </w:tcPr>
          <w:p w14:paraId="40B312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187</w:t>
            </w:r>
          </w:p>
        </w:tc>
        <w:tc>
          <w:tcPr>
            <w:tcW w:w="354" w:type="pct"/>
            <w:vAlign w:val="center"/>
          </w:tcPr>
          <w:p w14:paraId="30C8EF7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27987C0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354" w:type="pct"/>
            <w:vAlign w:val="center"/>
          </w:tcPr>
          <w:p w14:paraId="1FDB0EC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31D2DA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5" w:type="pct"/>
            <w:vAlign w:val="center"/>
          </w:tcPr>
          <w:p w14:paraId="010BFA6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355" w:type="pct"/>
            <w:vAlign w:val="center"/>
          </w:tcPr>
          <w:p w14:paraId="4391445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55</w:t>
            </w:r>
          </w:p>
        </w:tc>
        <w:tc>
          <w:tcPr>
            <w:tcW w:w="355" w:type="pct"/>
            <w:vAlign w:val="center"/>
          </w:tcPr>
          <w:p w14:paraId="36F8778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6" w:type="pct"/>
            <w:vAlign w:val="center"/>
          </w:tcPr>
          <w:p w14:paraId="750F6AB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4" w:type="pct"/>
            <w:vAlign w:val="center"/>
          </w:tcPr>
          <w:p w14:paraId="6B7E9A9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5" w:type="pct"/>
            <w:vAlign w:val="center"/>
          </w:tcPr>
          <w:p w14:paraId="72FC98A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354" w:type="pct"/>
            <w:vAlign w:val="center"/>
          </w:tcPr>
          <w:p w14:paraId="5F78E86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3" w:type="pct"/>
            <w:vAlign w:val="bottom"/>
          </w:tcPr>
          <w:p w14:paraId="3C78980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67BC1C1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2BB8DDB"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5</w:t>
            </w:r>
          </w:p>
        </w:tc>
        <w:tc>
          <w:tcPr>
            <w:tcW w:w="374" w:type="pct"/>
            <w:vAlign w:val="center"/>
          </w:tcPr>
          <w:p w14:paraId="303DD43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179</w:t>
            </w:r>
          </w:p>
        </w:tc>
        <w:tc>
          <w:tcPr>
            <w:tcW w:w="354" w:type="pct"/>
            <w:vAlign w:val="center"/>
          </w:tcPr>
          <w:p w14:paraId="4F030A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355" w:type="pct"/>
            <w:vAlign w:val="center"/>
          </w:tcPr>
          <w:p w14:paraId="42BCD6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4" w:type="pct"/>
            <w:vAlign w:val="center"/>
          </w:tcPr>
          <w:p w14:paraId="6180B5C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23</w:t>
            </w:r>
          </w:p>
        </w:tc>
        <w:tc>
          <w:tcPr>
            <w:tcW w:w="355" w:type="pct"/>
            <w:vAlign w:val="center"/>
          </w:tcPr>
          <w:p w14:paraId="21CB184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5" w:type="pct"/>
            <w:vAlign w:val="center"/>
          </w:tcPr>
          <w:p w14:paraId="076EDBA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5" w:type="pct"/>
            <w:vAlign w:val="center"/>
          </w:tcPr>
          <w:p w14:paraId="42ED14D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355" w:type="pct"/>
            <w:vAlign w:val="center"/>
          </w:tcPr>
          <w:p w14:paraId="1C457C6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69</w:t>
            </w:r>
          </w:p>
        </w:tc>
        <w:tc>
          <w:tcPr>
            <w:tcW w:w="356" w:type="pct"/>
            <w:vAlign w:val="center"/>
          </w:tcPr>
          <w:p w14:paraId="30C1943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354" w:type="pct"/>
            <w:vAlign w:val="center"/>
          </w:tcPr>
          <w:p w14:paraId="0D60E3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c>
          <w:tcPr>
            <w:tcW w:w="355" w:type="pct"/>
            <w:vAlign w:val="center"/>
          </w:tcPr>
          <w:p w14:paraId="590FB15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354" w:type="pct"/>
            <w:vAlign w:val="center"/>
          </w:tcPr>
          <w:p w14:paraId="4A136B9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353" w:type="pct"/>
            <w:vAlign w:val="bottom"/>
          </w:tcPr>
          <w:p w14:paraId="6612510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r w:rsidR="00332F08" w:rsidRPr="00CD29D0" w14:paraId="4B797E2D" w14:textId="77777777" w:rsidTr="00BF0B5C">
        <w:trPr>
          <w:jc w:val="center"/>
        </w:trPr>
        <w:tc>
          <w:tcPr>
            <w:tcW w:w="371" w:type="pct"/>
          </w:tcPr>
          <w:p w14:paraId="368F6DCF"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6</w:t>
            </w:r>
          </w:p>
        </w:tc>
        <w:tc>
          <w:tcPr>
            <w:tcW w:w="374" w:type="pct"/>
            <w:vAlign w:val="center"/>
          </w:tcPr>
          <w:p w14:paraId="37747FE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154</w:t>
            </w:r>
          </w:p>
        </w:tc>
        <w:tc>
          <w:tcPr>
            <w:tcW w:w="354" w:type="pct"/>
            <w:vAlign w:val="center"/>
          </w:tcPr>
          <w:p w14:paraId="0B5BBBB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593D9D3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2BC6491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70EEAA9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0F13DF7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5" w:type="pct"/>
            <w:vAlign w:val="center"/>
          </w:tcPr>
          <w:p w14:paraId="086FB18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3FF9E9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6" w:type="pct"/>
            <w:vAlign w:val="center"/>
          </w:tcPr>
          <w:p w14:paraId="716D5D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0BA40FA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355" w:type="pct"/>
            <w:vAlign w:val="center"/>
          </w:tcPr>
          <w:p w14:paraId="2FFA5DF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c>
          <w:tcPr>
            <w:tcW w:w="354" w:type="pct"/>
            <w:vAlign w:val="center"/>
          </w:tcPr>
          <w:p w14:paraId="32F3280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3" w:type="pct"/>
            <w:vAlign w:val="bottom"/>
          </w:tcPr>
          <w:p w14:paraId="3552FB2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r>
      <w:tr w:rsidR="00332F08" w:rsidRPr="00CD29D0" w14:paraId="2F266BF8"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EEA65FC"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7</w:t>
            </w:r>
          </w:p>
        </w:tc>
        <w:tc>
          <w:tcPr>
            <w:tcW w:w="374" w:type="pct"/>
            <w:vAlign w:val="center"/>
          </w:tcPr>
          <w:p w14:paraId="51571B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180</w:t>
            </w:r>
          </w:p>
        </w:tc>
        <w:tc>
          <w:tcPr>
            <w:tcW w:w="354" w:type="pct"/>
            <w:vAlign w:val="center"/>
          </w:tcPr>
          <w:p w14:paraId="15CCF53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72E7279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4" w:type="pct"/>
            <w:vAlign w:val="center"/>
          </w:tcPr>
          <w:p w14:paraId="28E8024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5" w:type="pct"/>
            <w:vAlign w:val="center"/>
          </w:tcPr>
          <w:p w14:paraId="67AB95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3C9E2AD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1ADF613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06A22BC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6" w:type="pct"/>
            <w:vAlign w:val="center"/>
          </w:tcPr>
          <w:p w14:paraId="1676BAE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63EDE8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5" w:type="pct"/>
            <w:vAlign w:val="center"/>
          </w:tcPr>
          <w:p w14:paraId="38ECC97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354" w:type="pct"/>
            <w:vAlign w:val="center"/>
          </w:tcPr>
          <w:p w14:paraId="6EF8B1C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353" w:type="pct"/>
            <w:vAlign w:val="bottom"/>
          </w:tcPr>
          <w:p w14:paraId="55C985F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r>
      <w:tr w:rsidR="00332F08" w:rsidRPr="00CD29D0" w14:paraId="16015C85" w14:textId="77777777" w:rsidTr="00BF0B5C">
        <w:trPr>
          <w:jc w:val="center"/>
        </w:trPr>
        <w:tc>
          <w:tcPr>
            <w:tcW w:w="371" w:type="pct"/>
          </w:tcPr>
          <w:p w14:paraId="7008C4E2"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8</w:t>
            </w:r>
          </w:p>
        </w:tc>
        <w:tc>
          <w:tcPr>
            <w:tcW w:w="374" w:type="pct"/>
            <w:vAlign w:val="center"/>
          </w:tcPr>
          <w:p w14:paraId="1B76105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176</w:t>
            </w:r>
          </w:p>
        </w:tc>
        <w:tc>
          <w:tcPr>
            <w:tcW w:w="354" w:type="pct"/>
            <w:vAlign w:val="center"/>
          </w:tcPr>
          <w:p w14:paraId="1B5E4F7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0C1AA0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4" w:type="pct"/>
            <w:vAlign w:val="center"/>
          </w:tcPr>
          <w:p w14:paraId="7498CB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355" w:type="pct"/>
            <w:vAlign w:val="center"/>
          </w:tcPr>
          <w:p w14:paraId="24CD12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6A5E3B2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3C10B07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674FC3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6" w:type="pct"/>
            <w:vAlign w:val="center"/>
          </w:tcPr>
          <w:p w14:paraId="7A150E1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4" w:type="pct"/>
            <w:vAlign w:val="center"/>
          </w:tcPr>
          <w:p w14:paraId="14C964F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355" w:type="pct"/>
            <w:vAlign w:val="center"/>
          </w:tcPr>
          <w:p w14:paraId="0D321F0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4" w:type="pct"/>
            <w:vAlign w:val="center"/>
          </w:tcPr>
          <w:p w14:paraId="56DD598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3" w:type="pct"/>
            <w:vAlign w:val="bottom"/>
          </w:tcPr>
          <w:p w14:paraId="04C1B31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r>
      <w:tr w:rsidR="00332F08" w:rsidRPr="00CD29D0" w14:paraId="1BCFF946"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D470CE4" w14:textId="77777777" w:rsidR="00332F08" w:rsidRPr="00CD29D0" w:rsidRDefault="00332F08" w:rsidP="004E7A27">
            <w:pPr>
              <w:pStyle w:val="TableText"/>
              <w:spacing w:before="0" w:after="20"/>
              <w:jc w:val="center"/>
              <w:rPr>
                <w:rFonts w:ascii="Franklin Gothic Book" w:hAnsi="Franklin Gothic Book"/>
                <w:spacing w:val="-4"/>
              </w:rPr>
            </w:pPr>
            <w:r w:rsidRPr="00CD29D0">
              <w:rPr>
                <w:rFonts w:ascii="Franklin Gothic Book" w:hAnsi="Franklin Gothic Book"/>
              </w:rPr>
              <w:t>3-8</w:t>
            </w:r>
          </w:p>
        </w:tc>
        <w:tc>
          <w:tcPr>
            <w:tcW w:w="374" w:type="pct"/>
            <w:vAlign w:val="center"/>
          </w:tcPr>
          <w:p w14:paraId="39C677F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1,055</w:t>
            </w:r>
          </w:p>
        </w:tc>
        <w:tc>
          <w:tcPr>
            <w:tcW w:w="354" w:type="pct"/>
            <w:vAlign w:val="center"/>
          </w:tcPr>
          <w:p w14:paraId="0DF5499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5" w:type="pct"/>
            <w:vAlign w:val="center"/>
          </w:tcPr>
          <w:p w14:paraId="1614562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4" w:type="pct"/>
            <w:vAlign w:val="center"/>
          </w:tcPr>
          <w:p w14:paraId="2539260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5" w:type="pct"/>
            <w:vAlign w:val="center"/>
          </w:tcPr>
          <w:p w14:paraId="1C73AB1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1C764F3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01C9D8F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3795F38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356" w:type="pct"/>
            <w:vAlign w:val="center"/>
          </w:tcPr>
          <w:p w14:paraId="0EAC031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4" w:type="pct"/>
            <w:vAlign w:val="center"/>
          </w:tcPr>
          <w:p w14:paraId="77FF8F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5" w:type="pct"/>
            <w:vAlign w:val="center"/>
          </w:tcPr>
          <w:p w14:paraId="221EDB2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4" w:type="pct"/>
            <w:vAlign w:val="center"/>
          </w:tcPr>
          <w:p w14:paraId="14CB533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3" w:type="pct"/>
            <w:vAlign w:val="bottom"/>
          </w:tcPr>
          <w:p w14:paraId="5745621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r>
      <w:tr w:rsidR="00332F08" w:rsidRPr="00CD29D0" w14:paraId="0498A822" w14:textId="77777777" w:rsidTr="00BF0B5C">
        <w:trPr>
          <w:jc w:val="center"/>
        </w:trPr>
        <w:tc>
          <w:tcPr>
            <w:tcW w:w="371" w:type="pct"/>
          </w:tcPr>
          <w:p w14:paraId="149AB6C4"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10</w:t>
            </w:r>
          </w:p>
        </w:tc>
        <w:tc>
          <w:tcPr>
            <w:tcW w:w="374" w:type="pct"/>
            <w:vAlign w:val="center"/>
          </w:tcPr>
          <w:p w14:paraId="0E6249D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160</w:t>
            </w:r>
          </w:p>
        </w:tc>
        <w:tc>
          <w:tcPr>
            <w:tcW w:w="354" w:type="pct"/>
            <w:vAlign w:val="center"/>
          </w:tcPr>
          <w:p w14:paraId="6BB8296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61</w:t>
            </w:r>
          </w:p>
        </w:tc>
        <w:tc>
          <w:tcPr>
            <w:tcW w:w="355" w:type="pct"/>
            <w:vAlign w:val="center"/>
          </w:tcPr>
          <w:p w14:paraId="131A36C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354" w:type="pct"/>
            <w:vAlign w:val="center"/>
          </w:tcPr>
          <w:p w14:paraId="6FB3633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5" w:type="pct"/>
            <w:vAlign w:val="center"/>
          </w:tcPr>
          <w:p w14:paraId="4FF19A9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5" w:type="pct"/>
            <w:vAlign w:val="center"/>
          </w:tcPr>
          <w:p w14:paraId="02C5088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355" w:type="pct"/>
            <w:vAlign w:val="center"/>
          </w:tcPr>
          <w:p w14:paraId="5BE5AD5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5" w:type="pct"/>
            <w:vAlign w:val="center"/>
          </w:tcPr>
          <w:p w14:paraId="1537AB3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356" w:type="pct"/>
            <w:vAlign w:val="center"/>
          </w:tcPr>
          <w:p w14:paraId="13B027D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354" w:type="pct"/>
            <w:vAlign w:val="center"/>
          </w:tcPr>
          <w:p w14:paraId="67F501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355" w:type="pct"/>
            <w:vAlign w:val="center"/>
          </w:tcPr>
          <w:p w14:paraId="3D53E7A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w:t>
            </w:r>
          </w:p>
        </w:tc>
        <w:tc>
          <w:tcPr>
            <w:tcW w:w="354" w:type="pct"/>
            <w:vAlign w:val="center"/>
          </w:tcPr>
          <w:p w14:paraId="56E9B52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3" w:type="pct"/>
            <w:vAlign w:val="bottom"/>
          </w:tcPr>
          <w:p w14:paraId="5ED74C5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r>
    </w:tbl>
    <w:p w14:paraId="3F106203" w14:textId="77777777" w:rsidR="00332F08" w:rsidRPr="00CD29D0" w:rsidRDefault="00332F08" w:rsidP="004E7A27">
      <w:pPr>
        <w:pStyle w:val="TableETitle"/>
        <w:spacing w:before="120" w:after="0"/>
      </w:pPr>
      <w:bookmarkStart w:id="217" w:name="_Toc211928951"/>
      <w:bookmarkStart w:id="218" w:name="_Toc227587043"/>
      <w:bookmarkStart w:id="219" w:name="_Hlk139011901"/>
      <w:r w:rsidRPr="00CD29D0">
        <w:t>Table E8. MCAS Mathematics Achievement by Grade, 2023-2025</w:t>
      </w:r>
      <w:bookmarkEnd w:id="217"/>
      <w:bookmarkEnd w:id="218"/>
    </w:p>
    <w:tbl>
      <w:tblPr>
        <w:tblStyle w:val="MSVTable1"/>
        <w:tblW w:w="5107" w:type="pct"/>
        <w:jc w:val="center"/>
        <w:tblLook w:val="0420" w:firstRow="1" w:lastRow="0" w:firstColumn="0" w:lastColumn="0" w:noHBand="0" w:noVBand="1"/>
        <w:tblCaption w:val="Table E8. MCAS Mathematics Achievement by Grade, 2023-2025"/>
        <w:tblDescription w:val="MCAS Mathematics Achievement by Grade, 2023-2025"/>
      </w:tblPr>
      <w:tblGrid>
        <w:gridCol w:w="980"/>
        <w:gridCol w:w="989"/>
        <w:gridCol w:w="936"/>
        <w:gridCol w:w="939"/>
        <w:gridCol w:w="936"/>
        <w:gridCol w:w="939"/>
        <w:gridCol w:w="939"/>
        <w:gridCol w:w="939"/>
        <w:gridCol w:w="939"/>
        <w:gridCol w:w="941"/>
        <w:gridCol w:w="936"/>
        <w:gridCol w:w="939"/>
        <w:gridCol w:w="936"/>
        <w:gridCol w:w="933"/>
      </w:tblGrid>
      <w:tr w:rsidR="00332F08" w:rsidRPr="00CD29D0" w14:paraId="43574D1B"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728CE6ED" w14:textId="77777777" w:rsidR="00332F08" w:rsidRPr="00CD29D0" w:rsidRDefault="00332F08" w:rsidP="00BF0B5C">
            <w:pPr>
              <w:pStyle w:val="TableColHeadingCenter"/>
              <w:spacing w:before="20" w:after="20"/>
            </w:pPr>
            <w:r w:rsidRPr="00CD29D0">
              <w:t>Grade</w:t>
            </w:r>
          </w:p>
        </w:tc>
        <w:tc>
          <w:tcPr>
            <w:tcW w:w="374" w:type="pct"/>
            <w:vAlign w:val="center"/>
          </w:tcPr>
          <w:p w14:paraId="22840A23" w14:textId="77777777" w:rsidR="00332F08" w:rsidRPr="00CD29D0" w:rsidRDefault="00332F08" w:rsidP="00BF0B5C">
            <w:pPr>
              <w:pStyle w:val="TableColHeadingCenter"/>
              <w:spacing w:before="20" w:after="20"/>
            </w:pPr>
            <w:r w:rsidRPr="00CD29D0">
              <w:t># Included (2025)</w:t>
            </w:r>
          </w:p>
        </w:tc>
        <w:tc>
          <w:tcPr>
            <w:tcW w:w="354" w:type="pct"/>
            <w:vAlign w:val="center"/>
          </w:tcPr>
          <w:p w14:paraId="3E8593E4" w14:textId="77777777" w:rsidR="00332F08" w:rsidRPr="00CD29D0" w:rsidRDefault="00332F08" w:rsidP="00BF0B5C">
            <w:pPr>
              <w:pStyle w:val="TableColHeadingCenter"/>
              <w:spacing w:before="20" w:after="20"/>
            </w:pPr>
            <w:r w:rsidRPr="00CD29D0">
              <w:t>% M/E 2023</w:t>
            </w:r>
          </w:p>
        </w:tc>
        <w:tc>
          <w:tcPr>
            <w:tcW w:w="355" w:type="pct"/>
            <w:vAlign w:val="center"/>
          </w:tcPr>
          <w:p w14:paraId="25876DFE" w14:textId="77777777" w:rsidR="00332F08" w:rsidRPr="00CD29D0" w:rsidRDefault="00332F08" w:rsidP="00BF0B5C">
            <w:pPr>
              <w:pStyle w:val="TableColHeadingCenter"/>
              <w:spacing w:before="20" w:after="20"/>
            </w:pPr>
            <w:r w:rsidRPr="00CD29D0">
              <w:t>% M/E 2024</w:t>
            </w:r>
          </w:p>
        </w:tc>
        <w:tc>
          <w:tcPr>
            <w:tcW w:w="354" w:type="pct"/>
            <w:vAlign w:val="center"/>
          </w:tcPr>
          <w:p w14:paraId="57936CC8" w14:textId="77777777" w:rsidR="00332F08" w:rsidRPr="00CD29D0" w:rsidRDefault="00332F08" w:rsidP="00BF0B5C">
            <w:pPr>
              <w:pStyle w:val="TableColHeadingCenter"/>
              <w:spacing w:before="20" w:after="20"/>
            </w:pPr>
            <w:r w:rsidRPr="00CD29D0">
              <w:t>% M/E 2025</w:t>
            </w:r>
          </w:p>
        </w:tc>
        <w:tc>
          <w:tcPr>
            <w:tcW w:w="355" w:type="pct"/>
            <w:vAlign w:val="center"/>
          </w:tcPr>
          <w:p w14:paraId="4DC127BF" w14:textId="77777777" w:rsidR="00332F08" w:rsidRPr="00CD29D0" w:rsidRDefault="00332F08" w:rsidP="00BF0B5C">
            <w:pPr>
              <w:pStyle w:val="TableColHeadingCenter"/>
              <w:spacing w:before="20" w:after="20"/>
            </w:pPr>
            <w:r w:rsidRPr="00CD29D0">
              <w:t>% M/E 2025 State</w:t>
            </w:r>
          </w:p>
        </w:tc>
        <w:tc>
          <w:tcPr>
            <w:tcW w:w="355" w:type="pct"/>
            <w:vAlign w:val="center"/>
          </w:tcPr>
          <w:p w14:paraId="061EA43B" w14:textId="77777777" w:rsidR="00332F08" w:rsidRPr="00CD29D0" w:rsidRDefault="00332F08" w:rsidP="00BF0B5C">
            <w:pPr>
              <w:pStyle w:val="TableColHeadingCenter"/>
              <w:spacing w:before="20" w:after="20"/>
            </w:pPr>
            <w:r w:rsidRPr="00CD29D0">
              <w:t>% PME 2023</w:t>
            </w:r>
          </w:p>
        </w:tc>
        <w:tc>
          <w:tcPr>
            <w:tcW w:w="355" w:type="pct"/>
            <w:vAlign w:val="center"/>
          </w:tcPr>
          <w:p w14:paraId="608F16BE" w14:textId="77777777" w:rsidR="00332F08" w:rsidRPr="00CD29D0" w:rsidRDefault="00332F08" w:rsidP="00BF0B5C">
            <w:pPr>
              <w:pStyle w:val="TableColHeadingCenter"/>
              <w:spacing w:before="20" w:after="20"/>
            </w:pPr>
            <w:r w:rsidRPr="00CD29D0">
              <w:t>% PME 2024</w:t>
            </w:r>
          </w:p>
        </w:tc>
        <w:tc>
          <w:tcPr>
            <w:tcW w:w="355" w:type="pct"/>
            <w:vAlign w:val="center"/>
          </w:tcPr>
          <w:p w14:paraId="6C685069" w14:textId="77777777" w:rsidR="00332F08" w:rsidRPr="00CD29D0" w:rsidRDefault="00332F08" w:rsidP="00BF0B5C">
            <w:pPr>
              <w:pStyle w:val="TableColHeadingCenter"/>
              <w:spacing w:before="20" w:after="20"/>
            </w:pPr>
            <w:r w:rsidRPr="00CD29D0">
              <w:t>% PME 2025</w:t>
            </w:r>
          </w:p>
        </w:tc>
        <w:tc>
          <w:tcPr>
            <w:tcW w:w="356" w:type="pct"/>
            <w:vAlign w:val="center"/>
          </w:tcPr>
          <w:p w14:paraId="78E1C0BB" w14:textId="77777777" w:rsidR="00332F08" w:rsidRPr="00CD29D0" w:rsidRDefault="00332F08" w:rsidP="00BF0B5C">
            <w:pPr>
              <w:pStyle w:val="TableColHeadingCenter"/>
              <w:spacing w:before="20" w:after="20"/>
            </w:pPr>
            <w:r w:rsidRPr="00CD29D0">
              <w:t>% PME 2025 State</w:t>
            </w:r>
          </w:p>
        </w:tc>
        <w:tc>
          <w:tcPr>
            <w:tcW w:w="354" w:type="pct"/>
            <w:vAlign w:val="center"/>
          </w:tcPr>
          <w:p w14:paraId="07ABB80E" w14:textId="77777777" w:rsidR="00332F08" w:rsidRPr="00CD29D0" w:rsidRDefault="00332F08" w:rsidP="00BF0B5C">
            <w:pPr>
              <w:pStyle w:val="TableColHeadingCenter"/>
              <w:spacing w:before="20" w:after="20"/>
            </w:pPr>
            <w:r w:rsidRPr="00CD29D0">
              <w:t>% NM 2023</w:t>
            </w:r>
          </w:p>
        </w:tc>
        <w:tc>
          <w:tcPr>
            <w:tcW w:w="355" w:type="pct"/>
            <w:vAlign w:val="center"/>
          </w:tcPr>
          <w:p w14:paraId="61C096C6" w14:textId="77777777" w:rsidR="00332F08" w:rsidRPr="00CD29D0" w:rsidRDefault="00332F08" w:rsidP="00BF0B5C">
            <w:pPr>
              <w:pStyle w:val="TableColHeadingCenter"/>
              <w:spacing w:before="20" w:after="20"/>
            </w:pPr>
            <w:r w:rsidRPr="00CD29D0">
              <w:t>% NM 2024</w:t>
            </w:r>
          </w:p>
        </w:tc>
        <w:tc>
          <w:tcPr>
            <w:tcW w:w="354" w:type="pct"/>
            <w:vAlign w:val="center"/>
          </w:tcPr>
          <w:p w14:paraId="346511C8" w14:textId="77777777" w:rsidR="00332F08" w:rsidRPr="00CD29D0" w:rsidRDefault="00332F08" w:rsidP="00BF0B5C">
            <w:pPr>
              <w:pStyle w:val="TableColHeadingCenter"/>
              <w:spacing w:before="20" w:after="20"/>
            </w:pPr>
            <w:r w:rsidRPr="00CD29D0">
              <w:t>% NM 2025</w:t>
            </w:r>
          </w:p>
        </w:tc>
        <w:tc>
          <w:tcPr>
            <w:tcW w:w="353" w:type="pct"/>
            <w:vAlign w:val="center"/>
          </w:tcPr>
          <w:p w14:paraId="2467F60E" w14:textId="77777777" w:rsidR="00332F08" w:rsidRPr="00CD29D0" w:rsidRDefault="00332F08" w:rsidP="00BF0B5C">
            <w:pPr>
              <w:pStyle w:val="TableColHeadingCenter"/>
              <w:spacing w:before="20" w:after="20"/>
            </w:pPr>
            <w:r w:rsidRPr="00CD29D0">
              <w:t>% NM 2025 State</w:t>
            </w:r>
          </w:p>
        </w:tc>
      </w:tr>
      <w:tr w:rsidR="00332F08" w:rsidRPr="00CD29D0" w14:paraId="62939C80"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735CC5E"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3</w:t>
            </w:r>
          </w:p>
        </w:tc>
        <w:tc>
          <w:tcPr>
            <w:tcW w:w="374" w:type="pct"/>
            <w:vAlign w:val="center"/>
          </w:tcPr>
          <w:p w14:paraId="35EDF78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181</w:t>
            </w:r>
          </w:p>
        </w:tc>
        <w:tc>
          <w:tcPr>
            <w:tcW w:w="354" w:type="pct"/>
            <w:vAlign w:val="center"/>
          </w:tcPr>
          <w:p w14:paraId="053DFD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3641D35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4" w:type="pct"/>
            <w:vAlign w:val="center"/>
          </w:tcPr>
          <w:p w14:paraId="1656983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w:t>
            </w:r>
          </w:p>
        </w:tc>
        <w:tc>
          <w:tcPr>
            <w:tcW w:w="355" w:type="pct"/>
            <w:vAlign w:val="center"/>
          </w:tcPr>
          <w:p w14:paraId="1319378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497380C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355" w:type="pct"/>
            <w:vAlign w:val="center"/>
          </w:tcPr>
          <w:p w14:paraId="6F1FD9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33F2D42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6" w:type="pct"/>
            <w:vAlign w:val="center"/>
          </w:tcPr>
          <w:p w14:paraId="05C1B7C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73B5394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8</w:t>
            </w:r>
          </w:p>
        </w:tc>
        <w:tc>
          <w:tcPr>
            <w:tcW w:w="355" w:type="pct"/>
            <w:vAlign w:val="center"/>
          </w:tcPr>
          <w:p w14:paraId="0A63DBD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354" w:type="pct"/>
            <w:vAlign w:val="center"/>
          </w:tcPr>
          <w:p w14:paraId="33F4DE9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353" w:type="pct"/>
            <w:vAlign w:val="bottom"/>
          </w:tcPr>
          <w:p w14:paraId="540BC50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r>
      <w:tr w:rsidR="00332F08" w:rsidRPr="00CD29D0" w14:paraId="6615E96F" w14:textId="77777777" w:rsidTr="00BF0B5C">
        <w:trPr>
          <w:jc w:val="center"/>
        </w:trPr>
        <w:tc>
          <w:tcPr>
            <w:tcW w:w="371" w:type="pct"/>
          </w:tcPr>
          <w:p w14:paraId="53E7C25A"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4</w:t>
            </w:r>
          </w:p>
        </w:tc>
        <w:tc>
          <w:tcPr>
            <w:tcW w:w="374" w:type="pct"/>
            <w:vAlign w:val="center"/>
          </w:tcPr>
          <w:p w14:paraId="7D17C71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187</w:t>
            </w:r>
          </w:p>
        </w:tc>
        <w:tc>
          <w:tcPr>
            <w:tcW w:w="354" w:type="pct"/>
            <w:vAlign w:val="center"/>
          </w:tcPr>
          <w:p w14:paraId="143DB9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1F0B4F3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354" w:type="pct"/>
            <w:vAlign w:val="center"/>
          </w:tcPr>
          <w:p w14:paraId="0FEADCB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4022AD0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5" w:type="pct"/>
            <w:vAlign w:val="center"/>
          </w:tcPr>
          <w:p w14:paraId="0D55B1A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2B8C222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3A07735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356" w:type="pct"/>
            <w:vAlign w:val="center"/>
          </w:tcPr>
          <w:p w14:paraId="4AE0680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4" w:type="pct"/>
            <w:vAlign w:val="center"/>
          </w:tcPr>
          <w:p w14:paraId="1E04DBA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5" w:type="pct"/>
            <w:vAlign w:val="center"/>
          </w:tcPr>
          <w:p w14:paraId="3B6C0F4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354" w:type="pct"/>
            <w:vAlign w:val="center"/>
          </w:tcPr>
          <w:p w14:paraId="3B920C2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9</w:t>
            </w:r>
          </w:p>
        </w:tc>
        <w:tc>
          <w:tcPr>
            <w:tcW w:w="353" w:type="pct"/>
            <w:vAlign w:val="bottom"/>
          </w:tcPr>
          <w:p w14:paraId="6CE9F2D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r>
      <w:tr w:rsidR="00332F08" w:rsidRPr="00CD29D0" w14:paraId="5FB47B1A"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1A94487"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5</w:t>
            </w:r>
          </w:p>
        </w:tc>
        <w:tc>
          <w:tcPr>
            <w:tcW w:w="374" w:type="pct"/>
            <w:vAlign w:val="center"/>
          </w:tcPr>
          <w:p w14:paraId="05B6DC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178</w:t>
            </w:r>
          </w:p>
        </w:tc>
        <w:tc>
          <w:tcPr>
            <w:tcW w:w="354" w:type="pct"/>
            <w:vAlign w:val="center"/>
          </w:tcPr>
          <w:p w14:paraId="5344D5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12BB50D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354" w:type="pct"/>
            <w:vAlign w:val="center"/>
          </w:tcPr>
          <w:p w14:paraId="371A31E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355" w:type="pct"/>
            <w:vAlign w:val="center"/>
          </w:tcPr>
          <w:p w14:paraId="02FA7D2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5" w:type="pct"/>
            <w:vAlign w:val="center"/>
          </w:tcPr>
          <w:p w14:paraId="5E9F5C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355" w:type="pct"/>
            <w:vAlign w:val="center"/>
          </w:tcPr>
          <w:p w14:paraId="22BF356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60</w:t>
            </w:r>
          </w:p>
        </w:tc>
        <w:tc>
          <w:tcPr>
            <w:tcW w:w="355" w:type="pct"/>
            <w:vAlign w:val="center"/>
          </w:tcPr>
          <w:p w14:paraId="1C6F57B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59</w:t>
            </w:r>
          </w:p>
        </w:tc>
        <w:tc>
          <w:tcPr>
            <w:tcW w:w="356" w:type="pct"/>
            <w:vAlign w:val="center"/>
          </w:tcPr>
          <w:p w14:paraId="768548B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4" w:type="pct"/>
            <w:vAlign w:val="center"/>
          </w:tcPr>
          <w:p w14:paraId="7243A5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5" w:type="pct"/>
            <w:vAlign w:val="center"/>
          </w:tcPr>
          <w:p w14:paraId="2843D18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4" w:type="pct"/>
            <w:vAlign w:val="center"/>
          </w:tcPr>
          <w:p w14:paraId="4CC9C9D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3" w:type="pct"/>
            <w:vAlign w:val="bottom"/>
          </w:tcPr>
          <w:p w14:paraId="7450ED8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r>
      <w:tr w:rsidR="00332F08" w:rsidRPr="00CD29D0" w14:paraId="55ECAEB9" w14:textId="77777777" w:rsidTr="00BF0B5C">
        <w:trPr>
          <w:jc w:val="center"/>
        </w:trPr>
        <w:tc>
          <w:tcPr>
            <w:tcW w:w="371" w:type="pct"/>
          </w:tcPr>
          <w:p w14:paraId="29E37D6C"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6</w:t>
            </w:r>
          </w:p>
        </w:tc>
        <w:tc>
          <w:tcPr>
            <w:tcW w:w="374" w:type="pct"/>
            <w:vAlign w:val="center"/>
          </w:tcPr>
          <w:p w14:paraId="174F5E1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154</w:t>
            </w:r>
          </w:p>
        </w:tc>
        <w:tc>
          <w:tcPr>
            <w:tcW w:w="354" w:type="pct"/>
            <w:vAlign w:val="center"/>
          </w:tcPr>
          <w:p w14:paraId="5AD8971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4229B3F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4" w:type="pct"/>
            <w:vAlign w:val="center"/>
          </w:tcPr>
          <w:p w14:paraId="54EAA7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25</w:t>
            </w:r>
          </w:p>
        </w:tc>
        <w:tc>
          <w:tcPr>
            <w:tcW w:w="355" w:type="pct"/>
            <w:vAlign w:val="center"/>
          </w:tcPr>
          <w:p w14:paraId="493575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5" w:type="pct"/>
            <w:vAlign w:val="center"/>
          </w:tcPr>
          <w:p w14:paraId="22F0BC9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53</w:t>
            </w:r>
          </w:p>
        </w:tc>
        <w:tc>
          <w:tcPr>
            <w:tcW w:w="355" w:type="pct"/>
            <w:vAlign w:val="center"/>
          </w:tcPr>
          <w:p w14:paraId="087F32D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12CF0B8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60</w:t>
            </w:r>
          </w:p>
        </w:tc>
        <w:tc>
          <w:tcPr>
            <w:tcW w:w="356" w:type="pct"/>
            <w:vAlign w:val="center"/>
          </w:tcPr>
          <w:p w14:paraId="2BF8DE5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4" w:type="pct"/>
            <w:vAlign w:val="center"/>
          </w:tcPr>
          <w:p w14:paraId="05770D0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w:t>
            </w:r>
          </w:p>
        </w:tc>
        <w:tc>
          <w:tcPr>
            <w:tcW w:w="355" w:type="pct"/>
            <w:vAlign w:val="center"/>
          </w:tcPr>
          <w:p w14:paraId="433B48F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4" w:type="pct"/>
            <w:vAlign w:val="center"/>
          </w:tcPr>
          <w:p w14:paraId="546BF96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3" w:type="pct"/>
            <w:vAlign w:val="center"/>
          </w:tcPr>
          <w:p w14:paraId="4D4B1E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w:t>
            </w:r>
          </w:p>
        </w:tc>
      </w:tr>
      <w:tr w:rsidR="00332F08" w:rsidRPr="00CD29D0" w14:paraId="4E372838"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3F7DB40"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7</w:t>
            </w:r>
          </w:p>
        </w:tc>
        <w:tc>
          <w:tcPr>
            <w:tcW w:w="374" w:type="pct"/>
            <w:vAlign w:val="center"/>
          </w:tcPr>
          <w:p w14:paraId="06A3239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179</w:t>
            </w:r>
          </w:p>
        </w:tc>
        <w:tc>
          <w:tcPr>
            <w:tcW w:w="354" w:type="pct"/>
            <w:vAlign w:val="center"/>
          </w:tcPr>
          <w:p w14:paraId="3B99C6C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5" w:type="pct"/>
            <w:vAlign w:val="center"/>
          </w:tcPr>
          <w:p w14:paraId="156C89F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354" w:type="pct"/>
            <w:vAlign w:val="center"/>
          </w:tcPr>
          <w:p w14:paraId="7FF61E0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1FEBB79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30EEA7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355" w:type="pct"/>
            <w:vAlign w:val="center"/>
          </w:tcPr>
          <w:p w14:paraId="4E9B865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355" w:type="pct"/>
            <w:vAlign w:val="center"/>
          </w:tcPr>
          <w:p w14:paraId="3F7E09C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6" w:type="pct"/>
            <w:vAlign w:val="center"/>
          </w:tcPr>
          <w:p w14:paraId="614A046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4" w:type="pct"/>
            <w:vAlign w:val="center"/>
          </w:tcPr>
          <w:p w14:paraId="6F9735C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c>
          <w:tcPr>
            <w:tcW w:w="355" w:type="pct"/>
            <w:vAlign w:val="center"/>
          </w:tcPr>
          <w:p w14:paraId="16F7487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4" w:type="pct"/>
            <w:vAlign w:val="center"/>
          </w:tcPr>
          <w:p w14:paraId="27A4058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353" w:type="pct"/>
            <w:vAlign w:val="bottom"/>
          </w:tcPr>
          <w:p w14:paraId="5A74CF0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r>
      <w:tr w:rsidR="00332F08" w:rsidRPr="00CD29D0" w14:paraId="7BE52A5C" w14:textId="77777777" w:rsidTr="00BF0B5C">
        <w:trPr>
          <w:jc w:val="center"/>
        </w:trPr>
        <w:tc>
          <w:tcPr>
            <w:tcW w:w="371" w:type="pct"/>
          </w:tcPr>
          <w:p w14:paraId="350EBCAB"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8</w:t>
            </w:r>
          </w:p>
        </w:tc>
        <w:tc>
          <w:tcPr>
            <w:tcW w:w="374" w:type="pct"/>
            <w:vAlign w:val="center"/>
          </w:tcPr>
          <w:p w14:paraId="1168BB2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166</w:t>
            </w:r>
          </w:p>
        </w:tc>
        <w:tc>
          <w:tcPr>
            <w:tcW w:w="354" w:type="pct"/>
            <w:vAlign w:val="center"/>
          </w:tcPr>
          <w:p w14:paraId="79E152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355" w:type="pct"/>
            <w:vAlign w:val="center"/>
          </w:tcPr>
          <w:p w14:paraId="542D08C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5EB62C4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5" w:type="pct"/>
            <w:vAlign w:val="center"/>
          </w:tcPr>
          <w:p w14:paraId="0DCDA14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5" w:type="pct"/>
            <w:vAlign w:val="center"/>
          </w:tcPr>
          <w:p w14:paraId="24B0A91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56</w:t>
            </w:r>
          </w:p>
        </w:tc>
        <w:tc>
          <w:tcPr>
            <w:tcW w:w="355" w:type="pct"/>
            <w:vAlign w:val="center"/>
          </w:tcPr>
          <w:p w14:paraId="2854773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50</w:t>
            </w:r>
          </w:p>
        </w:tc>
        <w:tc>
          <w:tcPr>
            <w:tcW w:w="355" w:type="pct"/>
            <w:vAlign w:val="center"/>
          </w:tcPr>
          <w:p w14:paraId="4B6EE70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356" w:type="pct"/>
            <w:vAlign w:val="center"/>
          </w:tcPr>
          <w:p w14:paraId="78A1D42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4" w:type="pct"/>
            <w:vAlign w:val="center"/>
          </w:tcPr>
          <w:p w14:paraId="7354C97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18</w:t>
            </w:r>
          </w:p>
        </w:tc>
        <w:tc>
          <w:tcPr>
            <w:tcW w:w="355" w:type="pct"/>
            <w:vAlign w:val="center"/>
          </w:tcPr>
          <w:p w14:paraId="16C29AD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4" w:type="pct"/>
            <w:vAlign w:val="center"/>
          </w:tcPr>
          <w:p w14:paraId="42BB59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3" w:type="pct"/>
            <w:vAlign w:val="bottom"/>
          </w:tcPr>
          <w:p w14:paraId="2877181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21</w:t>
            </w:r>
          </w:p>
        </w:tc>
      </w:tr>
      <w:tr w:rsidR="00332F08" w:rsidRPr="00CD29D0" w14:paraId="133BF674"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197081B" w14:textId="77777777" w:rsidR="00332F08" w:rsidRPr="00CD29D0" w:rsidRDefault="00332F08" w:rsidP="004E7A27">
            <w:pPr>
              <w:pStyle w:val="TableText"/>
              <w:spacing w:before="0" w:after="20"/>
              <w:jc w:val="center"/>
              <w:rPr>
                <w:rFonts w:ascii="Franklin Gothic Book" w:hAnsi="Franklin Gothic Book"/>
                <w:spacing w:val="-4"/>
              </w:rPr>
            </w:pPr>
            <w:r w:rsidRPr="00CD29D0">
              <w:rPr>
                <w:rFonts w:ascii="Franklin Gothic Book" w:hAnsi="Franklin Gothic Book"/>
              </w:rPr>
              <w:t>3-8</w:t>
            </w:r>
          </w:p>
        </w:tc>
        <w:tc>
          <w:tcPr>
            <w:tcW w:w="374" w:type="pct"/>
            <w:vAlign w:val="center"/>
          </w:tcPr>
          <w:p w14:paraId="3A1EB0E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1,045</w:t>
            </w:r>
          </w:p>
        </w:tc>
        <w:tc>
          <w:tcPr>
            <w:tcW w:w="354" w:type="pct"/>
            <w:vAlign w:val="center"/>
          </w:tcPr>
          <w:p w14:paraId="46745CA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355" w:type="pct"/>
            <w:vAlign w:val="center"/>
          </w:tcPr>
          <w:p w14:paraId="7912BC3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4" w:type="pct"/>
            <w:vAlign w:val="center"/>
          </w:tcPr>
          <w:p w14:paraId="5ECAA1F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5" w:type="pct"/>
            <w:vAlign w:val="center"/>
          </w:tcPr>
          <w:p w14:paraId="1EB4EF8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5" w:type="pct"/>
            <w:vAlign w:val="center"/>
          </w:tcPr>
          <w:p w14:paraId="1E55E39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5" w:type="pct"/>
            <w:vAlign w:val="center"/>
          </w:tcPr>
          <w:p w14:paraId="6009C22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7169E38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51</w:t>
            </w:r>
          </w:p>
        </w:tc>
        <w:tc>
          <w:tcPr>
            <w:tcW w:w="356" w:type="pct"/>
            <w:vAlign w:val="center"/>
          </w:tcPr>
          <w:p w14:paraId="064B777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4" w:type="pct"/>
            <w:vAlign w:val="center"/>
          </w:tcPr>
          <w:p w14:paraId="1832984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5" w:type="pct"/>
            <w:vAlign w:val="center"/>
          </w:tcPr>
          <w:p w14:paraId="6807936F"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12</w:t>
            </w:r>
          </w:p>
        </w:tc>
        <w:tc>
          <w:tcPr>
            <w:tcW w:w="354" w:type="pct"/>
            <w:vAlign w:val="center"/>
          </w:tcPr>
          <w:p w14:paraId="05AFEE6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14</w:t>
            </w:r>
          </w:p>
        </w:tc>
        <w:tc>
          <w:tcPr>
            <w:tcW w:w="353" w:type="pct"/>
            <w:vAlign w:val="bottom"/>
          </w:tcPr>
          <w:p w14:paraId="4959C08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6C02B4C5" w14:textId="77777777" w:rsidTr="00BF0B5C">
        <w:trPr>
          <w:jc w:val="center"/>
        </w:trPr>
        <w:tc>
          <w:tcPr>
            <w:tcW w:w="371" w:type="pct"/>
          </w:tcPr>
          <w:p w14:paraId="7E6A79D5"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10</w:t>
            </w:r>
          </w:p>
        </w:tc>
        <w:tc>
          <w:tcPr>
            <w:tcW w:w="374" w:type="pct"/>
            <w:vAlign w:val="center"/>
          </w:tcPr>
          <w:p w14:paraId="55D0DB5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160</w:t>
            </w:r>
          </w:p>
        </w:tc>
        <w:tc>
          <w:tcPr>
            <w:tcW w:w="354" w:type="pct"/>
            <w:vAlign w:val="center"/>
          </w:tcPr>
          <w:p w14:paraId="487B4EE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49</w:t>
            </w:r>
          </w:p>
        </w:tc>
        <w:tc>
          <w:tcPr>
            <w:tcW w:w="355" w:type="pct"/>
            <w:vAlign w:val="center"/>
          </w:tcPr>
          <w:p w14:paraId="3D8FCE6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4" w:type="pct"/>
            <w:vAlign w:val="center"/>
          </w:tcPr>
          <w:p w14:paraId="50ED823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5" w:type="pct"/>
            <w:vAlign w:val="center"/>
          </w:tcPr>
          <w:p w14:paraId="42A907B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6999D6D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4DD4BEE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355" w:type="pct"/>
            <w:vAlign w:val="center"/>
          </w:tcPr>
          <w:p w14:paraId="75AC0C2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6" w:type="pct"/>
            <w:vAlign w:val="center"/>
          </w:tcPr>
          <w:p w14:paraId="645B913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4" w:type="pct"/>
            <w:vAlign w:val="center"/>
          </w:tcPr>
          <w:p w14:paraId="27DE721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355" w:type="pct"/>
            <w:vAlign w:val="center"/>
          </w:tcPr>
          <w:p w14:paraId="1BCC0CBD"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7</w:t>
            </w:r>
          </w:p>
        </w:tc>
        <w:tc>
          <w:tcPr>
            <w:tcW w:w="354" w:type="pct"/>
            <w:vAlign w:val="center"/>
          </w:tcPr>
          <w:p w14:paraId="7E11787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353" w:type="pct"/>
            <w:vAlign w:val="bottom"/>
          </w:tcPr>
          <w:p w14:paraId="7F4743D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r>
    </w:tbl>
    <w:p w14:paraId="332B75C9" w14:textId="77777777" w:rsidR="00332F08" w:rsidRPr="00CD29D0" w:rsidRDefault="00332F08" w:rsidP="004E7A27">
      <w:pPr>
        <w:pStyle w:val="TableETitle"/>
        <w:spacing w:before="120" w:after="0"/>
      </w:pPr>
      <w:bookmarkStart w:id="220" w:name="_Toc211928952"/>
      <w:bookmarkStart w:id="221" w:name="_Toc227587044"/>
      <w:bookmarkEnd w:id="216"/>
      <w:bookmarkEnd w:id="219"/>
      <w:r w:rsidRPr="00CD29D0">
        <w:t>Table E9. MCAS Science Achievement by Grade, 2023-2025</w:t>
      </w:r>
      <w:bookmarkEnd w:id="220"/>
      <w:bookmarkEnd w:id="221"/>
    </w:p>
    <w:tbl>
      <w:tblPr>
        <w:tblStyle w:val="MSVTable1"/>
        <w:tblW w:w="5107" w:type="pct"/>
        <w:jc w:val="center"/>
        <w:tblLook w:val="0420" w:firstRow="1" w:lastRow="0" w:firstColumn="0" w:lastColumn="0" w:noHBand="0" w:noVBand="1"/>
        <w:tblCaption w:val="Table E9. MCAS Science Achievement by Grade, 2023-2025"/>
        <w:tblDescription w:val="MCAS Science Achievement by Grade, 2023-2025"/>
      </w:tblPr>
      <w:tblGrid>
        <w:gridCol w:w="980"/>
        <w:gridCol w:w="989"/>
        <w:gridCol w:w="936"/>
        <w:gridCol w:w="939"/>
        <w:gridCol w:w="936"/>
        <w:gridCol w:w="939"/>
        <w:gridCol w:w="939"/>
        <w:gridCol w:w="939"/>
        <w:gridCol w:w="939"/>
        <w:gridCol w:w="941"/>
        <w:gridCol w:w="936"/>
        <w:gridCol w:w="939"/>
        <w:gridCol w:w="936"/>
        <w:gridCol w:w="933"/>
      </w:tblGrid>
      <w:tr w:rsidR="00332F08" w:rsidRPr="00CD29D0" w14:paraId="5FFF619D" w14:textId="77777777" w:rsidTr="00BF0B5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255279EF" w14:textId="77777777" w:rsidR="00332F08" w:rsidRPr="00CD29D0" w:rsidRDefault="00332F08" w:rsidP="00BF0B5C">
            <w:pPr>
              <w:pStyle w:val="TableColHeadingCenter"/>
              <w:spacing w:before="20" w:after="20"/>
            </w:pPr>
            <w:r w:rsidRPr="00CD29D0">
              <w:t>Grade</w:t>
            </w:r>
          </w:p>
        </w:tc>
        <w:tc>
          <w:tcPr>
            <w:tcW w:w="374" w:type="pct"/>
            <w:vAlign w:val="center"/>
          </w:tcPr>
          <w:p w14:paraId="681C9E76" w14:textId="77777777" w:rsidR="00332F08" w:rsidRPr="00CD29D0" w:rsidRDefault="00332F08" w:rsidP="00BF0B5C">
            <w:pPr>
              <w:pStyle w:val="TableColHeadingCenter"/>
              <w:spacing w:before="20" w:after="20"/>
            </w:pPr>
            <w:r w:rsidRPr="00CD29D0">
              <w:t># Included (2025)</w:t>
            </w:r>
          </w:p>
        </w:tc>
        <w:tc>
          <w:tcPr>
            <w:tcW w:w="354" w:type="pct"/>
            <w:vAlign w:val="center"/>
          </w:tcPr>
          <w:p w14:paraId="2CF81080" w14:textId="77777777" w:rsidR="00332F08" w:rsidRPr="00CD29D0" w:rsidRDefault="00332F08" w:rsidP="00BF0B5C">
            <w:pPr>
              <w:pStyle w:val="TableColHeadingCenter"/>
              <w:spacing w:before="20" w:after="20"/>
            </w:pPr>
            <w:r w:rsidRPr="00CD29D0">
              <w:t>% M/E 2023</w:t>
            </w:r>
          </w:p>
        </w:tc>
        <w:tc>
          <w:tcPr>
            <w:tcW w:w="355" w:type="pct"/>
            <w:vAlign w:val="center"/>
          </w:tcPr>
          <w:p w14:paraId="439DCD1A" w14:textId="77777777" w:rsidR="00332F08" w:rsidRPr="00CD29D0" w:rsidRDefault="00332F08" w:rsidP="00BF0B5C">
            <w:pPr>
              <w:pStyle w:val="TableColHeadingCenter"/>
              <w:spacing w:before="20" w:after="20"/>
            </w:pPr>
            <w:r w:rsidRPr="00CD29D0">
              <w:t>% M/E 2024</w:t>
            </w:r>
          </w:p>
        </w:tc>
        <w:tc>
          <w:tcPr>
            <w:tcW w:w="354" w:type="pct"/>
            <w:vAlign w:val="center"/>
          </w:tcPr>
          <w:p w14:paraId="17D226AE" w14:textId="77777777" w:rsidR="00332F08" w:rsidRPr="00CD29D0" w:rsidRDefault="00332F08" w:rsidP="00BF0B5C">
            <w:pPr>
              <w:pStyle w:val="TableColHeadingCenter"/>
              <w:spacing w:before="20" w:after="20"/>
            </w:pPr>
            <w:r w:rsidRPr="00CD29D0">
              <w:t>% M/E 2025</w:t>
            </w:r>
          </w:p>
        </w:tc>
        <w:tc>
          <w:tcPr>
            <w:tcW w:w="355" w:type="pct"/>
            <w:vAlign w:val="center"/>
          </w:tcPr>
          <w:p w14:paraId="74229895" w14:textId="77777777" w:rsidR="00332F08" w:rsidRPr="00CD29D0" w:rsidRDefault="00332F08" w:rsidP="00BF0B5C">
            <w:pPr>
              <w:pStyle w:val="TableColHeadingCenter"/>
              <w:spacing w:before="20" w:after="20"/>
            </w:pPr>
            <w:r w:rsidRPr="00CD29D0">
              <w:t>% M/E 2025 State</w:t>
            </w:r>
          </w:p>
        </w:tc>
        <w:tc>
          <w:tcPr>
            <w:tcW w:w="355" w:type="pct"/>
            <w:vAlign w:val="center"/>
          </w:tcPr>
          <w:p w14:paraId="6E446EE2" w14:textId="77777777" w:rsidR="00332F08" w:rsidRPr="00CD29D0" w:rsidRDefault="00332F08" w:rsidP="00BF0B5C">
            <w:pPr>
              <w:pStyle w:val="TableColHeadingCenter"/>
              <w:spacing w:before="20" w:after="20"/>
            </w:pPr>
            <w:r w:rsidRPr="00CD29D0">
              <w:t>% PME 2023</w:t>
            </w:r>
          </w:p>
        </w:tc>
        <w:tc>
          <w:tcPr>
            <w:tcW w:w="355" w:type="pct"/>
            <w:vAlign w:val="center"/>
          </w:tcPr>
          <w:p w14:paraId="525EBD86" w14:textId="77777777" w:rsidR="00332F08" w:rsidRPr="00CD29D0" w:rsidRDefault="00332F08" w:rsidP="00BF0B5C">
            <w:pPr>
              <w:pStyle w:val="TableColHeadingCenter"/>
              <w:spacing w:before="20" w:after="20"/>
            </w:pPr>
            <w:r w:rsidRPr="00CD29D0">
              <w:t>% PME 2024</w:t>
            </w:r>
          </w:p>
        </w:tc>
        <w:tc>
          <w:tcPr>
            <w:tcW w:w="355" w:type="pct"/>
            <w:vAlign w:val="center"/>
          </w:tcPr>
          <w:p w14:paraId="1799AD67" w14:textId="77777777" w:rsidR="00332F08" w:rsidRPr="00CD29D0" w:rsidRDefault="00332F08" w:rsidP="00BF0B5C">
            <w:pPr>
              <w:pStyle w:val="TableColHeadingCenter"/>
              <w:spacing w:before="20" w:after="20"/>
            </w:pPr>
            <w:r w:rsidRPr="00CD29D0">
              <w:t>% PME 2025</w:t>
            </w:r>
          </w:p>
        </w:tc>
        <w:tc>
          <w:tcPr>
            <w:tcW w:w="356" w:type="pct"/>
            <w:vAlign w:val="center"/>
          </w:tcPr>
          <w:p w14:paraId="7D9DF539" w14:textId="77777777" w:rsidR="00332F08" w:rsidRPr="00CD29D0" w:rsidRDefault="00332F08" w:rsidP="00BF0B5C">
            <w:pPr>
              <w:pStyle w:val="TableColHeadingCenter"/>
              <w:spacing w:before="20" w:after="20"/>
            </w:pPr>
            <w:r w:rsidRPr="00CD29D0">
              <w:t>% PME 2025 State</w:t>
            </w:r>
          </w:p>
        </w:tc>
        <w:tc>
          <w:tcPr>
            <w:tcW w:w="354" w:type="pct"/>
            <w:vAlign w:val="center"/>
          </w:tcPr>
          <w:p w14:paraId="2FD57D60" w14:textId="77777777" w:rsidR="00332F08" w:rsidRPr="00CD29D0" w:rsidRDefault="00332F08" w:rsidP="00BF0B5C">
            <w:pPr>
              <w:pStyle w:val="TableColHeadingCenter"/>
              <w:spacing w:before="20" w:after="20"/>
            </w:pPr>
            <w:r w:rsidRPr="00CD29D0">
              <w:t>% NM 2023</w:t>
            </w:r>
          </w:p>
        </w:tc>
        <w:tc>
          <w:tcPr>
            <w:tcW w:w="355" w:type="pct"/>
            <w:vAlign w:val="center"/>
          </w:tcPr>
          <w:p w14:paraId="2C37947B" w14:textId="77777777" w:rsidR="00332F08" w:rsidRPr="00CD29D0" w:rsidRDefault="00332F08" w:rsidP="00BF0B5C">
            <w:pPr>
              <w:pStyle w:val="TableColHeadingCenter"/>
              <w:spacing w:before="20" w:after="20"/>
            </w:pPr>
            <w:r w:rsidRPr="00CD29D0">
              <w:t>% NM 2024</w:t>
            </w:r>
          </w:p>
        </w:tc>
        <w:tc>
          <w:tcPr>
            <w:tcW w:w="354" w:type="pct"/>
            <w:vAlign w:val="center"/>
          </w:tcPr>
          <w:p w14:paraId="6B480CE5" w14:textId="77777777" w:rsidR="00332F08" w:rsidRPr="00CD29D0" w:rsidRDefault="00332F08" w:rsidP="00BF0B5C">
            <w:pPr>
              <w:pStyle w:val="TableColHeadingCenter"/>
              <w:spacing w:before="20" w:after="20"/>
            </w:pPr>
            <w:r w:rsidRPr="00CD29D0">
              <w:t>% NM 2025</w:t>
            </w:r>
          </w:p>
        </w:tc>
        <w:tc>
          <w:tcPr>
            <w:tcW w:w="353" w:type="pct"/>
            <w:vAlign w:val="center"/>
          </w:tcPr>
          <w:p w14:paraId="4623A1B4" w14:textId="77777777" w:rsidR="00332F08" w:rsidRPr="00CD29D0" w:rsidRDefault="00332F08" w:rsidP="00BF0B5C">
            <w:pPr>
              <w:pStyle w:val="TableColHeadingCenter"/>
              <w:spacing w:before="20" w:after="20"/>
            </w:pPr>
            <w:r w:rsidRPr="00CD29D0">
              <w:t>% NM 2025 State</w:t>
            </w:r>
          </w:p>
        </w:tc>
      </w:tr>
      <w:tr w:rsidR="00332F08" w:rsidRPr="00CD29D0" w14:paraId="340E29AD"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3509B1A"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5</w:t>
            </w:r>
          </w:p>
        </w:tc>
        <w:tc>
          <w:tcPr>
            <w:tcW w:w="374" w:type="pct"/>
            <w:vAlign w:val="center"/>
          </w:tcPr>
          <w:p w14:paraId="265B10D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178</w:t>
            </w:r>
          </w:p>
        </w:tc>
        <w:tc>
          <w:tcPr>
            <w:tcW w:w="354" w:type="pct"/>
            <w:vAlign w:val="center"/>
          </w:tcPr>
          <w:p w14:paraId="0EA193C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28</w:t>
            </w:r>
          </w:p>
        </w:tc>
        <w:tc>
          <w:tcPr>
            <w:tcW w:w="355" w:type="pct"/>
            <w:vAlign w:val="center"/>
          </w:tcPr>
          <w:p w14:paraId="67AFB97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30</w:t>
            </w:r>
          </w:p>
        </w:tc>
        <w:tc>
          <w:tcPr>
            <w:tcW w:w="354" w:type="pct"/>
            <w:vAlign w:val="center"/>
          </w:tcPr>
          <w:p w14:paraId="5B6B31E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5" w:type="pct"/>
            <w:vAlign w:val="center"/>
          </w:tcPr>
          <w:p w14:paraId="3A66F1D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355" w:type="pct"/>
            <w:vAlign w:val="center"/>
          </w:tcPr>
          <w:p w14:paraId="1A58AD6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570142A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5" w:type="pct"/>
            <w:vAlign w:val="center"/>
          </w:tcPr>
          <w:p w14:paraId="6665D7C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6" w:type="pct"/>
            <w:vAlign w:val="bottom"/>
          </w:tcPr>
          <w:p w14:paraId="6C13DD7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4" w:type="pct"/>
            <w:vAlign w:val="center"/>
          </w:tcPr>
          <w:p w14:paraId="5123CE7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26</w:t>
            </w:r>
          </w:p>
        </w:tc>
        <w:tc>
          <w:tcPr>
            <w:tcW w:w="355" w:type="pct"/>
            <w:vAlign w:val="center"/>
          </w:tcPr>
          <w:p w14:paraId="65B543F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29</w:t>
            </w:r>
          </w:p>
        </w:tc>
        <w:tc>
          <w:tcPr>
            <w:tcW w:w="354" w:type="pct"/>
            <w:vAlign w:val="center"/>
          </w:tcPr>
          <w:p w14:paraId="75FE0BB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353" w:type="pct"/>
            <w:vAlign w:val="bottom"/>
          </w:tcPr>
          <w:p w14:paraId="2E13436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r>
      <w:tr w:rsidR="00332F08" w:rsidRPr="00CD29D0" w14:paraId="58803E45" w14:textId="77777777" w:rsidTr="00BF0B5C">
        <w:trPr>
          <w:jc w:val="center"/>
        </w:trPr>
        <w:tc>
          <w:tcPr>
            <w:tcW w:w="371" w:type="pct"/>
          </w:tcPr>
          <w:p w14:paraId="1E61A878"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8</w:t>
            </w:r>
          </w:p>
        </w:tc>
        <w:tc>
          <w:tcPr>
            <w:tcW w:w="374" w:type="pct"/>
            <w:vAlign w:val="center"/>
          </w:tcPr>
          <w:p w14:paraId="2388B62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160</w:t>
            </w:r>
          </w:p>
        </w:tc>
        <w:tc>
          <w:tcPr>
            <w:tcW w:w="354" w:type="pct"/>
            <w:vAlign w:val="center"/>
          </w:tcPr>
          <w:p w14:paraId="4EC180C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40</w:t>
            </w:r>
          </w:p>
        </w:tc>
        <w:tc>
          <w:tcPr>
            <w:tcW w:w="355" w:type="pct"/>
            <w:vAlign w:val="center"/>
          </w:tcPr>
          <w:p w14:paraId="70759D5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4" w:type="pct"/>
            <w:vAlign w:val="center"/>
          </w:tcPr>
          <w:p w14:paraId="6B211C8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35</w:t>
            </w:r>
          </w:p>
        </w:tc>
        <w:tc>
          <w:tcPr>
            <w:tcW w:w="355" w:type="pct"/>
            <w:vAlign w:val="center"/>
          </w:tcPr>
          <w:p w14:paraId="704FE9F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37</w:t>
            </w:r>
          </w:p>
        </w:tc>
        <w:tc>
          <w:tcPr>
            <w:tcW w:w="355" w:type="pct"/>
            <w:vAlign w:val="center"/>
          </w:tcPr>
          <w:p w14:paraId="44CF85D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47</w:t>
            </w:r>
          </w:p>
        </w:tc>
        <w:tc>
          <w:tcPr>
            <w:tcW w:w="355" w:type="pct"/>
            <w:vAlign w:val="center"/>
          </w:tcPr>
          <w:p w14:paraId="684F671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48</w:t>
            </w:r>
          </w:p>
        </w:tc>
        <w:tc>
          <w:tcPr>
            <w:tcW w:w="355" w:type="pct"/>
            <w:vAlign w:val="center"/>
          </w:tcPr>
          <w:p w14:paraId="4932EE9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6" w:type="pct"/>
            <w:vAlign w:val="bottom"/>
          </w:tcPr>
          <w:p w14:paraId="41F70B4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4" w:type="pct"/>
            <w:vAlign w:val="center"/>
          </w:tcPr>
          <w:p w14:paraId="3D77FA5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13</w:t>
            </w:r>
          </w:p>
        </w:tc>
        <w:tc>
          <w:tcPr>
            <w:tcW w:w="355" w:type="pct"/>
            <w:vAlign w:val="center"/>
          </w:tcPr>
          <w:p w14:paraId="3ECB656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11</w:t>
            </w:r>
          </w:p>
        </w:tc>
        <w:tc>
          <w:tcPr>
            <w:tcW w:w="354" w:type="pct"/>
            <w:vAlign w:val="center"/>
          </w:tcPr>
          <w:p w14:paraId="1BFEB23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353" w:type="pct"/>
            <w:vAlign w:val="bottom"/>
          </w:tcPr>
          <w:p w14:paraId="15076A28"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36FFD1AC"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AE1D0AE"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5 and 8</w:t>
            </w:r>
          </w:p>
        </w:tc>
        <w:tc>
          <w:tcPr>
            <w:tcW w:w="374" w:type="pct"/>
            <w:vAlign w:val="center"/>
          </w:tcPr>
          <w:p w14:paraId="540F877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338</w:t>
            </w:r>
          </w:p>
        </w:tc>
        <w:tc>
          <w:tcPr>
            <w:tcW w:w="354" w:type="pct"/>
            <w:vAlign w:val="center"/>
          </w:tcPr>
          <w:p w14:paraId="72CCBB6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5" w:type="pct"/>
            <w:vAlign w:val="center"/>
          </w:tcPr>
          <w:p w14:paraId="333ED3E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36</w:t>
            </w:r>
          </w:p>
        </w:tc>
        <w:tc>
          <w:tcPr>
            <w:tcW w:w="354" w:type="pct"/>
            <w:vAlign w:val="center"/>
          </w:tcPr>
          <w:p w14:paraId="0C53610B"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34</w:t>
            </w:r>
          </w:p>
        </w:tc>
        <w:tc>
          <w:tcPr>
            <w:tcW w:w="355" w:type="pct"/>
            <w:vAlign w:val="center"/>
          </w:tcPr>
          <w:p w14:paraId="75BE919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42</w:t>
            </w:r>
          </w:p>
        </w:tc>
        <w:tc>
          <w:tcPr>
            <w:tcW w:w="355" w:type="pct"/>
            <w:vAlign w:val="center"/>
          </w:tcPr>
          <w:p w14:paraId="2AE49A0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355" w:type="pct"/>
            <w:vAlign w:val="center"/>
          </w:tcPr>
          <w:p w14:paraId="1EF6241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45</w:t>
            </w:r>
          </w:p>
        </w:tc>
        <w:tc>
          <w:tcPr>
            <w:tcW w:w="355" w:type="pct"/>
            <w:vAlign w:val="center"/>
          </w:tcPr>
          <w:p w14:paraId="63D236A7"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6" w:type="pct"/>
            <w:vAlign w:val="bottom"/>
          </w:tcPr>
          <w:p w14:paraId="128791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39</w:t>
            </w:r>
          </w:p>
        </w:tc>
        <w:tc>
          <w:tcPr>
            <w:tcW w:w="354" w:type="pct"/>
            <w:vAlign w:val="center"/>
          </w:tcPr>
          <w:p w14:paraId="75E1724E"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20</w:t>
            </w:r>
          </w:p>
        </w:tc>
        <w:tc>
          <w:tcPr>
            <w:tcW w:w="355" w:type="pct"/>
            <w:vAlign w:val="center"/>
          </w:tcPr>
          <w:p w14:paraId="64EB176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c>
          <w:tcPr>
            <w:tcW w:w="354" w:type="pct"/>
            <w:vAlign w:val="center"/>
          </w:tcPr>
          <w:p w14:paraId="29ED375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22</w:t>
            </w:r>
          </w:p>
        </w:tc>
        <w:tc>
          <w:tcPr>
            <w:tcW w:w="353" w:type="pct"/>
            <w:vAlign w:val="bottom"/>
          </w:tcPr>
          <w:p w14:paraId="0C6FC5B1"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19</w:t>
            </w:r>
          </w:p>
        </w:tc>
      </w:tr>
      <w:tr w:rsidR="00332F08" w:rsidRPr="00CD29D0" w14:paraId="63D3F106" w14:textId="77777777" w:rsidTr="00BF0B5C">
        <w:trPr>
          <w:jc w:val="center"/>
        </w:trPr>
        <w:tc>
          <w:tcPr>
            <w:tcW w:w="371" w:type="pct"/>
          </w:tcPr>
          <w:p w14:paraId="0F1B7A12" w14:textId="77777777" w:rsidR="00332F08" w:rsidRPr="00CD29D0" w:rsidRDefault="00332F08" w:rsidP="004E7A27">
            <w:pPr>
              <w:pStyle w:val="TableText"/>
              <w:spacing w:before="0" w:after="20"/>
              <w:jc w:val="center"/>
              <w:rPr>
                <w:rFonts w:ascii="Franklin Gothic Book" w:hAnsi="Franklin Gothic Book"/>
              </w:rPr>
            </w:pPr>
            <w:r w:rsidRPr="00CD29D0">
              <w:rPr>
                <w:rFonts w:ascii="Franklin Gothic Book" w:hAnsi="Franklin Gothic Book"/>
              </w:rPr>
              <w:t>10</w:t>
            </w:r>
          </w:p>
        </w:tc>
        <w:tc>
          <w:tcPr>
            <w:tcW w:w="374" w:type="pct"/>
            <w:vAlign w:val="center"/>
          </w:tcPr>
          <w:p w14:paraId="2C26BC10"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156</w:t>
            </w:r>
          </w:p>
        </w:tc>
        <w:tc>
          <w:tcPr>
            <w:tcW w:w="354" w:type="pct"/>
            <w:vAlign w:val="center"/>
          </w:tcPr>
          <w:p w14:paraId="65097C24"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355" w:type="pct"/>
            <w:vAlign w:val="center"/>
          </w:tcPr>
          <w:p w14:paraId="37EC521C"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52</w:t>
            </w:r>
          </w:p>
        </w:tc>
        <w:tc>
          <w:tcPr>
            <w:tcW w:w="354" w:type="pct"/>
            <w:vAlign w:val="center"/>
          </w:tcPr>
          <w:p w14:paraId="0016DE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086793E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46</w:t>
            </w:r>
          </w:p>
        </w:tc>
        <w:tc>
          <w:tcPr>
            <w:tcW w:w="355" w:type="pct"/>
            <w:vAlign w:val="center"/>
          </w:tcPr>
          <w:p w14:paraId="08A15DA9"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44</w:t>
            </w:r>
          </w:p>
        </w:tc>
        <w:tc>
          <w:tcPr>
            <w:tcW w:w="355" w:type="pct"/>
            <w:vAlign w:val="center"/>
          </w:tcPr>
          <w:p w14:paraId="3192D6A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43</w:t>
            </w:r>
          </w:p>
        </w:tc>
        <w:tc>
          <w:tcPr>
            <w:tcW w:w="355" w:type="pct"/>
            <w:vAlign w:val="center"/>
          </w:tcPr>
          <w:p w14:paraId="6940DC02"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41</w:t>
            </w:r>
          </w:p>
        </w:tc>
        <w:tc>
          <w:tcPr>
            <w:tcW w:w="356" w:type="pct"/>
            <w:vAlign w:val="bottom"/>
          </w:tcPr>
          <w:p w14:paraId="78453A93"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38</w:t>
            </w:r>
          </w:p>
        </w:tc>
        <w:tc>
          <w:tcPr>
            <w:tcW w:w="354" w:type="pct"/>
            <w:vAlign w:val="center"/>
          </w:tcPr>
          <w:p w14:paraId="12E5114A"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4</w:t>
            </w:r>
          </w:p>
        </w:tc>
        <w:tc>
          <w:tcPr>
            <w:tcW w:w="355" w:type="pct"/>
            <w:vAlign w:val="center"/>
          </w:tcPr>
          <w:p w14:paraId="78D50F55"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5</w:t>
            </w:r>
          </w:p>
        </w:tc>
        <w:tc>
          <w:tcPr>
            <w:tcW w:w="354" w:type="pct"/>
            <w:vAlign w:val="center"/>
          </w:tcPr>
          <w:p w14:paraId="20BA2CB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15</w:t>
            </w:r>
          </w:p>
        </w:tc>
        <w:tc>
          <w:tcPr>
            <w:tcW w:w="353" w:type="pct"/>
            <w:vAlign w:val="bottom"/>
          </w:tcPr>
          <w:p w14:paraId="21520D46" w14:textId="77777777" w:rsidR="00332F08" w:rsidRPr="00CD29D0" w:rsidRDefault="00332F08" w:rsidP="004E7A27">
            <w:pPr>
              <w:pStyle w:val="TableTextCentered"/>
              <w:spacing w:before="0" w:after="20"/>
              <w:rPr>
                <w:rFonts w:ascii="Franklin Gothic Book" w:hAnsi="Franklin Gothic Book"/>
              </w:rPr>
            </w:pPr>
            <w:r w:rsidRPr="00CD29D0">
              <w:rPr>
                <w:rFonts w:ascii="Franklin Gothic Book" w:hAnsi="Franklin Gothic Book"/>
              </w:rPr>
              <w:t>16</w:t>
            </w:r>
          </w:p>
        </w:tc>
      </w:tr>
    </w:tbl>
    <w:p w14:paraId="6329466C" w14:textId="77777777" w:rsidR="004E7A27" w:rsidRDefault="004E7A27" w:rsidP="00332F08">
      <w:pPr>
        <w:pStyle w:val="BodyText"/>
        <w:sectPr w:rsidR="004E7A27" w:rsidSect="008865DA">
          <w:footerReference w:type="default" r:id="rId52"/>
          <w:pgSz w:w="15840" w:h="12240" w:orient="landscape"/>
          <w:pgMar w:top="1440" w:right="1440" w:bottom="1440" w:left="1440" w:header="720" w:footer="720" w:gutter="0"/>
          <w:pgNumType w:start="1"/>
          <w:cols w:space="720"/>
          <w:docGrid w:linePitch="360"/>
        </w:sectPr>
      </w:pPr>
      <w:bookmarkStart w:id="222" w:name="_Toc211928953"/>
    </w:p>
    <w:p w14:paraId="1F5E8758" w14:textId="59634E9A" w:rsidR="00922170" w:rsidRDefault="00922170" w:rsidP="00922170">
      <w:pPr>
        <w:pStyle w:val="BodyText"/>
        <w:sectPr w:rsidR="00922170" w:rsidSect="00922170">
          <w:pgSz w:w="12240" w:h="15840"/>
          <w:pgMar w:top="1440" w:right="1440" w:bottom="1440" w:left="1440" w:header="720" w:footer="720" w:gutter="0"/>
          <w:pgNumType w:start="6"/>
          <w:cols w:space="720"/>
          <w:docGrid w:linePitch="360"/>
        </w:sectPr>
      </w:pPr>
    </w:p>
    <w:p w14:paraId="29F4B4E6" w14:textId="043190A3" w:rsidR="00332F08" w:rsidRPr="00CD29D0" w:rsidRDefault="00332F08" w:rsidP="00332F08">
      <w:pPr>
        <w:pStyle w:val="TableTitle0"/>
      </w:pPr>
      <w:r w:rsidRPr="00CD29D0">
        <w:t>Table E10. MCAS ELA Mean Student Growth Percentile by Student Group, Grades 3-8, 2023-2025</w:t>
      </w:r>
      <w:bookmarkEnd w:id="222"/>
    </w:p>
    <w:tbl>
      <w:tblPr>
        <w:tblStyle w:val="MSVTable1"/>
        <w:tblW w:w="5000" w:type="pct"/>
        <w:tblLook w:val="0420" w:firstRow="1" w:lastRow="0" w:firstColumn="0" w:lastColumn="0" w:noHBand="0" w:noVBand="1"/>
        <w:tblCaption w:val="Table E10. MCAS ELA Mean Student Growth Percentile by Student Group, Grades 3-8, 2023-2025"/>
        <w:tblDescription w:val="MCAS ELA Mean Student Growth Percentile by Student Group, Grades 3-8, 2023-2025"/>
      </w:tblPr>
      <w:tblGrid>
        <w:gridCol w:w="3586"/>
        <w:gridCol w:w="1151"/>
        <w:gridCol w:w="1152"/>
        <w:gridCol w:w="1151"/>
        <w:gridCol w:w="1152"/>
        <w:gridCol w:w="1152"/>
      </w:tblGrid>
      <w:tr w:rsidR="00332F08" w:rsidRPr="00CD29D0" w14:paraId="2D91EAF2"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BCCAE94" w14:textId="77777777" w:rsidR="00332F08" w:rsidRPr="00CD29D0" w:rsidRDefault="00332F08" w:rsidP="00BF0B5C">
            <w:pPr>
              <w:pStyle w:val="TableColHeadingLeft"/>
            </w:pPr>
            <w:r w:rsidRPr="00CD29D0">
              <w:t>Group</w:t>
            </w:r>
          </w:p>
        </w:tc>
        <w:tc>
          <w:tcPr>
            <w:tcW w:w="1151" w:type="dxa"/>
            <w:vAlign w:val="center"/>
          </w:tcPr>
          <w:p w14:paraId="66522121" w14:textId="77777777" w:rsidR="00332F08" w:rsidRPr="00CD29D0" w:rsidRDefault="00332F08" w:rsidP="00BF0B5C">
            <w:pPr>
              <w:pStyle w:val="TableColHeadingCenter"/>
            </w:pPr>
            <w:r w:rsidRPr="00CD29D0">
              <w:t># Included (2025)</w:t>
            </w:r>
          </w:p>
        </w:tc>
        <w:tc>
          <w:tcPr>
            <w:tcW w:w="1152" w:type="dxa"/>
            <w:vAlign w:val="center"/>
          </w:tcPr>
          <w:p w14:paraId="77CDE61F" w14:textId="77777777" w:rsidR="00332F08" w:rsidRPr="00CD29D0" w:rsidRDefault="00332F08" w:rsidP="00BF0B5C">
            <w:pPr>
              <w:pStyle w:val="TableColHeadingCenter"/>
            </w:pPr>
            <w:r w:rsidRPr="00CD29D0">
              <w:t>2023</w:t>
            </w:r>
          </w:p>
        </w:tc>
        <w:tc>
          <w:tcPr>
            <w:tcW w:w="1151" w:type="dxa"/>
            <w:vAlign w:val="center"/>
          </w:tcPr>
          <w:p w14:paraId="31022C1F" w14:textId="77777777" w:rsidR="00332F08" w:rsidRPr="00CD29D0" w:rsidRDefault="00332F08" w:rsidP="00BF0B5C">
            <w:pPr>
              <w:pStyle w:val="TableColHeadingCenter"/>
            </w:pPr>
            <w:r w:rsidRPr="00CD29D0">
              <w:t>2024</w:t>
            </w:r>
          </w:p>
        </w:tc>
        <w:tc>
          <w:tcPr>
            <w:tcW w:w="1152" w:type="dxa"/>
            <w:vAlign w:val="center"/>
          </w:tcPr>
          <w:p w14:paraId="3B637AA7" w14:textId="77777777" w:rsidR="00332F08" w:rsidRPr="00CD29D0" w:rsidRDefault="00332F08" w:rsidP="00BF0B5C">
            <w:pPr>
              <w:pStyle w:val="TableColHeadingCenter"/>
            </w:pPr>
            <w:r w:rsidRPr="00CD29D0">
              <w:t>2025</w:t>
            </w:r>
          </w:p>
        </w:tc>
        <w:tc>
          <w:tcPr>
            <w:tcW w:w="1152" w:type="dxa"/>
            <w:vAlign w:val="center"/>
          </w:tcPr>
          <w:p w14:paraId="726526E4" w14:textId="77777777" w:rsidR="00332F08" w:rsidRPr="00CD29D0" w:rsidRDefault="00332F08" w:rsidP="00BF0B5C">
            <w:pPr>
              <w:pStyle w:val="TableColHeadingCenter"/>
            </w:pPr>
            <w:r w:rsidRPr="00CD29D0">
              <w:t>State (2025)</w:t>
            </w:r>
          </w:p>
        </w:tc>
      </w:tr>
      <w:tr w:rsidR="00332F08" w:rsidRPr="00CD29D0" w14:paraId="4A54D5A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1EF11F7"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5B91189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841</w:t>
            </w:r>
          </w:p>
        </w:tc>
        <w:tc>
          <w:tcPr>
            <w:tcW w:w="1152" w:type="dxa"/>
            <w:vAlign w:val="center"/>
          </w:tcPr>
          <w:p w14:paraId="6868DC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1" w:type="dxa"/>
            <w:vAlign w:val="center"/>
          </w:tcPr>
          <w:p w14:paraId="19E0FD1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2" w:type="dxa"/>
            <w:vAlign w:val="center"/>
          </w:tcPr>
          <w:p w14:paraId="6759165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c>
          <w:tcPr>
            <w:tcW w:w="1152" w:type="dxa"/>
            <w:vAlign w:val="center"/>
          </w:tcPr>
          <w:p w14:paraId="5FBBFFE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52B87238" w14:textId="77777777" w:rsidTr="00BF0B5C">
        <w:tc>
          <w:tcPr>
            <w:tcW w:w="3586" w:type="dxa"/>
          </w:tcPr>
          <w:p w14:paraId="33960D6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1E8C6A01" w14:textId="193764B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BCB7671" w14:textId="14214BC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78B8ADF" w14:textId="2BA50F1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F5B3ADE" w14:textId="266ABE1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9EE36C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62B1220E"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902A6D6"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45C7271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2" w:type="dxa"/>
            <w:vAlign w:val="center"/>
          </w:tcPr>
          <w:p w14:paraId="0432DAC0" w14:textId="2987B19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DFE98DF" w14:textId="713592B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B3B616E" w14:textId="7D9D295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015783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r>
      <w:tr w:rsidR="00332F08" w:rsidRPr="00CD29D0" w14:paraId="0131CF2A" w14:textId="77777777" w:rsidTr="00BF0B5C">
        <w:tc>
          <w:tcPr>
            <w:tcW w:w="3586" w:type="dxa"/>
          </w:tcPr>
          <w:p w14:paraId="407451A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496D099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37</w:t>
            </w:r>
          </w:p>
        </w:tc>
        <w:tc>
          <w:tcPr>
            <w:tcW w:w="1152" w:type="dxa"/>
            <w:vAlign w:val="center"/>
          </w:tcPr>
          <w:p w14:paraId="7716FB1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1" w:type="dxa"/>
            <w:vAlign w:val="center"/>
          </w:tcPr>
          <w:p w14:paraId="47AAA10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152" w:type="dxa"/>
            <w:vAlign w:val="center"/>
          </w:tcPr>
          <w:p w14:paraId="77EF778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38C88F6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443472E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EE53DF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6B8655E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1B99DD4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1" w:type="dxa"/>
            <w:vAlign w:val="center"/>
          </w:tcPr>
          <w:p w14:paraId="78CAB15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1302AB4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6870A34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5799E756" w14:textId="77777777" w:rsidTr="00BF0B5C">
        <w:tc>
          <w:tcPr>
            <w:tcW w:w="3586" w:type="dxa"/>
          </w:tcPr>
          <w:p w14:paraId="2B298DF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743737F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2" w:type="dxa"/>
            <w:vAlign w:val="center"/>
          </w:tcPr>
          <w:p w14:paraId="056A90F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1" w:type="dxa"/>
            <w:vAlign w:val="center"/>
          </w:tcPr>
          <w:p w14:paraId="6447266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2" w:type="dxa"/>
            <w:vAlign w:val="center"/>
          </w:tcPr>
          <w:p w14:paraId="1899D1E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2" w:type="dxa"/>
            <w:vAlign w:val="center"/>
          </w:tcPr>
          <w:p w14:paraId="60166E7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r>
      <w:tr w:rsidR="00332F08" w:rsidRPr="00CD29D0" w14:paraId="25C28427"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64CA8FB"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05FB7DC1" w14:textId="047AED7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C13FD0D" w14:textId="794D581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5DFAE72" w14:textId="48A1173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1341346" w14:textId="45F71F2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5D41F5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w:t>
            </w:r>
          </w:p>
        </w:tc>
      </w:tr>
      <w:tr w:rsidR="00332F08" w:rsidRPr="00CD29D0" w14:paraId="16C70BB9" w14:textId="77777777" w:rsidTr="00BF0B5C">
        <w:tc>
          <w:tcPr>
            <w:tcW w:w="3586" w:type="dxa"/>
          </w:tcPr>
          <w:p w14:paraId="32548D3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70B9F73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713</w:t>
            </w:r>
          </w:p>
        </w:tc>
        <w:tc>
          <w:tcPr>
            <w:tcW w:w="1152" w:type="dxa"/>
            <w:vAlign w:val="center"/>
          </w:tcPr>
          <w:p w14:paraId="294D74A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1" w:type="dxa"/>
            <w:vAlign w:val="center"/>
          </w:tcPr>
          <w:p w14:paraId="1B8056A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2" w:type="dxa"/>
            <w:vAlign w:val="center"/>
          </w:tcPr>
          <w:p w14:paraId="2589ECF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c>
          <w:tcPr>
            <w:tcW w:w="1152" w:type="dxa"/>
            <w:vAlign w:val="center"/>
          </w:tcPr>
          <w:p w14:paraId="37536E9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02F09AA6"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D1982C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06BA426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336</w:t>
            </w:r>
          </w:p>
        </w:tc>
        <w:tc>
          <w:tcPr>
            <w:tcW w:w="1152" w:type="dxa"/>
            <w:vAlign w:val="center"/>
          </w:tcPr>
          <w:p w14:paraId="3292B2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1" w:type="dxa"/>
            <w:vAlign w:val="center"/>
          </w:tcPr>
          <w:p w14:paraId="40E04C3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2" w:type="dxa"/>
            <w:vAlign w:val="center"/>
          </w:tcPr>
          <w:p w14:paraId="77D892F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2" w:type="dxa"/>
            <w:vAlign w:val="center"/>
          </w:tcPr>
          <w:p w14:paraId="4A8C499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500B4044" w14:textId="77777777" w:rsidTr="00BF0B5C">
        <w:tc>
          <w:tcPr>
            <w:tcW w:w="3586" w:type="dxa"/>
          </w:tcPr>
          <w:p w14:paraId="636995E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64A81F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31</w:t>
            </w:r>
          </w:p>
        </w:tc>
        <w:tc>
          <w:tcPr>
            <w:tcW w:w="1152" w:type="dxa"/>
            <w:vAlign w:val="center"/>
          </w:tcPr>
          <w:p w14:paraId="20CE446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1" w:type="dxa"/>
            <w:vAlign w:val="center"/>
          </w:tcPr>
          <w:p w14:paraId="2422EC6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62</w:t>
            </w:r>
          </w:p>
        </w:tc>
        <w:tc>
          <w:tcPr>
            <w:tcW w:w="1152" w:type="dxa"/>
            <w:vAlign w:val="center"/>
          </w:tcPr>
          <w:p w14:paraId="6AD3DBB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2" w:type="dxa"/>
            <w:vAlign w:val="center"/>
          </w:tcPr>
          <w:p w14:paraId="5CA20E4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7E719686"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AAD558E"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46B8152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226</w:t>
            </w:r>
          </w:p>
        </w:tc>
        <w:tc>
          <w:tcPr>
            <w:tcW w:w="1152" w:type="dxa"/>
            <w:vAlign w:val="center"/>
          </w:tcPr>
          <w:p w14:paraId="1F1080F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1" w:type="dxa"/>
            <w:vAlign w:val="center"/>
          </w:tcPr>
          <w:p w14:paraId="572F561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c>
          <w:tcPr>
            <w:tcW w:w="1152" w:type="dxa"/>
            <w:vAlign w:val="center"/>
          </w:tcPr>
          <w:p w14:paraId="4E07C26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1ABA76F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466D7CEC" w14:textId="77777777" w:rsidTr="00BF0B5C">
        <w:tc>
          <w:tcPr>
            <w:tcW w:w="3586" w:type="dxa"/>
          </w:tcPr>
          <w:p w14:paraId="66A87B81"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6896E23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181</w:t>
            </w:r>
          </w:p>
        </w:tc>
        <w:tc>
          <w:tcPr>
            <w:tcW w:w="1152" w:type="dxa"/>
            <w:vAlign w:val="center"/>
          </w:tcPr>
          <w:p w14:paraId="7F708C4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1" w:type="dxa"/>
            <w:vAlign w:val="center"/>
          </w:tcPr>
          <w:p w14:paraId="1BC354A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c>
          <w:tcPr>
            <w:tcW w:w="1152" w:type="dxa"/>
            <w:vAlign w:val="center"/>
          </w:tcPr>
          <w:p w14:paraId="2F92FC5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2" w:type="dxa"/>
            <w:vAlign w:val="center"/>
          </w:tcPr>
          <w:p w14:paraId="34E814A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r>
    </w:tbl>
    <w:p w14:paraId="490847ED" w14:textId="77777777" w:rsidR="00332F08" w:rsidRPr="00CD29D0" w:rsidRDefault="00332F08" w:rsidP="00332F08">
      <w:pPr>
        <w:pStyle w:val="TableTitle0"/>
      </w:pPr>
      <w:bookmarkStart w:id="223" w:name="_Toc211928954"/>
      <w:r w:rsidRPr="00CD29D0">
        <w:t>Table E11. MCAS ELA Mean Student Growth Percentile by Student Group, Grade 10, 2023-2025</w:t>
      </w:r>
      <w:bookmarkEnd w:id="223"/>
    </w:p>
    <w:tbl>
      <w:tblPr>
        <w:tblStyle w:val="MSVTable1"/>
        <w:tblW w:w="5000" w:type="pct"/>
        <w:tblLook w:val="0420" w:firstRow="1" w:lastRow="0" w:firstColumn="0" w:lastColumn="0" w:noHBand="0" w:noVBand="1"/>
        <w:tblCaption w:val="Table E11. MCAS ELA Mean Student Growth Percentile by Student Group, Grade 10, 2023-2025"/>
        <w:tblDescription w:val="MCAS ELA Mean Student Growth Percentile by Student Group, Grade 10, 2023-2025"/>
      </w:tblPr>
      <w:tblGrid>
        <w:gridCol w:w="3586"/>
        <w:gridCol w:w="1151"/>
        <w:gridCol w:w="1152"/>
        <w:gridCol w:w="1151"/>
        <w:gridCol w:w="1152"/>
        <w:gridCol w:w="1152"/>
      </w:tblGrid>
      <w:tr w:rsidR="00332F08" w:rsidRPr="00CD29D0" w14:paraId="0863994B"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5DBC317A" w14:textId="77777777" w:rsidR="00332F08" w:rsidRPr="00CD29D0" w:rsidRDefault="00332F08" w:rsidP="00BF0B5C">
            <w:pPr>
              <w:pStyle w:val="TableColHeadingLeft"/>
            </w:pPr>
            <w:r w:rsidRPr="00CD29D0">
              <w:t>Group</w:t>
            </w:r>
          </w:p>
        </w:tc>
        <w:tc>
          <w:tcPr>
            <w:tcW w:w="1151" w:type="dxa"/>
            <w:vAlign w:val="center"/>
          </w:tcPr>
          <w:p w14:paraId="17C3021E" w14:textId="77777777" w:rsidR="00332F08" w:rsidRPr="00CD29D0" w:rsidRDefault="00332F08" w:rsidP="00BF0B5C">
            <w:pPr>
              <w:pStyle w:val="TableColHeadingCenter"/>
            </w:pPr>
            <w:r w:rsidRPr="00CD29D0">
              <w:t># Included (2025)</w:t>
            </w:r>
          </w:p>
        </w:tc>
        <w:tc>
          <w:tcPr>
            <w:tcW w:w="1152" w:type="dxa"/>
            <w:vAlign w:val="center"/>
          </w:tcPr>
          <w:p w14:paraId="2F3508D9" w14:textId="77777777" w:rsidR="00332F08" w:rsidRPr="00CD29D0" w:rsidRDefault="00332F08" w:rsidP="00BF0B5C">
            <w:pPr>
              <w:pStyle w:val="TableColHeadingCenter"/>
            </w:pPr>
            <w:r w:rsidRPr="00CD29D0">
              <w:t>2023</w:t>
            </w:r>
          </w:p>
        </w:tc>
        <w:tc>
          <w:tcPr>
            <w:tcW w:w="1151" w:type="dxa"/>
            <w:vAlign w:val="center"/>
          </w:tcPr>
          <w:p w14:paraId="20A13F68" w14:textId="77777777" w:rsidR="00332F08" w:rsidRPr="00CD29D0" w:rsidRDefault="00332F08" w:rsidP="00BF0B5C">
            <w:pPr>
              <w:pStyle w:val="TableColHeadingCenter"/>
            </w:pPr>
            <w:r w:rsidRPr="00CD29D0">
              <w:t>2024</w:t>
            </w:r>
          </w:p>
        </w:tc>
        <w:tc>
          <w:tcPr>
            <w:tcW w:w="1152" w:type="dxa"/>
            <w:vAlign w:val="center"/>
          </w:tcPr>
          <w:p w14:paraId="650A32B3" w14:textId="77777777" w:rsidR="00332F08" w:rsidRPr="00CD29D0" w:rsidRDefault="00332F08" w:rsidP="00BF0B5C">
            <w:pPr>
              <w:pStyle w:val="TableColHeadingCenter"/>
            </w:pPr>
            <w:r w:rsidRPr="00CD29D0">
              <w:t>2025</w:t>
            </w:r>
          </w:p>
        </w:tc>
        <w:tc>
          <w:tcPr>
            <w:tcW w:w="1152" w:type="dxa"/>
            <w:vAlign w:val="center"/>
          </w:tcPr>
          <w:p w14:paraId="5347E687" w14:textId="77777777" w:rsidR="00332F08" w:rsidRPr="00CD29D0" w:rsidRDefault="00332F08" w:rsidP="00BF0B5C">
            <w:pPr>
              <w:pStyle w:val="TableColHeadingCenter"/>
            </w:pPr>
            <w:r w:rsidRPr="00CD29D0">
              <w:t>State (2025)</w:t>
            </w:r>
          </w:p>
        </w:tc>
      </w:tr>
      <w:tr w:rsidR="00332F08" w:rsidRPr="00CD29D0" w14:paraId="6B2AA92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FFC9A5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48B9585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146</w:t>
            </w:r>
          </w:p>
        </w:tc>
        <w:tc>
          <w:tcPr>
            <w:tcW w:w="1152" w:type="dxa"/>
            <w:vAlign w:val="center"/>
          </w:tcPr>
          <w:p w14:paraId="097DE02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1" w:type="dxa"/>
            <w:vAlign w:val="center"/>
          </w:tcPr>
          <w:p w14:paraId="3D0C67D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2" w:type="dxa"/>
            <w:vAlign w:val="center"/>
          </w:tcPr>
          <w:p w14:paraId="1FF8AE1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223BCC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45D9F1E" w14:textId="77777777" w:rsidTr="00BF0B5C">
        <w:tc>
          <w:tcPr>
            <w:tcW w:w="3586" w:type="dxa"/>
          </w:tcPr>
          <w:p w14:paraId="5EA84157"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77DF9054" w14:textId="315A998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6B0CBAB" w14:textId="39B5375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5782415A" w14:textId="42A8F5F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B11F88E" w14:textId="199E251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B7937C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r>
      <w:tr w:rsidR="00332F08" w:rsidRPr="00CD29D0" w14:paraId="2FA7FA4B"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6AE02D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5CB09E4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w:t>
            </w:r>
          </w:p>
        </w:tc>
        <w:tc>
          <w:tcPr>
            <w:tcW w:w="1152" w:type="dxa"/>
            <w:vAlign w:val="center"/>
          </w:tcPr>
          <w:p w14:paraId="7EB48991" w14:textId="73DE529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6F0E6AF8" w14:textId="18F6CF5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72AB07F" w14:textId="67AB310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C1AA1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r>
      <w:tr w:rsidR="00332F08" w:rsidRPr="00CD29D0" w14:paraId="4289F04D" w14:textId="77777777" w:rsidTr="00BF0B5C">
        <w:tc>
          <w:tcPr>
            <w:tcW w:w="3586" w:type="dxa"/>
          </w:tcPr>
          <w:p w14:paraId="5A39EE54"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7B78F99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6B0CC17E" w14:textId="53B50CD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6367E74C" w14:textId="3252A32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4213770" w14:textId="3A82083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9587B9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228565A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0D48666"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3434DB6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w:t>
            </w:r>
          </w:p>
        </w:tc>
        <w:tc>
          <w:tcPr>
            <w:tcW w:w="1152" w:type="dxa"/>
            <w:vAlign w:val="center"/>
          </w:tcPr>
          <w:p w14:paraId="6AD120C1" w14:textId="71D9F93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73E28A5D" w14:textId="1F2710F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4E31489" w14:textId="3EF741B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697A44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r w:rsidR="00332F08" w:rsidRPr="00CD29D0" w14:paraId="751B11E8" w14:textId="77777777" w:rsidTr="00BF0B5C">
        <w:tc>
          <w:tcPr>
            <w:tcW w:w="3586" w:type="dxa"/>
          </w:tcPr>
          <w:p w14:paraId="729A4E5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24BBB40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4FF52291" w14:textId="004B970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A3BE1DB" w14:textId="025F644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654457B" w14:textId="7306EB3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9FA5EF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1CE62EC1"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2A8AF71B"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30368A2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w:t>
            </w:r>
          </w:p>
        </w:tc>
        <w:tc>
          <w:tcPr>
            <w:tcW w:w="1152" w:type="dxa"/>
            <w:vAlign w:val="center"/>
          </w:tcPr>
          <w:p w14:paraId="375F78C6" w14:textId="312D5B3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64A92602" w14:textId="17DEC95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8241203" w14:textId="6D2B88F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AD3DD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054D9E30" w14:textId="77777777" w:rsidTr="00BF0B5C">
        <w:tc>
          <w:tcPr>
            <w:tcW w:w="3586" w:type="dxa"/>
          </w:tcPr>
          <w:p w14:paraId="459C6A1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1C9FF01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123</w:t>
            </w:r>
          </w:p>
        </w:tc>
        <w:tc>
          <w:tcPr>
            <w:tcW w:w="1152" w:type="dxa"/>
            <w:vAlign w:val="center"/>
          </w:tcPr>
          <w:p w14:paraId="3ECA917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54</w:t>
            </w:r>
          </w:p>
        </w:tc>
        <w:tc>
          <w:tcPr>
            <w:tcW w:w="1151" w:type="dxa"/>
            <w:vAlign w:val="center"/>
          </w:tcPr>
          <w:p w14:paraId="7C3BB71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19EC731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1F07B23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572178A1"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DBA4A9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3ECD453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c>
          <w:tcPr>
            <w:tcW w:w="1152" w:type="dxa"/>
            <w:vAlign w:val="center"/>
          </w:tcPr>
          <w:p w14:paraId="63E4790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c>
          <w:tcPr>
            <w:tcW w:w="1151" w:type="dxa"/>
            <w:vAlign w:val="center"/>
          </w:tcPr>
          <w:p w14:paraId="4F04415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c>
          <w:tcPr>
            <w:tcW w:w="1152" w:type="dxa"/>
            <w:vAlign w:val="center"/>
          </w:tcPr>
          <w:p w14:paraId="714C404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154A1C0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r w:rsidR="00332F08" w:rsidRPr="00CD29D0" w14:paraId="2B084121" w14:textId="77777777" w:rsidTr="00BF0B5C">
        <w:tc>
          <w:tcPr>
            <w:tcW w:w="3586" w:type="dxa"/>
          </w:tcPr>
          <w:p w14:paraId="3A1D94A7"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1BDC8E2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w:t>
            </w:r>
          </w:p>
        </w:tc>
        <w:tc>
          <w:tcPr>
            <w:tcW w:w="1152" w:type="dxa"/>
            <w:vAlign w:val="center"/>
          </w:tcPr>
          <w:p w14:paraId="7747476F" w14:textId="515A049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48C6D88" w14:textId="28D445C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A52A5CB" w14:textId="04B771A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FAF16B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r>
      <w:tr w:rsidR="00332F08" w:rsidRPr="00CD29D0" w14:paraId="319DF8C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76B75B30"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7332363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2" w:type="dxa"/>
            <w:vAlign w:val="center"/>
          </w:tcPr>
          <w:p w14:paraId="6857173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w:t>
            </w:r>
          </w:p>
        </w:tc>
        <w:tc>
          <w:tcPr>
            <w:tcW w:w="1151" w:type="dxa"/>
            <w:vAlign w:val="center"/>
          </w:tcPr>
          <w:p w14:paraId="7022E2E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c>
          <w:tcPr>
            <w:tcW w:w="1152" w:type="dxa"/>
            <w:vAlign w:val="center"/>
          </w:tcPr>
          <w:p w14:paraId="0567F27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37</w:t>
            </w:r>
          </w:p>
        </w:tc>
        <w:tc>
          <w:tcPr>
            <w:tcW w:w="1152" w:type="dxa"/>
            <w:vAlign w:val="center"/>
          </w:tcPr>
          <w:p w14:paraId="7FCE8A5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r w:rsidR="00332F08" w:rsidRPr="00CD29D0" w14:paraId="16B17644" w14:textId="77777777" w:rsidTr="00BF0B5C">
        <w:tc>
          <w:tcPr>
            <w:tcW w:w="3586" w:type="dxa"/>
          </w:tcPr>
          <w:p w14:paraId="145DEE1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7283D59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30</w:t>
            </w:r>
          </w:p>
        </w:tc>
        <w:tc>
          <w:tcPr>
            <w:tcW w:w="1152" w:type="dxa"/>
            <w:vAlign w:val="center"/>
          </w:tcPr>
          <w:p w14:paraId="46A6485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1" w:type="dxa"/>
            <w:vAlign w:val="center"/>
          </w:tcPr>
          <w:p w14:paraId="743211E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36</w:t>
            </w:r>
          </w:p>
        </w:tc>
        <w:tc>
          <w:tcPr>
            <w:tcW w:w="1152" w:type="dxa"/>
            <w:vAlign w:val="center"/>
          </w:tcPr>
          <w:p w14:paraId="3FE51AF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534845F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w:t>
            </w:r>
          </w:p>
        </w:tc>
      </w:tr>
    </w:tbl>
    <w:p w14:paraId="513553A9" w14:textId="77777777" w:rsidR="00332F08" w:rsidRPr="00CD29D0" w:rsidRDefault="00332F08" w:rsidP="00332F08">
      <w:pPr>
        <w:pStyle w:val="BodyText"/>
      </w:pPr>
      <w:r w:rsidRPr="00CD29D0">
        <w:br w:type="page"/>
      </w:r>
    </w:p>
    <w:p w14:paraId="05D76326" w14:textId="77777777" w:rsidR="00332F08" w:rsidRPr="00CD29D0" w:rsidRDefault="00332F08" w:rsidP="00332F08">
      <w:pPr>
        <w:pStyle w:val="TableTitle0"/>
      </w:pPr>
      <w:bookmarkStart w:id="224" w:name="_Toc211928955"/>
      <w:r w:rsidRPr="00CD29D0">
        <w:lastRenderedPageBreak/>
        <w:t>Table E12. MCAS Mathematics Mean Student Growth Percentile by Student Group, Grades 3-8, 2023-2025</w:t>
      </w:r>
      <w:bookmarkEnd w:id="224"/>
    </w:p>
    <w:tbl>
      <w:tblPr>
        <w:tblStyle w:val="MSVTable1"/>
        <w:tblW w:w="5000" w:type="pct"/>
        <w:tblLook w:val="0420" w:firstRow="1" w:lastRow="0" w:firstColumn="0" w:lastColumn="0" w:noHBand="0" w:noVBand="1"/>
        <w:tblCaption w:val="Table E12. MCAS Mathematics Mean Student Growth Percentile by Student Group, Grades 3-8, 2023-2025"/>
        <w:tblDescription w:val="MCAS Mathematics Mean Student Growth Percentile by Student Group, Grades 3-8, 2023-2025"/>
      </w:tblPr>
      <w:tblGrid>
        <w:gridCol w:w="3586"/>
        <w:gridCol w:w="1151"/>
        <w:gridCol w:w="1152"/>
        <w:gridCol w:w="1151"/>
        <w:gridCol w:w="1152"/>
        <w:gridCol w:w="1152"/>
      </w:tblGrid>
      <w:tr w:rsidR="00332F08" w:rsidRPr="00CD29D0" w14:paraId="3757B9AE"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330359BC" w14:textId="77777777" w:rsidR="00332F08" w:rsidRPr="00CD29D0" w:rsidRDefault="00332F08" w:rsidP="00BF0B5C">
            <w:pPr>
              <w:pStyle w:val="TableColHeadingLeft"/>
            </w:pPr>
            <w:r w:rsidRPr="00CD29D0">
              <w:t>Group</w:t>
            </w:r>
          </w:p>
        </w:tc>
        <w:tc>
          <w:tcPr>
            <w:tcW w:w="1151" w:type="dxa"/>
            <w:vAlign w:val="center"/>
          </w:tcPr>
          <w:p w14:paraId="22964C3A" w14:textId="77777777" w:rsidR="00332F08" w:rsidRPr="00CD29D0" w:rsidRDefault="00332F08" w:rsidP="00BF0B5C">
            <w:pPr>
              <w:pStyle w:val="TableColHeadingCenter"/>
            </w:pPr>
            <w:r w:rsidRPr="00CD29D0">
              <w:t># Included (2025)</w:t>
            </w:r>
          </w:p>
        </w:tc>
        <w:tc>
          <w:tcPr>
            <w:tcW w:w="1152" w:type="dxa"/>
            <w:vAlign w:val="center"/>
          </w:tcPr>
          <w:p w14:paraId="7AF7191F" w14:textId="77777777" w:rsidR="00332F08" w:rsidRPr="00CD29D0" w:rsidRDefault="00332F08" w:rsidP="00BF0B5C">
            <w:pPr>
              <w:pStyle w:val="TableColHeadingCenter"/>
            </w:pPr>
            <w:r w:rsidRPr="00CD29D0">
              <w:t>2023</w:t>
            </w:r>
          </w:p>
        </w:tc>
        <w:tc>
          <w:tcPr>
            <w:tcW w:w="1151" w:type="dxa"/>
            <w:vAlign w:val="center"/>
          </w:tcPr>
          <w:p w14:paraId="748BA21C" w14:textId="77777777" w:rsidR="00332F08" w:rsidRPr="00CD29D0" w:rsidRDefault="00332F08" w:rsidP="00BF0B5C">
            <w:pPr>
              <w:pStyle w:val="TableColHeadingCenter"/>
            </w:pPr>
            <w:r w:rsidRPr="00CD29D0">
              <w:t>2024</w:t>
            </w:r>
          </w:p>
        </w:tc>
        <w:tc>
          <w:tcPr>
            <w:tcW w:w="1152" w:type="dxa"/>
            <w:vAlign w:val="center"/>
          </w:tcPr>
          <w:p w14:paraId="2BD70316" w14:textId="77777777" w:rsidR="00332F08" w:rsidRPr="00CD29D0" w:rsidRDefault="00332F08" w:rsidP="00BF0B5C">
            <w:pPr>
              <w:pStyle w:val="TableColHeadingCenter"/>
            </w:pPr>
            <w:r w:rsidRPr="00CD29D0">
              <w:t>2025</w:t>
            </w:r>
          </w:p>
        </w:tc>
        <w:tc>
          <w:tcPr>
            <w:tcW w:w="1152" w:type="dxa"/>
            <w:vAlign w:val="center"/>
          </w:tcPr>
          <w:p w14:paraId="729E20A8" w14:textId="77777777" w:rsidR="00332F08" w:rsidRPr="00CD29D0" w:rsidRDefault="00332F08" w:rsidP="00BF0B5C">
            <w:pPr>
              <w:pStyle w:val="TableColHeadingCenter"/>
            </w:pPr>
            <w:r w:rsidRPr="00CD29D0">
              <w:t>State (2025)</w:t>
            </w:r>
          </w:p>
        </w:tc>
      </w:tr>
      <w:tr w:rsidR="00332F08" w:rsidRPr="00CD29D0" w14:paraId="173A74CE"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B7B0A60"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7A49C74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830</w:t>
            </w:r>
          </w:p>
        </w:tc>
        <w:tc>
          <w:tcPr>
            <w:tcW w:w="1152" w:type="dxa"/>
            <w:vAlign w:val="center"/>
          </w:tcPr>
          <w:p w14:paraId="7B6E2CA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1" w:type="dxa"/>
            <w:vAlign w:val="center"/>
          </w:tcPr>
          <w:p w14:paraId="4CB30DD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152" w:type="dxa"/>
            <w:vAlign w:val="center"/>
          </w:tcPr>
          <w:p w14:paraId="0C275DA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5D40BA5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89307B2" w14:textId="77777777" w:rsidTr="00BF0B5C">
        <w:tc>
          <w:tcPr>
            <w:tcW w:w="3586" w:type="dxa"/>
          </w:tcPr>
          <w:p w14:paraId="389FAF5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611698C3" w14:textId="6CBEA6A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AEF49DB" w14:textId="6D67785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8F1284F" w14:textId="3100904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6A418B2" w14:textId="3DCF6D2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0542EC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6F5B46C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7B9B001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04607FE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2" w:type="dxa"/>
            <w:vAlign w:val="center"/>
          </w:tcPr>
          <w:p w14:paraId="051878D9" w14:textId="274B422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6E0D6D4" w14:textId="69AE205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A9E4D1F" w14:textId="0DA8E70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6016A6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58</w:t>
            </w:r>
          </w:p>
        </w:tc>
      </w:tr>
      <w:tr w:rsidR="00332F08" w:rsidRPr="00CD29D0" w14:paraId="2FBB7D96" w14:textId="77777777" w:rsidTr="00BF0B5C">
        <w:tc>
          <w:tcPr>
            <w:tcW w:w="3586" w:type="dxa"/>
          </w:tcPr>
          <w:p w14:paraId="1BB7594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63E98F2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37</w:t>
            </w:r>
          </w:p>
        </w:tc>
        <w:tc>
          <w:tcPr>
            <w:tcW w:w="1152" w:type="dxa"/>
            <w:vAlign w:val="center"/>
          </w:tcPr>
          <w:p w14:paraId="12259D2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1" w:type="dxa"/>
            <w:vAlign w:val="center"/>
          </w:tcPr>
          <w:p w14:paraId="480A3CF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4BD226E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582C1F5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5CEAEC42"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6CDBEA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5E18F53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39</w:t>
            </w:r>
          </w:p>
        </w:tc>
        <w:tc>
          <w:tcPr>
            <w:tcW w:w="1152" w:type="dxa"/>
            <w:vAlign w:val="center"/>
          </w:tcPr>
          <w:p w14:paraId="7E8467A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32</w:t>
            </w:r>
          </w:p>
        </w:tc>
        <w:tc>
          <w:tcPr>
            <w:tcW w:w="1151" w:type="dxa"/>
            <w:vAlign w:val="center"/>
          </w:tcPr>
          <w:p w14:paraId="3888F9E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37</w:t>
            </w:r>
          </w:p>
        </w:tc>
        <w:tc>
          <w:tcPr>
            <w:tcW w:w="1152" w:type="dxa"/>
            <w:vAlign w:val="center"/>
          </w:tcPr>
          <w:p w14:paraId="79E838E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w:t>
            </w:r>
          </w:p>
        </w:tc>
        <w:tc>
          <w:tcPr>
            <w:tcW w:w="1152" w:type="dxa"/>
            <w:vAlign w:val="center"/>
          </w:tcPr>
          <w:p w14:paraId="5CDB1C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3F38FC44" w14:textId="77777777" w:rsidTr="00BF0B5C">
        <w:tc>
          <w:tcPr>
            <w:tcW w:w="3586" w:type="dxa"/>
          </w:tcPr>
          <w:p w14:paraId="3B767924"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4B1239C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36</w:t>
            </w:r>
          </w:p>
        </w:tc>
        <w:tc>
          <w:tcPr>
            <w:tcW w:w="1152" w:type="dxa"/>
            <w:vAlign w:val="center"/>
          </w:tcPr>
          <w:p w14:paraId="153EC5F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1" w:type="dxa"/>
            <w:vAlign w:val="center"/>
          </w:tcPr>
          <w:p w14:paraId="243D12D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2" w:type="dxa"/>
            <w:vAlign w:val="center"/>
          </w:tcPr>
          <w:p w14:paraId="5609470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2" w:type="dxa"/>
            <w:vAlign w:val="center"/>
          </w:tcPr>
          <w:p w14:paraId="3CF5DD5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r>
      <w:tr w:rsidR="00332F08" w:rsidRPr="00CD29D0" w14:paraId="20F8AB3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832963F"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17BAA4B0" w14:textId="66D0628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E4CB772" w14:textId="1C398EF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0268382" w14:textId="118C827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08FC5B4" w14:textId="5FAC912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6A05C1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w:t>
            </w:r>
          </w:p>
        </w:tc>
      </w:tr>
      <w:tr w:rsidR="00332F08" w:rsidRPr="00CD29D0" w14:paraId="7E9E68B7" w14:textId="77777777" w:rsidTr="00BF0B5C">
        <w:tc>
          <w:tcPr>
            <w:tcW w:w="3586" w:type="dxa"/>
          </w:tcPr>
          <w:p w14:paraId="7ECCB81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0EC022A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706</w:t>
            </w:r>
          </w:p>
        </w:tc>
        <w:tc>
          <w:tcPr>
            <w:tcW w:w="1152" w:type="dxa"/>
            <w:vAlign w:val="center"/>
          </w:tcPr>
          <w:p w14:paraId="7BFE2CB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1" w:type="dxa"/>
            <w:vAlign w:val="center"/>
          </w:tcPr>
          <w:p w14:paraId="610676B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2" w:type="dxa"/>
            <w:vAlign w:val="center"/>
          </w:tcPr>
          <w:p w14:paraId="50045B3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522C0A9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6F6254D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E2420FB"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6B11F14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328</w:t>
            </w:r>
          </w:p>
        </w:tc>
        <w:tc>
          <w:tcPr>
            <w:tcW w:w="1152" w:type="dxa"/>
            <w:vAlign w:val="center"/>
          </w:tcPr>
          <w:p w14:paraId="2A61540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1" w:type="dxa"/>
            <w:vAlign w:val="center"/>
          </w:tcPr>
          <w:p w14:paraId="72E195D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533E384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42</w:t>
            </w:r>
          </w:p>
        </w:tc>
        <w:tc>
          <w:tcPr>
            <w:tcW w:w="1152" w:type="dxa"/>
            <w:vAlign w:val="center"/>
          </w:tcPr>
          <w:p w14:paraId="1501568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5CCDF25E" w14:textId="77777777" w:rsidTr="00BF0B5C">
        <w:tc>
          <w:tcPr>
            <w:tcW w:w="3586" w:type="dxa"/>
          </w:tcPr>
          <w:p w14:paraId="2A5E5C8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010F9FF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31</w:t>
            </w:r>
          </w:p>
        </w:tc>
        <w:tc>
          <w:tcPr>
            <w:tcW w:w="1152" w:type="dxa"/>
            <w:vAlign w:val="center"/>
          </w:tcPr>
          <w:p w14:paraId="4F77F40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37</w:t>
            </w:r>
          </w:p>
        </w:tc>
        <w:tc>
          <w:tcPr>
            <w:tcW w:w="1151" w:type="dxa"/>
            <w:vAlign w:val="center"/>
          </w:tcPr>
          <w:p w14:paraId="47D8DC8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2" w:type="dxa"/>
            <w:vAlign w:val="center"/>
          </w:tcPr>
          <w:p w14:paraId="6591DAC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2" w:type="dxa"/>
            <w:vAlign w:val="center"/>
          </w:tcPr>
          <w:p w14:paraId="2782B7B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r>
      <w:tr w:rsidR="00332F08" w:rsidRPr="00CD29D0" w14:paraId="3F0749ED"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3D7DDA8"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6B5F6A3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218</w:t>
            </w:r>
          </w:p>
        </w:tc>
        <w:tc>
          <w:tcPr>
            <w:tcW w:w="1152" w:type="dxa"/>
            <w:vAlign w:val="center"/>
          </w:tcPr>
          <w:p w14:paraId="467BC22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w:t>
            </w:r>
          </w:p>
        </w:tc>
        <w:tc>
          <w:tcPr>
            <w:tcW w:w="1151" w:type="dxa"/>
            <w:vAlign w:val="center"/>
          </w:tcPr>
          <w:p w14:paraId="14D47FA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37310A1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6F5C326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43C390B7" w14:textId="77777777" w:rsidTr="00BF0B5C">
        <w:tc>
          <w:tcPr>
            <w:tcW w:w="3586" w:type="dxa"/>
          </w:tcPr>
          <w:p w14:paraId="15ABEA2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7F41D67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175</w:t>
            </w:r>
          </w:p>
        </w:tc>
        <w:tc>
          <w:tcPr>
            <w:tcW w:w="1152" w:type="dxa"/>
            <w:vAlign w:val="center"/>
          </w:tcPr>
          <w:p w14:paraId="1BCCA0D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1" w:type="dxa"/>
            <w:vAlign w:val="center"/>
          </w:tcPr>
          <w:p w14:paraId="14423DD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4C4AC7E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6BE4CE1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w:t>
            </w:r>
          </w:p>
        </w:tc>
      </w:tr>
    </w:tbl>
    <w:p w14:paraId="77512C99" w14:textId="77777777" w:rsidR="00332F08" w:rsidRPr="00CD29D0" w:rsidRDefault="00332F08" w:rsidP="00332F08">
      <w:pPr>
        <w:pStyle w:val="TableTitle0"/>
      </w:pPr>
      <w:bookmarkStart w:id="225" w:name="_Toc211928956"/>
      <w:r w:rsidRPr="00CD29D0">
        <w:t>Table E13. MCAS Mathematics Mean Student Growth Percentile by Student Group, Grade 10, 2023-2025</w:t>
      </w:r>
      <w:bookmarkEnd w:id="225"/>
    </w:p>
    <w:tbl>
      <w:tblPr>
        <w:tblStyle w:val="MSVTable1"/>
        <w:tblW w:w="5000" w:type="pct"/>
        <w:tblLook w:val="0420" w:firstRow="1" w:lastRow="0" w:firstColumn="0" w:lastColumn="0" w:noHBand="0" w:noVBand="1"/>
        <w:tblCaption w:val="Table E13. MCAS Mathematics Mean Student Growth Percentile by Student Group, Grade 10, 2023-2025"/>
        <w:tblDescription w:val="MCAS Mathematics Mean Student Growth Percentile by Student Group, Grade 10, 2023-2025"/>
      </w:tblPr>
      <w:tblGrid>
        <w:gridCol w:w="3586"/>
        <w:gridCol w:w="1151"/>
        <w:gridCol w:w="1152"/>
        <w:gridCol w:w="1151"/>
        <w:gridCol w:w="1152"/>
        <w:gridCol w:w="1152"/>
      </w:tblGrid>
      <w:tr w:rsidR="00332F08" w:rsidRPr="00CD29D0" w14:paraId="6E210DC0"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0028E571" w14:textId="77777777" w:rsidR="00332F08" w:rsidRPr="00CD29D0" w:rsidRDefault="00332F08" w:rsidP="00BF0B5C">
            <w:pPr>
              <w:pStyle w:val="TableColHeadingLeft"/>
            </w:pPr>
            <w:r w:rsidRPr="00CD29D0">
              <w:t>Group</w:t>
            </w:r>
          </w:p>
        </w:tc>
        <w:tc>
          <w:tcPr>
            <w:tcW w:w="1151" w:type="dxa"/>
            <w:vAlign w:val="center"/>
          </w:tcPr>
          <w:p w14:paraId="3BF6DD45" w14:textId="77777777" w:rsidR="00332F08" w:rsidRPr="00CD29D0" w:rsidRDefault="00332F08" w:rsidP="00BF0B5C">
            <w:pPr>
              <w:pStyle w:val="TableColHeadingCenter"/>
            </w:pPr>
            <w:r w:rsidRPr="00CD29D0">
              <w:t># Included (2025)</w:t>
            </w:r>
          </w:p>
        </w:tc>
        <w:tc>
          <w:tcPr>
            <w:tcW w:w="1152" w:type="dxa"/>
            <w:vAlign w:val="center"/>
          </w:tcPr>
          <w:p w14:paraId="089362E8" w14:textId="77777777" w:rsidR="00332F08" w:rsidRPr="00CD29D0" w:rsidRDefault="00332F08" w:rsidP="00BF0B5C">
            <w:pPr>
              <w:pStyle w:val="TableColHeadingCenter"/>
            </w:pPr>
            <w:r w:rsidRPr="00CD29D0">
              <w:t>2023</w:t>
            </w:r>
          </w:p>
        </w:tc>
        <w:tc>
          <w:tcPr>
            <w:tcW w:w="1151" w:type="dxa"/>
            <w:vAlign w:val="center"/>
          </w:tcPr>
          <w:p w14:paraId="1946210C" w14:textId="77777777" w:rsidR="00332F08" w:rsidRPr="00CD29D0" w:rsidRDefault="00332F08" w:rsidP="00BF0B5C">
            <w:pPr>
              <w:pStyle w:val="TableColHeadingCenter"/>
            </w:pPr>
            <w:r w:rsidRPr="00CD29D0">
              <w:t>2024</w:t>
            </w:r>
          </w:p>
        </w:tc>
        <w:tc>
          <w:tcPr>
            <w:tcW w:w="1152" w:type="dxa"/>
            <w:vAlign w:val="center"/>
          </w:tcPr>
          <w:p w14:paraId="326E76C4" w14:textId="77777777" w:rsidR="00332F08" w:rsidRPr="00CD29D0" w:rsidRDefault="00332F08" w:rsidP="00BF0B5C">
            <w:pPr>
              <w:pStyle w:val="TableColHeadingCenter"/>
            </w:pPr>
            <w:r w:rsidRPr="00CD29D0">
              <w:t>2025</w:t>
            </w:r>
          </w:p>
        </w:tc>
        <w:tc>
          <w:tcPr>
            <w:tcW w:w="1152" w:type="dxa"/>
            <w:vAlign w:val="center"/>
          </w:tcPr>
          <w:p w14:paraId="52CF19E3" w14:textId="77777777" w:rsidR="00332F08" w:rsidRPr="00CD29D0" w:rsidRDefault="00332F08" w:rsidP="00BF0B5C">
            <w:pPr>
              <w:pStyle w:val="TableColHeadingCenter"/>
            </w:pPr>
            <w:r w:rsidRPr="00CD29D0">
              <w:t>State (2025)</w:t>
            </w:r>
          </w:p>
        </w:tc>
      </w:tr>
      <w:tr w:rsidR="00332F08" w:rsidRPr="00CD29D0" w14:paraId="6A03537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5197B5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3D9E2E9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144</w:t>
            </w:r>
          </w:p>
        </w:tc>
        <w:tc>
          <w:tcPr>
            <w:tcW w:w="1152" w:type="dxa"/>
            <w:vAlign w:val="center"/>
          </w:tcPr>
          <w:p w14:paraId="786E639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151" w:type="dxa"/>
            <w:vAlign w:val="center"/>
          </w:tcPr>
          <w:p w14:paraId="3DEEB6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c>
          <w:tcPr>
            <w:tcW w:w="1152" w:type="dxa"/>
            <w:vAlign w:val="center"/>
          </w:tcPr>
          <w:p w14:paraId="09DD0E7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0080D8A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2642AAA" w14:textId="77777777" w:rsidTr="00BF0B5C">
        <w:tc>
          <w:tcPr>
            <w:tcW w:w="3586" w:type="dxa"/>
          </w:tcPr>
          <w:p w14:paraId="1CA58779"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154AF557" w14:textId="5B3BE04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7B2CFE9" w14:textId="6E82FB1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1DF1E86" w14:textId="2369406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7A2BE58" w14:textId="11F883C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96CEA4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r>
      <w:tr w:rsidR="00332F08" w:rsidRPr="00CD29D0" w14:paraId="5B76A287"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7C58E2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00EC4D1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w:t>
            </w:r>
          </w:p>
        </w:tc>
        <w:tc>
          <w:tcPr>
            <w:tcW w:w="1152" w:type="dxa"/>
            <w:vAlign w:val="center"/>
          </w:tcPr>
          <w:p w14:paraId="045503D5" w14:textId="1A6A2C2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C80AB84" w14:textId="38E9157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F40C192" w14:textId="66041AB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24EFE1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56</w:t>
            </w:r>
          </w:p>
        </w:tc>
      </w:tr>
      <w:tr w:rsidR="00332F08" w:rsidRPr="00CD29D0" w14:paraId="73359AE5" w14:textId="77777777" w:rsidTr="00BF0B5C">
        <w:tc>
          <w:tcPr>
            <w:tcW w:w="3586" w:type="dxa"/>
          </w:tcPr>
          <w:p w14:paraId="7145FDB7"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25234C2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562DDCAB" w14:textId="721A091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38777E2A" w14:textId="4AF47F0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2FD644" w14:textId="3664169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53BD3B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AE97BD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A8442B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6F006CA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w:t>
            </w:r>
          </w:p>
        </w:tc>
        <w:tc>
          <w:tcPr>
            <w:tcW w:w="1152" w:type="dxa"/>
            <w:vAlign w:val="center"/>
          </w:tcPr>
          <w:p w14:paraId="7E560EE6" w14:textId="64D9969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68676AE" w14:textId="1504450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F83C50F" w14:textId="48DE37E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D2B8DB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r w:rsidR="00332F08" w:rsidRPr="00CD29D0" w14:paraId="54085C59" w14:textId="77777777" w:rsidTr="00BF0B5C">
        <w:tc>
          <w:tcPr>
            <w:tcW w:w="3586" w:type="dxa"/>
          </w:tcPr>
          <w:p w14:paraId="2A404AB6"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7F7EE1A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41A3FD6A" w14:textId="453485C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B3DB070" w14:textId="3ACF297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8A685DE" w14:textId="32448B7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76A4C9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2670C40"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FCB9DF8"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2178128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w:t>
            </w:r>
          </w:p>
        </w:tc>
        <w:tc>
          <w:tcPr>
            <w:tcW w:w="1152" w:type="dxa"/>
            <w:vAlign w:val="center"/>
          </w:tcPr>
          <w:p w14:paraId="166C94CD" w14:textId="43FF468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5E952D53" w14:textId="5E645A5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BF8B37A" w14:textId="0684A0D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F0A1F7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w:t>
            </w:r>
          </w:p>
        </w:tc>
      </w:tr>
      <w:tr w:rsidR="00332F08" w:rsidRPr="00CD29D0" w14:paraId="159A734B" w14:textId="77777777" w:rsidTr="00BF0B5C">
        <w:tc>
          <w:tcPr>
            <w:tcW w:w="3586" w:type="dxa"/>
          </w:tcPr>
          <w:p w14:paraId="364DC72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60DEA73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122</w:t>
            </w:r>
          </w:p>
        </w:tc>
        <w:tc>
          <w:tcPr>
            <w:tcW w:w="1152" w:type="dxa"/>
            <w:vAlign w:val="center"/>
          </w:tcPr>
          <w:p w14:paraId="58C2E19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1" w:type="dxa"/>
            <w:vAlign w:val="center"/>
          </w:tcPr>
          <w:p w14:paraId="4754750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c>
          <w:tcPr>
            <w:tcW w:w="1152" w:type="dxa"/>
            <w:vAlign w:val="center"/>
          </w:tcPr>
          <w:p w14:paraId="0E1A895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c>
          <w:tcPr>
            <w:tcW w:w="1152" w:type="dxa"/>
            <w:vAlign w:val="center"/>
          </w:tcPr>
          <w:p w14:paraId="2B1311B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7F0BD2E3"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145BC5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4B583DD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54</w:t>
            </w:r>
          </w:p>
        </w:tc>
        <w:tc>
          <w:tcPr>
            <w:tcW w:w="1152" w:type="dxa"/>
            <w:vAlign w:val="center"/>
          </w:tcPr>
          <w:p w14:paraId="134A075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1" w:type="dxa"/>
            <w:vAlign w:val="center"/>
          </w:tcPr>
          <w:p w14:paraId="1A08C6C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w:t>
            </w:r>
          </w:p>
        </w:tc>
        <w:tc>
          <w:tcPr>
            <w:tcW w:w="1152" w:type="dxa"/>
            <w:vAlign w:val="center"/>
          </w:tcPr>
          <w:p w14:paraId="5DBEE49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c>
          <w:tcPr>
            <w:tcW w:w="1152" w:type="dxa"/>
            <w:vAlign w:val="center"/>
          </w:tcPr>
          <w:p w14:paraId="7F551B7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r>
      <w:tr w:rsidR="00332F08" w:rsidRPr="00CD29D0" w14:paraId="6994BAE5" w14:textId="77777777" w:rsidTr="00BF0B5C">
        <w:tc>
          <w:tcPr>
            <w:tcW w:w="3586" w:type="dxa"/>
          </w:tcPr>
          <w:p w14:paraId="03A637E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1ABAEF2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w:t>
            </w:r>
          </w:p>
        </w:tc>
        <w:tc>
          <w:tcPr>
            <w:tcW w:w="1152" w:type="dxa"/>
            <w:vAlign w:val="center"/>
          </w:tcPr>
          <w:p w14:paraId="1076B13F" w14:textId="3DBDFA4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347A8931" w14:textId="0ACF42F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EDE554" w14:textId="2D0DC8C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083C12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r>
      <w:tr w:rsidR="00332F08" w:rsidRPr="00CD29D0" w14:paraId="1BC3F12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9D2CDF8"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7734505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152" w:type="dxa"/>
            <w:vAlign w:val="center"/>
          </w:tcPr>
          <w:p w14:paraId="2CFB5B7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1" w:type="dxa"/>
            <w:vAlign w:val="center"/>
          </w:tcPr>
          <w:p w14:paraId="41EFFAA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52</w:t>
            </w:r>
          </w:p>
        </w:tc>
        <w:tc>
          <w:tcPr>
            <w:tcW w:w="1152" w:type="dxa"/>
            <w:vAlign w:val="center"/>
          </w:tcPr>
          <w:p w14:paraId="2E6FDB7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152" w:type="dxa"/>
            <w:vAlign w:val="center"/>
          </w:tcPr>
          <w:p w14:paraId="1444502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r w:rsidR="00332F08" w:rsidRPr="00CD29D0" w14:paraId="4A619634" w14:textId="77777777" w:rsidTr="00BF0B5C">
        <w:tc>
          <w:tcPr>
            <w:tcW w:w="3586" w:type="dxa"/>
          </w:tcPr>
          <w:p w14:paraId="4706A70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654387A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27</w:t>
            </w:r>
          </w:p>
        </w:tc>
        <w:tc>
          <w:tcPr>
            <w:tcW w:w="1152" w:type="dxa"/>
            <w:vAlign w:val="center"/>
          </w:tcPr>
          <w:p w14:paraId="6AB8A52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w:t>
            </w:r>
          </w:p>
        </w:tc>
        <w:tc>
          <w:tcPr>
            <w:tcW w:w="1151" w:type="dxa"/>
            <w:vAlign w:val="center"/>
          </w:tcPr>
          <w:p w14:paraId="48A5AB6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59</w:t>
            </w:r>
          </w:p>
        </w:tc>
        <w:tc>
          <w:tcPr>
            <w:tcW w:w="1152" w:type="dxa"/>
            <w:vAlign w:val="center"/>
          </w:tcPr>
          <w:p w14:paraId="16AE6D0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2" w:type="dxa"/>
            <w:vAlign w:val="center"/>
          </w:tcPr>
          <w:p w14:paraId="3C98BB9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r>
    </w:tbl>
    <w:p w14:paraId="7C8EB1C7" w14:textId="77777777" w:rsidR="00332F08" w:rsidRPr="00CD29D0" w:rsidRDefault="00332F08" w:rsidP="00332F08">
      <w:pPr>
        <w:pStyle w:val="BodyText"/>
      </w:pPr>
      <w:bookmarkStart w:id="226" w:name="_Toc211928957"/>
      <w:r w:rsidRPr="00CD29D0">
        <w:br w:type="page"/>
      </w:r>
    </w:p>
    <w:p w14:paraId="496CC538" w14:textId="509EF0F4" w:rsidR="00332F08" w:rsidRPr="00CD29D0" w:rsidRDefault="00332F08" w:rsidP="00332F08">
      <w:pPr>
        <w:pStyle w:val="TableETitle"/>
      </w:pPr>
      <w:bookmarkStart w:id="227" w:name="_Toc227587045"/>
      <w:r w:rsidRPr="00CD29D0">
        <w:lastRenderedPageBreak/>
        <w:t>Table E14. MCAS ELA Mean Student Growth Percentile by Grade, 2023-2025</w:t>
      </w:r>
      <w:bookmarkEnd w:id="226"/>
      <w:bookmarkEnd w:id="227"/>
    </w:p>
    <w:tbl>
      <w:tblPr>
        <w:tblStyle w:val="MSVTable1"/>
        <w:tblW w:w="5000" w:type="pct"/>
        <w:tblLook w:val="0420" w:firstRow="1" w:lastRow="0" w:firstColumn="0" w:lastColumn="0" w:noHBand="0" w:noVBand="1"/>
        <w:tblCaption w:val="Table E14. MCAS ELA Mean Student Growth Percentile by Grade, 2023-2025"/>
        <w:tblDescription w:val="MCAS ELA Mean Student Growth Percentile by Grade, 2023-2025"/>
      </w:tblPr>
      <w:tblGrid>
        <w:gridCol w:w="1135"/>
        <w:gridCol w:w="1725"/>
        <w:gridCol w:w="1641"/>
        <w:gridCol w:w="1640"/>
        <w:gridCol w:w="1527"/>
        <w:gridCol w:w="1676"/>
      </w:tblGrid>
      <w:tr w:rsidR="00332F08" w:rsidRPr="00CD29D0" w14:paraId="12BF6A70" w14:textId="77777777" w:rsidTr="00BF0B5C">
        <w:trPr>
          <w:cnfStyle w:val="100000000000" w:firstRow="1" w:lastRow="0" w:firstColumn="0" w:lastColumn="0" w:oddVBand="0" w:evenVBand="0" w:oddHBand="0" w:evenHBand="0" w:firstRowFirstColumn="0" w:firstRowLastColumn="0" w:lastRowFirstColumn="0" w:lastRowLastColumn="0"/>
        </w:trPr>
        <w:tc>
          <w:tcPr>
            <w:tcW w:w="1135" w:type="dxa"/>
          </w:tcPr>
          <w:p w14:paraId="6CD6E1E0" w14:textId="77777777" w:rsidR="00332F08" w:rsidRPr="00CD29D0" w:rsidRDefault="00332F08" w:rsidP="00BF0B5C">
            <w:pPr>
              <w:pStyle w:val="TableColHeadingCenter"/>
              <w:spacing w:before="30" w:after="30"/>
            </w:pPr>
            <w:r w:rsidRPr="00CD29D0">
              <w:t>Grade</w:t>
            </w:r>
          </w:p>
        </w:tc>
        <w:tc>
          <w:tcPr>
            <w:tcW w:w="1725" w:type="dxa"/>
          </w:tcPr>
          <w:p w14:paraId="0AA43F85" w14:textId="77777777" w:rsidR="00332F08" w:rsidRPr="00CD29D0" w:rsidRDefault="00332F08" w:rsidP="00BF0B5C">
            <w:pPr>
              <w:pStyle w:val="TableColHeadingCenter"/>
              <w:spacing w:before="30" w:after="30"/>
            </w:pPr>
            <w:r w:rsidRPr="00CD29D0">
              <w:t># Included (2025)</w:t>
            </w:r>
          </w:p>
        </w:tc>
        <w:tc>
          <w:tcPr>
            <w:tcW w:w="1641" w:type="dxa"/>
          </w:tcPr>
          <w:p w14:paraId="5A258F95" w14:textId="77777777" w:rsidR="00332F08" w:rsidRPr="00CD29D0" w:rsidRDefault="00332F08" w:rsidP="00BF0B5C">
            <w:pPr>
              <w:pStyle w:val="TableColHeadingCenter"/>
              <w:spacing w:before="30" w:after="30"/>
            </w:pPr>
            <w:r w:rsidRPr="00CD29D0">
              <w:t>2023</w:t>
            </w:r>
          </w:p>
        </w:tc>
        <w:tc>
          <w:tcPr>
            <w:tcW w:w="1640" w:type="dxa"/>
          </w:tcPr>
          <w:p w14:paraId="6E021ECB" w14:textId="77777777" w:rsidR="00332F08" w:rsidRPr="00CD29D0" w:rsidRDefault="00332F08" w:rsidP="00BF0B5C">
            <w:pPr>
              <w:pStyle w:val="TableColHeadingCenter"/>
              <w:spacing w:before="30" w:after="30"/>
            </w:pPr>
            <w:r w:rsidRPr="00CD29D0">
              <w:t>2024</w:t>
            </w:r>
          </w:p>
        </w:tc>
        <w:tc>
          <w:tcPr>
            <w:tcW w:w="1527" w:type="dxa"/>
          </w:tcPr>
          <w:p w14:paraId="62643F84" w14:textId="77777777" w:rsidR="00332F08" w:rsidRPr="00CD29D0" w:rsidRDefault="00332F08" w:rsidP="00BF0B5C">
            <w:pPr>
              <w:pStyle w:val="TableColHeadingCenter"/>
              <w:spacing w:before="30" w:after="30"/>
            </w:pPr>
            <w:r w:rsidRPr="00CD29D0">
              <w:t>2025</w:t>
            </w:r>
          </w:p>
        </w:tc>
        <w:tc>
          <w:tcPr>
            <w:tcW w:w="1676" w:type="dxa"/>
          </w:tcPr>
          <w:p w14:paraId="3AE588D7" w14:textId="77777777" w:rsidR="00332F08" w:rsidRPr="00CD29D0" w:rsidRDefault="00332F08" w:rsidP="00BF0B5C">
            <w:pPr>
              <w:pStyle w:val="TableColHeadingCenter"/>
              <w:spacing w:before="30" w:after="30"/>
            </w:pPr>
            <w:r w:rsidRPr="00CD29D0">
              <w:t>State (2025)</w:t>
            </w:r>
          </w:p>
        </w:tc>
      </w:tr>
      <w:tr w:rsidR="00332F08" w:rsidRPr="00CD29D0" w14:paraId="752CC344"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5463055B"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3</w:t>
            </w:r>
          </w:p>
        </w:tc>
        <w:tc>
          <w:tcPr>
            <w:tcW w:w="1725" w:type="dxa"/>
            <w:vAlign w:val="center"/>
          </w:tcPr>
          <w:p w14:paraId="75D15683" w14:textId="7FCB91E4" w:rsidR="00332F08" w:rsidRPr="00CD29D0" w:rsidRDefault="006E428E" w:rsidP="00BF0B5C">
            <w:pPr>
              <w:pStyle w:val="TableTextCentered"/>
              <w:spacing w:before="30" w:after="30"/>
              <w:rPr>
                <w:rFonts w:ascii="Franklin Gothic Book" w:hAnsi="Franklin Gothic Book"/>
              </w:rPr>
            </w:pPr>
            <w:r>
              <w:rPr>
                <w:rFonts w:ascii="Franklin Gothic Book" w:hAnsi="Franklin Gothic Book"/>
              </w:rPr>
              <w:t>N/A</w:t>
            </w:r>
          </w:p>
        </w:tc>
        <w:tc>
          <w:tcPr>
            <w:tcW w:w="1641" w:type="dxa"/>
            <w:vAlign w:val="center"/>
          </w:tcPr>
          <w:p w14:paraId="7AF0D35A" w14:textId="4CFB6B10" w:rsidR="00332F08" w:rsidRPr="00CD29D0" w:rsidRDefault="006E428E" w:rsidP="00BF0B5C">
            <w:pPr>
              <w:pStyle w:val="TableTextCentered"/>
              <w:spacing w:before="30" w:after="30"/>
              <w:rPr>
                <w:rFonts w:ascii="Franklin Gothic Book" w:hAnsi="Franklin Gothic Book"/>
              </w:rPr>
            </w:pPr>
            <w:r>
              <w:rPr>
                <w:rFonts w:ascii="Franklin Gothic Book" w:hAnsi="Franklin Gothic Book"/>
              </w:rPr>
              <w:t>N/A</w:t>
            </w:r>
          </w:p>
        </w:tc>
        <w:tc>
          <w:tcPr>
            <w:tcW w:w="1640" w:type="dxa"/>
            <w:vAlign w:val="center"/>
          </w:tcPr>
          <w:p w14:paraId="03E915F7" w14:textId="1AA8B93A" w:rsidR="00332F08" w:rsidRPr="00CD29D0" w:rsidRDefault="006E428E" w:rsidP="00BF0B5C">
            <w:pPr>
              <w:pStyle w:val="TableTextCentered"/>
              <w:spacing w:before="30" w:after="30"/>
              <w:rPr>
                <w:rFonts w:ascii="Franklin Gothic Book" w:hAnsi="Franklin Gothic Book"/>
              </w:rPr>
            </w:pPr>
            <w:r>
              <w:rPr>
                <w:rFonts w:ascii="Franklin Gothic Book" w:hAnsi="Franklin Gothic Book"/>
              </w:rPr>
              <w:t>N/A</w:t>
            </w:r>
          </w:p>
        </w:tc>
        <w:tc>
          <w:tcPr>
            <w:tcW w:w="1527" w:type="dxa"/>
            <w:vAlign w:val="center"/>
          </w:tcPr>
          <w:p w14:paraId="1FFC585C" w14:textId="25B6370F" w:rsidR="00332F08" w:rsidRPr="00CD29D0" w:rsidRDefault="006E428E" w:rsidP="00BF0B5C">
            <w:pPr>
              <w:pStyle w:val="TableTextCentered"/>
              <w:spacing w:before="30" w:after="30"/>
              <w:rPr>
                <w:rFonts w:ascii="Franklin Gothic Book" w:hAnsi="Franklin Gothic Book"/>
              </w:rPr>
            </w:pPr>
            <w:r>
              <w:rPr>
                <w:rFonts w:ascii="Franklin Gothic Book" w:hAnsi="Franklin Gothic Book"/>
              </w:rPr>
              <w:t>N/A</w:t>
            </w:r>
          </w:p>
        </w:tc>
        <w:tc>
          <w:tcPr>
            <w:tcW w:w="1676" w:type="dxa"/>
            <w:vAlign w:val="bottom"/>
          </w:tcPr>
          <w:p w14:paraId="2ED67AAB" w14:textId="54DCFBC2" w:rsidR="00332F08" w:rsidRPr="00CD29D0" w:rsidRDefault="006E428E" w:rsidP="00BF0B5C">
            <w:pPr>
              <w:pStyle w:val="TableTextCentered"/>
              <w:spacing w:before="30" w:after="30"/>
              <w:rPr>
                <w:rFonts w:ascii="Franklin Gothic Book" w:hAnsi="Franklin Gothic Book"/>
              </w:rPr>
            </w:pPr>
            <w:r>
              <w:rPr>
                <w:rFonts w:ascii="Franklin Gothic Book" w:hAnsi="Franklin Gothic Book"/>
              </w:rPr>
              <w:t>N/A</w:t>
            </w:r>
          </w:p>
        </w:tc>
      </w:tr>
      <w:tr w:rsidR="00332F08" w:rsidRPr="00CD29D0" w14:paraId="3ED89DB9" w14:textId="77777777" w:rsidTr="00BF0B5C">
        <w:tc>
          <w:tcPr>
            <w:tcW w:w="1135" w:type="dxa"/>
          </w:tcPr>
          <w:p w14:paraId="514BFD0A"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w:t>
            </w:r>
          </w:p>
        </w:tc>
        <w:tc>
          <w:tcPr>
            <w:tcW w:w="1725" w:type="dxa"/>
            <w:vAlign w:val="center"/>
          </w:tcPr>
          <w:p w14:paraId="6B3753DA"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182</w:t>
            </w:r>
          </w:p>
        </w:tc>
        <w:tc>
          <w:tcPr>
            <w:tcW w:w="1641" w:type="dxa"/>
            <w:vAlign w:val="center"/>
          </w:tcPr>
          <w:p w14:paraId="4498CFA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39</w:t>
            </w:r>
          </w:p>
        </w:tc>
        <w:tc>
          <w:tcPr>
            <w:tcW w:w="1640" w:type="dxa"/>
            <w:vAlign w:val="center"/>
          </w:tcPr>
          <w:p w14:paraId="356209AA"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49</w:t>
            </w:r>
          </w:p>
        </w:tc>
        <w:tc>
          <w:tcPr>
            <w:tcW w:w="1527" w:type="dxa"/>
            <w:vAlign w:val="center"/>
          </w:tcPr>
          <w:p w14:paraId="0D197EC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c>
          <w:tcPr>
            <w:tcW w:w="1676" w:type="dxa"/>
            <w:vAlign w:val="bottom"/>
          </w:tcPr>
          <w:p w14:paraId="262043E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05551F85"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1727A8A3"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w:t>
            </w:r>
          </w:p>
        </w:tc>
        <w:tc>
          <w:tcPr>
            <w:tcW w:w="1725" w:type="dxa"/>
            <w:vAlign w:val="center"/>
          </w:tcPr>
          <w:p w14:paraId="677D344D"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177</w:t>
            </w:r>
          </w:p>
        </w:tc>
        <w:tc>
          <w:tcPr>
            <w:tcW w:w="1641" w:type="dxa"/>
            <w:vAlign w:val="center"/>
          </w:tcPr>
          <w:p w14:paraId="494C6BED"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49</w:t>
            </w:r>
          </w:p>
        </w:tc>
        <w:tc>
          <w:tcPr>
            <w:tcW w:w="1640" w:type="dxa"/>
            <w:vAlign w:val="center"/>
          </w:tcPr>
          <w:p w14:paraId="13D549E7"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51</w:t>
            </w:r>
          </w:p>
        </w:tc>
        <w:tc>
          <w:tcPr>
            <w:tcW w:w="1527" w:type="dxa"/>
            <w:vAlign w:val="center"/>
          </w:tcPr>
          <w:p w14:paraId="7880DE7C"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42</w:t>
            </w:r>
          </w:p>
        </w:tc>
        <w:tc>
          <w:tcPr>
            <w:tcW w:w="1676" w:type="dxa"/>
            <w:vAlign w:val="bottom"/>
          </w:tcPr>
          <w:p w14:paraId="02E42466"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7499BA02" w14:textId="77777777" w:rsidTr="00BF0B5C">
        <w:tc>
          <w:tcPr>
            <w:tcW w:w="1135" w:type="dxa"/>
          </w:tcPr>
          <w:p w14:paraId="2DA6E937"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6</w:t>
            </w:r>
          </w:p>
        </w:tc>
        <w:tc>
          <w:tcPr>
            <w:tcW w:w="1725" w:type="dxa"/>
            <w:vAlign w:val="center"/>
          </w:tcPr>
          <w:p w14:paraId="774DC0C7"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146</w:t>
            </w:r>
          </w:p>
        </w:tc>
        <w:tc>
          <w:tcPr>
            <w:tcW w:w="1641" w:type="dxa"/>
            <w:vAlign w:val="center"/>
          </w:tcPr>
          <w:p w14:paraId="7CE99321"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c>
          <w:tcPr>
            <w:tcW w:w="1640" w:type="dxa"/>
            <w:vAlign w:val="center"/>
          </w:tcPr>
          <w:p w14:paraId="27BE52C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54</w:t>
            </w:r>
          </w:p>
        </w:tc>
        <w:tc>
          <w:tcPr>
            <w:tcW w:w="1527" w:type="dxa"/>
            <w:vAlign w:val="center"/>
          </w:tcPr>
          <w:p w14:paraId="4B7949AB"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53</w:t>
            </w:r>
          </w:p>
        </w:tc>
        <w:tc>
          <w:tcPr>
            <w:tcW w:w="1676" w:type="dxa"/>
            <w:vAlign w:val="bottom"/>
          </w:tcPr>
          <w:p w14:paraId="070C0EA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5DDFCEB1"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4881CD2C"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7</w:t>
            </w:r>
          </w:p>
        </w:tc>
        <w:tc>
          <w:tcPr>
            <w:tcW w:w="1725" w:type="dxa"/>
            <w:vAlign w:val="center"/>
          </w:tcPr>
          <w:p w14:paraId="36A8E0EF"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171</w:t>
            </w:r>
          </w:p>
        </w:tc>
        <w:tc>
          <w:tcPr>
            <w:tcW w:w="1641" w:type="dxa"/>
            <w:vAlign w:val="center"/>
          </w:tcPr>
          <w:p w14:paraId="07CA0366"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48</w:t>
            </w:r>
          </w:p>
        </w:tc>
        <w:tc>
          <w:tcPr>
            <w:tcW w:w="1640" w:type="dxa"/>
            <w:vAlign w:val="center"/>
          </w:tcPr>
          <w:p w14:paraId="6BF119F9"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52</w:t>
            </w:r>
          </w:p>
        </w:tc>
        <w:tc>
          <w:tcPr>
            <w:tcW w:w="1527" w:type="dxa"/>
            <w:vAlign w:val="center"/>
          </w:tcPr>
          <w:p w14:paraId="1B7E4EF5"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46</w:t>
            </w:r>
          </w:p>
        </w:tc>
        <w:tc>
          <w:tcPr>
            <w:tcW w:w="1676" w:type="dxa"/>
            <w:vAlign w:val="bottom"/>
          </w:tcPr>
          <w:p w14:paraId="57A7DD40"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65A1063D" w14:textId="77777777" w:rsidTr="00BF0B5C">
        <w:tc>
          <w:tcPr>
            <w:tcW w:w="1135" w:type="dxa"/>
          </w:tcPr>
          <w:p w14:paraId="6E095276"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8</w:t>
            </w:r>
          </w:p>
        </w:tc>
        <w:tc>
          <w:tcPr>
            <w:tcW w:w="1725" w:type="dxa"/>
            <w:vAlign w:val="center"/>
          </w:tcPr>
          <w:p w14:paraId="76AD63DD"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165</w:t>
            </w:r>
          </w:p>
        </w:tc>
        <w:tc>
          <w:tcPr>
            <w:tcW w:w="1641" w:type="dxa"/>
            <w:vAlign w:val="center"/>
          </w:tcPr>
          <w:p w14:paraId="74DCFDCF"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54</w:t>
            </w:r>
          </w:p>
        </w:tc>
        <w:tc>
          <w:tcPr>
            <w:tcW w:w="1640" w:type="dxa"/>
            <w:vAlign w:val="center"/>
          </w:tcPr>
          <w:p w14:paraId="5D01D706"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53</w:t>
            </w:r>
          </w:p>
        </w:tc>
        <w:tc>
          <w:tcPr>
            <w:tcW w:w="1527" w:type="dxa"/>
            <w:vAlign w:val="center"/>
          </w:tcPr>
          <w:p w14:paraId="2AA2DF84"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44</w:t>
            </w:r>
          </w:p>
        </w:tc>
        <w:tc>
          <w:tcPr>
            <w:tcW w:w="1676" w:type="dxa"/>
            <w:vAlign w:val="bottom"/>
          </w:tcPr>
          <w:p w14:paraId="456598BB"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69CA0202"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6D7936DD"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3-8</w:t>
            </w:r>
          </w:p>
        </w:tc>
        <w:tc>
          <w:tcPr>
            <w:tcW w:w="1725" w:type="dxa"/>
            <w:vAlign w:val="center"/>
          </w:tcPr>
          <w:p w14:paraId="5E3A9AEB"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841</w:t>
            </w:r>
          </w:p>
        </w:tc>
        <w:tc>
          <w:tcPr>
            <w:tcW w:w="1641" w:type="dxa"/>
            <w:vAlign w:val="center"/>
          </w:tcPr>
          <w:p w14:paraId="09561319"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49</w:t>
            </w:r>
          </w:p>
        </w:tc>
        <w:tc>
          <w:tcPr>
            <w:tcW w:w="1640" w:type="dxa"/>
            <w:vAlign w:val="center"/>
          </w:tcPr>
          <w:p w14:paraId="462764DF"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52</w:t>
            </w:r>
          </w:p>
        </w:tc>
        <w:tc>
          <w:tcPr>
            <w:tcW w:w="1527" w:type="dxa"/>
            <w:vAlign w:val="center"/>
          </w:tcPr>
          <w:p w14:paraId="7055A117"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47</w:t>
            </w:r>
          </w:p>
        </w:tc>
        <w:tc>
          <w:tcPr>
            <w:tcW w:w="1676" w:type="dxa"/>
            <w:vAlign w:val="bottom"/>
          </w:tcPr>
          <w:p w14:paraId="2011E6A5"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r w:rsidR="00332F08" w:rsidRPr="00CD29D0" w14:paraId="01FB436C" w14:textId="77777777" w:rsidTr="00BF0B5C">
        <w:tc>
          <w:tcPr>
            <w:tcW w:w="1135" w:type="dxa"/>
          </w:tcPr>
          <w:p w14:paraId="05BBFE2B"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10</w:t>
            </w:r>
          </w:p>
        </w:tc>
        <w:tc>
          <w:tcPr>
            <w:tcW w:w="1725" w:type="dxa"/>
            <w:vAlign w:val="center"/>
          </w:tcPr>
          <w:p w14:paraId="18125944"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146</w:t>
            </w:r>
          </w:p>
        </w:tc>
        <w:tc>
          <w:tcPr>
            <w:tcW w:w="1641" w:type="dxa"/>
            <w:vAlign w:val="center"/>
          </w:tcPr>
          <w:p w14:paraId="12F74E89"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52</w:t>
            </w:r>
          </w:p>
        </w:tc>
        <w:tc>
          <w:tcPr>
            <w:tcW w:w="1640" w:type="dxa"/>
            <w:vAlign w:val="center"/>
          </w:tcPr>
          <w:p w14:paraId="348CA687"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48</w:t>
            </w:r>
          </w:p>
        </w:tc>
        <w:tc>
          <w:tcPr>
            <w:tcW w:w="1527" w:type="dxa"/>
            <w:vAlign w:val="center"/>
          </w:tcPr>
          <w:p w14:paraId="12DD4AD5"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49</w:t>
            </w:r>
          </w:p>
        </w:tc>
        <w:tc>
          <w:tcPr>
            <w:tcW w:w="1676" w:type="dxa"/>
            <w:vAlign w:val="bottom"/>
          </w:tcPr>
          <w:p w14:paraId="4E8C9349" w14:textId="77777777" w:rsidR="00332F08" w:rsidRPr="00CD29D0" w:rsidRDefault="00332F08" w:rsidP="00BF0B5C">
            <w:pPr>
              <w:pStyle w:val="TableTextCentered"/>
              <w:spacing w:before="30" w:after="30"/>
              <w:rPr>
                <w:rFonts w:ascii="Franklin Gothic Book" w:hAnsi="Franklin Gothic Book"/>
              </w:rPr>
            </w:pPr>
            <w:r w:rsidRPr="00CD29D0">
              <w:rPr>
                <w:rFonts w:ascii="Franklin Gothic Book" w:hAnsi="Franklin Gothic Book"/>
              </w:rPr>
              <w:t>50</w:t>
            </w:r>
          </w:p>
        </w:tc>
      </w:tr>
    </w:tbl>
    <w:p w14:paraId="476CE9C3" w14:textId="77777777" w:rsidR="00332F08" w:rsidRPr="00CD29D0" w:rsidRDefault="00332F08" w:rsidP="00332F08">
      <w:pPr>
        <w:pStyle w:val="TableETitle"/>
      </w:pPr>
      <w:bookmarkStart w:id="228" w:name="_Toc211928958"/>
      <w:bookmarkStart w:id="229" w:name="_Toc227587046"/>
      <w:r w:rsidRPr="00CD29D0">
        <w:t>Table E15. MCAS Mathematics Mean Student Growth Percentile by Grade, 2023-2025</w:t>
      </w:r>
      <w:bookmarkEnd w:id="228"/>
      <w:bookmarkEnd w:id="229"/>
    </w:p>
    <w:tbl>
      <w:tblPr>
        <w:tblStyle w:val="MSVTable1"/>
        <w:tblW w:w="5000" w:type="pct"/>
        <w:tblLook w:val="0420" w:firstRow="1" w:lastRow="0" w:firstColumn="0" w:lastColumn="0" w:noHBand="0" w:noVBand="1"/>
        <w:tblCaption w:val="Table E15. MCAS Mathematics Mean Student Growth Percentile by Grade, 2023-2025"/>
        <w:tblDescription w:val="MCAS Mathematics Mean Student Growth Percentile by Grade, 2023-2025"/>
      </w:tblPr>
      <w:tblGrid>
        <w:gridCol w:w="1135"/>
        <w:gridCol w:w="1725"/>
        <w:gridCol w:w="1641"/>
        <w:gridCol w:w="1640"/>
        <w:gridCol w:w="1527"/>
        <w:gridCol w:w="1676"/>
      </w:tblGrid>
      <w:tr w:rsidR="00332F08" w:rsidRPr="00CD29D0" w14:paraId="351C667B" w14:textId="77777777" w:rsidTr="00BF0B5C">
        <w:trPr>
          <w:cnfStyle w:val="100000000000" w:firstRow="1" w:lastRow="0" w:firstColumn="0" w:lastColumn="0" w:oddVBand="0" w:evenVBand="0" w:oddHBand="0" w:evenHBand="0" w:firstRowFirstColumn="0" w:firstRowLastColumn="0" w:lastRowFirstColumn="0" w:lastRowLastColumn="0"/>
        </w:trPr>
        <w:tc>
          <w:tcPr>
            <w:tcW w:w="1135" w:type="dxa"/>
          </w:tcPr>
          <w:p w14:paraId="3850AA44" w14:textId="77777777" w:rsidR="00332F08" w:rsidRPr="00CD29D0" w:rsidRDefault="00332F08" w:rsidP="00BF0B5C">
            <w:pPr>
              <w:pStyle w:val="TableColHeadingCenter"/>
              <w:keepNext/>
              <w:keepLines/>
            </w:pPr>
            <w:r w:rsidRPr="00CD29D0">
              <w:t>Grade</w:t>
            </w:r>
          </w:p>
        </w:tc>
        <w:tc>
          <w:tcPr>
            <w:tcW w:w="1725" w:type="dxa"/>
          </w:tcPr>
          <w:p w14:paraId="09A0D709" w14:textId="77777777" w:rsidR="00332F08" w:rsidRPr="00CD29D0" w:rsidRDefault="00332F08" w:rsidP="00BF0B5C">
            <w:pPr>
              <w:pStyle w:val="TableColHeadingCenter"/>
            </w:pPr>
            <w:r w:rsidRPr="00CD29D0">
              <w:t># Included (2025)</w:t>
            </w:r>
          </w:p>
        </w:tc>
        <w:tc>
          <w:tcPr>
            <w:tcW w:w="1641" w:type="dxa"/>
          </w:tcPr>
          <w:p w14:paraId="7A66300F" w14:textId="77777777" w:rsidR="00332F08" w:rsidRPr="00CD29D0" w:rsidRDefault="00332F08" w:rsidP="00BF0B5C">
            <w:pPr>
              <w:pStyle w:val="TableColHeadingCenter"/>
            </w:pPr>
            <w:r w:rsidRPr="00CD29D0">
              <w:t>2023</w:t>
            </w:r>
          </w:p>
        </w:tc>
        <w:tc>
          <w:tcPr>
            <w:tcW w:w="1640" w:type="dxa"/>
          </w:tcPr>
          <w:p w14:paraId="3D4EADB4" w14:textId="77777777" w:rsidR="00332F08" w:rsidRPr="00CD29D0" w:rsidRDefault="00332F08" w:rsidP="00BF0B5C">
            <w:pPr>
              <w:pStyle w:val="TableColHeadingCenter"/>
            </w:pPr>
            <w:r w:rsidRPr="00CD29D0">
              <w:t>2024</w:t>
            </w:r>
          </w:p>
        </w:tc>
        <w:tc>
          <w:tcPr>
            <w:tcW w:w="1527" w:type="dxa"/>
          </w:tcPr>
          <w:p w14:paraId="0E6AAEC8" w14:textId="77777777" w:rsidR="00332F08" w:rsidRPr="00CD29D0" w:rsidRDefault="00332F08" w:rsidP="00BF0B5C">
            <w:pPr>
              <w:pStyle w:val="TableColHeadingCenter"/>
            </w:pPr>
            <w:r w:rsidRPr="00CD29D0">
              <w:t>2025</w:t>
            </w:r>
          </w:p>
        </w:tc>
        <w:tc>
          <w:tcPr>
            <w:tcW w:w="1676" w:type="dxa"/>
          </w:tcPr>
          <w:p w14:paraId="2DBFE0B6" w14:textId="77777777" w:rsidR="00332F08" w:rsidRPr="00CD29D0" w:rsidRDefault="00332F08" w:rsidP="00BF0B5C">
            <w:pPr>
              <w:pStyle w:val="TableColHeadingCenter"/>
            </w:pPr>
            <w:r w:rsidRPr="00CD29D0">
              <w:t>State (2025)</w:t>
            </w:r>
          </w:p>
        </w:tc>
      </w:tr>
      <w:tr w:rsidR="00332F08" w:rsidRPr="00CD29D0" w14:paraId="07719DBA"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1D9457A6" w14:textId="77777777" w:rsidR="00332F08" w:rsidRPr="00CD29D0" w:rsidRDefault="00332F08" w:rsidP="00BF0B5C">
            <w:pPr>
              <w:pStyle w:val="TableTextCentered"/>
              <w:keepNext/>
              <w:keepLines/>
              <w:rPr>
                <w:rFonts w:ascii="Franklin Gothic Book" w:hAnsi="Franklin Gothic Book"/>
              </w:rPr>
            </w:pPr>
            <w:r w:rsidRPr="00CD29D0">
              <w:rPr>
                <w:rFonts w:ascii="Franklin Gothic Book" w:hAnsi="Franklin Gothic Book"/>
              </w:rPr>
              <w:t>3</w:t>
            </w:r>
          </w:p>
        </w:tc>
        <w:tc>
          <w:tcPr>
            <w:tcW w:w="1725" w:type="dxa"/>
            <w:vAlign w:val="center"/>
          </w:tcPr>
          <w:p w14:paraId="5EF34269" w14:textId="3F4E170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641" w:type="dxa"/>
            <w:vAlign w:val="center"/>
          </w:tcPr>
          <w:p w14:paraId="35479E72" w14:textId="0FE2B0A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640" w:type="dxa"/>
            <w:vAlign w:val="center"/>
          </w:tcPr>
          <w:p w14:paraId="17964F43" w14:textId="49A2208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527" w:type="dxa"/>
            <w:vAlign w:val="center"/>
          </w:tcPr>
          <w:p w14:paraId="7C6B7AA1" w14:textId="58BEA34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676" w:type="dxa"/>
            <w:vAlign w:val="bottom"/>
          </w:tcPr>
          <w:p w14:paraId="424C62A8" w14:textId="01C04F1E" w:rsidR="00332F08" w:rsidRPr="00CD29D0" w:rsidRDefault="006E428E" w:rsidP="00BF0B5C">
            <w:pPr>
              <w:pStyle w:val="TableTextCentered"/>
              <w:rPr>
                <w:rFonts w:ascii="Franklin Gothic Book" w:hAnsi="Franklin Gothic Book"/>
              </w:rPr>
            </w:pPr>
            <w:r>
              <w:rPr>
                <w:rFonts w:ascii="Franklin Gothic Book" w:hAnsi="Franklin Gothic Book"/>
              </w:rPr>
              <w:t>N/A</w:t>
            </w:r>
          </w:p>
        </w:tc>
      </w:tr>
      <w:tr w:rsidR="00332F08" w:rsidRPr="00CD29D0" w14:paraId="5CD4D1ED" w14:textId="77777777" w:rsidTr="00BF0B5C">
        <w:tc>
          <w:tcPr>
            <w:tcW w:w="1135" w:type="dxa"/>
          </w:tcPr>
          <w:p w14:paraId="2CBCA21E" w14:textId="77777777" w:rsidR="00332F08" w:rsidRPr="00CD29D0" w:rsidRDefault="00332F08" w:rsidP="00BF0B5C">
            <w:pPr>
              <w:pStyle w:val="TableTextCentered"/>
              <w:keepNext/>
              <w:keepLines/>
              <w:rPr>
                <w:rFonts w:ascii="Franklin Gothic Book" w:hAnsi="Franklin Gothic Book"/>
              </w:rPr>
            </w:pPr>
            <w:r w:rsidRPr="00CD29D0">
              <w:rPr>
                <w:rFonts w:ascii="Franklin Gothic Book" w:hAnsi="Franklin Gothic Book"/>
              </w:rPr>
              <w:t>4</w:t>
            </w:r>
          </w:p>
        </w:tc>
        <w:tc>
          <w:tcPr>
            <w:tcW w:w="1725" w:type="dxa"/>
            <w:vAlign w:val="center"/>
          </w:tcPr>
          <w:p w14:paraId="5BA41F8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182</w:t>
            </w:r>
          </w:p>
        </w:tc>
        <w:tc>
          <w:tcPr>
            <w:tcW w:w="1641" w:type="dxa"/>
            <w:vAlign w:val="center"/>
          </w:tcPr>
          <w:p w14:paraId="425B6F7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640" w:type="dxa"/>
            <w:vAlign w:val="center"/>
          </w:tcPr>
          <w:p w14:paraId="48CF084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w:t>
            </w:r>
          </w:p>
        </w:tc>
        <w:tc>
          <w:tcPr>
            <w:tcW w:w="1527" w:type="dxa"/>
            <w:vAlign w:val="center"/>
          </w:tcPr>
          <w:p w14:paraId="497CAD6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676" w:type="dxa"/>
            <w:vAlign w:val="bottom"/>
          </w:tcPr>
          <w:p w14:paraId="4F14678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DE20FBE"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6B86652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w:t>
            </w:r>
          </w:p>
        </w:tc>
        <w:tc>
          <w:tcPr>
            <w:tcW w:w="1725" w:type="dxa"/>
            <w:vAlign w:val="center"/>
          </w:tcPr>
          <w:p w14:paraId="1DE3BD9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176</w:t>
            </w:r>
          </w:p>
        </w:tc>
        <w:tc>
          <w:tcPr>
            <w:tcW w:w="1641" w:type="dxa"/>
            <w:vAlign w:val="center"/>
          </w:tcPr>
          <w:p w14:paraId="44ED590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640" w:type="dxa"/>
            <w:vAlign w:val="center"/>
          </w:tcPr>
          <w:p w14:paraId="607DD94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w:t>
            </w:r>
          </w:p>
        </w:tc>
        <w:tc>
          <w:tcPr>
            <w:tcW w:w="1527" w:type="dxa"/>
            <w:vAlign w:val="center"/>
          </w:tcPr>
          <w:p w14:paraId="57047FC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33</w:t>
            </w:r>
          </w:p>
        </w:tc>
        <w:tc>
          <w:tcPr>
            <w:tcW w:w="1676" w:type="dxa"/>
            <w:vAlign w:val="bottom"/>
          </w:tcPr>
          <w:p w14:paraId="62A70E7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432C3BF9" w14:textId="77777777" w:rsidTr="00BF0B5C">
        <w:tc>
          <w:tcPr>
            <w:tcW w:w="1135" w:type="dxa"/>
          </w:tcPr>
          <w:p w14:paraId="2482CE2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725" w:type="dxa"/>
            <w:vAlign w:val="center"/>
          </w:tcPr>
          <w:p w14:paraId="492C929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146</w:t>
            </w:r>
          </w:p>
        </w:tc>
        <w:tc>
          <w:tcPr>
            <w:tcW w:w="1641" w:type="dxa"/>
            <w:vAlign w:val="center"/>
          </w:tcPr>
          <w:p w14:paraId="4E00FA4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640" w:type="dxa"/>
            <w:vAlign w:val="center"/>
          </w:tcPr>
          <w:p w14:paraId="168D876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61</w:t>
            </w:r>
          </w:p>
        </w:tc>
        <w:tc>
          <w:tcPr>
            <w:tcW w:w="1527" w:type="dxa"/>
            <w:vAlign w:val="center"/>
          </w:tcPr>
          <w:p w14:paraId="4E91251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c>
          <w:tcPr>
            <w:tcW w:w="1676" w:type="dxa"/>
            <w:vAlign w:val="bottom"/>
          </w:tcPr>
          <w:p w14:paraId="3148713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20DA99BF" w14:textId="77777777" w:rsidTr="00BF0B5C">
        <w:trPr>
          <w:cnfStyle w:val="000000100000" w:firstRow="0" w:lastRow="0" w:firstColumn="0" w:lastColumn="0" w:oddVBand="0" w:evenVBand="0" w:oddHBand="1" w:evenHBand="0" w:firstRowFirstColumn="0" w:firstRowLastColumn="0" w:lastRowFirstColumn="0" w:lastRowLastColumn="0"/>
        </w:trPr>
        <w:tc>
          <w:tcPr>
            <w:tcW w:w="1135" w:type="dxa"/>
          </w:tcPr>
          <w:p w14:paraId="1305960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w:t>
            </w:r>
          </w:p>
        </w:tc>
        <w:tc>
          <w:tcPr>
            <w:tcW w:w="1725" w:type="dxa"/>
            <w:vAlign w:val="center"/>
          </w:tcPr>
          <w:p w14:paraId="58584FF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171</w:t>
            </w:r>
          </w:p>
        </w:tc>
        <w:tc>
          <w:tcPr>
            <w:tcW w:w="1641" w:type="dxa"/>
            <w:vAlign w:val="center"/>
          </w:tcPr>
          <w:p w14:paraId="4F00D25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39</w:t>
            </w:r>
          </w:p>
        </w:tc>
        <w:tc>
          <w:tcPr>
            <w:tcW w:w="1640" w:type="dxa"/>
            <w:vAlign w:val="center"/>
          </w:tcPr>
          <w:p w14:paraId="6D92D12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w:t>
            </w:r>
          </w:p>
        </w:tc>
        <w:tc>
          <w:tcPr>
            <w:tcW w:w="1527" w:type="dxa"/>
            <w:vAlign w:val="center"/>
          </w:tcPr>
          <w:p w14:paraId="346F058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676" w:type="dxa"/>
            <w:vAlign w:val="bottom"/>
          </w:tcPr>
          <w:p w14:paraId="2233308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39570904" w14:textId="77777777" w:rsidTr="00BF0B5C">
        <w:tc>
          <w:tcPr>
            <w:tcW w:w="1135" w:type="dxa"/>
          </w:tcPr>
          <w:p w14:paraId="7D48E5E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w:t>
            </w:r>
          </w:p>
        </w:tc>
        <w:tc>
          <w:tcPr>
            <w:tcW w:w="1725" w:type="dxa"/>
            <w:vAlign w:val="center"/>
          </w:tcPr>
          <w:p w14:paraId="70A91E5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155</w:t>
            </w:r>
          </w:p>
        </w:tc>
        <w:tc>
          <w:tcPr>
            <w:tcW w:w="1641" w:type="dxa"/>
            <w:vAlign w:val="center"/>
          </w:tcPr>
          <w:p w14:paraId="22FD013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640" w:type="dxa"/>
            <w:vAlign w:val="center"/>
          </w:tcPr>
          <w:p w14:paraId="5F2545B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47</w:t>
            </w:r>
          </w:p>
        </w:tc>
        <w:tc>
          <w:tcPr>
            <w:tcW w:w="1527" w:type="dxa"/>
            <w:vAlign w:val="center"/>
          </w:tcPr>
          <w:p w14:paraId="33F0856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676" w:type="dxa"/>
            <w:vAlign w:val="bottom"/>
          </w:tcPr>
          <w:p w14:paraId="2D3A86E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635FE017" w14:textId="77777777" w:rsidTr="00BF0B5C">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5B01ACE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725" w:type="dxa"/>
            <w:vAlign w:val="center"/>
          </w:tcPr>
          <w:p w14:paraId="6A52FA9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830</w:t>
            </w:r>
          </w:p>
        </w:tc>
        <w:tc>
          <w:tcPr>
            <w:tcW w:w="1641" w:type="dxa"/>
            <w:vAlign w:val="center"/>
          </w:tcPr>
          <w:p w14:paraId="0C63BF6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640" w:type="dxa"/>
            <w:vAlign w:val="center"/>
          </w:tcPr>
          <w:p w14:paraId="69B1CE3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527" w:type="dxa"/>
            <w:vAlign w:val="center"/>
          </w:tcPr>
          <w:p w14:paraId="654210D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676" w:type="dxa"/>
            <w:vAlign w:val="bottom"/>
          </w:tcPr>
          <w:p w14:paraId="328CECA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r w:rsidR="00332F08" w:rsidRPr="00CD29D0" w14:paraId="14F04215" w14:textId="77777777" w:rsidTr="00BF0B5C">
        <w:tc>
          <w:tcPr>
            <w:tcW w:w="1135" w:type="dxa"/>
          </w:tcPr>
          <w:p w14:paraId="7024C43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w:t>
            </w:r>
          </w:p>
        </w:tc>
        <w:tc>
          <w:tcPr>
            <w:tcW w:w="1725" w:type="dxa"/>
            <w:vAlign w:val="center"/>
          </w:tcPr>
          <w:p w14:paraId="4D89825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144</w:t>
            </w:r>
          </w:p>
        </w:tc>
        <w:tc>
          <w:tcPr>
            <w:tcW w:w="1641" w:type="dxa"/>
            <w:vAlign w:val="center"/>
          </w:tcPr>
          <w:p w14:paraId="2F59711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w:t>
            </w:r>
          </w:p>
        </w:tc>
        <w:tc>
          <w:tcPr>
            <w:tcW w:w="1640" w:type="dxa"/>
            <w:vAlign w:val="center"/>
          </w:tcPr>
          <w:p w14:paraId="1555198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c>
          <w:tcPr>
            <w:tcW w:w="1527" w:type="dxa"/>
            <w:vAlign w:val="center"/>
          </w:tcPr>
          <w:p w14:paraId="7CC178D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676" w:type="dxa"/>
            <w:vAlign w:val="bottom"/>
          </w:tcPr>
          <w:p w14:paraId="25464C7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w:t>
            </w:r>
          </w:p>
        </w:tc>
      </w:tr>
    </w:tbl>
    <w:p w14:paraId="59582520" w14:textId="77777777" w:rsidR="00332F08" w:rsidRPr="00CD29D0" w:rsidRDefault="00332F08" w:rsidP="00332F08">
      <w:pPr>
        <w:pStyle w:val="TableETitle"/>
      </w:pPr>
      <w:bookmarkStart w:id="230" w:name="_Toc211928959"/>
      <w:bookmarkStart w:id="231" w:name="_Toc227587047"/>
      <w:r w:rsidRPr="00CD29D0">
        <w:t>Table E16. Four-Year Cohort Graduation Rates by Student Group, 2022-2024</w:t>
      </w:r>
      <w:bookmarkEnd w:id="230"/>
      <w:bookmarkEnd w:id="231"/>
    </w:p>
    <w:tbl>
      <w:tblPr>
        <w:tblStyle w:val="MSVTable1"/>
        <w:tblW w:w="5000" w:type="pct"/>
        <w:tblLook w:val="0420" w:firstRow="1" w:lastRow="0" w:firstColumn="0" w:lastColumn="0" w:noHBand="0" w:noVBand="1"/>
        <w:tblCaption w:val="Table E16. Four-Year Cohort Graduation Rates by Student Group, 2022-2024"/>
        <w:tblDescription w:val="Four-Year Cohort Graduation Rates by Student Group, 2022-2024"/>
      </w:tblPr>
      <w:tblGrid>
        <w:gridCol w:w="3586"/>
        <w:gridCol w:w="1151"/>
        <w:gridCol w:w="1152"/>
        <w:gridCol w:w="1151"/>
        <w:gridCol w:w="1152"/>
        <w:gridCol w:w="1152"/>
      </w:tblGrid>
      <w:tr w:rsidR="00332F08" w:rsidRPr="00CD29D0" w14:paraId="4E43D37D"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5952A9F" w14:textId="77777777" w:rsidR="00332F08" w:rsidRPr="00CD29D0" w:rsidRDefault="00332F08" w:rsidP="00BF0B5C">
            <w:pPr>
              <w:pStyle w:val="TableColHeadingLeft"/>
            </w:pPr>
            <w:r w:rsidRPr="00CD29D0">
              <w:t>Group</w:t>
            </w:r>
          </w:p>
        </w:tc>
        <w:tc>
          <w:tcPr>
            <w:tcW w:w="1151" w:type="dxa"/>
            <w:vAlign w:val="center"/>
          </w:tcPr>
          <w:p w14:paraId="6690E21D" w14:textId="77777777" w:rsidR="00332F08" w:rsidRPr="00CD29D0" w:rsidRDefault="00332F08" w:rsidP="00BF0B5C">
            <w:pPr>
              <w:pStyle w:val="TableColHeadingCenter"/>
            </w:pPr>
            <w:r w:rsidRPr="00CD29D0">
              <w:t># Included (2024)</w:t>
            </w:r>
          </w:p>
        </w:tc>
        <w:tc>
          <w:tcPr>
            <w:tcW w:w="1152" w:type="dxa"/>
            <w:vAlign w:val="center"/>
          </w:tcPr>
          <w:p w14:paraId="5F3F4FE5" w14:textId="77777777" w:rsidR="00332F08" w:rsidRPr="00CD29D0" w:rsidRDefault="00332F08" w:rsidP="00BF0B5C">
            <w:pPr>
              <w:pStyle w:val="TableColHeadingCenter"/>
            </w:pPr>
            <w:r w:rsidRPr="00CD29D0">
              <w:t>2022</w:t>
            </w:r>
          </w:p>
        </w:tc>
        <w:tc>
          <w:tcPr>
            <w:tcW w:w="1151" w:type="dxa"/>
            <w:vAlign w:val="center"/>
          </w:tcPr>
          <w:p w14:paraId="1AE8EA79" w14:textId="77777777" w:rsidR="00332F08" w:rsidRPr="00CD29D0" w:rsidRDefault="00332F08" w:rsidP="00BF0B5C">
            <w:pPr>
              <w:pStyle w:val="TableColHeadingCenter"/>
            </w:pPr>
            <w:r w:rsidRPr="00CD29D0">
              <w:t>2023</w:t>
            </w:r>
          </w:p>
        </w:tc>
        <w:tc>
          <w:tcPr>
            <w:tcW w:w="1152" w:type="dxa"/>
            <w:vAlign w:val="center"/>
          </w:tcPr>
          <w:p w14:paraId="7477D51B" w14:textId="77777777" w:rsidR="00332F08" w:rsidRPr="00CD29D0" w:rsidRDefault="00332F08" w:rsidP="00BF0B5C">
            <w:pPr>
              <w:pStyle w:val="TableColHeadingCenter"/>
            </w:pPr>
            <w:r w:rsidRPr="00CD29D0">
              <w:t>2024</w:t>
            </w:r>
          </w:p>
        </w:tc>
        <w:tc>
          <w:tcPr>
            <w:tcW w:w="1152" w:type="dxa"/>
            <w:vAlign w:val="center"/>
          </w:tcPr>
          <w:p w14:paraId="34377302" w14:textId="77777777" w:rsidR="00332F08" w:rsidRPr="00CD29D0" w:rsidRDefault="00332F08" w:rsidP="00BF0B5C">
            <w:pPr>
              <w:pStyle w:val="TableColHeadingCenter"/>
            </w:pPr>
            <w:r w:rsidRPr="00CD29D0">
              <w:t>State (2024)</w:t>
            </w:r>
          </w:p>
        </w:tc>
      </w:tr>
      <w:tr w:rsidR="00332F08" w:rsidRPr="00CD29D0" w14:paraId="34035810"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B15525B"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1C052EC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175</w:t>
            </w:r>
          </w:p>
        </w:tc>
        <w:tc>
          <w:tcPr>
            <w:tcW w:w="1152" w:type="dxa"/>
            <w:vAlign w:val="center"/>
          </w:tcPr>
          <w:p w14:paraId="0DE020D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95.2</w:t>
            </w:r>
          </w:p>
        </w:tc>
        <w:tc>
          <w:tcPr>
            <w:tcW w:w="1151" w:type="dxa"/>
            <w:vAlign w:val="center"/>
          </w:tcPr>
          <w:p w14:paraId="6A59D4A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92.5</w:t>
            </w:r>
          </w:p>
        </w:tc>
        <w:tc>
          <w:tcPr>
            <w:tcW w:w="1152" w:type="dxa"/>
            <w:vAlign w:val="center"/>
          </w:tcPr>
          <w:p w14:paraId="13406CC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92.6</w:t>
            </w:r>
          </w:p>
        </w:tc>
        <w:tc>
          <w:tcPr>
            <w:tcW w:w="1152" w:type="dxa"/>
            <w:vAlign w:val="center"/>
          </w:tcPr>
          <w:p w14:paraId="299AD5A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88.4</w:t>
            </w:r>
          </w:p>
        </w:tc>
      </w:tr>
      <w:tr w:rsidR="00332F08" w:rsidRPr="00CD29D0" w14:paraId="011BABAB" w14:textId="77777777" w:rsidTr="00BF0B5C">
        <w:tc>
          <w:tcPr>
            <w:tcW w:w="3586" w:type="dxa"/>
          </w:tcPr>
          <w:p w14:paraId="7F5622F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2688770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w:t>
            </w:r>
          </w:p>
        </w:tc>
        <w:tc>
          <w:tcPr>
            <w:tcW w:w="1152" w:type="dxa"/>
            <w:vAlign w:val="center"/>
          </w:tcPr>
          <w:p w14:paraId="5C4B6052" w14:textId="49B85E4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52BB11A4" w14:textId="3BEBBA2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DA090F9" w14:textId="6C609FE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3E69CD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81.6</w:t>
            </w:r>
          </w:p>
        </w:tc>
      </w:tr>
      <w:tr w:rsidR="00332F08" w:rsidRPr="00CD29D0" w14:paraId="6177F72E"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D955E2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06496C9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w:t>
            </w:r>
          </w:p>
        </w:tc>
        <w:tc>
          <w:tcPr>
            <w:tcW w:w="1152" w:type="dxa"/>
            <w:vAlign w:val="center"/>
          </w:tcPr>
          <w:p w14:paraId="49D69B5A" w14:textId="028EAE4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912B562" w14:textId="744B6E9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DC53F20" w14:textId="2DAF925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313964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95.5</w:t>
            </w:r>
          </w:p>
        </w:tc>
      </w:tr>
      <w:tr w:rsidR="00332F08" w:rsidRPr="00CD29D0" w14:paraId="2EF240E1" w14:textId="77777777" w:rsidTr="00BF0B5C">
        <w:tc>
          <w:tcPr>
            <w:tcW w:w="3586" w:type="dxa"/>
          </w:tcPr>
          <w:p w14:paraId="5252890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4360ED2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w:t>
            </w:r>
          </w:p>
        </w:tc>
        <w:tc>
          <w:tcPr>
            <w:tcW w:w="1152" w:type="dxa"/>
            <w:vAlign w:val="center"/>
          </w:tcPr>
          <w:p w14:paraId="7875B4F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100.0</w:t>
            </w:r>
          </w:p>
        </w:tc>
        <w:tc>
          <w:tcPr>
            <w:tcW w:w="1151" w:type="dxa"/>
            <w:vAlign w:val="center"/>
          </w:tcPr>
          <w:p w14:paraId="56AB9D53" w14:textId="132EBAF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0BF6B4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100.0</w:t>
            </w:r>
          </w:p>
        </w:tc>
        <w:tc>
          <w:tcPr>
            <w:tcW w:w="1152" w:type="dxa"/>
            <w:vAlign w:val="center"/>
          </w:tcPr>
          <w:p w14:paraId="1A83020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82.5</w:t>
            </w:r>
          </w:p>
        </w:tc>
      </w:tr>
      <w:tr w:rsidR="00332F08" w:rsidRPr="00CD29D0" w14:paraId="346974CF"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EAFCC4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593BD59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w:t>
            </w:r>
          </w:p>
        </w:tc>
        <w:tc>
          <w:tcPr>
            <w:tcW w:w="1152" w:type="dxa"/>
            <w:vAlign w:val="center"/>
          </w:tcPr>
          <w:p w14:paraId="677EFFD6" w14:textId="285A9AA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E29B51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75.0</w:t>
            </w:r>
          </w:p>
        </w:tc>
        <w:tc>
          <w:tcPr>
            <w:tcW w:w="1152" w:type="dxa"/>
            <w:vAlign w:val="center"/>
          </w:tcPr>
          <w:p w14:paraId="7115395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100.0</w:t>
            </w:r>
          </w:p>
        </w:tc>
        <w:tc>
          <w:tcPr>
            <w:tcW w:w="1152" w:type="dxa"/>
            <w:vAlign w:val="center"/>
          </w:tcPr>
          <w:p w14:paraId="56451CA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78.9</w:t>
            </w:r>
          </w:p>
        </w:tc>
      </w:tr>
      <w:tr w:rsidR="00332F08" w:rsidRPr="00CD29D0" w14:paraId="49A69708" w14:textId="77777777" w:rsidTr="00BF0B5C">
        <w:tc>
          <w:tcPr>
            <w:tcW w:w="3586" w:type="dxa"/>
          </w:tcPr>
          <w:p w14:paraId="4CB2F4E0"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086920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w:t>
            </w:r>
          </w:p>
        </w:tc>
        <w:tc>
          <w:tcPr>
            <w:tcW w:w="1152" w:type="dxa"/>
            <w:vAlign w:val="center"/>
          </w:tcPr>
          <w:p w14:paraId="441A2464" w14:textId="7A8844C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39F2E479" w14:textId="64C2D19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633CF1F" w14:textId="7939132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C9DB7F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88.6</w:t>
            </w:r>
          </w:p>
        </w:tc>
      </w:tr>
      <w:tr w:rsidR="00332F08" w:rsidRPr="00CD29D0" w14:paraId="5C220B35"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6FCD8C3"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7D1475EC" w14:textId="18DD58A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4FCCAB6" w14:textId="2FC7DAA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0F951DA" w14:textId="7822A60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7C5F8B4" w14:textId="42A0D33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0E2E96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80.7</w:t>
            </w:r>
          </w:p>
        </w:tc>
      </w:tr>
      <w:tr w:rsidR="00332F08" w:rsidRPr="00CD29D0" w14:paraId="5707F161" w14:textId="77777777" w:rsidTr="00BF0B5C">
        <w:tc>
          <w:tcPr>
            <w:tcW w:w="3586" w:type="dxa"/>
          </w:tcPr>
          <w:p w14:paraId="2114DFD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38DB66E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151</w:t>
            </w:r>
          </w:p>
        </w:tc>
        <w:tc>
          <w:tcPr>
            <w:tcW w:w="1152" w:type="dxa"/>
            <w:vAlign w:val="center"/>
          </w:tcPr>
          <w:p w14:paraId="5406E60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95.4</w:t>
            </w:r>
          </w:p>
        </w:tc>
        <w:tc>
          <w:tcPr>
            <w:tcW w:w="1151" w:type="dxa"/>
            <w:vAlign w:val="center"/>
          </w:tcPr>
          <w:p w14:paraId="27B2C8D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92.8</w:t>
            </w:r>
          </w:p>
        </w:tc>
        <w:tc>
          <w:tcPr>
            <w:tcW w:w="1152" w:type="dxa"/>
            <w:vAlign w:val="center"/>
          </w:tcPr>
          <w:p w14:paraId="10D0ED4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91.4</w:t>
            </w:r>
          </w:p>
        </w:tc>
        <w:tc>
          <w:tcPr>
            <w:tcW w:w="1152" w:type="dxa"/>
            <w:vAlign w:val="center"/>
          </w:tcPr>
          <w:p w14:paraId="3A2C781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92.6</w:t>
            </w:r>
          </w:p>
        </w:tc>
      </w:tr>
      <w:tr w:rsidR="00332F08" w:rsidRPr="00CD29D0" w14:paraId="22C835FA"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6C40D1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0A366EE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70</w:t>
            </w:r>
          </w:p>
        </w:tc>
        <w:tc>
          <w:tcPr>
            <w:tcW w:w="1152" w:type="dxa"/>
            <w:vAlign w:val="center"/>
          </w:tcPr>
          <w:p w14:paraId="6548E44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86.9</w:t>
            </w:r>
          </w:p>
        </w:tc>
        <w:tc>
          <w:tcPr>
            <w:tcW w:w="1151" w:type="dxa"/>
            <w:vAlign w:val="center"/>
          </w:tcPr>
          <w:p w14:paraId="3869CA7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89.2</w:t>
            </w:r>
          </w:p>
        </w:tc>
        <w:tc>
          <w:tcPr>
            <w:tcW w:w="1152" w:type="dxa"/>
            <w:vAlign w:val="center"/>
          </w:tcPr>
          <w:p w14:paraId="4D88EED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84.3</w:t>
            </w:r>
          </w:p>
        </w:tc>
        <w:tc>
          <w:tcPr>
            <w:tcW w:w="1152" w:type="dxa"/>
            <w:vAlign w:val="center"/>
          </w:tcPr>
          <w:p w14:paraId="193F0C5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82.2</w:t>
            </w:r>
          </w:p>
        </w:tc>
      </w:tr>
      <w:tr w:rsidR="00332F08" w:rsidRPr="00CD29D0" w14:paraId="015603F2" w14:textId="77777777" w:rsidTr="00BF0B5C">
        <w:tc>
          <w:tcPr>
            <w:tcW w:w="3586" w:type="dxa"/>
          </w:tcPr>
          <w:p w14:paraId="75CB7449"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193904C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3B788A93" w14:textId="354B17C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A690C29" w14:textId="55D5DA0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B0443C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83.3</w:t>
            </w:r>
          </w:p>
        </w:tc>
        <w:tc>
          <w:tcPr>
            <w:tcW w:w="1152" w:type="dxa"/>
            <w:vAlign w:val="center"/>
          </w:tcPr>
          <w:p w14:paraId="7DAA178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66.7</w:t>
            </w:r>
          </w:p>
        </w:tc>
      </w:tr>
      <w:tr w:rsidR="00332F08" w:rsidRPr="00CD29D0" w14:paraId="48AD509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BE2034D"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08A5772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57</w:t>
            </w:r>
          </w:p>
        </w:tc>
        <w:tc>
          <w:tcPr>
            <w:tcW w:w="1152" w:type="dxa"/>
            <w:vAlign w:val="center"/>
          </w:tcPr>
          <w:p w14:paraId="4ED8810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86.3</w:t>
            </w:r>
          </w:p>
        </w:tc>
        <w:tc>
          <w:tcPr>
            <w:tcW w:w="1151" w:type="dxa"/>
            <w:vAlign w:val="center"/>
          </w:tcPr>
          <w:p w14:paraId="62DB11C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88.9</w:t>
            </w:r>
          </w:p>
        </w:tc>
        <w:tc>
          <w:tcPr>
            <w:tcW w:w="1152" w:type="dxa"/>
            <w:vAlign w:val="center"/>
          </w:tcPr>
          <w:p w14:paraId="0945110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84.2</w:t>
            </w:r>
          </w:p>
        </w:tc>
        <w:tc>
          <w:tcPr>
            <w:tcW w:w="1152" w:type="dxa"/>
            <w:vAlign w:val="center"/>
          </w:tcPr>
          <w:p w14:paraId="39A9F87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81.6</w:t>
            </w:r>
          </w:p>
        </w:tc>
      </w:tr>
      <w:tr w:rsidR="00332F08" w:rsidRPr="00CD29D0" w14:paraId="4BD12075" w14:textId="77777777" w:rsidTr="00BF0B5C">
        <w:tc>
          <w:tcPr>
            <w:tcW w:w="3586" w:type="dxa"/>
          </w:tcPr>
          <w:p w14:paraId="3BFA3BA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09D02ED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35</w:t>
            </w:r>
          </w:p>
        </w:tc>
        <w:tc>
          <w:tcPr>
            <w:tcW w:w="1152" w:type="dxa"/>
            <w:vAlign w:val="center"/>
          </w:tcPr>
          <w:p w14:paraId="12A2DE6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84.0</w:t>
            </w:r>
          </w:p>
        </w:tc>
        <w:tc>
          <w:tcPr>
            <w:tcW w:w="1151" w:type="dxa"/>
            <w:vAlign w:val="center"/>
          </w:tcPr>
          <w:p w14:paraId="0D3A000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88.6</w:t>
            </w:r>
          </w:p>
        </w:tc>
        <w:tc>
          <w:tcPr>
            <w:tcW w:w="1152" w:type="dxa"/>
            <w:vAlign w:val="center"/>
          </w:tcPr>
          <w:p w14:paraId="051F459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68.6</w:t>
            </w:r>
          </w:p>
        </w:tc>
        <w:tc>
          <w:tcPr>
            <w:tcW w:w="1152" w:type="dxa"/>
            <w:vAlign w:val="center"/>
          </w:tcPr>
          <w:p w14:paraId="1BBD64C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75.4</w:t>
            </w:r>
          </w:p>
        </w:tc>
      </w:tr>
    </w:tbl>
    <w:p w14:paraId="18735883" w14:textId="77777777" w:rsidR="00332F08" w:rsidRPr="00CD29D0" w:rsidRDefault="00332F08" w:rsidP="00332F08">
      <w:pPr>
        <w:pStyle w:val="BodyText"/>
      </w:pPr>
      <w:r w:rsidRPr="00CD29D0">
        <w:br w:type="page"/>
      </w:r>
    </w:p>
    <w:p w14:paraId="473EBC77" w14:textId="77777777" w:rsidR="00332F08" w:rsidRPr="00CD29D0" w:rsidRDefault="00332F08" w:rsidP="00332F08">
      <w:pPr>
        <w:pStyle w:val="TableETitle"/>
      </w:pPr>
      <w:bookmarkStart w:id="232" w:name="_Toc211928960"/>
      <w:bookmarkStart w:id="233" w:name="_Toc227587048"/>
      <w:bookmarkStart w:id="234" w:name="_Hlk138323648"/>
      <w:r w:rsidRPr="00CD29D0">
        <w:lastRenderedPageBreak/>
        <w:t>Table E17. Five-Year Cohort Graduation Rates by Student Group, 2021-2023</w:t>
      </w:r>
      <w:bookmarkEnd w:id="232"/>
      <w:bookmarkEnd w:id="233"/>
    </w:p>
    <w:tbl>
      <w:tblPr>
        <w:tblStyle w:val="MSVTable1"/>
        <w:tblW w:w="5000" w:type="pct"/>
        <w:tblLook w:val="0420" w:firstRow="1" w:lastRow="0" w:firstColumn="0" w:lastColumn="0" w:noHBand="0" w:noVBand="1"/>
        <w:tblCaption w:val="Table E17. Five-Year Cohort Graduation Rates by Student Group, 2021-2023"/>
        <w:tblDescription w:val="Five-Year Cohort Graduation Rates by Student Group, 2021-2023"/>
      </w:tblPr>
      <w:tblGrid>
        <w:gridCol w:w="3586"/>
        <w:gridCol w:w="1151"/>
        <w:gridCol w:w="1152"/>
        <w:gridCol w:w="1151"/>
        <w:gridCol w:w="1152"/>
        <w:gridCol w:w="1152"/>
      </w:tblGrid>
      <w:tr w:rsidR="00332F08" w:rsidRPr="00CD29D0" w14:paraId="623586A8"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CD0FDEB" w14:textId="77777777" w:rsidR="00332F08" w:rsidRPr="00CD29D0" w:rsidRDefault="00332F08" w:rsidP="00BF0B5C">
            <w:pPr>
              <w:pStyle w:val="TableColHeadingLeft"/>
            </w:pPr>
            <w:r w:rsidRPr="00CD29D0">
              <w:t>Group</w:t>
            </w:r>
          </w:p>
        </w:tc>
        <w:tc>
          <w:tcPr>
            <w:tcW w:w="1151" w:type="dxa"/>
            <w:vAlign w:val="center"/>
          </w:tcPr>
          <w:p w14:paraId="08A9EE4D" w14:textId="77777777" w:rsidR="00332F08" w:rsidRPr="00CD29D0" w:rsidRDefault="00332F08" w:rsidP="00BF0B5C">
            <w:pPr>
              <w:pStyle w:val="TableColHeadingCenter"/>
            </w:pPr>
            <w:r w:rsidRPr="00CD29D0">
              <w:t># Included (2021)</w:t>
            </w:r>
          </w:p>
        </w:tc>
        <w:tc>
          <w:tcPr>
            <w:tcW w:w="1152" w:type="dxa"/>
            <w:vAlign w:val="center"/>
          </w:tcPr>
          <w:p w14:paraId="7A27AFD9" w14:textId="77777777" w:rsidR="00332F08" w:rsidRPr="00CD29D0" w:rsidRDefault="00332F08" w:rsidP="00BF0B5C">
            <w:pPr>
              <w:pStyle w:val="TableColHeadingCenter"/>
            </w:pPr>
            <w:r w:rsidRPr="00CD29D0">
              <w:t>2021</w:t>
            </w:r>
          </w:p>
        </w:tc>
        <w:tc>
          <w:tcPr>
            <w:tcW w:w="1151" w:type="dxa"/>
            <w:vAlign w:val="center"/>
          </w:tcPr>
          <w:p w14:paraId="5F921AA8" w14:textId="77777777" w:rsidR="00332F08" w:rsidRPr="00CD29D0" w:rsidRDefault="00332F08" w:rsidP="00BF0B5C">
            <w:pPr>
              <w:pStyle w:val="TableColHeadingCenter"/>
            </w:pPr>
            <w:r w:rsidRPr="00CD29D0">
              <w:t>2022</w:t>
            </w:r>
          </w:p>
        </w:tc>
        <w:tc>
          <w:tcPr>
            <w:tcW w:w="1152" w:type="dxa"/>
            <w:vAlign w:val="center"/>
          </w:tcPr>
          <w:p w14:paraId="03157E92" w14:textId="77777777" w:rsidR="00332F08" w:rsidRPr="00CD29D0" w:rsidRDefault="00332F08" w:rsidP="00BF0B5C">
            <w:pPr>
              <w:pStyle w:val="TableColHeadingCenter"/>
            </w:pPr>
            <w:r w:rsidRPr="00CD29D0">
              <w:t>2023</w:t>
            </w:r>
          </w:p>
        </w:tc>
        <w:tc>
          <w:tcPr>
            <w:tcW w:w="1152" w:type="dxa"/>
            <w:vAlign w:val="center"/>
          </w:tcPr>
          <w:p w14:paraId="6AA54ADA" w14:textId="77777777" w:rsidR="00332F08" w:rsidRPr="00CD29D0" w:rsidRDefault="00332F08" w:rsidP="00BF0B5C">
            <w:pPr>
              <w:pStyle w:val="TableColHeadingCenter"/>
            </w:pPr>
            <w:r w:rsidRPr="00CD29D0">
              <w:t>State (2023)</w:t>
            </w:r>
          </w:p>
        </w:tc>
      </w:tr>
      <w:tr w:rsidR="00332F08" w:rsidRPr="00CD29D0" w14:paraId="307ECC4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A7BB65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37101E1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173</w:t>
            </w:r>
          </w:p>
        </w:tc>
        <w:tc>
          <w:tcPr>
            <w:tcW w:w="1152" w:type="dxa"/>
            <w:vAlign w:val="center"/>
          </w:tcPr>
          <w:p w14:paraId="005F78C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95.8</w:t>
            </w:r>
          </w:p>
        </w:tc>
        <w:tc>
          <w:tcPr>
            <w:tcW w:w="1151" w:type="dxa"/>
            <w:vAlign w:val="center"/>
          </w:tcPr>
          <w:p w14:paraId="69A9400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96.4</w:t>
            </w:r>
          </w:p>
        </w:tc>
        <w:tc>
          <w:tcPr>
            <w:tcW w:w="1152" w:type="dxa"/>
            <w:vAlign w:val="center"/>
          </w:tcPr>
          <w:p w14:paraId="1D09852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93.6</w:t>
            </w:r>
          </w:p>
        </w:tc>
        <w:tc>
          <w:tcPr>
            <w:tcW w:w="1152" w:type="dxa"/>
            <w:vAlign w:val="center"/>
          </w:tcPr>
          <w:p w14:paraId="114573F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90.9</w:t>
            </w:r>
          </w:p>
        </w:tc>
      </w:tr>
      <w:tr w:rsidR="00332F08" w:rsidRPr="00CD29D0" w14:paraId="7A90BCA0" w14:textId="77777777" w:rsidTr="00BF0B5C">
        <w:tc>
          <w:tcPr>
            <w:tcW w:w="3586" w:type="dxa"/>
          </w:tcPr>
          <w:p w14:paraId="0B6FC22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5978C78F" w14:textId="46AE08D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98C8DEC" w14:textId="14C0D0E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702D4975" w14:textId="3F0A5CF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4680C96" w14:textId="0545570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6B78C5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85.7</w:t>
            </w:r>
          </w:p>
        </w:tc>
      </w:tr>
      <w:tr w:rsidR="00332F08" w:rsidRPr="00CD29D0" w14:paraId="3D46462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DA1353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4C8473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w:t>
            </w:r>
          </w:p>
        </w:tc>
        <w:tc>
          <w:tcPr>
            <w:tcW w:w="1152" w:type="dxa"/>
            <w:vAlign w:val="center"/>
          </w:tcPr>
          <w:p w14:paraId="105959A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100.0</w:t>
            </w:r>
          </w:p>
        </w:tc>
        <w:tc>
          <w:tcPr>
            <w:tcW w:w="1151" w:type="dxa"/>
            <w:vAlign w:val="center"/>
          </w:tcPr>
          <w:p w14:paraId="4ED036E6" w14:textId="5CF00E1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4D7055A" w14:textId="758243C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7F5017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96.3</w:t>
            </w:r>
          </w:p>
        </w:tc>
      </w:tr>
      <w:tr w:rsidR="00332F08" w:rsidRPr="00CD29D0" w14:paraId="25DD384A" w14:textId="77777777" w:rsidTr="00BF0B5C">
        <w:tc>
          <w:tcPr>
            <w:tcW w:w="3586" w:type="dxa"/>
          </w:tcPr>
          <w:p w14:paraId="4BFD9BF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5B55E24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w:t>
            </w:r>
          </w:p>
        </w:tc>
        <w:tc>
          <w:tcPr>
            <w:tcW w:w="1152" w:type="dxa"/>
            <w:vAlign w:val="center"/>
          </w:tcPr>
          <w:p w14:paraId="08D65519" w14:textId="4DBDD5C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18B665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100.0</w:t>
            </w:r>
          </w:p>
        </w:tc>
        <w:tc>
          <w:tcPr>
            <w:tcW w:w="1152" w:type="dxa"/>
            <w:vAlign w:val="center"/>
          </w:tcPr>
          <w:p w14:paraId="7BE2E628" w14:textId="48538B8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AA48DB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88.5</w:t>
            </w:r>
          </w:p>
        </w:tc>
      </w:tr>
      <w:tr w:rsidR="00332F08" w:rsidRPr="00CD29D0" w14:paraId="2459920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2C53910"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532AEDE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w:t>
            </w:r>
          </w:p>
        </w:tc>
        <w:tc>
          <w:tcPr>
            <w:tcW w:w="1152" w:type="dxa"/>
            <w:vAlign w:val="center"/>
          </w:tcPr>
          <w:p w14:paraId="30F5C7FB" w14:textId="0B7635D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6005B4D5" w14:textId="24A0E07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5F7489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87.5</w:t>
            </w:r>
          </w:p>
        </w:tc>
        <w:tc>
          <w:tcPr>
            <w:tcW w:w="1152" w:type="dxa"/>
            <w:vAlign w:val="center"/>
          </w:tcPr>
          <w:p w14:paraId="0AA984D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81.7</w:t>
            </w:r>
          </w:p>
        </w:tc>
      </w:tr>
      <w:tr w:rsidR="00332F08" w:rsidRPr="00CD29D0" w14:paraId="406E6038" w14:textId="77777777" w:rsidTr="00BF0B5C">
        <w:tc>
          <w:tcPr>
            <w:tcW w:w="3586" w:type="dxa"/>
          </w:tcPr>
          <w:p w14:paraId="1B440EA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1CF2FD0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w:t>
            </w:r>
          </w:p>
        </w:tc>
        <w:tc>
          <w:tcPr>
            <w:tcW w:w="1152" w:type="dxa"/>
            <w:vAlign w:val="center"/>
          </w:tcPr>
          <w:p w14:paraId="30E1BFA6" w14:textId="7CD2A99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5F820F6E" w14:textId="4658C76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B96DDC8" w14:textId="6D19515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5C70DF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91.1</w:t>
            </w:r>
          </w:p>
        </w:tc>
      </w:tr>
      <w:tr w:rsidR="00332F08" w:rsidRPr="00CD29D0" w14:paraId="45EEBDF7"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56E0860"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49444861" w14:textId="2A8AD23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999498" w14:textId="43DEA6A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DE65F84" w14:textId="40219D0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9EB0BB0" w14:textId="5C6BA99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92C5CB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92.8</w:t>
            </w:r>
          </w:p>
        </w:tc>
      </w:tr>
      <w:tr w:rsidR="00332F08" w:rsidRPr="00CD29D0" w14:paraId="18D3A4B3" w14:textId="77777777" w:rsidTr="00BF0B5C">
        <w:tc>
          <w:tcPr>
            <w:tcW w:w="3586" w:type="dxa"/>
          </w:tcPr>
          <w:p w14:paraId="72FA778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0DC79AB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153</w:t>
            </w:r>
          </w:p>
        </w:tc>
        <w:tc>
          <w:tcPr>
            <w:tcW w:w="1152" w:type="dxa"/>
            <w:vAlign w:val="center"/>
          </w:tcPr>
          <w:p w14:paraId="3D86DB8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95.9</w:t>
            </w:r>
          </w:p>
        </w:tc>
        <w:tc>
          <w:tcPr>
            <w:tcW w:w="1151" w:type="dxa"/>
            <w:vAlign w:val="center"/>
          </w:tcPr>
          <w:p w14:paraId="79A1D39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96.0</w:t>
            </w:r>
          </w:p>
        </w:tc>
        <w:tc>
          <w:tcPr>
            <w:tcW w:w="1152" w:type="dxa"/>
            <w:vAlign w:val="center"/>
          </w:tcPr>
          <w:p w14:paraId="503E3A9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93.5</w:t>
            </w:r>
          </w:p>
        </w:tc>
        <w:tc>
          <w:tcPr>
            <w:tcW w:w="1152" w:type="dxa"/>
            <w:vAlign w:val="center"/>
          </w:tcPr>
          <w:p w14:paraId="7E5B8A4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94.2</w:t>
            </w:r>
          </w:p>
        </w:tc>
      </w:tr>
      <w:tr w:rsidR="00332F08" w:rsidRPr="00CD29D0" w14:paraId="4908E4B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A622CC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735CF8F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74</w:t>
            </w:r>
          </w:p>
        </w:tc>
        <w:tc>
          <w:tcPr>
            <w:tcW w:w="1152" w:type="dxa"/>
            <w:vAlign w:val="center"/>
          </w:tcPr>
          <w:p w14:paraId="50C8867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89.7</w:t>
            </w:r>
          </w:p>
        </w:tc>
        <w:tc>
          <w:tcPr>
            <w:tcW w:w="1151" w:type="dxa"/>
            <w:vAlign w:val="center"/>
          </w:tcPr>
          <w:p w14:paraId="37DBF9A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90.2</w:t>
            </w:r>
          </w:p>
        </w:tc>
        <w:tc>
          <w:tcPr>
            <w:tcW w:w="1152" w:type="dxa"/>
            <w:vAlign w:val="center"/>
          </w:tcPr>
          <w:p w14:paraId="0D05FEE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91.9</w:t>
            </w:r>
          </w:p>
        </w:tc>
        <w:tc>
          <w:tcPr>
            <w:tcW w:w="1152" w:type="dxa"/>
            <w:vAlign w:val="center"/>
          </w:tcPr>
          <w:p w14:paraId="3A11697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85.5</w:t>
            </w:r>
          </w:p>
        </w:tc>
      </w:tr>
      <w:tr w:rsidR="00332F08" w:rsidRPr="00CD29D0" w14:paraId="28D9340F" w14:textId="77777777" w:rsidTr="00BF0B5C">
        <w:tc>
          <w:tcPr>
            <w:tcW w:w="3586" w:type="dxa"/>
          </w:tcPr>
          <w:p w14:paraId="753BD197"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12E4912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w:t>
            </w:r>
          </w:p>
        </w:tc>
        <w:tc>
          <w:tcPr>
            <w:tcW w:w="1152" w:type="dxa"/>
            <w:vAlign w:val="center"/>
          </w:tcPr>
          <w:p w14:paraId="65A081D1" w14:textId="374F042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59A11F2B" w14:textId="0A27873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5359236" w14:textId="0EA170B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336D01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71.5</w:t>
            </w:r>
          </w:p>
        </w:tc>
      </w:tr>
      <w:tr w:rsidR="00332F08" w:rsidRPr="00CD29D0" w14:paraId="145AE411"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2FAEDE0B"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6289277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54</w:t>
            </w:r>
          </w:p>
        </w:tc>
        <w:tc>
          <w:tcPr>
            <w:tcW w:w="1152" w:type="dxa"/>
            <w:vAlign w:val="center"/>
          </w:tcPr>
          <w:p w14:paraId="42BC919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90.6</w:t>
            </w:r>
          </w:p>
        </w:tc>
        <w:tc>
          <w:tcPr>
            <w:tcW w:w="1151" w:type="dxa"/>
            <w:vAlign w:val="center"/>
          </w:tcPr>
          <w:p w14:paraId="5729597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90.2</w:t>
            </w:r>
          </w:p>
        </w:tc>
        <w:tc>
          <w:tcPr>
            <w:tcW w:w="1152" w:type="dxa"/>
            <w:vAlign w:val="center"/>
          </w:tcPr>
          <w:p w14:paraId="685B0D3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90.7</w:t>
            </w:r>
          </w:p>
        </w:tc>
        <w:tc>
          <w:tcPr>
            <w:tcW w:w="1152" w:type="dxa"/>
            <w:vAlign w:val="center"/>
          </w:tcPr>
          <w:p w14:paraId="0817CE8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84.8</w:t>
            </w:r>
          </w:p>
        </w:tc>
      </w:tr>
      <w:tr w:rsidR="00332F08" w:rsidRPr="00CD29D0" w14:paraId="1593468E" w14:textId="77777777" w:rsidTr="00BF0B5C">
        <w:tc>
          <w:tcPr>
            <w:tcW w:w="3586" w:type="dxa"/>
          </w:tcPr>
          <w:p w14:paraId="7DEC1D8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66362E4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2" w:type="dxa"/>
            <w:vAlign w:val="center"/>
          </w:tcPr>
          <w:p w14:paraId="4799DFB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83.7</w:t>
            </w:r>
          </w:p>
        </w:tc>
        <w:tc>
          <w:tcPr>
            <w:tcW w:w="1151" w:type="dxa"/>
            <w:vAlign w:val="center"/>
          </w:tcPr>
          <w:p w14:paraId="7528305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84.0</w:t>
            </w:r>
          </w:p>
        </w:tc>
        <w:tc>
          <w:tcPr>
            <w:tcW w:w="1152" w:type="dxa"/>
            <w:vAlign w:val="center"/>
          </w:tcPr>
          <w:p w14:paraId="21D46B8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93.2</w:t>
            </w:r>
          </w:p>
        </w:tc>
        <w:tc>
          <w:tcPr>
            <w:tcW w:w="1152" w:type="dxa"/>
            <w:vAlign w:val="center"/>
          </w:tcPr>
          <w:p w14:paraId="6D2DEAB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80.0</w:t>
            </w:r>
          </w:p>
        </w:tc>
      </w:tr>
    </w:tbl>
    <w:p w14:paraId="67835646" w14:textId="77777777" w:rsidR="00332F08" w:rsidRPr="00CD29D0" w:rsidRDefault="00332F08" w:rsidP="00332F08">
      <w:pPr>
        <w:pStyle w:val="TableETitle"/>
      </w:pPr>
      <w:bookmarkStart w:id="235" w:name="_Toc211928961"/>
      <w:bookmarkStart w:id="236" w:name="_Toc227587049"/>
      <w:r w:rsidRPr="00CD29D0">
        <w:t>Table E18. Annual Dropout Rates by Student Group, 2022-2024</w:t>
      </w:r>
      <w:bookmarkEnd w:id="235"/>
      <w:bookmarkEnd w:id="236"/>
    </w:p>
    <w:tbl>
      <w:tblPr>
        <w:tblStyle w:val="MSVTable1"/>
        <w:tblW w:w="5000" w:type="pct"/>
        <w:tblLook w:val="0420" w:firstRow="1" w:lastRow="0" w:firstColumn="0" w:lastColumn="0" w:noHBand="0" w:noVBand="1"/>
        <w:tblCaption w:val="Table E18. Annual Dropout Rates by Student Group, 2022-2024"/>
        <w:tblDescription w:val="Annual Dropout Rates by Student Group, 2022-2024"/>
      </w:tblPr>
      <w:tblGrid>
        <w:gridCol w:w="3586"/>
        <w:gridCol w:w="1151"/>
        <w:gridCol w:w="1152"/>
        <w:gridCol w:w="1151"/>
        <w:gridCol w:w="1152"/>
        <w:gridCol w:w="1152"/>
      </w:tblGrid>
      <w:tr w:rsidR="00332F08" w:rsidRPr="00CD29D0" w14:paraId="70B36DC8"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3491B530" w14:textId="77777777" w:rsidR="00332F08" w:rsidRPr="00CD29D0" w:rsidRDefault="00332F08" w:rsidP="00BF0B5C">
            <w:pPr>
              <w:pStyle w:val="TableColHeadingLeft"/>
            </w:pPr>
            <w:r w:rsidRPr="00CD29D0">
              <w:t>Group</w:t>
            </w:r>
          </w:p>
        </w:tc>
        <w:tc>
          <w:tcPr>
            <w:tcW w:w="1151" w:type="dxa"/>
            <w:vAlign w:val="center"/>
          </w:tcPr>
          <w:p w14:paraId="54E0D2A5" w14:textId="77777777" w:rsidR="00332F08" w:rsidRPr="00CD29D0" w:rsidRDefault="00332F08" w:rsidP="00BF0B5C">
            <w:pPr>
              <w:pStyle w:val="TableColHeadingCenter"/>
            </w:pPr>
            <w:r w:rsidRPr="00CD29D0">
              <w:t># Included (2024)</w:t>
            </w:r>
          </w:p>
        </w:tc>
        <w:tc>
          <w:tcPr>
            <w:tcW w:w="1152" w:type="dxa"/>
            <w:vAlign w:val="center"/>
          </w:tcPr>
          <w:p w14:paraId="4FFDE679" w14:textId="77777777" w:rsidR="00332F08" w:rsidRPr="00CD29D0" w:rsidRDefault="00332F08" w:rsidP="00BF0B5C">
            <w:pPr>
              <w:pStyle w:val="TableColHeadingCenter"/>
            </w:pPr>
            <w:r w:rsidRPr="00CD29D0">
              <w:t>2022</w:t>
            </w:r>
          </w:p>
        </w:tc>
        <w:tc>
          <w:tcPr>
            <w:tcW w:w="1151" w:type="dxa"/>
            <w:vAlign w:val="center"/>
          </w:tcPr>
          <w:p w14:paraId="5A7F8453" w14:textId="77777777" w:rsidR="00332F08" w:rsidRPr="00CD29D0" w:rsidRDefault="00332F08" w:rsidP="00BF0B5C">
            <w:pPr>
              <w:pStyle w:val="TableColHeadingCenter"/>
            </w:pPr>
            <w:r w:rsidRPr="00CD29D0">
              <w:t>2023</w:t>
            </w:r>
          </w:p>
        </w:tc>
        <w:tc>
          <w:tcPr>
            <w:tcW w:w="1152" w:type="dxa"/>
            <w:vAlign w:val="center"/>
          </w:tcPr>
          <w:p w14:paraId="69045238" w14:textId="77777777" w:rsidR="00332F08" w:rsidRPr="00CD29D0" w:rsidRDefault="00332F08" w:rsidP="00BF0B5C">
            <w:pPr>
              <w:pStyle w:val="TableColHeadingCenter"/>
            </w:pPr>
            <w:r w:rsidRPr="00CD29D0">
              <w:t>2024</w:t>
            </w:r>
          </w:p>
        </w:tc>
        <w:tc>
          <w:tcPr>
            <w:tcW w:w="1152" w:type="dxa"/>
            <w:vAlign w:val="center"/>
          </w:tcPr>
          <w:p w14:paraId="65D32806" w14:textId="77777777" w:rsidR="00332F08" w:rsidRPr="00CD29D0" w:rsidRDefault="00332F08" w:rsidP="00BF0B5C">
            <w:pPr>
              <w:pStyle w:val="TableColHeadingCenter"/>
            </w:pPr>
            <w:r w:rsidRPr="00CD29D0">
              <w:t>State (2024)</w:t>
            </w:r>
          </w:p>
        </w:tc>
      </w:tr>
      <w:tr w:rsidR="00332F08" w:rsidRPr="00CD29D0" w14:paraId="130797E0"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2E87784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1E1F42D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682</w:t>
            </w:r>
          </w:p>
        </w:tc>
        <w:tc>
          <w:tcPr>
            <w:tcW w:w="1152" w:type="dxa"/>
            <w:vAlign w:val="center"/>
          </w:tcPr>
          <w:p w14:paraId="305431A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1" w:type="dxa"/>
            <w:vAlign w:val="center"/>
          </w:tcPr>
          <w:p w14:paraId="2900F38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c>
          <w:tcPr>
            <w:tcW w:w="1152" w:type="dxa"/>
            <w:vAlign w:val="center"/>
          </w:tcPr>
          <w:p w14:paraId="248BA6E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w:t>
            </w:r>
          </w:p>
        </w:tc>
        <w:tc>
          <w:tcPr>
            <w:tcW w:w="1152" w:type="dxa"/>
            <w:vAlign w:val="center"/>
          </w:tcPr>
          <w:p w14:paraId="1C8E1D5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w:t>
            </w:r>
          </w:p>
        </w:tc>
      </w:tr>
      <w:tr w:rsidR="00332F08" w:rsidRPr="00CD29D0" w14:paraId="05EDBDD9" w14:textId="77777777" w:rsidTr="00BF0B5C">
        <w:tc>
          <w:tcPr>
            <w:tcW w:w="3586" w:type="dxa"/>
          </w:tcPr>
          <w:p w14:paraId="255A31F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103C609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w:t>
            </w:r>
          </w:p>
        </w:tc>
        <w:tc>
          <w:tcPr>
            <w:tcW w:w="1152" w:type="dxa"/>
            <w:vAlign w:val="center"/>
          </w:tcPr>
          <w:p w14:paraId="77519A93" w14:textId="00275B7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0A3FBEE" w14:textId="23C6632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E049D1E" w14:textId="776D309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20C88E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w:t>
            </w:r>
          </w:p>
        </w:tc>
      </w:tr>
      <w:tr w:rsidR="00332F08" w:rsidRPr="00CD29D0" w14:paraId="73E98665"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C98E7D4"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61027A1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w:t>
            </w:r>
          </w:p>
        </w:tc>
        <w:tc>
          <w:tcPr>
            <w:tcW w:w="1152" w:type="dxa"/>
            <w:vAlign w:val="center"/>
          </w:tcPr>
          <w:p w14:paraId="3713C36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1" w:type="dxa"/>
            <w:vAlign w:val="center"/>
          </w:tcPr>
          <w:p w14:paraId="0C3B9BC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65D43A4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19CD4C0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0.5</w:t>
            </w:r>
          </w:p>
        </w:tc>
      </w:tr>
      <w:tr w:rsidR="00332F08" w:rsidRPr="00CD29D0" w14:paraId="56E2BBF4" w14:textId="77777777" w:rsidTr="00BF0B5C">
        <w:tc>
          <w:tcPr>
            <w:tcW w:w="3586" w:type="dxa"/>
          </w:tcPr>
          <w:p w14:paraId="60D5CE3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0554379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28</w:t>
            </w:r>
          </w:p>
        </w:tc>
        <w:tc>
          <w:tcPr>
            <w:tcW w:w="1152" w:type="dxa"/>
            <w:vAlign w:val="center"/>
          </w:tcPr>
          <w:p w14:paraId="0AE59D7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1" w:type="dxa"/>
            <w:vAlign w:val="center"/>
          </w:tcPr>
          <w:p w14:paraId="25D75AA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51BE039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019BF3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2.5</w:t>
            </w:r>
          </w:p>
        </w:tc>
      </w:tr>
      <w:tr w:rsidR="00332F08" w:rsidRPr="00CD29D0" w14:paraId="697C543B"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3516A1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7560C41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27</w:t>
            </w:r>
          </w:p>
        </w:tc>
        <w:tc>
          <w:tcPr>
            <w:tcW w:w="1152" w:type="dxa"/>
            <w:vAlign w:val="center"/>
          </w:tcPr>
          <w:p w14:paraId="1C503D6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1" w:type="dxa"/>
            <w:vAlign w:val="center"/>
          </w:tcPr>
          <w:p w14:paraId="4D4FE94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0DB58C0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08CADC9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r>
      <w:tr w:rsidR="00332F08" w:rsidRPr="00CD29D0" w14:paraId="0CEB8EE3" w14:textId="77777777" w:rsidTr="00BF0B5C">
        <w:tc>
          <w:tcPr>
            <w:tcW w:w="3586" w:type="dxa"/>
          </w:tcPr>
          <w:p w14:paraId="61B8460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7564732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w:t>
            </w:r>
          </w:p>
        </w:tc>
        <w:tc>
          <w:tcPr>
            <w:tcW w:w="1152" w:type="dxa"/>
            <w:vAlign w:val="center"/>
          </w:tcPr>
          <w:p w14:paraId="29A1B65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1" w:type="dxa"/>
            <w:vAlign w:val="center"/>
          </w:tcPr>
          <w:p w14:paraId="3BDD237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5.6</w:t>
            </w:r>
          </w:p>
        </w:tc>
        <w:tc>
          <w:tcPr>
            <w:tcW w:w="1152" w:type="dxa"/>
            <w:vAlign w:val="center"/>
          </w:tcPr>
          <w:p w14:paraId="2DA6496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5F59A3B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r>
      <w:tr w:rsidR="00332F08" w:rsidRPr="00CD29D0" w14:paraId="6DF4C529"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3D54C4B"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68DCAB11" w14:textId="1364BE5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49B9280" w14:textId="408C8C9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F5024DA" w14:textId="27B34D94"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0A2657D" w14:textId="260FA86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11C18E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r>
      <w:tr w:rsidR="00332F08" w:rsidRPr="00CD29D0" w14:paraId="54CDDEFD" w14:textId="77777777" w:rsidTr="00BF0B5C">
        <w:tc>
          <w:tcPr>
            <w:tcW w:w="3586" w:type="dxa"/>
          </w:tcPr>
          <w:p w14:paraId="623CB54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4E03102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585</w:t>
            </w:r>
          </w:p>
        </w:tc>
        <w:tc>
          <w:tcPr>
            <w:tcW w:w="1152" w:type="dxa"/>
            <w:vAlign w:val="center"/>
          </w:tcPr>
          <w:p w14:paraId="66906EB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1" w:type="dxa"/>
            <w:vAlign w:val="center"/>
          </w:tcPr>
          <w:p w14:paraId="4DF3DFD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w:t>
            </w:r>
          </w:p>
        </w:tc>
        <w:tc>
          <w:tcPr>
            <w:tcW w:w="1152" w:type="dxa"/>
            <w:vAlign w:val="center"/>
          </w:tcPr>
          <w:p w14:paraId="1FDFC70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1.7</w:t>
            </w:r>
          </w:p>
        </w:tc>
        <w:tc>
          <w:tcPr>
            <w:tcW w:w="1152" w:type="dxa"/>
            <w:vAlign w:val="center"/>
          </w:tcPr>
          <w:p w14:paraId="66E4062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w:t>
            </w:r>
          </w:p>
        </w:tc>
      </w:tr>
      <w:tr w:rsidR="00332F08" w:rsidRPr="00CD29D0" w14:paraId="243ED4E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78F0664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3991825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229</w:t>
            </w:r>
          </w:p>
        </w:tc>
        <w:tc>
          <w:tcPr>
            <w:tcW w:w="1152" w:type="dxa"/>
            <w:vAlign w:val="center"/>
          </w:tcPr>
          <w:p w14:paraId="1E434DA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2.6</w:t>
            </w:r>
          </w:p>
        </w:tc>
        <w:tc>
          <w:tcPr>
            <w:tcW w:w="1151" w:type="dxa"/>
            <w:vAlign w:val="center"/>
          </w:tcPr>
          <w:p w14:paraId="1706E30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c>
          <w:tcPr>
            <w:tcW w:w="1152" w:type="dxa"/>
            <w:vAlign w:val="center"/>
          </w:tcPr>
          <w:p w14:paraId="7E40317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3.5</w:t>
            </w:r>
          </w:p>
        </w:tc>
        <w:tc>
          <w:tcPr>
            <w:tcW w:w="1152" w:type="dxa"/>
            <w:vAlign w:val="center"/>
          </w:tcPr>
          <w:p w14:paraId="7FB6D60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3.4</w:t>
            </w:r>
          </w:p>
        </w:tc>
      </w:tr>
      <w:tr w:rsidR="00332F08" w:rsidRPr="00CD29D0" w14:paraId="52F31F4B" w14:textId="77777777" w:rsidTr="00BF0B5C">
        <w:tc>
          <w:tcPr>
            <w:tcW w:w="3586" w:type="dxa"/>
          </w:tcPr>
          <w:p w14:paraId="197A07C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7988DB5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w:t>
            </w:r>
          </w:p>
        </w:tc>
        <w:tc>
          <w:tcPr>
            <w:tcW w:w="1152" w:type="dxa"/>
            <w:vAlign w:val="center"/>
          </w:tcPr>
          <w:p w14:paraId="1253A37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11.1</w:t>
            </w:r>
          </w:p>
        </w:tc>
        <w:tc>
          <w:tcPr>
            <w:tcW w:w="1151" w:type="dxa"/>
            <w:vAlign w:val="center"/>
          </w:tcPr>
          <w:p w14:paraId="2DB23C9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29CAF6B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6A68D65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7.7</w:t>
            </w:r>
          </w:p>
        </w:tc>
      </w:tr>
      <w:tr w:rsidR="00332F08" w:rsidRPr="00CD29D0" w14:paraId="04652A3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40464B9"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4798FD4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160</w:t>
            </w:r>
          </w:p>
        </w:tc>
        <w:tc>
          <w:tcPr>
            <w:tcW w:w="1152" w:type="dxa"/>
            <w:vAlign w:val="center"/>
          </w:tcPr>
          <w:p w14:paraId="533A429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2.5</w:t>
            </w:r>
          </w:p>
        </w:tc>
        <w:tc>
          <w:tcPr>
            <w:tcW w:w="1151" w:type="dxa"/>
            <w:vAlign w:val="center"/>
          </w:tcPr>
          <w:p w14:paraId="7D1AAAD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03182B0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4.4</w:t>
            </w:r>
          </w:p>
        </w:tc>
        <w:tc>
          <w:tcPr>
            <w:tcW w:w="1152" w:type="dxa"/>
            <w:vAlign w:val="center"/>
          </w:tcPr>
          <w:p w14:paraId="5138A02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3.6</w:t>
            </w:r>
          </w:p>
        </w:tc>
      </w:tr>
      <w:tr w:rsidR="00332F08" w:rsidRPr="00CD29D0" w14:paraId="5AF87F7B" w14:textId="77777777" w:rsidTr="00BF0B5C">
        <w:tc>
          <w:tcPr>
            <w:tcW w:w="3586" w:type="dxa"/>
          </w:tcPr>
          <w:p w14:paraId="3810C730"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76B63C0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122</w:t>
            </w:r>
          </w:p>
        </w:tc>
        <w:tc>
          <w:tcPr>
            <w:tcW w:w="1152" w:type="dxa"/>
            <w:vAlign w:val="center"/>
          </w:tcPr>
          <w:p w14:paraId="482AA0B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3.3</w:t>
            </w:r>
          </w:p>
        </w:tc>
        <w:tc>
          <w:tcPr>
            <w:tcW w:w="1151" w:type="dxa"/>
            <w:vAlign w:val="center"/>
          </w:tcPr>
          <w:p w14:paraId="2664EFE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4.3</w:t>
            </w:r>
          </w:p>
        </w:tc>
        <w:tc>
          <w:tcPr>
            <w:tcW w:w="1152" w:type="dxa"/>
            <w:vAlign w:val="center"/>
          </w:tcPr>
          <w:p w14:paraId="0953BC0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4.9</w:t>
            </w:r>
          </w:p>
        </w:tc>
        <w:tc>
          <w:tcPr>
            <w:tcW w:w="1152" w:type="dxa"/>
            <w:vAlign w:val="center"/>
          </w:tcPr>
          <w:p w14:paraId="6C60DC8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2.9</w:t>
            </w:r>
          </w:p>
        </w:tc>
      </w:tr>
      <w:bookmarkEnd w:id="234"/>
    </w:tbl>
    <w:p w14:paraId="1B497392" w14:textId="77777777" w:rsidR="00332F08" w:rsidRPr="00CD29D0" w:rsidRDefault="00332F08" w:rsidP="00332F08">
      <w:pPr>
        <w:pStyle w:val="BodyText"/>
      </w:pPr>
      <w:r w:rsidRPr="00CD29D0">
        <w:br w:type="page"/>
      </w:r>
    </w:p>
    <w:p w14:paraId="0F42C5B6" w14:textId="77777777" w:rsidR="00332F08" w:rsidRPr="00CD29D0" w:rsidRDefault="00332F08" w:rsidP="00332F08">
      <w:pPr>
        <w:pStyle w:val="TableETitle"/>
      </w:pPr>
      <w:bookmarkStart w:id="237" w:name="_Toc211928962"/>
      <w:bookmarkStart w:id="238" w:name="_Toc227587050"/>
      <w:r w:rsidRPr="00CD29D0">
        <w:lastRenderedPageBreak/>
        <w:t>Table E19. In-School Suspension Rates by Student Group, 2022-2024</w:t>
      </w:r>
      <w:bookmarkEnd w:id="237"/>
      <w:bookmarkEnd w:id="238"/>
    </w:p>
    <w:tbl>
      <w:tblPr>
        <w:tblStyle w:val="MSVTable1"/>
        <w:tblW w:w="5000" w:type="pct"/>
        <w:tblLook w:val="0420" w:firstRow="1" w:lastRow="0" w:firstColumn="0" w:lastColumn="0" w:noHBand="0" w:noVBand="1"/>
        <w:tblCaption w:val="Table E19. In-School Suspension Rates by Student Group, 2022-2024"/>
        <w:tblDescription w:val="In-School Suspension Rates by Student Group, 2022-2024"/>
      </w:tblPr>
      <w:tblGrid>
        <w:gridCol w:w="3586"/>
        <w:gridCol w:w="1151"/>
        <w:gridCol w:w="1152"/>
        <w:gridCol w:w="1151"/>
        <w:gridCol w:w="1152"/>
        <w:gridCol w:w="1152"/>
      </w:tblGrid>
      <w:tr w:rsidR="00332F08" w:rsidRPr="00CD29D0" w14:paraId="1C1D1002"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0FA789FF" w14:textId="77777777" w:rsidR="00332F08" w:rsidRPr="00CD29D0" w:rsidRDefault="00332F08" w:rsidP="00BF0B5C">
            <w:pPr>
              <w:pStyle w:val="TableColHeadingLeft"/>
            </w:pPr>
            <w:r w:rsidRPr="00CD29D0">
              <w:t>Group</w:t>
            </w:r>
          </w:p>
        </w:tc>
        <w:tc>
          <w:tcPr>
            <w:tcW w:w="1151" w:type="dxa"/>
            <w:vAlign w:val="center"/>
          </w:tcPr>
          <w:p w14:paraId="2965BBED" w14:textId="77777777" w:rsidR="00332F08" w:rsidRPr="00CD29D0" w:rsidRDefault="00332F08" w:rsidP="00BF0B5C">
            <w:pPr>
              <w:pStyle w:val="TableColHeadingCenter"/>
            </w:pPr>
            <w:r w:rsidRPr="00CD29D0">
              <w:t># Included (2024)</w:t>
            </w:r>
          </w:p>
        </w:tc>
        <w:tc>
          <w:tcPr>
            <w:tcW w:w="1152" w:type="dxa"/>
            <w:vAlign w:val="center"/>
          </w:tcPr>
          <w:p w14:paraId="3EE74718" w14:textId="77777777" w:rsidR="00332F08" w:rsidRPr="00CD29D0" w:rsidRDefault="00332F08" w:rsidP="00BF0B5C">
            <w:pPr>
              <w:pStyle w:val="TableColHeadingCenter"/>
            </w:pPr>
            <w:r w:rsidRPr="00CD29D0">
              <w:t>2022</w:t>
            </w:r>
          </w:p>
        </w:tc>
        <w:tc>
          <w:tcPr>
            <w:tcW w:w="1151" w:type="dxa"/>
            <w:vAlign w:val="center"/>
          </w:tcPr>
          <w:p w14:paraId="499F2EF2" w14:textId="77777777" w:rsidR="00332F08" w:rsidRPr="00CD29D0" w:rsidRDefault="00332F08" w:rsidP="00BF0B5C">
            <w:pPr>
              <w:pStyle w:val="TableColHeadingCenter"/>
            </w:pPr>
            <w:r w:rsidRPr="00CD29D0">
              <w:t>2023</w:t>
            </w:r>
          </w:p>
        </w:tc>
        <w:tc>
          <w:tcPr>
            <w:tcW w:w="1152" w:type="dxa"/>
            <w:vAlign w:val="center"/>
          </w:tcPr>
          <w:p w14:paraId="7AD8E1D6" w14:textId="77777777" w:rsidR="00332F08" w:rsidRPr="00CD29D0" w:rsidRDefault="00332F08" w:rsidP="00BF0B5C">
            <w:pPr>
              <w:pStyle w:val="TableColHeadingCenter"/>
            </w:pPr>
            <w:r w:rsidRPr="00CD29D0">
              <w:t>2024</w:t>
            </w:r>
          </w:p>
        </w:tc>
        <w:tc>
          <w:tcPr>
            <w:tcW w:w="1152" w:type="dxa"/>
            <w:vAlign w:val="center"/>
          </w:tcPr>
          <w:p w14:paraId="6D5CCC78" w14:textId="77777777" w:rsidR="00332F08" w:rsidRPr="00CD29D0" w:rsidRDefault="00332F08" w:rsidP="00BF0B5C">
            <w:pPr>
              <w:pStyle w:val="TableColHeadingCenter"/>
            </w:pPr>
            <w:r w:rsidRPr="00CD29D0">
              <w:t>State (2024)</w:t>
            </w:r>
          </w:p>
        </w:tc>
      </w:tr>
      <w:tr w:rsidR="00332F08" w:rsidRPr="00CD29D0" w14:paraId="3161954B"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21FBCC4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53D9B34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2,444</w:t>
            </w:r>
          </w:p>
        </w:tc>
        <w:tc>
          <w:tcPr>
            <w:tcW w:w="1152" w:type="dxa"/>
            <w:vAlign w:val="center"/>
          </w:tcPr>
          <w:p w14:paraId="61BFE76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0.6</w:t>
            </w:r>
          </w:p>
        </w:tc>
        <w:tc>
          <w:tcPr>
            <w:tcW w:w="1151" w:type="dxa"/>
            <w:vAlign w:val="center"/>
          </w:tcPr>
          <w:p w14:paraId="1A1CA21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0.9</w:t>
            </w:r>
          </w:p>
        </w:tc>
        <w:tc>
          <w:tcPr>
            <w:tcW w:w="1152" w:type="dxa"/>
            <w:vAlign w:val="center"/>
          </w:tcPr>
          <w:p w14:paraId="578275F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2" w:type="dxa"/>
            <w:vAlign w:val="center"/>
          </w:tcPr>
          <w:p w14:paraId="42F44E0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w:t>
            </w:r>
          </w:p>
        </w:tc>
      </w:tr>
      <w:tr w:rsidR="00332F08" w:rsidRPr="00CD29D0" w14:paraId="74E47801" w14:textId="77777777" w:rsidTr="00BF0B5C">
        <w:tc>
          <w:tcPr>
            <w:tcW w:w="3586" w:type="dxa"/>
          </w:tcPr>
          <w:p w14:paraId="07A92DAD"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0049E7A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w:t>
            </w:r>
          </w:p>
        </w:tc>
        <w:tc>
          <w:tcPr>
            <w:tcW w:w="1152" w:type="dxa"/>
            <w:vAlign w:val="center"/>
          </w:tcPr>
          <w:p w14:paraId="2E485559" w14:textId="1C566A0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7FEF7D9" w14:textId="14EAD91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B7710C0" w14:textId="07EB740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21CA9C8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w:t>
            </w:r>
          </w:p>
        </w:tc>
      </w:tr>
      <w:tr w:rsidR="00332F08" w:rsidRPr="00CD29D0" w14:paraId="0D38FB32"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7BDCB3B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5CE6C54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55</w:t>
            </w:r>
          </w:p>
        </w:tc>
        <w:tc>
          <w:tcPr>
            <w:tcW w:w="1152" w:type="dxa"/>
            <w:vAlign w:val="center"/>
          </w:tcPr>
          <w:p w14:paraId="1C29FF65" w14:textId="2763EFC5"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23782B0" w14:textId="48E398B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69D47DE" w14:textId="004FEC4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ADAF6C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0.3</w:t>
            </w:r>
          </w:p>
        </w:tc>
      </w:tr>
      <w:tr w:rsidR="00332F08" w:rsidRPr="00CD29D0" w14:paraId="1E68F641" w14:textId="77777777" w:rsidTr="00BF0B5C">
        <w:tc>
          <w:tcPr>
            <w:tcW w:w="3586" w:type="dxa"/>
          </w:tcPr>
          <w:p w14:paraId="5E095FA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28A7E6E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122</w:t>
            </w:r>
          </w:p>
        </w:tc>
        <w:tc>
          <w:tcPr>
            <w:tcW w:w="1152" w:type="dxa"/>
            <w:vAlign w:val="center"/>
          </w:tcPr>
          <w:p w14:paraId="4C53210F" w14:textId="41EA5C8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C282C2B" w14:textId="4915C37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C3340CB" w14:textId="71ACA42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549770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w:t>
            </w:r>
          </w:p>
        </w:tc>
      </w:tr>
      <w:tr w:rsidR="00332F08" w:rsidRPr="00CD29D0" w14:paraId="5EC112DA"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BBBEED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33C7403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101</w:t>
            </w:r>
          </w:p>
        </w:tc>
        <w:tc>
          <w:tcPr>
            <w:tcW w:w="1152" w:type="dxa"/>
            <w:vAlign w:val="center"/>
          </w:tcPr>
          <w:p w14:paraId="7DF6829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w:t>
            </w:r>
          </w:p>
        </w:tc>
        <w:tc>
          <w:tcPr>
            <w:tcW w:w="1151" w:type="dxa"/>
            <w:vAlign w:val="center"/>
          </w:tcPr>
          <w:p w14:paraId="74FC1505" w14:textId="7C2C5DEA"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5BF55EF" w14:textId="3F27CB9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85061B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r>
      <w:tr w:rsidR="00332F08" w:rsidRPr="00CD29D0" w14:paraId="076D5B8F" w14:textId="77777777" w:rsidTr="00BF0B5C">
        <w:tc>
          <w:tcPr>
            <w:tcW w:w="3586" w:type="dxa"/>
          </w:tcPr>
          <w:p w14:paraId="2FFD149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1B0B546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105</w:t>
            </w:r>
          </w:p>
        </w:tc>
        <w:tc>
          <w:tcPr>
            <w:tcW w:w="1152" w:type="dxa"/>
            <w:vAlign w:val="center"/>
          </w:tcPr>
          <w:p w14:paraId="1CB09BD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w:t>
            </w:r>
          </w:p>
        </w:tc>
        <w:tc>
          <w:tcPr>
            <w:tcW w:w="1151" w:type="dxa"/>
            <w:vAlign w:val="center"/>
          </w:tcPr>
          <w:p w14:paraId="3E57BDC8" w14:textId="3CFE591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718755A" w14:textId="6E6E844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05AD36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1.6</w:t>
            </w:r>
          </w:p>
        </w:tc>
      </w:tr>
      <w:tr w:rsidR="00332F08" w:rsidRPr="00CD29D0" w14:paraId="26B94A72"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95E2C75"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7CDC3E1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w:t>
            </w:r>
          </w:p>
        </w:tc>
        <w:tc>
          <w:tcPr>
            <w:tcW w:w="1152" w:type="dxa"/>
            <w:vAlign w:val="center"/>
          </w:tcPr>
          <w:p w14:paraId="28481F41" w14:textId="595E1F0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71E3BAFB" w14:textId="522D920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8891C21" w14:textId="7D8340CC"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F08FC0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r>
      <w:tr w:rsidR="00332F08" w:rsidRPr="00CD29D0" w14:paraId="395C9936" w14:textId="77777777" w:rsidTr="00BF0B5C">
        <w:tc>
          <w:tcPr>
            <w:tcW w:w="3586" w:type="dxa"/>
          </w:tcPr>
          <w:p w14:paraId="2D69D03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4F653E1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2,057</w:t>
            </w:r>
          </w:p>
        </w:tc>
        <w:tc>
          <w:tcPr>
            <w:tcW w:w="1152" w:type="dxa"/>
            <w:vAlign w:val="center"/>
          </w:tcPr>
          <w:p w14:paraId="7A0C0B7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0.5</w:t>
            </w:r>
          </w:p>
        </w:tc>
        <w:tc>
          <w:tcPr>
            <w:tcW w:w="1151" w:type="dxa"/>
            <w:vAlign w:val="center"/>
          </w:tcPr>
          <w:p w14:paraId="3B1FB70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0.9</w:t>
            </w:r>
          </w:p>
        </w:tc>
        <w:tc>
          <w:tcPr>
            <w:tcW w:w="1152" w:type="dxa"/>
            <w:vAlign w:val="center"/>
          </w:tcPr>
          <w:p w14:paraId="4ABD84B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1.3</w:t>
            </w:r>
          </w:p>
        </w:tc>
        <w:tc>
          <w:tcPr>
            <w:tcW w:w="1152" w:type="dxa"/>
            <w:vAlign w:val="center"/>
          </w:tcPr>
          <w:p w14:paraId="639A813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w:t>
            </w:r>
          </w:p>
        </w:tc>
      </w:tr>
      <w:tr w:rsidR="00332F08" w:rsidRPr="00CD29D0" w14:paraId="466011E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06E9239"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1CEC53E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1,053</w:t>
            </w:r>
          </w:p>
        </w:tc>
        <w:tc>
          <w:tcPr>
            <w:tcW w:w="1152" w:type="dxa"/>
            <w:vAlign w:val="center"/>
          </w:tcPr>
          <w:p w14:paraId="315A709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1.3</w:t>
            </w:r>
          </w:p>
        </w:tc>
        <w:tc>
          <w:tcPr>
            <w:tcW w:w="1151" w:type="dxa"/>
            <w:vAlign w:val="center"/>
          </w:tcPr>
          <w:p w14:paraId="759D73B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w:t>
            </w:r>
          </w:p>
        </w:tc>
        <w:tc>
          <w:tcPr>
            <w:tcW w:w="1152" w:type="dxa"/>
            <w:vAlign w:val="center"/>
          </w:tcPr>
          <w:p w14:paraId="346D3C2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w:t>
            </w:r>
          </w:p>
        </w:tc>
        <w:tc>
          <w:tcPr>
            <w:tcW w:w="1152" w:type="dxa"/>
            <w:vAlign w:val="center"/>
          </w:tcPr>
          <w:p w14:paraId="5DA963A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r>
      <w:tr w:rsidR="00332F08" w:rsidRPr="00CD29D0" w14:paraId="68370B0C" w14:textId="77777777" w:rsidTr="00BF0B5C">
        <w:tc>
          <w:tcPr>
            <w:tcW w:w="3586" w:type="dxa"/>
          </w:tcPr>
          <w:p w14:paraId="6E9C5CE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7FA5FA4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68</w:t>
            </w:r>
          </w:p>
        </w:tc>
        <w:tc>
          <w:tcPr>
            <w:tcW w:w="1152" w:type="dxa"/>
            <w:vAlign w:val="center"/>
          </w:tcPr>
          <w:p w14:paraId="1D7EDA72" w14:textId="248431C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268F15DE" w14:textId="191EE61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A469FF1" w14:textId="0793578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272C68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w:t>
            </w:r>
          </w:p>
        </w:tc>
      </w:tr>
      <w:tr w:rsidR="00332F08" w:rsidRPr="00CD29D0" w14:paraId="7903C88F"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22AFBBAE"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4ABFC06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690</w:t>
            </w:r>
          </w:p>
        </w:tc>
        <w:tc>
          <w:tcPr>
            <w:tcW w:w="1152" w:type="dxa"/>
            <w:vAlign w:val="center"/>
          </w:tcPr>
          <w:p w14:paraId="3945001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w:t>
            </w:r>
          </w:p>
        </w:tc>
        <w:tc>
          <w:tcPr>
            <w:tcW w:w="1151" w:type="dxa"/>
            <w:vAlign w:val="center"/>
          </w:tcPr>
          <w:p w14:paraId="27224A6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w:t>
            </w:r>
          </w:p>
        </w:tc>
        <w:tc>
          <w:tcPr>
            <w:tcW w:w="1152" w:type="dxa"/>
            <w:vAlign w:val="center"/>
          </w:tcPr>
          <w:p w14:paraId="698E150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2.3</w:t>
            </w:r>
          </w:p>
        </w:tc>
        <w:tc>
          <w:tcPr>
            <w:tcW w:w="1152" w:type="dxa"/>
            <w:vAlign w:val="center"/>
          </w:tcPr>
          <w:p w14:paraId="0AC9C12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w:t>
            </w:r>
          </w:p>
        </w:tc>
      </w:tr>
      <w:tr w:rsidR="00332F08" w:rsidRPr="00CD29D0" w14:paraId="0FDDAF30" w14:textId="77777777" w:rsidTr="00BF0B5C">
        <w:tc>
          <w:tcPr>
            <w:tcW w:w="3586" w:type="dxa"/>
          </w:tcPr>
          <w:p w14:paraId="21321C86"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1A7CFCD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593</w:t>
            </w:r>
          </w:p>
        </w:tc>
        <w:tc>
          <w:tcPr>
            <w:tcW w:w="1152" w:type="dxa"/>
            <w:vAlign w:val="center"/>
          </w:tcPr>
          <w:p w14:paraId="47FCE53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1.4</w:t>
            </w:r>
          </w:p>
        </w:tc>
        <w:tc>
          <w:tcPr>
            <w:tcW w:w="1151" w:type="dxa"/>
            <w:vAlign w:val="center"/>
          </w:tcPr>
          <w:p w14:paraId="4BF1C39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c>
          <w:tcPr>
            <w:tcW w:w="1152" w:type="dxa"/>
            <w:vAlign w:val="center"/>
          </w:tcPr>
          <w:p w14:paraId="14E997E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2.9</w:t>
            </w:r>
          </w:p>
        </w:tc>
        <w:tc>
          <w:tcPr>
            <w:tcW w:w="1152" w:type="dxa"/>
            <w:vAlign w:val="center"/>
          </w:tcPr>
          <w:p w14:paraId="6075522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2.4</w:t>
            </w:r>
          </w:p>
        </w:tc>
      </w:tr>
    </w:tbl>
    <w:p w14:paraId="14A2E7C5" w14:textId="77777777" w:rsidR="00332F08" w:rsidRPr="00CD29D0" w:rsidRDefault="00332F08" w:rsidP="00332F08">
      <w:pPr>
        <w:pStyle w:val="TableETitle"/>
      </w:pPr>
      <w:bookmarkStart w:id="239" w:name="_Toc211928963"/>
      <w:bookmarkStart w:id="240" w:name="_Toc227587051"/>
      <w:r w:rsidRPr="00CD29D0">
        <w:t>Table E20. Out-of-School Suspension Rates by Student Group, 2022-2024</w:t>
      </w:r>
      <w:bookmarkEnd w:id="239"/>
      <w:bookmarkEnd w:id="240"/>
    </w:p>
    <w:tbl>
      <w:tblPr>
        <w:tblStyle w:val="MSVTable1"/>
        <w:tblW w:w="5000" w:type="pct"/>
        <w:tblLook w:val="0420" w:firstRow="1" w:lastRow="0" w:firstColumn="0" w:lastColumn="0" w:noHBand="0" w:noVBand="1"/>
        <w:tblCaption w:val="Table E20. Out-of-School Suspension Rates by Student Group, 2022-2024"/>
        <w:tblDescription w:val="Out-of-School Suspension Rates by Student Group, 2022-2024"/>
      </w:tblPr>
      <w:tblGrid>
        <w:gridCol w:w="3586"/>
        <w:gridCol w:w="1151"/>
        <w:gridCol w:w="1152"/>
        <w:gridCol w:w="1151"/>
        <w:gridCol w:w="1152"/>
        <w:gridCol w:w="1152"/>
      </w:tblGrid>
      <w:tr w:rsidR="00332F08" w:rsidRPr="00CD29D0" w14:paraId="61E59A5B"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8A23221" w14:textId="77777777" w:rsidR="00332F08" w:rsidRPr="00CD29D0" w:rsidRDefault="00332F08" w:rsidP="00BF0B5C">
            <w:pPr>
              <w:pStyle w:val="TableColHeadingLeft"/>
            </w:pPr>
            <w:r w:rsidRPr="00CD29D0">
              <w:t>Group</w:t>
            </w:r>
          </w:p>
        </w:tc>
        <w:tc>
          <w:tcPr>
            <w:tcW w:w="1151" w:type="dxa"/>
            <w:vAlign w:val="center"/>
          </w:tcPr>
          <w:p w14:paraId="1169F35C" w14:textId="77777777" w:rsidR="00332F08" w:rsidRPr="00CD29D0" w:rsidRDefault="00332F08" w:rsidP="00BF0B5C">
            <w:pPr>
              <w:pStyle w:val="TableColHeadingCenter"/>
            </w:pPr>
            <w:r w:rsidRPr="00CD29D0">
              <w:t># Included (2024)</w:t>
            </w:r>
          </w:p>
        </w:tc>
        <w:tc>
          <w:tcPr>
            <w:tcW w:w="1152" w:type="dxa"/>
            <w:vAlign w:val="center"/>
          </w:tcPr>
          <w:p w14:paraId="28A9BBF5" w14:textId="77777777" w:rsidR="00332F08" w:rsidRPr="00CD29D0" w:rsidRDefault="00332F08" w:rsidP="00BF0B5C">
            <w:pPr>
              <w:pStyle w:val="TableColHeadingCenter"/>
            </w:pPr>
            <w:r w:rsidRPr="00CD29D0">
              <w:t>2022</w:t>
            </w:r>
          </w:p>
        </w:tc>
        <w:tc>
          <w:tcPr>
            <w:tcW w:w="1151" w:type="dxa"/>
            <w:vAlign w:val="center"/>
          </w:tcPr>
          <w:p w14:paraId="129C6DF0" w14:textId="77777777" w:rsidR="00332F08" w:rsidRPr="00CD29D0" w:rsidRDefault="00332F08" w:rsidP="00BF0B5C">
            <w:pPr>
              <w:pStyle w:val="TableColHeadingCenter"/>
            </w:pPr>
            <w:r w:rsidRPr="00CD29D0">
              <w:t>2023</w:t>
            </w:r>
          </w:p>
        </w:tc>
        <w:tc>
          <w:tcPr>
            <w:tcW w:w="1152" w:type="dxa"/>
            <w:vAlign w:val="center"/>
          </w:tcPr>
          <w:p w14:paraId="1632520D" w14:textId="77777777" w:rsidR="00332F08" w:rsidRPr="00CD29D0" w:rsidRDefault="00332F08" w:rsidP="00BF0B5C">
            <w:pPr>
              <w:pStyle w:val="TableColHeadingCenter"/>
            </w:pPr>
            <w:r w:rsidRPr="00CD29D0">
              <w:t>2024</w:t>
            </w:r>
          </w:p>
        </w:tc>
        <w:tc>
          <w:tcPr>
            <w:tcW w:w="1152" w:type="dxa"/>
            <w:vAlign w:val="center"/>
          </w:tcPr>
          <w:p w14:paraId="2382899A" w14:textId="77777777" w:rsidR="00332F08" w:rsidRPr="00CD29D0" w:rsidRDefault="00332F08" w:rsidP="00BF0B5C">
            <w:pPr>
              <w:pStyle w:val="TableColHeadingCenter"/>
            </w:pPr>
            <w:r w:rsidRPr="00CD29D0">
              <w:t>State (2024)</w:t>
            </w:r>
          </w:p>
        </w:tc>
      </w:tr>
      <w:tr w:rsidR="00332F08" w:rsidRPr="00CD29D0" w14:paraId="437DA9F6"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05F84D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2B78795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2,444</w:t>
            </w:r>
          </w:p>
        </w:tc>
        <w:tc>
          <w:tcPr>
            <w:tcW w:w="1152" w:type="dxa"/>
            <w:vAlign w:val="center"/>
          </w:tcPr>
          <w:p w14:paraId="47D39F6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2.7</w:t>
            </w:r>
          </w:p>
        </w:tc>
        <w:tc>
          <w:tcPr>
            <w:tcW w:w="1151" w:type="dxa"/>
            <w:vAlign w:val="center"/>
          </w:tcPr>
          <w:p w14:paraId="1C97E18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0.9</w:t>
            </w:r>
          </w:p>
        </w:tc>
        <w:tc>
          <w:tcPr>
            <w:tcW w:w="1152" w:type="dxa"/>
            <w:vAlign w:val="center"/>
          </w:tcPr>
          <w:p w14:paraId="09B2E19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w:t>
            </w:r>
          </w:p>
        </w:tc>
        <w:tc>
          <w:tcPr>
            <w:tcW w:w="1152" w:type="dxa"/>
            <w:vAlign w:val="center"/>
          </w:tcPr>
          <w:p w14:paraId="2E851B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2.4</w:t>
            </w:r>
          </w:p>
        </w:tc>
      </w:tr>
      <w:tr w:rsidR="00332F08" w:rsidRPr="00CD29D0" w14:paraId="15D12B1E" w14:textId="77777777" w:rsidTr="00BF0B5C">
        <w:tc>
          <w:tcPr>
            <w:tcW w:w="3586" w:type="dxa"/>
          </w:tcPr>
          <w:p w14:paraId="46EE2ABE"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39EA95D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w:t>
            </w:r>
          </w:p>
        </w:tc>
        <w:tc>
          <w:tcPr>
            <w:tcW w:w="1152" w:type="dxa"/>
            <w:vAlign w:val="center"/>
          </w:tcPr>
          <w:p w14:paraId="77831246" w14:textId="06091541"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7A60F7F8" w14:textId="64A28263"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515DEB3" w14:textId="0D9DC04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30D71B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3.5</w:t>
            </w:r>
          </w:p>
        </w:tc>
      </w:tr>
      <w:tr w:rsidR="00332F08" w:rsidRPr="00CD29D0" w14:paraId="2916B3BF"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46FCE01"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203EC75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55</w:t>
            </w:r>
          </w:p>
        </w:tc>
        <w:tc>
          <w:tcPr>
            <w:tcW w:w="1152" w:type="dxa"/>
            <w:vAlign w:val="center"/>
          </w:tcPr>
          <w:p w14:paraId="2373342C" w14:textId="75B81DE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5A5395B" w14:textId="601E8D7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E960277" w14:textId="21AB1E96"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E9881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0.6</w:t>
            </w:r>
          </w:p>
        </w:tc>
      </w:tr>
      <w:tr w:rsidR="00332F08" w:rsidRPr="00CD29D0" w14:paraId="130A55F9" w14:textId="77777777" w:rsidTr="00BF0B5C">
        <w:tc>
          <w:tcPr>
            <w:tcW w:w="3586" w:type="dxa"/>
          </w:tcPr>
          <w:p w14:paraId="66FA749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315876C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122</w:t>
            </w:r>
          </w:p>
        </w:tc>
        <w:tc>
          <w:tcPr>
            <w:tcW w:w="1152" w:type="dxa"/>
            <w:vAlign w:val="center"/>
          </w:tcPr>
          <w:p w14:paraId="29D1EF5D" w14:textId="58DCA39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75D87D4D" w14:textId="0DCBE050"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D4BEDDC" w14:textId="199A8E0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4F0C03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w:t>
            </w:r>
          </w:p>
        </w:tc>
      </w:tr>
      <w:tr w:rsidR="00332F08" w:rsidRPr="00CD29D0" w14:paraId="2C5013E5"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E90E516"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67B1363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101</w:t>
            </w:r>
          </w:p>
        </w:tc>
        <w:tc>
          <w:tcPr>
            <w:tcW w:w="1152" w:type="dxa"/>
            <w:vAlign w:val="center"/>
          </w:tcPr>
          <w:p w14:paraId="147A934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8.2</w:t>
            </w:r>
          </w:p>
        </w:tc>
        <w:tc>
          <w:tcPr>
            <w:tcW w:w="1151" w:type="dxa"/>
            <w:vAlign w:val="center"/>
          </w:tcPr>
          <w:p w14:paraId="3D720CAD" w14:textId="48B2233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5B5D0D8E" w14:textId="4BD3D358"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1BDDF01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3.8</w:t>
            </w:r>
          </w:p>
        </w:tc>
      </w:tr>
      <w:tr w:rsidR="00332F08" w:rsidRPr="00CD29D0" w14:paraId="48A7465D" w14:textId="77777777" w:rsidTr="00BF0B5C">
        <w:tc>
          <w:tcPr>
            <w:tcW w:w="3586" w:type="dxa"/>
          </w:tcPr>
          <w:p w14:paraId="17180FDC"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1125325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105</w:t>
            </w:r>
          </w:p>
        </w:tc>
        <w:tc>
          <w:tcPr>
            <w:tcW w:w="1152" w:type="dxa"/>
            <w:vAlign w:val="center"/>
          </w:tcPr>
          <w:p w14:paraId="5B089E53"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8.5</w:t>
            </w:r>
          </w:p>
        </w:tc>
        <w:tc>
          <w:tcPr>
            <w:tcW w:w="1151" w:type="dxa"/>
            <w:vAlign w:val="center"/>
          </w:tcPr>
          <w:p w14:paraId="74AEBFE0" w14:textId="29A74B87"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F03D987" w14:textId="0A0F205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1BCF24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2.6</w:t>
            </w:r>
          </w:p>
        </w:tc>
      </w:tr>
      <w:tr w:rsidR="00332F08" w:rsidRPr="00CD29D0" w14:paraId="5F19099C"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54433CF2"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3285F49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w:t>
            </w:r>
          </w:p>
        </w:tc>
        <w:tc>
          <w:tcPr>
            <w:tcW w:w="1152" w:type="dxa"/>
            <w:vAlign w:val="center"/>
          </w:tcPr>
          <w:p w14:paraId="58063008" w14:textId="411B4002"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006D8C8F" w14:textId="61A5499E"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05B601C6" w14:textId="0E2419E9"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26EC8C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2.5</w:t>
            </w:r>
          </w:p>
        </w:tc>
      </w:tr>
      <w:tr w:rsidR="00332F08" w:rsidRPr="00CD29D0" w14:paraId="4A9D4DE1" w14:textId="77777777" w:rsidTr="00BF0B5C">
        <w:tc>
          <w:tcPr>
            <w:tcW w:w="3586" w:type="dxa"/>
          </w:tcPr>
          <w:p w14:paraId="5E9290A1"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37C368A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2,057</w:t>
            </w:r>
          </w:p>
        </w:tc>
        <w:tc>
          <w:tcPr>
            <w:tcW w:w="1152" w:type="dxa"/>
            <w:vAlign w:val="center"/>
          </w:tcPr>
          <w:p w14:paraId="5E9375C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2.3</w:t>
            </w:r>
          </w:p>
        </w:tc>
        <w:tc>
          <w:tcPr>
            <w:tcW w:w="1151" w:type="dxa"/>
            <w:vAlign w:val="center"/>
          </w:tcPr>
          <w:p w14:paraId="5A1B728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0.8</w:t>
            </w:r>
          </w:p>
        </w:tc>
        <w:tc>
          <w:tcPr>
            <w:tcW w:w="1152" w:type="dxa"/>
            <w:vAlign w:val="center"/>
          </w:tcPr>
          <w:p w14:paraId="6A06315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w:t>
            </w:r>
          </w:p>
        </w:tc>
        <w:tc>
          <w:tcPr>
            <w:tcW w:w="1152" w:type="dxa"/>
            <w:vAlign w:val="center"/>
          </w:tcPr>
          <w:p w14:paraId="0AA081B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w:t>
            </w:r>
          </w:p>
        </w:tc>
      </w:tr>
      <w:tr w:rsidR="00332F08" w:rsidRPr="00CD29D0" w14:paraId="4C820D74"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FC1890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0EB1C42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1,053</w:t>
            </w:r>
          </w:p>
        </w:tc>
        <w:tc>
          <w:tcPr>
            <w:tcW w:w="1152" w:type="dxa"/>
            <w:vAlign w:val="center"/>
          </w:tcPr>
          <w:p w14:paraId="54BEEF5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c>
          <w:tcPr>
            <w:tcW w:w="1151" w:type="dxa"/>
            <w:vAlign w:val="center"/>
          </w:tcPr>
          <w:p w14:paraId="3BF1FC3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1.8</w:t>
            </w:r>
          </w:p>
        </w:tc>
        <w:tc>
          <w:tcPr>
            <w:tcW w:w="1152" w:type="dxa"/>
            <w:vAlign w:val="center"/>
          </w:tcPr>
          <w:p w14:paraId="4D6652C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2.7</w:t>
            </w:r>
          </w:p>
        </w:tc>
        <w:tc>
          <w:tcPr>
            <w:tcW w:w="1152" w:type="dxa"/>
            <w:vAlign w:val="center"/>
          </w:tcPr>
          <w:p w14:paraId="698272F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3.6</w:t>
            </w:r>
          </w:p>
        </w:tc>
      </w:tr>
      <w:tr w:rsidR="00332F08" w:rsidRPr="00CD29D0" w14:paraId="0D580C4D" w14:textId="77777777" w:rsidTr="00BF0B5C">
        <w:tc>
          <w:tcPr>
            <w:tcW w:w="3586" w:type="dxa"/>
          </w:tcPr>
          <w:p w14:paraId="344B082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3D84F1C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68</w:t>
            </w:r>
          </w:p>
        </w:tc>
        <w:tc>
          <w:tcPr>
            <w:tcW w:w="1152" w:type="dxa"/>
            <w:vAlign w:val="center"/>
          </w:tcPr>
          <w:p w14:paraId="303B18F6" w14:textId="7548164D"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66395069" w14:textId="4D4E6F2B"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3FCEAB14" w14:textId="3B09F82F" w:rsidR="00332F08" w:rsidRPr="00CD29D0" w:rsidRDefault="006E428E"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685FD6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2.6</w:t>
            </w:r>
          </w:p>
        </w:tc>
      </w:tr>
      <w:tr w:rsidR="00332F08" w:rsidRPr="00CD29D0" w14:paraId="482A616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5DCA764"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7D0E4A6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690</w:t>
            </w:r>
          </w:p>
        </w:tc>
        <w:tc>
          <w:tcPr>
            <w:tcW w:w="1152" w:type="dxa"/>
            <w:vAlign w:val="center"/>
          </w:tcPr>
          <w:p w14:paraId="2848DED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1" w:type="dxa"/>
            <w:vAlign w:val="center"/>
          </w:tcPr>
          <w:p w14:paraId="0E9958A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1.9</w:t>
            </w:r>
          </w:p>
        </w:tc>
        <w:tc>
          <w:tcPr>
            <w:tcW w:w="1152" w:type="dxa"/>
            <w:vAlign w:val="center"/>
          </w:tcPr>
          <w:p w14:paraId="2BEA351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3.2</w:t>
            </w:r>
          </w:p>
        </w:tc>
        <w:tc>
          <w:tcPr>
            <w:tcW w:w="1152" w:type="dxa"/>
            <w:vAlign w:val="center"/>
          </w:tcPr>
          <w:p w14:paraId="53037EF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w:t>
            </w:r>
          </w:p>
        </w:tc>
      </w:tr>
      <w:tr w:rsidR="00332F08" w:rsidRPr="00CD29D0" w14:paraId="19ED7C8E" w14:textId="77777777" w:rsidTr="00BF0B5C">
        <w:tc>
          <w:tcPr>
            <w:tcW w:w="3586" w:type="dxa"/>
          </w:tcPr>
          <w:p w14:paraId="1CE7BBE8"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0120870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593</w:t>
            </w:r>
          </w:p>
        </w:tc>
        <w:tc>
          <w:tcPr>
            <w:tcW w:w="1152" w:type="dxa"/>
            <w:vAlign w:val="center"/>
          </w:tcPr>
          <w:p w14:paraId="57E9DA6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4.8</w:t>
            </w:r>
          </w:p>
        </w:tc>
        <w:tc>
          <w:tcPr>
            <w:tcW w:w="1151" w:type="dxa"/>
            <w:vAlign w:val="center"/>
          </w:tcPr>
          <w:p w14:paraId="416CBC1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2.1</w:t>
            </w:r>
          </w:p>
        </w:tc>
        <w:tc>
          <w:tcPr>
            <w:tcW w:w="1152" w:type="dxa"/>
            <w:vAlign w:val="center"/>
          </w:tcPr>
          <w:p w14:paraId="0377E04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3.2</w:t>
            </w:r>
          </w:p>
        </w:tc>
        <w:tc>
          <w:tcPr>
            <w:tcW w:w="1152" w:type="dxa"/>
            <w:vAlign w:val="center"/>
          </w:tcPr>
          <w:p w14:paraId="28E2A55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4.5</w:t>
            </w:r>
          </w:p>
        </w:tc>
      </w:tr>
    </w:tbl>
    <w:p w14:paraId="7B15F3FA" w14:textId="77777777" w:rsidR="00332F08" w:rsidRPr="00CD29D0" w:rsidRDefault="00332F08" w:rsidP="00332F08">
      <w:pPr>
        <w:pStyle w:val="BodyText"/>
      </w:pPr>
      <w:bookmarkStart w:id="241" w:name="_Hlk138323870"/>
      <w:r w:rsidRPr="00CD29D0">
        <w:br w:type="page"/>
      </w:r>
    </w:p>
    <w:p w14:paraId="143DC9F0" w14:textId="77777777" w:rsidR="00332F08" w:rsidRPr="00CD29D0" w:rsidRDefault="00332F08" w:rsidP="00332F08">
      <w:pPr>
        <w:pStyle w:val="TableETitle"/>
      </w:pPr>
      <w:bookmarkStart w:id="242" w:name="_Toc211928964"/>
      <w:bookmarkStart w:id="243" w:name="_Toc227587052"/>
      <w:r w:rsidRPr="00CD29D0">
        <w:lastRenderedPageBreak/>
        <w:t>Table E21. Advanced Coursework Completion Rates by Student Group, 2023-2025</w:t>
      </w:r>
      <w:bookmarkEnd w:id="242"/>
      <w:bookmarkEnd w:id="243"/>
    </w:p>
    <w:tbl>
      <w:tblPr>
        <w:tblStyle w:val="MSVTable1"/>
        <w:tblW w:w="5000" w:type="pct"/>
        <w:tblLook w:val="0420" w:firstRow="1" w:lastRow="0" w:firstColumn="0" w:lastColumn="0" w:noHBand="0" w:noVBand="1"/>
        <w:tblCaption w:val="Table E21. Advanced Coursework Completion Rates by Student Group, 2023-2025"/>
        <w:tblDescription w:val="Advanced Coursework Completion Rates by Student Group, 2023-2025"/>
      </w:tblPr>
      <w:tblGrid>
        <w:gridCol w:w="3586"/>
        <w:gridCol w:w="1151"/>
        <w:gridCol w:w="1152"/>
        <w:gridCol w:w="1151"/>
        <w:gridCol w:w="1152"/>
        <w:gridCol w:w="1152"/>
      </w:tblGrid>
      <w:tr w:rsidR="00332F08" w:rsidRPr="00CD29D0" w14:paraId="1E8D64DA" w14:textId="77777777" w:rsidTr="00BF0B5C">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178C971" w14:textId="77777777" w:rsidR="00332F08" w:rsidRPr="00CD29D0" w:rsidRDefault="00332F08" w:rsidP="00BF0B5C">
            <w:pPr>
              <w:pStyle w:val="TableColHeadingLeft"/>
            </w:pPr>
            <w:r w:rsidRPr="00CD29D0">
              <w:t>Group</w:t>
            </w:r>
          </w:p>
        </w:tc>
        <w:tc>
          <w:tcPr>
            <w:tcW w:w="1151" w:type="dxa"/>
            <w:vAlign w:val="center"/>
          </w:tcPr>
          <w:p w14:paraId="31D4B1F1" w14:textId="77777777" w:rsidR="00332F08" w:rsidRPr="00CD29D0" w:rsidRDefault="00332F08" w:rsidP="00BF0B5C">
            <w:pPr>
              <w:pStyle w:val="TableColHeadingCenter"/>
            </w:pPr>
            <w:r w:rsidRPr="00CD29D0">
              <w:t># Included (2025)</w:t>
            </w:r>
          </w:p>
        </w:tc>
        <w:tc>
          <w:tcPr>
            <w:tcW w:w="1152" w:type="dxa"/>
            <w:vAlign w:val="center"/>
          </w:tcPr>
          <w:p w14:paraId="47BB45BD" w14:textId="77777777" w:rsidR="00332F08" w:rsidRPr="00CD29D0" w:rsidRDefault="00332F08" w:rsidP="00BF0B5C">
            <w:pPr>
              <w:pStyle w:val="TableColHeadingCenter"/>
            </w:pPr>
            <w:r w:rsidRPr="00CD29D0">
              <w:t>2023</w:t>
            </w:r>
          </w:p>
        </w:tc>
        <w:tc>
          <w:tcPr>
            <w:tcW w:w="1151" w:type="dxa"/>
            <w:vAlign w:val="center"/>
          </w:tcPr>
          <w:p w14:paraId="766F3FAB" w14:textId="77777777" w:rsidR="00332F08" w:rsidRPr="00CD29D0" w:rsidRDefault="00332F08" w:rsidP="00BF0B5C">
            <w:pPr>
              <w:pStyle w:val="TableColHeadingCenter"/>
            </w:pPr>
            <w:r w:rsidRPr="00CD29D0">
              <w:t>2024</w:t>
            </w:r>
          </w:p>
        </w:tc>
        <w:tc>
          <w:tcPr>
            <w:tcW w:w="1152" w:type="dxa"/>
            <w:vAlign w:val="center"/>
          </w:tcPr>
          <w:p w14:paraId="24EA856C" w14:textId="77777777" w:rsidR="00332F08" w:rsidRPr="00CD29D0" w:rsidRDefault="00332F08" w:rsidP="00BF0B5C">
            <w:pPr>
              <w:pStyle w:val="TableColHeadingCenter"/>
            </w:pPr>
            <w:r w:rsidRPr="00CD29D0">
              <w:t>2025</w:t>
            </w:r>
          </w:p>
        </w:tc>
        <w:tc>
          <w:tcPr>
            <w:tcW w:w="1152" w:type="dxa"/>
            <w:vAlign w:val="center"/>
          </w:tcPr>
          <w:p w14:paraId="540D5547" w14:textId="77777777" w:rsidR="00332F08" w:rsidRPr="00CD29D0" w:rsidRDefault="00332F08" w:rsidP="00BF0B5C">
            <w:pPr>
              <w:pStyle w:val="TableColHeadingCenter"/>
            </w:pPr>
            <w:r w:rsidRPr="00CD29D0">
              <w:t>State (2025)</w:t>
            </w:r>
          </w:p>
        </w:tc>
      </w:tr>
      <w:tr w:rsidR="00332F08" w:rsidRPr="00CD29D0" w14:paraId="14D4DF30"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3162D3C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All Students</w:t>
            </w:r>
          </w:p>
        </w:tc>
        <w:tc>
          <w:tcPr>
            <w:tcW w:w="1151" w:type="dxa"/>
            <w:vAlign w:val="center"/>
          </w:tcPr>
          <w:p w14:paraId="3763C8F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337</w:t>
            </w:r>
          </w:p>
        </w:tc>
        <w:tc>
          <w:tcPr>
            <w:tcW w:w="1152" w:type="dxa"/>
            <w:vAlign w:val="center"/>
          </w:tcPr>
          <w:p w14:paraId="0A22A59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40.2</w:t>
            </w:r>
          </w:p>
        </w:tc>
        <w:tc>
          <w:tcPr>
            <w:tcW w:w="1151" w:type="dxa"/>
            <w:vAlign w:val="center"/>
          </w:tcPr>
          <w:p w14:paraId="6E379294"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50.9</w:t>
            </w:r>
          </w:p>
        </w:tc>
        <w:tc>
          <w:tcPr>
            <w:tcW w:w="1152" w:type="dxa"/>
            <w:vAlign w:val="center"/>
          </w:tcPr>
          <w:p w14:paraId="64FF3A3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50.4</w:t>
            </w:r>
          </w:p>
        </w:tc>
        <w:tc>
          <w:tcPr>
            <w:tcW w:w="1152" w:type="dxa"/>
            <w:vAlign w:val="center"/>
          </w:tcPr>
          <w:p w14:paraId="2E6932F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68.8</w:t>
            </w:r>
          </w:p>
        </w:tc>
      </w:tr>
      <w:tr w:rsidR="00332F08" w:rsidRPr="00CD29D0" w14:paraId="6DBEC4D4" w14:textId="77777777" w:rsidTr="00BF0B5C">
        <w:tc>
          <w:tcPr>
            <w:tcW w:w="3586" w:type="dxa"/>
          </w:tcPr>
          <w:p w14:paraId="4582E36B"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American Indian or Alaskan Native</w:t>
            </w:r>
          </w:p>
        </w:tc>
        <w:tc>
          <w:tcPr>
            <w:tcW w:w="1151" w:type="dxa"/>
            <w:vAlign w:val="center"/>
          </w:tcPr>
          <w:p w14:paraId="495B5570" w14:textId="17432270"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FE99429" w14:textId="0A42756E"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4EE5C701" w14:textId="324F1539"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0105098" w14:textId="2C68DCC2"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6CF0D24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55.9</w:t>
            </w:r>
          </w:p>
        </w:tc>
      </w:tr>
      <w:tr w:rsidR="00332F08" w:rsidRPr="00CD29D0" w14:paraId="5242725B"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A91E24A"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Asian</w:t>
            </w:r>
          </w:p>
        </w:tc>
        <w:tc>
          <w:tcPr>
            <w:tcW w:w="1151" w:type="dxa"/>
            <w:vAlign w:val="center"/>
          </w:tcPr>
          <w:p w14:paraId="59A312A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12</w:t>
            </w:r>
          </w:p>
        </w:tc>
        <w:tc>
          <w:tcPr>
            <w:tcW w:w="1152" w:type="dxa"/>
            <w:vAlign w:val="center"/>
          </w:tcPr>
          <w:p w14:paraId="600FDF2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87.5</w:t>
            </w:r>
          </w:p>
        </w:tc>
        <w:tc>
          <w:tcPr>
            <w:tcW w:w="1151" w:type="dxa"/>
            <w:vAlign w:val="center"/>
          </w:tcPr>
          <w:p w14:paraId="5BF1658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88.9</w:t>
            </w:r>
          </w:p>
        </w:tc>
        <w:tc>
          <w:tcPr>
            <w:tcW w:w="1152" w:type="dxa"/>
            <w:vAlign w:val="center"/>
          </w:tcPr>
          <w:p w14:paraId="56D12EB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66.7</w:t>
            </w:r>
          </w:p>
        </w:tc>
        <w:tc>
          <w:tcPr>
            <w:tcW w:w="1152" w:type="dxa"/>
            <w:vAlign w:val="center"/>
          </w:tcPr>
          <w:p w14:paraId="31F9ABD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87.2</w:t>
            </w:r>
          </w:p>
        </w:tc>
      </w:tr>
      <w:tr w:rsidR="00332F08" w:rsidRPr="00CD29D0" w14:paraId="39ED9121" w14:textId="77777777" w:rsidTr="00BF0B5C">
        <w:tc>
          <w:tcPr>
            <w:tcW w:w="3586" w:type="dxa"/>
          </w:tcPr>
          <w:p w14:paraId="5A29F4AF"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Black or African American</w:t>
            </w:r>
          </w:p>
        </w:tc>
        <w:tc>
          <w:tcPr>
            <w:tcW w:w="1151" w:type="dxa"/>
            <w:vAlign w:val="center"/>
          </w:tcPr>
          <w:p w14:paraId="169CBF6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15</w:t>
            </w:r>
          </w:p>
        </w:tc>
        <w:tc>
          <w:tcPr>
            <w:tcW w:w="1152" w:type="dxa"/>
            <w:vAlign w:val="center"/>
          </w:tcPr>
          <w:p w14:paraId="1668C15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7.1</w:t>
            </w:r>
          </w:p>
        </w:tc>
        <w:tc>
          <w:tcPr>
            <w:tcW w:w="1151" w:type="dxa"/>
            <w:vAlign w:val="center"/>
          </w:tcPr>
          <w:p w14:paraId="4BCE136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13.3</w:t>
            </w:r>
          </w:p>
        </w:tc>
        <w:tc>
          <w:tcPr>
            <w:tcW w:w="1152" w:type="dxa"/>
            <w:vAlign w:val="center"/>
          </w:tcPr>
          <w:p w14:paraId="3BCB265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26.7</w:t>
            </w:r>
          </w:p>
        </w:tc>
        <w:tc>
          <w:tcPr>
            <w:tcW w:w="1152" w:type="dxa"/>
            <w:vAlign w:val="center"/>
          </w:tcPr>
          <w:p w14:paraId="7B8BB6B7"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58.9</w:t>
            </w:r>
          </w:p>
        </w:tc>
      </w:tr>
      <w:tr w:rsidR="00332F08" w:rsidRPr="00CD29D0" w14:paraId="7911664D"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69E5623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Hispanic or Latino</w:t>
            </w:r>
          </w:p>
        </w:tc>
        <w:tc>
          <w:tcPr>
            <w:tcW w:w="1151" w:type="dxa"/>
            <w:vAlign w:val="center"/>
          </w:tcPr>
          <w:p w14:paraId="1FF515B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13</w:t>
            </w:r>
          </w:p>
        </w:tc>
        <w:tc>
          <w:tcPr>
            <w:tcW w:w="1152" w:type="dxa"/>
            <w:vAlign w:val="center"/>
          </w:tcPr>
          <w:p w14:paraId="1850045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23.1</w:t>
            </w:r>
          </w:p>
        </w:tc>
        <w:tc>
          <w:tcPr>
            <w:tcW w:w="1151" w:type="dxa"/>
            <w:vAlign w:val="center"/>
          </w:tcPr>
          <w:p w14:paraId="50C39A8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16.7</w:t>
            </w:r>
          </w:p>
        </w:tc>
        <w:tc>
          <w:tcPr>
            <w:tcW w:w="1152" w:type="dxa"/>
            <w:vAlign w:val="center"/>
          </w:tcPr>
          <w:p w14:paraId="7B0B2E5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46.2</w:t>
            </w:r>
          </w:p>
        </w:tc>
        <w:tc>
          <w:tcPr>
            <w:tcW w:w="1152" w:type="dxa"/>
            <w:vAlign w:val="center"/>
          </w:tcPr>
          <w:p w14:paraId="76FD938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56.1</w:t>
            </w:r>
          </w:p>
        </w:tc>
      </w:tr>
      <w:tr w:rsidR="00332F08" w:rsidRPr="00CD29D0" w14:paraId="22728E3B" w14:textId="77777777" w:rsidTr="00BF0B5C">
        <w:tc>
          <w:tcPr>
            <w:tcW w:w="3586" w:type="dxa"/>
          </w:tcPr>
          <w:p w14:paraId="2B8E8419"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Multi-Race, Not Hispanic or Latino</w:t>
            </w:r>
          </w:p>
        </w:tc>
        <w:tc>
          <w:tcPr>
            <w:tcW w:w="1151" w:type="dxa"/>
            <w:vAlign w:val="center"/>
          </w:tcPr>
          <w:p w14:paraId="156E6AC2"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10</w:t>
            </w:r>
          </w:p>
        </w:tc>
        <w:tc>
          <w:tcPr>
            <w:tcW w:w="1152" w:type="dxa"/>
            <w:vAlign w:val="center"/>
          </w:tcPr>
          <w:p w14:paraId="48024661"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25.0</w:t>
            </w:r>
          </w:p>
        </w:tc>
        <w:tc>
          <w:tcPr>
            <w:tcW w:w="1151" w:type="dxa"/>
            <w:vAlign w:val="center"/>
          </w:tcPr>
          <w:p w14:paraId="1A52D00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55.6</w:t>
            </w:r>
          </w:p>
        </w:tc>
        <w:tc>
          <w:tcPr>
            <w:tcW w:w="1152" w:type="dxa"/>
            <w:vAlign w:val="center"/>
          </w:tcPr>
          <w:p w14:paraId="76037FB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30.0</w:t>
            </w:r>
          </w:p>
        </w:tc>
        <w:tc>
          <w:tcPr>
            <w:tcW w:w="1152" w:type="dxa"/>
            <w:vAlign w:val="center"/>
          </w:tcPr>
          <w:p w14:paraId="7F48AF1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70.3</w:t>
            </w:r>
          </w:p>
        </w:tc>
      </w:tr>
      <w:tr w:rsidR="00332F08" w:rsidRPr="00CD29D0" w14:paraId="5646972E"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1FC724CF"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Native Hawaiian or Other Pacific Islander</w:t>
            </w:r>
          </w:p>
        </w:tc>
        <w:tc>
          <w:tcPr>
            <w:tcW w:w="1151" w:type="dxa"/>
            <w:vAlign w:val="center"/>
          </w:tcPr>
          <w:p w14:paraId="35DBD598" w14:textId="1B56988E"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D9DEB21" w14:textId="4F57790D"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3E5232B2" w14:textId="4B8AE36E"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726FAB1B" w14:textId="04CCF4E4"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2" w:type="dxa"/>
            <w:vAlign w:val="center"/>
          </w:tcPr>
          <w:p w14:paraId="41041FD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67.6</w:t>
            </w:r>
          </w:p>
        </w:tc>
      </w:tr>
      <w:tr w:rsidR="00332F08" w:rsidRPr="00CD29D0" w14:paraId="15ADCAA7" w14:textId="77777777" w:rsidTr="00BF0B5C">
        <w:tc>
          <w:tcPr>
            <w:tcW w:w="3586" w:type="dxa"/>
          </w:tcPr>
          <w:p w14:paraId="6D22A742"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White</w:t>
            </w:r>
          </w:p>
        </w:tc>
        <w:tc>
          <w:tcPr>
            <w:tcW w:w="1151" w:type="dxa"/>
            <w:vAlign w:val="center"/>
          </w:tcPr>
          <w:p w14:paraId="6577903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287</w:t>
            </w:r>
          </w:p>
        </w:tc>
        <w:tc>
          <w:tcPr>
            <w:tcW w:w="1152" w:type="dxa"/>
            <w:vAlign w:val="center"/>
          </w:tcPr>
          <w:p w14:paraId="36E4E7A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41.8</w:t>
            </w:r>
          </w:p>
        </w:tc>
        <w:tc>
          <w:tcPr>
            <w:tcW w:w="1151" w:type="dxa"/>
            <w:vAlign w:val="center"/>
          </w:tcPr>
          <w:p w14:paraId="06979856"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53.1</w:t>
            </w:r>
          </w:p>
        </w:tc>
        <w:tc>
          <w:tcPr>
            <w:tcW w:w="1152" w:type="dxa"/>
            <w:vAlign w:val="center"/>
          </w:tcPr>
          <w:p w14:paraId="00BBC43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51.9</w:t>
            </w:r>
          </w:p>
        </w:tc>
        <w:tc>
          <w:tcPr>
            <w:tcW w:w="1152" w:type="dxa"/>
            <w:vAlign w:val="center"/>
          </w:tcPr>
          <w:p w14:paraId="3E63CC9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74.1</w:t>
            </w:r>
          </w:p>
        </w:tc>
      </w:tr>
      <w:tr w:rsidR="00332F08" w:rsidRPr="00CD29D0" w14:paraId="65D1E6C8"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47443445"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High Needs</w:t>
            </w:r>
          </w:p>
        </w:tc>
        <w:tc>
          <w:tcPr>
            <w:tcW w:w="1151" w:type="dxa"/>
            <w:vAlign w:val="center"/>
          </w:tcPr>
          <w:p w14:paraId="1E961F7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111</w:t>
            </w:r>
          </w:p>
        </w:tc>
        <w:tc>
          <w:tcPr>
            <w:tcW w:w="1152" w:type="dxa"/>
            <w:vAlign w:val="center"/>
          </w:tcPr>
          <w:p w14:paraId="004227B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16.0</w:t>
            </w:r>
          </w:p>
        </w:tc>
        <w:tc>
          <w:tcPr>
            <w:tcW w:w="1151" w:type="dxa"/>
            <w:vAlign w:val="center"/>
          </w:tcPr>
          <w:p w14:paraId="04FA919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23.8</w:t>
            </w:r>
          </w:p>
        </w:tc>
        <w:tc>
          <w:tcPr>
            <w:tcW w:w="1152" w:type="dxa"/>
            <w:vAlign w:val="center"/>
          </w:tcPr>
          <w:p w14:paraId="1BB110B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24.3</w:t>
            </w:r>
          </w:p>
        </w:tc>
        <w:tc>
          <w:tcPr>
            <w:tcW w:w="1152" w:type="dxa"/>
            <w:vAlign w:val="center"/>
          </w:tcPr>
          <w:p w14:paraId="72DB658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53.8</w:t>
            </w:r>
          </w:p>
        </w:tc>
      </w:tr>
      <w:tr w:rsidR="00332F08" w:rsidRPr="00CD29D0" w14:paraId="5903C87B" w14:textId="77777777" w:rsidTr="00BF0B5C">
        <w:tc>
          <w:tcPr>
            <w:tcW w:w="3586" w:type="dxa"/>
          </w:tcPr>
          <w:p w14:paraId="408F71E1"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English Learners</w:t>
            </w:r>
          </w:p>
        </w:tc>
        <w:tc>
          <w:tcPr>
            <w:tcW w:w="1151" w:type="dxa"/>
            <w:vAlign w:val="center"/>
          </w:tcPr>
          <w:p w14:paraId="5A109BCE"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6</w:t>
            </w:r>
          </w:p>
        </w:tc>
        <w:tc>
          <w:tcPr>
            <w:tcW w:w="1152" w:type="dxa"/>
            <w:vAlign w:val="center"/>
          </w:tcPr>
          <w:p w14:paraId="4A360A39" w14:textId="127BAC7E" w:rsidR="00332F08" w:rsidRPr="00CD29D0" w:rsidRDefault="005715FA" w:rsidP="00BF0B5C">
            <w:pPr>
              <w:pStyle w:val="TableTextCentered"/>
              <w:rPr>
                <w:rFonts w:ascii="Franklin Gothic Book" w:hAnsi="Franklin Gothic Book"/>
              </w:rPr>
            </w:pPr>
            <w:r>
              <w:rPr>
                <w:rFonts w:ascii="Franklin Gothic Book" w:hAnsi="Franklin Gothic Book"/>
              </w:rPr>
              <w:t>N/A</w:t>
            </w:r>
          </w:p>
        </w:tc>
        <w:tc>
          <w:tcPr>
            <w:tcW w:w="1151" w:type="dxa"/>
            <w:vAlign w:val="center"/>
          </w:tcPr>
          <w:p w14:paraId="16330520"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3E585CF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0.0</w:t>
            </w:r>
          </w:p>
        </w:tc>
        <w:tc>
          <w:tcPr>
            <w:tcW w:w="1152" w:type="dxa"/>
            <w:vAlign w:val="center"/>
          </w:tcPr>
          <w:p w14:paraId="5EF430D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34.9</w:t>
            </w:r>
          </w:p>
        </w:tc>
      </w:tr>
      <w:tr w:rsidR="00332F08" w:rsidRPr="00CD29D0" w14:paraId="70E95DCB" w14:textId="77777777" w:rsidTr="00BF0B5C">
        <w:trPr>
          <w:cnfStyle w:val="000000100000" w:firstRow="0" w:lastRow="0" w:firstColumn="0" w:lastColumn="0" w:oddVBand="0" w:evenVBand="0" w:oddHBand="1" w:evenHBand="0" w:firstRowFirstColumn="0" w:firstRowLastColumn="0" w:lastRowFirstColumn="0" w:lastRowLastColumn="0"/>
        </w:trPr>
        <w:tc>
          <w:tcPr>
            <w:tcW w:w="3586" w:type="dxa"/>
          </w:tcPr>
          <w:p w14:paraId="012EFEFD" w14:textId="77777777" w:rsidR="00332F08" w:rsidRPr="00CD29D0" w:rsidRDefault="00332F08" w:rsidP="00BF0B5C">
            <w:pPr>
              <w:pStyle w:val="TableText"/>
              <w:rPr>
                <w:rFonts w:ascii="Franklin Gothic Book" w:hAnsi="Franklin Gothic Book"/>
                <w:spacing w:val="-4"/>
              </w:rPr>
            </w:pPr>
            <w:r w:rsidRPr="00CD29D0">
              <w:rPr>
                <w:rFonts w:ascii="Franklin Gothic Book" w:hAnsi="Franklin Gothic Book"/>
              </w:rPr>
              <w:t>Low Income</w:t>
            </w:r>
          </w:p>
        </w:tc>
        <w:tc>
          <w:tcPr>
            <w:tcW w:w="1151" w:type="dxa"/>
            <w:vAlign w:val="center"/>
          </w:tcPr>
          <w:p w14:paraId="02F8DD6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76</w:t>
            </w:r>
          </w:p>
        </w:tc>
        <w:tc>
          <w:tcPr>
            <w:tcW w:w="1152" w:type="dxa"/>
            <w:vAlign w:val="center"/>
          </w:tcPr>
          <w:p w14:paraId="205228F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20.5</w:t>
            </w:r>
          </w:p>
        </w:tc>
        <w:tc>
          <w:tcPr>
            <w:tcW w:w="1151" w:type="dxa"/>
            <w:vAlign w:val="center"/>
          </w:tcPr>
          <w:p w14:paraId="0AFB20DB"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30.0</w:t>
            </w:r>
          </w:p>
        </w:tc>
        <w:tc>
          <w:tcPr>
            <w:tcW w:w="1152" w:type="dxa"/>
            <w:vAlign w:val="center"/>
          </w:tcPr>
          <w:p w14:paraId="5F281975"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28.9</w:t>
            </w:r>
          </w:p>
        </w:tc>
        <w:tc>
          <w:tcPr>
            <w:tcW w:w="1152" w:type="dxa"/>
            <w:vAlign w:val="center"/>
          </w:tcPr>
          <w:p w14:paraId="20657FED"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54.7</w:t>
            </w:r>
          </w:p>
        </w:tc>
      </w:tr>
      <w:tr w:rsidR="00332F08" w:rsidRPr="00CD29D0" w14:paraId="46D6B0F4" w14:textId="77777777" w:rsidTr="00BF0B5C">
        <w:tc>
          <w:tcPr>
            <w:tcW w:w="3586" w:type="dxa"/>
          </w:tcPr>
          <w:p w14:paraId="43C02583" w14:textId="77777777" w:rsidR="00332F08" w:rsidRPr="00CD29D0" w:rsidRDefault="00332F08" w:rsidP="00BF0B5C">
            <w:pPr>
              <w:pStyle w:val="TableText"/>
              <w:rPr>
                <w:rFonts w:ascii="Franklin Gothic Book" w:hAnsi="Franklin Gothic Book"/>
              </w:rPr>
            </w:pPr>
            <w:r w:rsidRPr="00CD29D0">
              <w:rPr>
                <w:rFonts w:ascii="Franklin Gothic Book" w:hAnsi="Franklin Gothic Book"/>
              </w:rPr>
              <w:t>Students with Disabilities</w:t>
            </w:r>
          </w:p>
        </w:tc>
        <w:tc>
          <w:tcPr>
            <w:tcW w:w="1151" w:type="dxa"/>
            <w:vAlign w:val="center"/>
          </w:tcPr>
          <w:p w14:paraId="3D6BFAAA"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54</w:t>
            </w:r>
          </w:p>
        </w:tc>
        <w:tc>
          <w:tcPr>
            <w:tcW w:w="1152" w:type="dxa"/>
            <w:vAlign w:val="center"/>
          </w:tcPr>
          <w:p w14:paraId="727C310F"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8.8</w:t>
            </w:r>
          </w:p>
        </w:tc>
        <w:tc>
          <w:tcPr>
            <w:tcW w:w="1151" w:type="dxa"/>
            <w:vAlign w:val="center"/>
          </w:tcPr>
          <w:p w14:paraId="2172FC78"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7.0</w:t>
            </w:r>
          </w:p>
        </w:tc>
        <w:tc>
          <w:tcPr>
            <w:tcW w:w="1152" w:type="dxa"/>
            <w:vAlign w:val="center"/>
          </w:tcPr>
          <w:p w14:paraId="534C5059"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11.1</w:t>
            </w:r>
          </w:p>
        </w:tc>
        <w:tc>
          <w:tcPr>
            <w:tcW w:w="1152" w:type="dxa"/>
            <w:vAlign w:val="center"/>
          </w:tcPr>
          <w:p w14:paraId="31B34E7C" w14:textId="77777777" w:rsidR="00332F08" w:rsidRPr="00CD29D0" w:rsidRDefault="00332F08" w:rsidP="00BF0B5C">
            <w:pPr>
              <w:pStyle w:val="TableTextCentered"/>
              <w:rPr>
                <w:rFonts w:ascii="Franklin Gothic Book" w:hAnsi="Franklin Gothic Book"/>
              </w:rPr>
            </w:pPr>
            <w:r w:rsidRPr="00CD29D0">
              <w:rPr>
                <w:rFonts w:ascii="Franklin Gothic Book" w:hAnsi="Franklin Gothic Book"/>
              </w:rPr>
              <w:t>41.2</w:t>
            </w:r>
          </w:p>
        </w:tc>
      </w:tr>
    </w:tbl>
    <w:p w14:paraId="4303B330" w14:textId="77777777" w:rsidR="00332F08" w:rsidRPr="00CD29D0" w:rsidRDefault="00332F08" w:rsidP="00332F08">
      <w:pPr>
        <w:pStyle w:val="TableETitle"/>
      </w:pPr>
      <w:bookmarkStart w:id="244" w:name="_Toc211928965"/>
      <w:bookmarkStart w:id="245" w:name="_Toc227587053"/>
      <w:r w:rsidRPr="00CD29D0">
        <w:t>Table E22. Accountability Results, 2025</w:t>
      </w:r>
      <w:bookmarkEnd w:id="244"/>
      <w:bookmarkEnd w:id="245"/>
    </w:p>
    <w:tbl>
      <w:tblPr>
        <w:tblStyle w:val="MSVTable1"/>
        <w:tblW w:w="0" w:type="auto"/>
        <w:jc w:val="center"/>
        <w:tblLook w:val="04A0" w:firstRow="1" w:lastRow="0" w:firstColumn="1" w:lastColumn="0" w:noHBand="0" w:noVBand="1"/>
        <w:tblCaption w:val="Table E22. Accountability Results, 2025"/>
        <w:tblDescription w:val="Accountability Results, 2025"/>
      </w:tblPr>
      <w:tblGrid>
        <w:gridCol w:w="2294"/>
        <w:gridCol w:w="1273"/>
        <w:gridCol w:w="1016"/>
        <w:gridCol w:w="2369"/>
        <w:gridCol w:w="2392"/>
      </w:tblGrid>
      <w:tr w:rsidR="00332F08" w:rsidRPr="00CD29D0" w14:paraId="53ECA92A" w14:textId="77777777" w:rsidTr="00BF0B5C">
        <w:trPr>
          <w:cnfStyle w:val="100000000000" w:firstRow="1" w:lastRow="0" w:firstColumn="0" w:lastColumn="0" w:oddVBand="0" w:evenVBand="0" w:oddHBand="0" w:evenHBand="0" w:firstRowFirstColumn="0" w:firstRowLastColumn="0" w:lastRowFirstColumn="0" w:lastRowLastColumn="0"/>
          <w:jc w:val="center"/>
        </w:trPr>
        <w:tc>
          <w:tcPr>
            <w:tcW w:w="2294" w:type="dxa"/>
            <w:vAlign w:val="center"/>
          </w:tcPr>
          <w:p w14:paraId="7FFE1618" w14:textId="77777777" w:rsidR="00332F08" w:rsidRPr="00CD29D0" w:rsidRDefault="00332F08" w:rsidP="00BF0B5C">
            <w:pPr>
              <w:spacing w:line="240" w:lineRule="auto"/>
              <w:rPr>
                <w:rFonts w:ascii="Franklin Gothic Demi" w:hAnsi="Franklin Gothic Demi"/>
                <w:sz w:val="20"/>
                <w:szCs w:val="20"/>
              </w:rPr>
            </w:pPr>
            <w:r w:rsidRPr="00CD29D0">
              <w:rPr>
                <w:rFonts w:ascii="Franklin Gothic Demi" w:hAnsi="Franklin Gothic Demi"/>
                <w:sz w:val="20"/>
                <w:szCs w:val="20"/>
              </w:rPr>
              <w:t>School</w:t>
            </w:r>
          </w:p>
        </w:tc>
        <w:tc>
          <w:tcPr>
            <w:tcW w:w="1273" w:type="dxa"/>
          </w:tcPr>
          <w:p w14:paraId="51A298DE" w14:textId="77777777" w:rsidR="00332F08" w:rsidRPr="00CD29D0" w:rsidRDefault="00332F08" w:rsidP="00BF0B5C">
            <w:pPr>
              <w:spacing w:line="240" w:lineRule="auto"/>
              <w:rPr>
                <w:rFonts w:ascii="Franklin Gothic Demi" w:hAnsi="Franklin Gothic Demi"/>
                <w:sz w:val="20"/>
                <w:szCs w:val="20"/>
              </w:rPr>
            </w:pPr>
            <w:r w:rsidRPr="00CD29D0">
              <w:rPr>
                <w:rFonts w:ascii="Franklin Gothic Demi" w:hAnsi="Franklin Gothic Demi"/>
                <w:sz w:val="20"/>
                <w:szCs w:val="20"/>
              </w:rPr>
              <w:t>Cumulative Progress Toward Improvement Targets (%)</w:t>
            </w:r>
          </w:p>
        </w:tc>
        <w:tc>
          <w:tcPr>
            <w:tcW w:w="1016" w:type="dxa"/>
            <w:vAlign w:val="center"/>
          </w:tcPr>
          <w:p w14:paraId="65CF6A1E" w14:textId="77777777" w:rsidR="00332F08" w:rsidRPr="00CD29D0" w:rsidRDefault="00332F08" w:rsidP="00BF0B5C">
            <w:pPr>
              <w:spacing w:line="240" w:lineRule="auto"/>
              <w:rPr>
                <w:rFonts w:ascii="Franklin Gothic Demi" w:hAnsi="Franklin Gothic Demi"/>
                <w:sz w:val="20"/>
                <w:szCs w:val="20"/>
              </w:rPr>
            </w:pPr>
            <w:r w:rsidRPr="00CD29D0">
              <w:rPr>
                <w:rFonts w:ascii="Franklin Gothic Demi" w:hAnsi="Franklin Gothic Demi"/>
                <w:sz w:val="20"/>
                <w:szCs w:val="20"/>
              </w:rPr>
              <w:t>Percentile</w:t>
            </w:r>
          </w:p>
        </w:tc>
        <w:tc>
          <w:tcPr>
            <w:tcW w:w="2369" w:type="dxa"/>
            <w:vAlign w:val="center"/>
          </w:tcPr>
          <w:p w14:paraId="6126E932" w14:textId="77777777" w:rsidR="00332F08" w:rsidRPr="00CD29D0" w:rsidRDefault="00332F08" w:rsidP="00BF0B5C">
            <w:pPr>
              <w:spacing w:line="240" w:lineRule="auto"/>
              <w:rPr>
                <w:rFonts w:ascii="Franklin Gothic Demi" w:hAnsi="Franklin Gothic Demi"/>
                <w:sz w:val="20"/>
                <w:szCs w:val="20"/>
              </w:rPr>
            </w:pPr>
            <w:r w:rsidRPr="00CD29D0">
              <w:rPr>
                <w:rFonts w:ascii="Franklin Gothic Demi" w:hAnsi="Franklin Gothic Demi"/>
                <w:sz w:val="20"/>
                <w:szCs w:val="20"/>
              </w:rPr>
              <w:t>Overall Classification</w:t>
            </w:r>
          </w:p>
        </w:tc>
        <w:tc>
          <w:tcPr>
            <w:tcW w:w="2392" w:type="dxa"/>
            <w:vAlign w:val="center"/>
          </w:tcPr>
          <w:p w14:paraId="2CCD1D60" w14:textId="77777777" w:rsidR="00332F08" w:rsidRPr="00CD29D0" w:rsidRDefault="00332F08" w:rsidP="00BF0B5C">
            <w:pPr>
              <w:spacing w:line="240" w:lineRule="auto"/>
              <w:rPr>
                <w:rFonts w:ascii="Franklin Gothic Demi" w:hAnsi="Franklin Gothic Demi"/>
                <w:sz w:val="20"/>
                <w:szCs w:val="20"/>
              </w:rPr>
            </w:pPr>
            <w:r w:rsidRPr="00CD29D0">
              <w:rPr>
                <w:rFonts w:ascii="Franklin Gothic Demi" w:hAnsi="Franklin Gothic Demi"/>
                <w:sz w:val="20"/>
                <w:szCs w:val="20"/>
              </w:rPr>
              <w:t>Reason for Classification</w:t>
            </w:r>
          </w:p>
        </w:tc>
      </w:tr>
      <w:tr w:rsidR="00332F08" w:rsidRPr="00CD29D0" w14:paraId="1E814875"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3922A06D" w14:textId="77777777" w:rsidR="00332F08" w:rsidRPr="00CD29D0" w:rsidRDefault="00332F08" w:rsidP="00BF0B5C">
            <w:pPr>
              <w:rPr>
                <w:rFonts w:ascii="Franklin Gothic Book" w:hAnsi="Franklin Gothic Book"/>
                <w:sz w:val="20"/>
                <w:szCs w:val="20"/>
              </w:rPr>
            </w:pPr>
            <w:r w:rsidRPr="00CD29D0">
              <w:rPr>
                <w:rFonts w:ascii="Franklin Gothic Book" w:hAnsi="Franklin Gothic Book"/>
                <w:sz w:val="20"/>
                <w:szCs w:val="20"/>
              </w:rPr>
              <w:t>District</w:t>
            </w:r>
          </w:p>
        </w:tc>
        <w:tc>
          <w:tcPr>
            <w:tcW w:w="1273" w:type="dxa"/>
            <w:vAlign w:val="center"/>
          </w:tcPr>
          <w:p w14:paraId="00714C38"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37%</w:t>
            </w:r>
          </w:p>
        </w:tc>
        <w:tc>
          <w:tcPr>
            <w:tcW w:w="1016" w:type="dxa"/>
            <w:vAlign w:val="center"/>
          </w:tcPr>
          <w:p w14:paraId="1585B2EC" w14:textId="4B534F75" w:rsidR="00332F08" w:rsidRPr="00CD29D0" w:rsidRDefault="005715FA" w:rsidP="00BF0B5C">
            <w:pPr>
              <w:spacing w:line="240" w:lineRule="auto"/>
              <w:jc w:val="center"/>
              <w:rPr>
                <w:rFonts w:ascii="Franklin Gothic Book" w:hAnsi="Franklin Gothic Book"/>
                <w:sz w:val="20"/>
                <w:szCs w:val="20"/>
              </w:rPr>
            </w:pPr>
            <w:r>
              <w:rPr>
                <w:rFonts w:ascii="Franklin Gothic Book" w:hAnsi="Franklin Gothic Book"/>
                <w:sz w:val="20"/>
                <w:szCs w:val="20"/>
              </w:rPr>
              <w:t>N/A</w:t>
            </w:r>
          </w:p>
        </w:tc>
        <w:tc>
          <w:tcPr>
            <w:tcW w:w="2369" w:type="dxa"/>
            <w:vAlign w:val="center"/>
          </w:tcPr>
          <w:p w14:paraId="452DD284"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Not requiring assistance or intervention</w:t>
            </w:r>
          </w:p>
        </w:tc>
        <w:tc>
          <w:tcPr>
            <w:tcW w:w="2392" w:type="dxa"/>
            <w:vAlign w:val="center"/>
          </w:tcPr>
          <w:p w14:paraId="09F1DB93"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Moderate progress toward targets</w:t>
            </w:r>
          </w:p>
        </w:tc>
      </w:tr>
      <w:tr w:rsidR="00332F08" w:rsidRPr="00CD29D0" w14:paraId="3DD4CC49" w14:textId="77777777" w:rsidTr="00BF0B5C">
        <w:trPr>
          <w:jc w:val="center"/>
        </w:trPr>
        <w:tc>
          <w:tcPr>
            <w:tcW w:w="2294" w:type="dxa"/>
            <w:vAlign w:val="center"/>
          </w:tcPr>
          <w:p w14:paraId="60C570DE" w14:textId="6F586365" w:rsidR="00332F08" w:rsidRPr="00CD29D0" w:rsidRDefault="00332F08" w:rsidP="00BF0B5C">
            <w:pPr>
              <w:rPr>
                <w:rFonts w:ascii="Franklin Gothic Book" w:hAnsi="Franklin Gothic Book"/>
                <w:sz w:val="20"/>
                <w:szCs w:val="20"/>
              </w:rPr>
            </w:pPr>
            <w:r w:rsidRPr="00CD29D0">
              <w:rPr>
                <w:rFonts w:ascii="Franklin Gothic Book" w:hAnsi="Franklin Gothic Book"/>
                <w:sz w:val="20"/>
                <w:szCs w:val="20"/>
              </w:rPr>
              <w:t>J.C. Solmonese</w:t>
            </w:r>
          </w:p>
        </w:tc>
        <w:tc>
          <w:tcPr>
            <w:tcW w:w="1273" w:type="dxa"/>
            <w:vAlign w:val="center"/>
          </w:tcPr>
          <w:p w14:paraId="1187CF9D"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4%</w:t>
            </w:r>
          </w:p>
        </w:tc>
        <w:tc>
          <w:tcPr>
            <w:tcW w:w="1016" w:type="dxa"/>
            <w:vAlign w:val="center"/>
          </w:tcPr>
          <w:p w14:paraId="22348125" w14:textId="0C383BFE" w:rsidR="00332F08" w:rsidRPr="00CD29D0" w:rsidRDefault="005715FA" w:rsidP="00BF0B5C">
            <w:pPr>
              <w:spacing w:line="240" w:lineRule="auto"/>
              <w:jc w:val="center"/>
              <w:rPr>
                <w:rFonts w:ascii="Franklin Gothic Book" w:hAnsi="Franklin Gothic Book"/>
                <w:sz w:val="20"/>
                <w:szCs w:val="20"/>
              </w:rPr>
            </w:pPr>
            <w:r>
              <w:rPr>
                <w:rFonts w:ascii="Franklin Gothic Book" w:hAnsi="Franklin Gothic Book"/>
                <w:sz w:val="20"/>
                <w:szCs w:val="20"/>
              </w:rPr>
              <w:t>N/A</w:t>
            </w:r>
          </w:p>
        </w:tc>
        <w:tc>
          <w:tcPr>
            <w:tcW w:w="2369" w:type="dxa"/>
            <w:vAlign w:val="center"/>
          </w:tcPr>
          <w:p w14:paraId="534B2A61"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Not requiring assistance or intervention</w:t>
            </w:r>
          </w:p>
        </w:tc>
        <w:tc>
          <w:tcPr>
            <w:tcW w:w="2392" w:type="dxa"/>
            <w:vAlign w:val="center"/>
          </w:tcPr>
          <w:p w14:paraId="05A59F16"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Limited or no progress toward targets</w:t>
            </w:r>
          </w:p>
        </w:tc>
      </w:tr>
      <w:tr w:rsidR="00332F08" w:rsidRPr="00CD29D0" w14:paraId="3791DA33"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27ADD653" w14:textId="751BD299" w:rsidR="00332F08" w:rsidRPr="00CD29D0" w:rsidRDefault="00332F08" w:rsidP="00BF0B5C">
            <w:pPr>
              <w:spacing w:line="240" w:lineRule="auto"/>
              <w:rPr>
                <w:rFonts w:ascii="Franklin Gothic Book" w:hAnsi="Franklin Gothic Book"/>
                <w:sz w:val="20"/>
                <w:szCs w:val="20"/>
              </w:rPr>
            </w:pPr>
            <w:r w:rsidRPr="00CD29D0">
              <w:rPr>
                <w:rFonts w:ascii="Franklin Gothic Book" w:hAnsi="Franklin Gothic Book"/>
                <w:sz w:val="20"/>
                <w:szCs w:val="20"/>
              </w:rPr>
              <w:t>L.G. Nourse Elementary</w:t>
            </w:r>
          </w:p>
        </w:tc>
        <w:tc>
          <w:tcPr>
            <w:tcW w:w="1273" w:type="dxa"/>
            <w:vAlign w:val="center"/>
          </w:tcPr>
          <w:p w14:paraId="530404C5"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39%</w:t>
            </w:r>
          </w:p>
        </w:tc>
        <w:tc>
          <w:tcPr>
            <w:tcW w:w="1016" w:type="dxa"/>
            <w:vAlign w:val="center"/>
          </w:tcPr>
          <w:p w14:paraId="5C37D281" w14:textId="2680FE94" w:rsidR="00332F08" w:rsidRPr="00CD29D0" w:rsidRDefault="005715FA" w:rsidP="00BF0B5C">
            <w:pPr>
              <w:spacing w:line="240" w:lineRule="auto"/>
              <w:jc w:val="center"/>
              <w:rPr>
                <w:rFonts w:ascii="Franklin Gothic Book" w:hAnsi="Franklin Gothic Book"/>
                <w:sz w:val="20"/>
                <w:szCs w:val="20"/>
              </w:rPr>
            </w:pPr>
            <w:r>
              <w:rPr>
                <w:rFonts w:ascii="Franklin Gothic Book" w:hAnsi="Franklin Gothic Book"/>
                <w:sz w:val="20"/>
                <w:szCs w:val="20"/>
              </w:rPr>
              <w:t>N/A</w:t>
            </w:r>
          </w:p>
        </w:tc>
        <w:tc>
          <w:tcPr>
            <w:tcW w:w="2369" w:type="dxa"/>
            <w:vAlign w:val="center"/>
          </w:tcPr>
          <w:p w14:paraId="64939001"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Not requiring assistance or intervention</w:t>
            </w:r>
          </w:p>
        </w:tc>
        <w:tc>
          <w:tcPr>
            <w:tcW w:w="2392" w:type="dxa"/>
            <w:vAlign w:val="center"/>
          </w:tcPr>
          <w:p w14:paraId="0C085AD8"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Moderate progress toward targets</w:t>
            </w:r>
          </w:p>
        </w:tc>
      </w:tr>
      <w:tr w:rsidR="00332F08" w:rsidRPr="00CD29D0" w14:paraId="6CF2A2FE" w14:textId="77777777" w:rsidTr="00BF0B5C">
        <w:trPr>
          <w:jc w:val="center"/>
        </w:trPr>
        <w:tc>
          <w:tcPr>
            <w:tcW w:w="2294" w:type="dxa"/>
            <w:vAlign w:val="center"/>
          </w:tcPr>
          <w:p w14:paraId="716CA62C" w14:textId="77777777" w:rsidR="00332F08" w:rsidRPr="00CD29D0" w:rsidRDefault="00332F08" w:rsidP="00BF0B5C">
            <w:pPr>
              <w:spacing w:line="240" w:lineRule="auto"/>
              <w:rPr>
                <w:rFonts w:ascii="Franklin Gothic Book" w:hAnsi="Franklin Gothic Book"/>
                <w:sz w:val="20"/>
                <w:szCs w:val="20"/>
              </w:rPr>
            </w:pPr>
            <w:r w:rsidRPr="00CD29D0">
              <w:rPr>
                <w:rFonts w:ascii="Franklin Gothic Book" w:hAnsi="Franklin Gothic Book"/>
                <w:sz w:val="20"/>
                <w:szCs w:val="20"/>
              </w:rPr>
              <w:t>Henri A. Yelle</w:t>
            </w:r>
          </w:p>
        </w:tc>
        <w:tc>
          <w:tcPr>
            <w:tcW w:w="1273" w:type="dxa"/>
            <w:vAlign w:val="center"/>
          </w:tcPr>
          <w:p w14:paraId="702FE968"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44%</w:t>
            </w:r>
          </w:p>
        </w:tc>
        <w:tc>
          <w:tcPr>
            <w:tcW w:w="1016" w:type="dxa"/>
            <w:vAlign w:val="center"/>
          </w:tcPr>
          <w:p w14:paraId="791A2BB2"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33</w:t>
            </w:r>
          </w:p>
        </w:tc>
        <w:tc>
          <w:tcPr>
            <w:tcW w:w="2369" w:type="dxa"/>
            <w:vAlign w:val="center"/>
          </w:tcPr>
          <w:p w14:paraId="7C0B41AC"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Not requiring assistance or intervention</w:t>
            </w:r>
          </w:p>
        </w:tc>
        <w:tc>
          <w:tcPr>
            <w:tcW w:w="2392" w:type="dxa"/>
            <w:vAlign w:val="center"/>
          </w:tcPr>
          <w:p w14:paraId="56E366FC"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Moderate progress toward targets</w:t>
            </w:r>
          </w:p>
        </w:tc>
      </w:tr>
      <w:tr w:rsidR="00332F08" w:rsidRPr="00CD29D0" w14:paraId="1D62E95C" w14:textId="77777777" w:rsidTr="00BF0B5C">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3363D51F" w14:textId="77777777" w:rsidR="00332F08" w:rsidRPr="00CD29D0" w:rsidRDefault="00332F08" w:rsidP="00BF0B5C">
            <w:pPr>
              <w:spacing w:line="240" w:lineRule="auto"/>
              <w:rPr>
                <w:rFonts w:ascii="Franklin Gothic Book" w:hAnsi="Franklin Gothic Book"/>
                <w:sz w:val="20"/>
                <w:szCs w:val="20"/>
              </w:rPr>
            </w:pPr>
            <w:r w:rsidRPr="00CD29D0">
              <w:rPr>
                <w:rFonts w:ascii="Franklin Gothic Book" w:hAnsi="Franklin Gothic Book"/>
                <w:sz w:val="20"/>
                <w:szCs w:val="20"/>
              </w:rPr>
              <w:t>Norton Middle</w:t>
            </w:r>
          </w:p>
        </w:tc>
        <w:tc>
          <w:tcPr>
            <w:tcW w:w="1273" w:type="dxa"/>
            <w:vAlign w:val="center"/>
          </w:tcPr>
          <w:p w14:paraId="17F3E101"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36%</w:t>
            </w:r>
          </w:p>
        </w:tc>
        <w:tc>
          <w:tcPr>
            <w:tcW w:w="1016" w:type="dxa"/>
            <w:vAlign w:val="center"/>
          </w:tcPr>
          <w:p w14:paraId="020B9592"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39</w:t>
            </w:r>
          </w:p>
        </w:tc>
        <w:tc>
          <w:tcPr>
            <w:tcW w:w="2369" w:type="dxa"/>
            <w:vAlign w:val="center"/>
          </w:tcPr>
          <w:p w14:paraId="1175A9FB"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Requiring assistance or intervention</w:t>
            </w:r>
          </w:p>
        </w:tc>
        <w:tc>
          <w:tcPr>
            <w:tcW w:w="2392" w:type="dxa"/>
            <w:vAlign w:val="center"/>
          </w:tcPr>
          <w:p w14:paraId="6A06AE8B"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In need of focused/targeted support: Low participation rate for Students with Disabilities, Low Income, High Needs, and All students</w:t>
            </w:r>
          </w:p>
        </w:tc>
      </w:tr>
      <w:tr w:rsidR="00332F08" w:rsidRPr="00CD29D0" w14:paraId="431D7EFE" w14:textId="77777777" w:rsidTr="00BF0B5C">
        <w:trPr>
          <w:jc w:val="center"/>
        </w:trPr>
        <w:tc>
          <w:tcPr>
            <w:tcW w:w="2294" w:type="dxa"/>
            <w:vAlign w:val="center"/>
          </w:tcPr>
          <w:p w14:paraId="769F203F" w14:textId="77777777" w:rsidR="00332F08" w:rsidRPr="00CD29D0" w:rsidRDefault="00332F08" w:rsidP="00BF0B5C">
            <w:pPr>
              <w:spacing w:line="240" w:lineRule="auto"/>
              <w:rPr>
                <w:rFonts w:ascii="Franklin Gothic Book" w:hAnsi="Franklin Gothic Book"/>
                <w:sz w:val="20"/>
                <w:szCs w:val="20"/>
              </w:rPr>
            </w:pPr>
            <w:r w:rsidRPr="00CD29D0">
              <w:rPr>
                <w:rFonts w:ascii="Franklin Gothic Book" w:hAnsi="Franklin Gothic Book"/>
                <w:sz w:val="20"/>
                <w:szCs w:val="20"/>
              </w:rPr>
              <w:t>Norton High</w:t>
            </w:r>
          </w:p>
        </w:tc>
        <w:tc>
          <w:tcPr>
            <w:tcW w:w="1273" w:type="dxa"/>
            <w:vAlign w:val="center"/>
          </w:tcPr>
          <w:p w14:paraId="51A50912"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29%</w:t>
            </w:r>
          </w:p>
        </w:tc>
        <w:tc>
          <w:tcPr>
            <w:tcW w:w="1016" w:type="dxa"/>
            <w:vAlign w:val="center"/>
          </w:tcPr>
          <w:p w14:paraId="4359DEDE"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39</w:t>
            </w:r>
          </w:p>
        </w:tc>
        <w:tc>
          <w:tcPr>
            <w:tcW w:w="2369" w:type="dxa"/>
            <w:vAlign w:val="center"/>
          </w:tcPr>
          <w:p w14:paraId="69C7B0A1"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Not requiring assistance or intervention</w:t>
            </w:r>
          </w:p>
        </w:tc>
        <w:tc>
          <w:tcPr>
            <w:tcW w:w="2392" w:type="dxa"/>
            <w:vAlign w:val="center"/>
          </w:tcPr>
          <w:p w14:paraId="2CD0035B" w14:textId="77777777" w:rsidR="00332F08" w:rsidRPr="00CD29D0" w:rsidRDefault="00332F08" w:rsidP="00BF0B5C">
            <w:pPr>
              <w:spacing w:line="240" w:lineRule="auto"/>
              <w:jc w:val="center"/>
              <w:rPr>
                <w:rFonts w:ascii="Franklin Gothic Book" w:hAnsi="Franklin Gothic Book"/>
                <w:sz w:val="20"/>
                <w:szCs w:val="20"/>
              </w:rPr>
            </w:pPr>
            <w:r w:rsidRPr="00CD29D0">
              <w:rPr>
                <w:rFonts w:ascii="Franklin Gothic Book" w:hAnsi="Franklin Gothic Book"/>
                <w:sz w:val="20"/>
                <w:szCs w:val="20"/>
              </w:rPr>
              <w:t>Moderate progress toward targets</w:t>
            </w:r>
          </w:p>
        </w:tc>
      </w:tr>
      <w:bookmarkEnd w:id="197"/>
      <w:bookmarkEnd w:id="241"/>
    </w:tbl>
    <w:p w14:paraId="5D9DB44F" w14:textId="77777777" w:rsidR="00332F08" w:rsidRPr="00CD29D0" w:rsidRDefault="00332F08" w:rsidP="00332F08">
      <w:pPr>
        <w:pStyle w:val="BodyText"/>
      </w:pPr>
    </w:p>
    <w:sectPr w:rsidR="00332F08" w:rsidRPr="00CD29D0" w:rsidSect="009221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90E9" w14:textId="77777777" w:rsidR="00A8289E" w:rsidRDefault="00A8289E" w:rsidP="00B93273">
      <w:pPr>
        <w:spacing w:line="240" w:lineRule="auto"/>
      </w:pPr>
      <w:r>
        <w:separator/>
      </w:r>
    </w:p>
  </w:endnote>
  <w:endnote w:type="continuationSeparator" w:id="0">
    <w:p w14:paraId="49E9FCF0" w14:textId="77777777" w:rsidR="00A8289E" w:rsidRDefault="00A8289E" w:rsidP="00B93273">
      <w:pPr>
        <w:spacing w:line="240" w:lineRule="auto"/>
      </w:pPr>
      <w:r>
        <w:continuationSeparator/>
      </w:r>
    </w:p>
  </w:endnote>
  <w:endnote w:type="continuationNotice" w:id="1">
    <w:p w14:paraId="08673223" w14:textId="77777777" w:rsidR="00A8289E" w:rsidRDefault="00A828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3A35" w14:textId="7E6DF8F4" w:rsidR="00424417" w:rsidRPr="004668E7" w:rsidRDefault="00424417" w:rsidP="002E7525">
    <w:pPr>
      <w:pStyle w:val="Footer"/>
    </w:pPr>
    <w:r>
      <w:rPr>
        <w:rStyle w:val="FranklinGothicDemi"/>
        <w:color w:val="44546A" w:themeColor="text2"/>
      </w:rPr>
      <w:t>Norton</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D</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6685" w14:textId="32582BB0" w:rsidR="00332F08" w:rsidRPr="001E0852" w:rsidRDefault="00332F08" w:rsidP="00BF0B5C">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Norton</w:t>
    </w:r>
    <w:r w:rsidRPr="001E0852">
      <w:rPr>
        <w:rFonts w:ascii="Franklin Gothic Demi" w:eastAsia="Franklin Gothic Book" w:hAnsi="Franklin Gothic Demi" w:cs="Tahoma"/>
        <w:color w:val="44546A"/>
        <w:sz w:val="20"/>
      </w:rPr>
      <w:t xml:space="preserve"> Public Schools</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Comprehensive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page E-</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5F067AD2" w:rsidR="00E315A4" w:rsidRPr="004668E7" w:rsidRDefault="004A3FF8" w:rsidP="00E315A4">
    <w:pPr>
      <w:pStyle w:val="Footer"/>
    </w:pPr>
    <w:r>
      <w:rPr>
        <w:rStyle w:val="FranklinGothicDemi"/>
        <w:color w:val="44546A" w:themeColor="text2"/>
      </w:rPr>
      <w:t>Norton</w:t>
    </w:r>
    <w:r w:rsidR="00946862" w:rsidRPr="00B3679E">
      <w:rPr>
        <w:rStyle w:val="FranklinGothicDemi"/>
        <w:color w:val="44546A" w:themeColor="text2"/>
      </w:rPr>
      <w:t xml:space="preserve"> 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64340C48" w:rsidR="00FF48CB" w:rsidRPr="004668E7" w:rsidRDefault="001C3C1D" w:rsidP="00E315A4">
    <w:pPr>
      <w:pStyle w:val="Footer"/>
    </w:pPr>
    <w:r>
      <w:rPr>
        <w:rStyle w:val="FranklinGothicDemi"/>
        <w:color w:val="44546A" w:themeColor="text2"/>
      </w:rPr>
      <w:t>Norton</w:t>
    </w:r>
    <w:r w:rsidRPr="00B3679E">
      <w:rPr>
        <w:rStyle w:val="FranklinGothicDemi"/>
        <w:color w:val="44546A" w:themeColor="text2"/>
      </w:rPr>
      <w:t xml:space="preserve"> </w:t>
    </w:r>
    <w:r w:rsidR="00946862" w:rsidRPr="00B3679E">
      <w:rPr>
        <w:rStyle w:val="FranklinGothicDemi"/>
        <w:color w:val="44546A" w:themeColor="text2"/>
      </w:rPr>
      <w:t>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0A10" w14:textId="1CAEA828" w:rsidR="0006728B" w:rsidRPr="0006728B" w:rsidRDefault="0006728B" w:rsidP="000672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7F53" w14:textId="77777777" w:rsidR="0006728B" w:rsidRPr="004668E7" w:rsidRDefault="0006728B" w:rsidP="0006728B">
    <w:pPr>
      <w:pStyle w:val="Footer"/>
    </w:pPr>
    <w:r>
      <w:rPr>
        <w:rStyle w:val="FranklinGothicDemi"/>
        <w:color w:val="44546A" w:themeColor="text2"/>
      </w:rPr>
      <w:t>Norton</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rPr>
      <w:t>3</w:t>
    </w:r>
    <w:r w:rsidRPr="00B3679E">
      <w:rPr>
        <w:rStyle w:val="FranklinGothicDemi"/>
        <w:noProof/>
        <w:color w:val="44546A"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662A13A3" w:rsidR="00CC52F1" w:rsidRPr="004668E7" w:rsidRDefault="001C3C1D" w:rsidP="002E7525">
    <w:pPr>
      <w:pStyle w:val="Footer"/>
    </w:pPr>
    <w:r>
      <w:rPr>
        <w:rStyle w:val="FranklinGothicDemi"/>
        <w:color w:val="44546A" w:themeColor="text2"/>
      </w:rPr>
      <w:t>Norton</w:t>
    </w:r>
    <w:r w:rsidRPr="00B3679E">
      <w:rPr>
        <w:rStyle w:val="FranklinGothicDemi"/>
        <w:color w:val="44546A" w:themeColor="text2"/>
      </w:rPr>
      <w:t xml:space="preserve"> </w:t>
    </w:r>
    <w:r w:rsidR="00CC52F1" w:rsidRPr="00B3679E">
      <w:rPr>
        <w:rStyle w:val="FranklinGothicDemi"/>
        <w:color w:val="44546A" w:themeColor="text2"/>
      </w:rPr>
      <w:t>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424417">
      <w:rPr>
        <w:rStyle w:val="FranklinGothicDemi"/>
        <w:color w:val="44546A" w:themeColor="text2"/>
      </w:rPr>
      <w:t>B</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6C6A" w14:textId="0FE7EE0C" w:rsidR="00424417" w:rsidRPr="004668E7" w:rsidRDefault="00424417" w:rsidP="002E7525">
    <w:pPr>
      <w:pStyle w:val="Footer"/>
    </w:pPr>
    <w:r>
      <w:rPr>
        <w:rStyle w:val="FranklinGothicDemi"/>
        <w:color w:val="44546A" w:themeColor="text2"/>
      </w:rPr>
      <w:t>Norton</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C</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9A2D" w14:textId="77777777" w:rsidR="00A8289E" w:rsidRDefault="00A8289E" w:rsidP="00B93273">
      <w:pPr>
        <w:spacing w:line="240" w:lineRule="auto"/>
      </w:pPr>
      <w:r>
        <w:separator/>
      </w:r>
    </w:p>
  </w:footnote>
  <w:footnote w:type="continuationSeparator" w:id="0">
    <w:p w14:paraId="0491ACFC" w14:textId="77777777" w:rsidR="00A8289E" w:rsidRDefault="00A8289E" w:rsidP="00B93273">
      <w:pPr>
        <w:spacing w:line="240" w:lineRule="auto"/>
      </w:pPr>
      <w:r>
        <w:continuationSeparator/>
      </w:r>
    </w:p>
  </w:footnote>
  <w:footnote w:type="continuationNotice" w:id="1">
    <w:p w14:paraId="72856689" w14:textId="77777777" w:rsidR="00A8289E" w:rsidRDefault="00A8289E">
      <w:pPr>
        <w:spacing w:line="240" w:lineRule="auto"/>
      </w:pPr>
    </w:p>
  </w:footnote>
  <w:footnote w:id="2">
    <w:p w14:paraId="67A91689" w14:textId="7D69FEB0" w:rsidR="007A7AC9" w:rsidRDefault="007A7AC9" w:rsidP="007A7AC9">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005F7E3F" w:rsidRPr="00F167AA">
          <w:rPr>
            <w:rStyle w:val="Hyperlink"/>
          </w:rPr>
          <w:t>https://www.doe.mass.edu/accountability/district-review/district-standards-indicators.docx</w:t>
        </w:r>
      </w:hyperlink>
      <w:r>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0B2E639D" w14:textId="2A613E31" w:rsidR="002F48E4" w:rsidRDefault="002F48E4" w:rsidP="002F48E4">
      <w:pPr>
        <w:pStyle w:val="FootnoteText"/>
      </w:pPr>
      <w:r>
        <w:rPr>
          <w:rStyle w:val="FootnoteReference"/>
        </w:rPr>
        <w:footnoteRef/>
      </w:r>
      <w:r>
        <w:t xml:space="preserve"> </w:t>
      </w:r>
      <w:r w:rsidRPr="003F3B1B">
        <w:t>Districts with similar demographics and similar wealth are based o</w:t>
      </w:r>
      <w:r w:rsidR="00310588">
        <w:t>n DESE,</w:t>
      </w:r>
      <w:r w:rsidRPr="003F3B1B">
        <w:t xml:space="preserve"> </w:t>
      </w:r>
      <w:r w:rsidR="00310588" w:rsidRPr="00310588">
        <w:t>Resource Allocation and District Action Reports (RADAR)</w:t>
      </w:r>
      <w:r w:rsidR="00310588">
        <w:t xml:space="preserve">, </w:t>
      </w:r>
      <w:hyperlink r:id="rId3" w:history="1">
        <w:r w:rsidR="002945E5" w:rsidRPr="00A13A39">
          <w:rPr>
            <w:rStyle w:val="Hyperlink"/>
          </w:rPr>
          <w:t>https://www.doe.mass.edu/research/radar/</w:t>
        </w:r>
      </w:hyperlink>
      <w:r w:rsidR="002945E5">
        <w:t>.</w:t>
      </w:r>
    </w:p>
  </w:footnote>
  <w:footnote w:id="5">
    <w:p w14:paraId="505A998C" w14:textId="7548F607" w:rsidR="00D31796" w:rsidRDefault="00D31796">
      <w:pPr>
        <w:pStyle w:val="FootnoteText"/>
      </w:pPr>
      <w:r>
        <w:rPr>
          <w:rStyle w:val="FootnoteReference"/>
        </w:rPr>
        <w:footnoteRef/>
      </w:r>
      <w:r>
        <w:t xml:space="preserve"> </w:t>
      </w:r>
      <w:r w:rsidRPr="00D31796">
        <w:t>CURATE: CUrriculum RAtings by TEachers. See https://www.doe.mass.edu/instruction/curate.</w:t>
      </w:r>
    </w:p>
  </w:footnote>
  <w:footnote w:id="6">
    <w:p w14:paraId="64B9A54C" w14:textId="77777777" w:rsidR="00405424" w:rsidRPr="00F008EE" w:rsidRDefault="00405424" w:rsidP="00424417">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w:t>
      </w:r>
      <w:r w:rsidRPr="00424417">
        <w:t>ratings</w:t>
      </w:r>
      <w:r w:rsidRPr="00F008EE">
        <w:t>, for the purposes of this report we have inversed this scoring.</w:t>
      </w:r>
    </w:p>
  </w:footnote>
  <w:footnote w:id="7">
    <w:p w14:paraId="061B12F8" w14:textId="6B53487F" w:rsidR="00332F08" w:rsidRPr="00381109" w:rsidRDefault="00332F08">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Column labels for Tables E1-E9: M/E</w:t>
      </w:r>
      <w:r>
        <w:rPr>
          <w:rFonts w:ascii="Franklin Gothic Book" w:hAnsi="Franklin Gothic Book"/>
        </w:rPr>
        <w:t xml:space="preserve"> </w:t>
      </w:r>
      <w:r w:rsidRPr="00381109">
        <w:rPr>
          <w:rFonts w:ascii="Franklin Gothic Book" w:hAnsi="Franklin Gothic Book"/>
        </w:rPr>
        <w:t>=</w:t>
      </w:r>
      <w:r>
        <w:rPr>
          <w:rFonts w:ascii="Franklin Gothic Book" w:hAnsi="Franklin Gothic Book"/>
        </w:rPr>
        <w:t xml:space="preserve"> </w:t>
      </w:r>
      <w:r w:rsidRPr="00381109">
        <w:rPr>
          <w:rFonts w:ascii="Franklin Gothic Book" w:hAnsi="Franklin Gothic Book"/>
        </w:rPr>
        <w:t>Percent meeting or exceeding expectations, PME</w:t>
      </w:r>
      <w:r>
        <w:rPr>
          <w:rFonts w:ascii="Franklin Gothic Book" w:hAnsi="Franklin Gothic Book"/>
        </w:rPr>
        <w:t xml:space="preserve"> </w:t>
      </w:r>
      <w:r w:rsidRPr="00381109">
        <w:rPr>
          <w:rFonts w:ascii="Franklin Gothic Book" w:hAnsi="Franklin Gothic Book"/>
        </w:rPr>
        <w:t>=</w:t>
      </w:r>
      <w:r>
        <w:rPr>
          <w:rFonts w:ascii="Franklin Gothic Book" w:hAnsi="Franklin Gothic Book"/>
        </w:rPr>
        <w:t xml:space="preserve"> </w:t>
      </w:r>
      <w:r w:rsidRPr="00381109">
        <w:rPr>
          <w:rFonts w:ascii="Franklin Gothic Book" w:hAnsi="Franklin Gothic Book"/>
        </w:rPr>
        <w:t>Partially meeting expectations, NM</w:t>
      </w:r>
      <w:r>
        <w:rPr>
          <w:rFonts w:ascii="Franklin Gothic Book" w:hAnsi="Franklin Gothic Book"/>
        </w:rPr>
        <w:t xml:space="preserve"> </w:t>
      </w:r>
      <w:r w:rsidRPr="00381109">
        <w:rPr>
          <w:rFonts w:ascii="Franklin Gothic Book" w:hAnsi="Franklin Gothic Book"/>
        </w:rPr>
        <w:t>= Not meeting expectations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intelligence2.xml><?xml version="1.0" encoding="utf-8"?>
<int2:intelligence xmlns:int2="http://schemas.microsoft.com/office/intelligence/2020/intelligence" xmlns:oel="http://schemas.microsoft.com/office/2019/extlst">
  <int2:observations>
    <int2:textHash int2:hashCode="9f0LhzNPNhPGQ0" int2:id="Jq4ONfbp">
      <int2:state int2:value="Rejected" int2:type="spell"/>
    </int2:textHash>
    <int2:bookmark int2:bookmarkName="_Int_3c8UJ2J1" int2:invalidationBookmarkName="" int2:hashCode="X55YArurxx+Sdf" int2:id="44pz4GN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7D"/>
    <w:multiLevelType w:val="multilevel"/>
    <w:tmpl w:val="B80A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1118F"/>
    <w:multiLevelType w:val="multilevel"/>
    <w:tmpl w:val="A92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2A5F68"/>
    <w:multiLevelType w:val="multilevel"/>
    <w:tmpl w:val="D0AE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7" w15:restartNumberingAfterBreak="0">
    <w:nsid w:val="3960646F"/>
    <w:multiLevelType w:val="multilevel"/>
    <w:tmpl w:val="8F8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80F48"/>
    <w:multiLevelType w:val="multilevel"/>
    <w:tmpl w:val="BA18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843CF3"/>
    <w:multiLevelType w:val="multilevel"/>
    <w:tmpl w:val="FA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034A9"/>
    <w:multiLevelType w:val="multilevel"/>
    <w:tmpl w:val="10C0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045F6"/>
    <w:multiLevelType w:val="multilevel"/>
    <w:tmpl w:val="7246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50B02"/>
    <w:multiLevelType w:val="multilevel"/>
    <w:tmpl w:val="F68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76DC7"/>
    <w:multiLevelType w:val="multilevel"/>
    <w:tmpl w:val="802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73727"/>
    <w:multiLevelType w:val="multilevel"/>
    <w:tmpl w:val="3C5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153159">
    <w:abstractNumId w:val="10"/>
  </w:num>
  <w:num w:numId="2" w16cid:durableId="1081218223">
    <w:abstractNumId w:val="2"/>
  </w:num>
  <w:num w:numId="3" w16cid:durableId="1729691725">
    <w:abstractNumId w:val="13"/>
  </w:num>
  <w:num w:numId="4" w16cid:durableId="142703376">
    <w:abstractNumId w:val="11"/>
  </w:num>
  <w:num w:numId="5" w16cid:durableId="913396038">
    <w:abstractNumId w:val="16"/>
  </w:num>
  <w:num w:numId="6" w16cid:durableId="1534149646">
    <w:abstractNumId w:val="6"/>
  </w:num>
  <w:num w:numId="7" w16cid:durableId="2036345692">
    <w:abstractNumId w:val="4"/>
  </w:num>
  <w:num w:numId="8" w16cid:durableId="885028805">
    <w:abstractNumId w:val="8"/>
  </w:num>
  <w:num w:numId="9" w16cid:durableId="425224381">
    <w:abstractNumId w:val="1"/>
  </w:num>
  <w:num w:numId="10" w16cid:durableId="1153259004">
    <w:abstractNumId w:val="4"/>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607978299">
    <w:abstractNumId w:val="7"/>
  </w:num>
  <w:num w:numId="12" w16cid:durableId="1409621385">
    <w:abstractNumId w:val="5"/>
  </w:num>
  <w:num w:numId="13" w16cid:durableId="984893141">
    <w:abstractNumId w:val="14"/>
  </w:num>
  <w:num w:numId="14" w16cid:durableId="2008047022">
    <w:abstractNumId w:val="18"/>
  </w:num>
  <w:num w:numId="15" w16cid:durableId="1484741450">
    <w:abstractNumId w:val="0"/>
  </w:num>
  <w:num w:numId="16" w16cid:durableId="115831673">
    <w:abstractNumId w:val="19"/>
  </w:num>
  <w:num w:numId="17" w16cid:durableId="415513194">
    <w:abstractNumId w:val="17"/>
  </w:num>
  <w:num w:numId="18" w16cid:durableId="2038579915">
    <w:abstractNumId w:val="3"/>
  </w:num>
  <w:num w:numId="19" w16cid:durableId="1668702340">
    <w:abstractNumId w:val="15"/>
  </w:num>
  <w:num w:numId="20" w16cid:durableId="1639919092">
    <w:abstractNumId w:val="12"/>
  </w:num>
  <w:num w:numId="21" w16cid:durableId="1869753003">
    <w:abstractNumId w:val="9"/>
  </w:num>
  <w:num w:numId="22" w16cid:durableId="9877868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1DA"/>
    <w:rsid w:val="00000375"/>
    <w:rsid w:val="000005C0"/>
    <w:rsid w:val="0000072F"/>
    <w:rsid w:val="000007A2"/>
    <w:rsid w:val="00000848"/>
    <w:rsid w:val="00000A2B"/>
    <w:rsid w:val="00000C31"/>
    <w:rsid w:val="00000E6A"/>
    <w:rsid w:val="00000FE2"/>
    <w:rsid w:val="00001062"/>
    <w:rsid w:val="00001256"/>
    <w:rsid w:val="000012D5"/>
    <w:rsid w:val="0000135A"/>
    <w:rsid w:val="00001418"/>
    <w:rsid w:val="00001441"/>
    <w:rsid w:val="00001549"/>
    <w:rsid w:val="00001770"/>
    <w:rsid w:val="000018E9"/>
    <w:rsid w:val="000019DF"/>
    <w:rsid w:val="00001B71"/>
    <w:rsid w:val="00001BB3"/>
    <w:rsid w:val="00001BDC"/>
    <w:rsid w:val="00001DC2"/>
    <w:rsid w:val="00001DDD"/>
    <w:rsid w:val="00001F56"/>
    <w:rsid w:val="000020C9"/>
    <w:rsid w:val="00002346"/>
    <w:rsid w:val="000023F0"/>
    <w:rsid w:val="00002585"/>
    <w:rsid w:val="0000282B"/>
    <w:rsid w:val="000028CC"/>
    <w:rsid w:val="00002979"/>
    <w:rsid w:val="00002A69"/>
    <w:rsid w:val="00002AC6"/>
    <w:rsid w:val="00002B4D"/>
    <w:rsid w:val="00002D97"/>
    <w:rsid w:val="00002DE3"/>
    <w:rsid w:val="00002E6D"/>
    <w:rsid w:val="00003041"/>
    <w:rsid w:val="00003102"/>
    <w:rsid w:val="000031B0"/>
    <w:rsid w:val="000032CF"/>
    <w:rsid w:val="00003482"/>
    <w:rsid w:val="00003509"/>
    <w:rsid w:val="0000358A"/>
    <w:rsid w:val="000035D7"/>
    <w:rsid w:val="000038BA"/>
    <w:rsid w:val="0000392B"/>
    <w:rsid w:val="00003B2C"/>
    <w:rsid w:val="00003BDF"/>
    <w:rsid w:val="00004366"/>
    <w:rsid w:val="000043B5"/>
    <w:rsid w:val="00004534"/>
    <w:rsid w:val="000046A2"/>
    <w:rsid w:val="000049BE"/>
    <w:rsid w:val="00005140"/>
    <w:rsid w:val="0000536B"/>
    <w:rsid w:val="0000539F"/>
    <w:rsid w:val="0000547F"/>
    <w:rsid w:val="00005503"/>
    <w:rsid w:val="000056CF"/>
    <w:rsid w:val="0000576D"/>
    <w:rsid w:val="00005772"/>
    <w:rsid w:val="00005788"/>
    <w:rsid w:val="00005C35"/>
    <w:rsid w:val="00005E2A"/>
    <w:rsid w:val="00005E86"/>
    <w:rsid w:val="0000601E"/>
    <w:rsid w:val="00006369"/>
    <w:rsid w:val="00006504"/>
    <w:rsid w:val="00006535"/>
    <w:rsid w:val="00006A9E"/>
    <w:rsid w:val="00006B6E"/>
    <w:rsid w:val="00006C2E"/>
    <w:rsid w:val="00006D68"/>
    <w:rsid w:val="00006D6E"/>
    <w:rsid w:val="00006E08"/>
    <w:rsid w:val="00006FB2"/>
    <w:rsid w:val="00007082"/>
    <w:rsid w:val="0000726A"/>
    <w:rsid w:val="0000740B"/>
    <w:rsid w:val="000074D8"/>
    <w:rsid w:val="000074E9"/>
    <w:rsid w:val="00007606"/>
    <w:rsid w:val="000077D9"/>
    <w:rsid w:val="00007F19"/>
    <w:rsid w:val="000101AC"/>
    <w:rsid w:val="000101D1"/>
    <w:rsid w:val="00010273"/>
    <w:rsid w:val="00010284"/>
    <w:rsid w:val="00010285"/>
    <w:rsid w:val="0001039E"/>
    <w:rsid w:val="0001049D"/>
    <w:rsid w:val="00010577"/>
    <w:rsid w:val="000106CC"/>
    <w:rsid w:val="00010862"/>
    <w:rsid w:val="000108AB"/>
    <w:rsid w:val="000108D8"/>
    <w:rsid w:val="00010AA8"/>
    <w:rsid w:val="00010CEB"/>
    <w:rsid w:val="00010E07"/>
    <w:rsid w:val="00010E1B"/>
    <w:rsid w:val="00010F5D"/>
    <w:rsid w:val="0001110A"/>
    <w:rsid w:val="00011251"/>
    <w:rsid w:val="00011279"/>
    <w:rsid w:val="000114E1"/>
    <w:rsid w:val="000117A3"/>
    <w:rsid w:val="000118B8"/>
    <w:rsid w:val="00012235"/>
    <w:rsid w:val="00012287"/>
    <w:rsid w:val="0001276F"/>
    <w:rsid w:val="00012875"/>
    <w:rsid w:val="000128B0"/>
    <w:rsid w:val="000128DF"/>
    <w:rsid w:val="00012A59"/>
    <w:rsid w:val="00012C2A"/>
    <w:rsid w:val="00012CE2"/>
    <w:rsid w:val="00012E1D"/>
    <w:rsid w:val="00012EF4"/>
    <w:rsid w:val="00013065"/>
    <w:rsid w:val="000132E0"/>
    <w:rsid w:val="0001368F"/>
    <w:rsid w:val="00013759"/>
    <w:rsid w:val="00013A4F"/>
    <w:rsid w:val="00013A6C"/>
    <w:rsid w:val="00013AD7"/>
    <w:rsid w:val="00013C83"/>
    <w:rsid w:val="00013DC2"/>
    <w:rsid w:val="000143B1"/>
    <w:rsid w:val="0001449B"/>
    <w:rsid w:val="000145A0"/>
    <w:rsid w:val="0001469C"/>
    <w:rsid w:val="00014D61"/>
    <w:rsid w:val="00014E60"/>
    <w:rsid w:val="00015139"/>
    <w:rsid w:val="0001530D"/>
    <w:rsid w:val="0001539B"/>
    <w:rsid w:val="000153E3"/>
    <w:rsid w:val="000153F9"/>
    <w:rsid w:val="00015617"/>
    <w:rsid w:val="000158A6"/>
    <w:rsid w:val="000158B4"/>
    <w:rsid w:val="00015B77"/>
    <w:rsid w:val="00015C1A"/>
    <w:rsid w:val="00015E32"/>
    <w:rsid w:val="000165C3"/>
    <w:rsid w:val="000167D3"/>
    <w:rsid w:val="0001687E"/>
    <w:rsid w:val="00016B2E"/>
    <w:rsid w:val="00016CF7"/>
    <w:rsid w:val="00016FA4"/>
    <w:rsid w:val="000171E2"/>
    <w:rsid w:val="00017288"/>
    <w:rsid w:val="000172D2"/>
    <w:rsid w:val="00017356"/>
    <w:rsid w:val="000178B0"/>
    <w:rsid w:val="00017E51"/>
    <w:rsid w:val="0002025B"/>
    <w:rsid w:val="00020262"/>
    <w:rsid w:val="00020372"/>
    <w:rsid w:val="000203B0"/>
    <w:rsid w:val="000204A5"/>
    <w:rsid w:val="0002069B"/>
    <w:rsid w:val="000207E2"/>
    <w:rsid w:val="00020820"/>
    <w:rsid w:val="00020D17"/>
    <w:rsid w:val="00020E9C"/>
    <w:rsid w:val="00020EF6"/>
    <w:rsid w:val="00020F57"/>
    <w:rsid w:val="000210A6"/>
    <w:rsid w:val="0002142B"/>
    <w:rsid w:val="00021474"/>
    <w:rsid w:val="0002152C"/>
    <w:rsid w:val="0002155D"/>
    <w:rsid w:val="00021691"/>
    <w:rsid w:val="00021945"/>
    <w:rsid w:val="00021C9D"/>
    <w:rsid w:val="00021D18"/>
    <w:rsid w:val="00021F6B"/>
    <w:rsid w:val="00021FBE"/>
    <w:rsid w:val="0002248C"/>
    <w:rsid w:val="000225F5"/>
    <w:rsid w:val="000226AF"/>
    <w:rsid w:val="00022841"/>
    <w:rsid w:val="00022895"/>
    <w:rsid w:val="000228D9"/>
    <w:rsid w:val="000229D4"/>
    <w:rsid w:val="00022A59"/>
    <w:rsid w:val="00022B0A"/>
    <w:rsid w:val="00022C15"/>
    <w:rsid w:val="00022EC5"/>
    <w:rsid w:val="0002314E"/>
    <w:rsid w:val="000231AE"/>
    <w:rsid w:val="00023229"/>
    <w:rsid w:val="00023308"/>
    <w:rsid w:val="00023329"/>
    <w:rsid w:val="000233BD"/>
    <w:rsid w:val="00023452"/>
    <w:rsid w:val="000235E1"/>
    <w:rsid w:val="00023A56"/>
    <w:rsid w:val="00023D8C"/>
    <w:rsid w:val="00023EFF"/>
    <w:rsid w:val="000240B8"/>
    <w:rsid w:val="0002429B"/>
    <w:rsid w:val="000246CC"/>
    <w:rsid w:val="00024770"/>
    <w:rsid w:val="00024991"/>
    <w:rsid w:val="00024DB6"/>
    <w:rsid w:val="00024EB3"/>
    <w:rsid w:val="000252D1"/>
    <w:rsid w:val="000254C0"/>
    <w:rsid w:val="00025573"/>
    <w:rsid w:val="000257CC"/>
    <w:rsid w:val="00025889"/>
    <w:rsid w:val="0002599D"/>
    <w:rsid w:val="00025B2A"/>
    <w:rsid w:val="00025C70"/>
    <w:rsid w:val="00025E1B"/>
    <w:rsid w:val="00025EC1"/>
    <w:rsid w:val="00026585"/>
    <w:rsid w:val="000266F9"/>
    <w:rsid w:val="00026781"/>
    <w:rsid w:val="00026849"/>
    <w:rsid w:val="000269CC"/>
    <w:rsid w:val="00026ACA"/>
    <w:rsid w:val="00026AF9"/>
    <w:rsid w:val="00026B5D"/>
    <w:rsid w:val="00026D72"/>
    <w:rsid w:val="00027064"/>
    <w:rsid w:val="0002706A"/>
    <w:rsid w:val="0002717A"/>
    <w:rsid w:val="000272D9"/>
    <w:rsid w:val="00027474"/>
    <w:rsid w:val="00027590"/>
    <w:rsid w:val="00027939"/>
    <w:rsid w:val="00027AF8"/>
    <w:rsid w:val="00027B14"/>
    <w:rsid w:val="00027D38"/>
    <w:rsid w:val="00027E13"/>
    <w:rsid w:val="000303C3"/>
    <w:rsid w:val="000304FC"/>
    <w:rsid w:val="000305D1"/>
    <w:rsid w:val="000306D1"/>
    <w:rsid w:val="00030930"/>
    <w:rsid w:val="0003096C"/>
    <w:rsid w:val="0003102F"/>
    <w:rsid w:val="000312DC"/>
    <w:rsid w:val="00031699"/>
    <w:rsid w:val="000318B3"/>
    <w:rsid w:val="000318D2"/>
    <w:rsid w:val="000319AA"/>
    <w:rsid w:val="00031A8B"/>
    <w:rsid w:val="00031ACE"/>
    <w:rsid w:val="00031B37"/>
    <w:rsid w:val="00031CF5"/>
    <w:rsid w:val="00031E6C"/>
    <w:rsid w:val="0003201F"/>
    <w:rsid w:val="0003247A"/>
    <w:rsid w:val="00032527"/>
    <w:rsid w:val="00032818"/>
    <w:rsid w:val="00032BBB"/>
    <w:rsid w:val="00032C71"/>
    <w:rsid w:val="0003301A"/>
    <w:rsid w:val="00033204"/>
    <w:rsid w:val="0003323E"/>
    <w:rsid w:val="0003332F"/>
    <w:rsid w:val="000335F7"/>
    <w:rsid w:val="000337EC"/>
    <w:rsid w:val="00033A41"/>
    <w:rsid w:val="00033AB2"/>
    <w:rsid w:val="00033C8E"/>
    <w:rsid w:val="00033DAA"/>
    <w:rsid w:val="00033F3D"/>
    <w:rsid w:val="0003409A"/>
    <w:rsid w:val="0003415B"/>
    <w:rsid w:val="000344FD"/>
    <w:rsid w:val="00034583"/>
    <w:rsid w:val="00034633"/>
    <w:rsid w:val="000347C9"/>
    <w:rsid w:val="000348D1"/>
    <w:rsid w:val="000349C1"/>
    <w:rsid w:val="00034A8C"/>
    <w:rsid w:val="00034B0E"/>
    <w:rsid w:val="00034DB6"/>
    <w:rsid w:val="00034F23"/>
    <w:rsid w:val="000351D5"/>
    <w:rsid w:val="00035685"/>
    <w:rsid w:val="000357C6"/>
    <w:rsid w:val="000359B1"/>
    <w:rsid w:val="00035AAB"/>
    <w:rsid w:val="00035B43"/>
    <w:rsid w:val="00035CD8"/>
    <w:rsid w:val="00035E0C"/>
    <w:rsid w:val="000360FB"/>
    <w:rsid w:val="0003622C"/>
    <w:rsid w:val="00036310"/>
    <w:rsid w:val="00036417"/>
    <w:rsid w:val="00036461"/>
    <w:rsid w:val="000365BC"/>
    <w:rsid w:val="000367BE"/>
    <w:rsid w:val="00036A39"/>
    <w:rsid w:val="00036A6E"/>
    <w:rsid w:val="00036AEC"/>
    <w:rsid w:val="00036D02"/>
    <w:rsid w:val="00036D85"/>
    <w:rsid w:val="00036FB7"/>
    <w:rsid w:val="00036FD1"/>
    <w:rsid w:val="000370AF"/>
    <w:rsid w:val="00037239"/>
    <w:rsid w:val="00037299"/>
    <w:rsid w:val="00037357"/>
    <w:rsid w:val="000376BC"/>
    <w:rsid w:val="00037709"/>
    <w:rsid w:val="00037736"/>
    <w:rsid w:val="0003783A"/>
    <w:rsid w:val="000378D0"/>
    <w:rsid w:val="0003791F"/>
    <w:rsid w:val="00037E64"/>
    <w:rsid w:val="00040018"/>
    <w:rsid w:val="00040051"/>
    <w:rsid w:val="000400B4"/>
    <w:rsid w:val="00040166"/>
    <w:rsid w:val="00040643"/>
    <w:rsid w:val="0004074D"/>
    <w:rsid w:val="00040974"/>
    <w:rsid w:val="00040A41"/>
    <w:rsid w:val="00040AC3"/>
    <w:rsid w:val="00040BBA"/>
    <w:rsid w:val="00040C67"/>
    <w:rsid w:val="00040D81"/>
    <w:rsid w:val="00041000"/>
    <w:rsid w:val="00041094"/>
    <w:rsid w:val="0004128D"/>
    <w:rsid w:val="0004134A"/>
    <w:rsid w:val="0004150D"/>
    <w:rsid w:val="000415A0"/>
    <w:rsid w:val="000416E4"/>
    <w:rsid w:val="0004173F"/>
    <w:rsid w:val="00041849"/>
    <w:rsid w:val="00041BC4"/>
    <w:rsid w:val="00041E9B"/>
    <w:rsid w:val="00041F3B"/>
    <w:rsid w:val="000420BA"/>
    <w:rsid w:val="000420E4"/>
    <w:rsid w:val="00042155"/>
    <w:rsid w:val="00042249"/>
    <w:rsid w:val="0004245E"/>
    <w:rsid w:val="000425A4"/>
    <w:rsid w:val="000425B6"/>
    <w:rsid w:val="00042D1F"/>
    <w:rsid w:val="00042DCB"/>
    <w:rsid w:val="00042DD9"/>
    <w:rsid w:val="00042EE9"/>
    <w:rsid w:val="000435A4"/>
    <w:rsid w:val="00043656"/>
    <w:rsid w:val="0004368C"/>
    <w:rsid w:val="000436A6"/>
    <w:rsid w:val="000438FE"/>
    <w:rsid w:val="000439C3"/>
    <w:rsid w:val="00043A2E"/>
    <w:rsid w:val="00043B1B"/>
    <w:rsid w:val="00043DD3"/>
    <w:rsid w:val="0004409A"/>
    <w:rsid w:val="00044478"/>
    <w:rsid w:val="00044507"/>
    <w:rsid w:val="000445F8"/>
    <w:rsid w:val="000446D0"/>
    <w:rsid w:val="0004490A"/>
    <w:rsid w:val="00044BE9"/>
    <w:rsid w:val="00044D82"/>
    <w:rsid w:val="00045248"/>
    <w:rsid w:val="00045304"/>
    <w:rsid w:val="0004554F"/>
    <w:rsid w:val="00045618"/>
    <w:rsid w:val="000456A3"/>
    <w:rsid w:val="0004579D"/>
    <w:rsid w:val="00045C34"/>
    <w:rsid w:val="00045CDF"/>
    <w:rsid w:val="00045DE1"/>
    <w:rsid w:val="00045EF4"/>
    <w:rsid w:val="000460F8"/>
    <w:rsid w:val="000461A6"/>
    <w:rsid w:val="000461FD"/>
    <w:rsid w:val="000462B6"/>
    <w:rsid w:val="00046776"/>
    <w:rsid w:val="000467D3"/>
    <w:rsid w:val="000468DB"/>
    <w:rsid w:val="00046A17"/>
    <w:rsid w:val="00046F02"/>
    <w:rsid w:val="000474F9"/>
    <w:rsid w:val="0004761D"/>
    <w:rsid w:val="00047BFC"/>
    <w:rsid w:val="00047CB5"/>
    <w:rsid w:val="0005027A"/>
    <w:rsid w:val="000506F6"/>
    <w:rsid w:val="0005080E"/>
    <w:rsid w:val="00050849"/>
    <w:rsid w:val="00050873"/>
    <w:rsid w:val="000508E8"/>
    <w:rsid w:val="00050BDF"/>
    <w:rsid w:val="00050D30"/>
    <w:rsid w:val="00051082"/>
    <w:rsid w:val="0005111C"/>
    <w:rsid w:val="00051441"/>
    <w:rsid w:val="00051545"/>
    <w:rsid w:val="000515E2"/>
    <w:rsid w:val="000516FA"/>
    <w:rsid w:val="00051784"/>
    <w:rsid w:val="00051916"/>
    <w:rsid w:val="0005197C"/>
    <w:rsid w:val="00051A06"/>
    <w:rsid w:val="00051A69"/>
    <w:rsid w:val="00051CDF"/>
    <w:rsid w:val="00051FEA"/>
    <w:rsid w:val="00052503"/>
    <w:rsid w:val="0005261C"/>
    <w:rsid w:val="0005271E"/>
    <w:rsid w:val="000529D2"/>
    <w:rsid w:val="00052A00"/>
    <w:rsid w:val="00052A73"/>
    <w:rsid w:val="00052C86"/>
    <w:rsid w:val="00052D0C"/>
    <w:rsid w:val="00052E4D"/>
    <w:rsid w:val="0005312C"/>
    <w:rsid w:val="000531A4"/>
    <w:rsid w:val="0005324E"/>
    <w:rsid w:val="0005325A"/>
    <w:rsid w:val="000533AB"/>
    <w:rsid w:val="00053464"/>
    <w:rsid w:val="0005358B"/>
    <w:rsid w:val="000535F4"/>
    <w:rsid w:val="000538C4"/>
    <w:rsid w:val="000538C7"/>
    <w:rsid w:val="000538DB"/>
    <w:rsid w:val="00053A02"/>
    <w:rsid w:val="00053B52"/>
    <w:rsid w:val="00053BEE"/>
    <w:rsid w:val="00053C2F"/>
    <w:rsid w:val="00053C32"/>
    <w:rsid w:val="00054120"/>
    <w:rsid w:val="0005424C"/>
    <w:rsid w:val="00054258"/>
    <w:rsid w:val="0005426F"/>
    <w:rsid w:val="0005428A"/>
    <w:rsid w:val="0005434B"/>
    <w:rsid w:val="000544EF"/>
    <w:rsid w:val="00054534"/>
    <w:rsid w:val="000548DA"/>
    <w:rsid w:val="0005490F"/>
    <w:rsid w:val="00054BA1"/>
    <w:rsid w:val="00054C4B"/>
    <w:rsid w:val="000550F5"/>
    <w:rsid w:val="00055311"/>
    <w:rsid w:val="0005532E"/>
    <w:rsid w:val="0005568C"/>
    <w:rsid w:val="000557C5"/>
    <w:rsid w:val="000558FD"/>
    <w:rsid w:val="000559BE"/>
    <w:rsid w:val="00055A1B"/>
    <w:rsid w:val="00055A63"/>
    <w:rsid w:val="00055B97"/>
    <w:rsid w:val="00055DB0"/>
    <w:rsid w:val="00055E11"/>
    <w:rsid w:val="00055EC5"/>
    <w:rsid w:val="00055F30"/>
    <w:rsid w:val="00055F46"/>
    <w:rsid w:val="00056419"/>
    <w:rsid w:val="0005674C"/>
    <w:rsid w:val="000568B5"/>
    <w:rsid w:val="00056FDB"/>
    <w:rsid w:val="0005713B"/>
    <w:rsid w:val="0005715C"/>
    <w:rsid w:val="000572B6"/>
    <w:rsid w:val="00057311"/>
    <w:rsid w:val="00057465"/>
    <w:rsid w:val="00057923"/>
    <w:rsid w:val="00057C1F"/>
    <w:rsid w:val="00057D64"/>
    <w:rsid w:val="00057D65"/>
    <w:rsid w:val="000600E4"/>
    <w:rsid w:val="00060188"/>
    <w:rsid w:val="000601CE"/>
    <w:rsid w:val="000602C3"/>
    <w:rsid w:val="00060449"/>
    <w:rsid w:val="000604FE"/>
    <w:rsid w:val="00060787"/>
    <w:rsid w:val="00060891"/>
    <w:rsid w:val="00060911"/>
    <w:rsid w:val="000609FA"/>
    <w:rsid w:val="00060A1E"/>
    <w:rsid w:val="00060B4C"/>
    <w:rsid w:val="00060D28"/>
    <w:rsid w:val="00060E1C"/>
    <w:rsid w:val="00060EE3"/>
    <w:rsid w:val="00060F62"/>
    <w:rsid w:val="00060FA4"/>
    <w:rsid w:val="0006109F"/>
    <w:rsid w:val="0006114E"/>
    <w:rsid w:val="0006119A"/>
    <w:rsid w:val="0006120B"/>
    <w:rsid w:val="00061364"/>
    <w:rsid w:val="0006151B"/>
    <w:rsid w:val="000615CE"/>
    <w:rsid w:val="00061742"/>
    <w:rsid w:val="000619D3"/>
    <w:rsid w:val="00061A86"/>
    <w:rsid w:val="00061AAD"/>
    <w:rsid w:val="00061B14"/>
    <w:rsid w:val="00061C04"/>
    <w:rsid w:val="00061D91"/>
    <w:rsid w:val="00061F01"/>
    <w:rsid w:val="0006204C"/>
    <w:rsid w:val="00062229"/>
    <w:rsid w:val="000624F4"/>
    <w:rsid w:val="00062651"/>
    <w:rsid w:val="0006270F"/>
    <w:rsid w:val="000628BD"/>
    <w:rsid w:val="00062AEC"/>
    <w:rsid w:val="00062EE4"/>
    <w:rsid w:val="0006305B"/>
    <w:rsid w:val="000631E5"/>
    <w:rsid w:val="0006345E"/>
    <w:rsid w:val="000635B6"/>
    <w:rsid w:val="000635FE"/>
    <w:rsid w:val="00063701"/>
    <w:rsid w:val="000637B4"/>
    <w:rsid w:val="00063836"/>
    <w:rsid w:val="00063A5C"/>
    <w:rsid w:val="00063B57"/>
    <w:rsid w:val="00063D89"/>
    <w:rsid w:val="00064044"/>
    <w:rsid w:val="00064CA9"/>
    <w:rsid w:val="00065014"/>
    <w:rsid w:val="0006502E"/>
    <w:rsid w:val="0006503A"/>
    <w:rsid w:val="000650EB"/>
    <w:rsid w:val="00065323"/>
    <w:rsid w:val="000653B1"/>
    <w:rsid w:val="00065402"/>
    <w:rsid w:val="00065432"/>
    <w:rsid w:val="0006545F"/>
    <w:rsid w:val="000654EF"/>
    <w:rsid w:val="0006553B"/>
    <w:rsid w:val="0006578D"/>
    <w:rsid w:val="0006587A"/>
    <w:rsid w:val="000658D8"/>
    <w:rsid w:val="00065994"/>
    <w:rsid w:val="00066074"/>
    <w:rsid w:val="00066258"/>
    <w:rsid w:val="00066404"/>
    <w:rsid w:val="00066696"/>
    <w:rsid w:val="0006679F"/>
    <w:rsid w:val="000668AA"/>
    <w:rsid w:val="00066B18"/>
    <w:rsid w:val="00066BAA"/>
    <w:rsid w:val="00066BCF"/>
    <w:rsid w:val="00066C94"/>
    <w:rsid w:val="00066E2D"/>
    <w:rsid w:val="0006710D"/>
    <w:rsid w:val="000671A2"/>
    <w:rsid w:val="0006728B"/>
    <w:rsid w:val="000673A0"/>
    <w:rsid w:val="000673D6"/>
    <w:rsid w:val="000674BF"/>
    <w:rsid w:val="000674DF"/>
    <w:rsid w:val="0006766F"/>
    <w:rsid w:val="0006769B"/>
    <w:rsid w:val="00067821"/>
    <w:rsid w:val="00067845"/>
    <w:rsid w:val="00067A7B"/>
    <w:rsid w:val="00067C61"/>
    <w:rsid w:val="00067D09"/>
    <w:rsid w:val="00067F0A"/>
    <w:rsid w:val="000702DD"/>
    <w:rsid w:val="000705C1"/>
    <w:rsid w:val="0007063A"/>
    <w:rsid w:val="0007067C"/>
    <w:rsid w:val="00070789"/>
    <w:rsid w:val="00070871"/>
    <w:rsid w:val="0007099C"/>
    <w:rsid w:val="00070AD7"/>
    <w:rsid w:val="00070D40"/>
    <w:rsid w:val="00070E17"/>
    <w:rsid w:val="00070F27"/>
    <w:rsid w:val="00070F88"/>
    <w:rsid w:val="00071079"/>
    <w:rsid w:val="00071094"/>
    <w:rsid w:val="0007122C"/>
    <w:rsid w:val="000714EC"/>
    <w:rsid w:val="00071577"/>
    <w:rsid w:val="000715C5"/>
    <w:rsid w:val="0007178A"/>
    <w:rsid w:val="000718E7"/>
    <w:rsid w:val="00071B76"/>
    <w:rsid w:val="00071F0F"/>
    <w:rsid w:val="00071FA4"/>
    <w:rsid w:val="0007202F"/>
    <w:rsid w:val="000720F5"/>
    <w:rsid w:val="000721DA"/>
    <w:rsid w:val="0007278C"/>
    <w:rsid w:val="0007278D"/>
    <w:rsid w:val="000727C0"/>
    <w:rsid w:val="00072A0B"/>
    <w:rsid w:val="00072A0F"/>
    <w:rsid w:val="00073182"/>
    <w:rsid w:val="000732FF"/>
    <w:rsid w:val="0007338E"/>
    <w:rsid w:val="000733A3"/>
    <w:rsid w:val="00073652"/>
    <w:rsid w:val="00073735"/>
    <w:rsid w:val="00073A89"/>
    <w:rsid w:val="00073B95"/>
    <w:rsid w:val="00073B98"/>
    <w:rsid w:val="00073C95"/>
    <w:rsid w:val="00073E9B"/>
    <w:rsid w:val="00074596"/>
    <w:rsid w:val="000746F1"/>
    <w:rsid w:val="000748C8"/>
    <w:rsid w:val="000749FA"/>
    <w:rsid w:val="00074CEB"/>
    <w:rsid w:val="00075198"/>
    <w:rsid w:val="000752D9"/>
    <w:rsid w:val="000752E3"/>
    <w:rsid w:val="0007554C"/>
    <w:rsid w:val="000757FC"/>
    <w:rsid w:val="0007588B"/>
    <w:rsid w:val="000759A7"/>
    <w:rsid w:val="00075C17"/>
    <w:rsid w:val="00075C89"/>
    <w:rsid w:val="00075CC3"/>
    <w:rsid w:val="00075F0D"/>
    <w:rsid w:val="00075F9F"/>
    <w:rsid w:val="000760AD"/>
    <w:rsid w:val="000760F1"/>
    <w:rsid w:val="000760FD"/>
    <w:rsid w:val="00076289"/>
    <w:rsid w:val="0007642E"/>
    <w:rsid w:val="00076432"/>
    <w:rsid w:val="000767B5"/>
    <w:rsid w:val="000768CC"/>
    <w:rsid w:val="00076CB8"/>
    <w:rsid w:val="00076D2B"/>
    <w:rsid w:val="00076D6B"/>
    <w:rsid w:val="00076E84"/>
    <w:rsid w:val="000771D8"/>
    <w:rsid w:val="00077210"/>
    <w:rsid w:val="0007726A"/>
    <w:rsid w:val="00077393"/>
    <w:rsid w:val="000773FD"/>
    <w:rsid w:val="00077586"/>
    <w:rsid w:val="00077612"/>
    <w:rsid w:val="000776A3"/>
    <w:rsid w:val="000776A7"/>
    <w:rsid w:val="000776FF"/>
    <w:rsid w:val="00077769"/>
    <w:rsid w:val="00077B80"/>
    <w:rsid w:val="00077C0A"/>
    <w:rsid w:val="00077E4F"/>
    <w:rsid w:val="0007A753"/>
    <w:rsid w:val="00080147"/>
    <w:rsid w:val="0008016F"/>
    <w:rsid w:val="000804A2"/>
    <w:rsid w:val="000808AA"/>
    <w:rsid w:val="000808B4"/>
    <w:rsid w:val="00080974"/>
    <w:rsid w:val="00080A04"/>
    <w:rsid w:val="00080C3E"/>
    <w:rsid w:val="00080CAB"/>
    <w:rsid w:val="00080D9F"/>
    <w:rsid w:val="00080E2C"/>
    <w:rsid w:val="00080F66"/>
    <w:rsid w:val="0008112B"/>
    <w:rsid w:val="0008116D"/>
    <w:rsid w:val="000811B1"/>
    <w:rsid w:val="0008146E"/>
    <w:rsid w:val="000814CA"/>
    <w:rsid w:val="0008170C"/>
    <w:rsid w:val="00081797"/>
    <w:rsid w:val="000817B6"/>
    <w:rsid w:val="000817BC"/>
    <w:rsid w:val="00081AB3"/>
    <w:rsid w:val="00081BE7"/>
    <w:rsid w:val="00081C18"/>
    <w:rsid w:val="00081C1F"/>
    <w:rsid w:val="00081DDD"/>
    <w:rsid w:val="00081DEA"/>
    <w:rsid w:val="000821E7"/>
    <w:rsid w:val="00082224"/>
    <w:rsid w:val="00082273"/>
    <w:rsid w:val="000824BD"/>
    <w:rsid w:val="000826D9"/>
    <w:rsid w:val="00082898"/>
    <w:rsid w:val="000829A5"/>
    <w:rsid w:val="00082AD6"/>
    <w:rsid w:val="00082B29"/>
    <w:rsid w:val="00082C0B"/>
    <w:rsid w:val="00082E05"/>
    <w:rsid w:val="00082E46"/>
    <w:rsid w:val="00083035"/>
    <w:rsid w:val="000831D8"/>
    <w:rsid w:val="000831EE"/>
    <w:rsid w:val="00083291"/>
    <w:rsid w:val="00083305"/>
    <w:rsid w:val="00083332"/>
    <w:rsid w:val="000833FE"/>
    <w:rsid w:val="00083571"/>
    <w:rsid w:val="00083834"/>
    <w:rsid w:val="00083874"/>
    <w:rsid w:val="00083AA1"/>
    <w:rsid w:val="00083B11"/>
    <w:rsid w:val="00083C0F"/>
    <w:rsid w:val="00083C11"/>
    <w:rsid w:val="00084056"/>
    <w:rsid w:val="00084065"/>
    <w:rsid w:val="000841EF"/>
    <w:rsid w:val="00084235"/>
    <w:rsid w:val="000843B4"/>
    <w:rsid w:val="0008469C"/>
    <w:rsid w:val="00084777"/>
    <w:rsid w:val="0008499B"/>
    <w:rsid w:val="00084C5B"/>
    <w:rsid w:val="0008511C"/>
    <w:rsid w:val="000853A4"/>
    <w:rsid w:val="00085515"/>
    <w:rsid w:val="00085574"/>
    <w:rsid w:val="000856C7"/>
    <w:rsid w:val="0008578A"/>
    <w:rsid w:val="00085B4C"/>
    <w:rsid w:val="00085B91"/>
    <w:rsid w:val="00085C80"/>
    <w:rsid w:val="00085C93"/>
    <w:rsid w:val="00085E05"/>
    <w:rsid w:val="00085FA0"/>
    <w:rsid w:val="00085FB9"/>
    <w:rsid w:val="0008601D"/>
    <w:rsid w:val="00086286"/>
    <w:rsid w:val="0008656A"/>
    <w:rsid w:val="0008658D"/>
    <w:rsid w:val="00086660"/>
    <w:rsid w:val="00086735"/>
    <w:rsid w:val="000867F4"/>
    <w:rsid w:val="0008680C"/>
    <w:rsid w:val="00086978"/>
    <w:rsid w:val="00086A54"/>
    <w:rsid w:val="00086B4B"/>
    <w:rsid w:val="00086BC5"/>
    <w:rsid w:val="00086DB8"/>
    <w:rsid w:val="00086DD0"/>
    <w:rsid w:val="00086E3F"/>
    <w:rsid w:val="00087059"/>
    <w:rsid w:val="00087141"/>
    <w:rsid w:val="00087448"/>
    <w:rsid w:val="00087823"/>
    <w:rsid w:val="00087BF2"/>
    <w:rsid w:val="00087CCA"/>
    <w:rsid w:val="00087E28"/>
    <w:rsid w:val="00087F75"/>
    <w:rsid w:val="0009000B"/>
    <w:rsid w:val="00090190"/>
    <w:rsid w:val="000902DF"/>
    <w:rsid w:val="00090329"/>
    <w:rsid w:val="0009049E"/>
    <w:rsid w:val="000907EA"/>
    <w:rsid w:val="00090AA8"/>
    <w:rsid w:val="00090C19"/>
    <w:rsid w:val="00090C4F"/>
    <w:rsid w:val="00090CA8"/>
    <w:rsid w:val="00090F3D"/>
    <w:rsid w:val="00090FDE"/>
    <w:rsid w:val="0009110B"/>
    <w:rsid w:val="00091290"/>
    <w:rsid w:val="000912CF"/>
    <w:rsid w:val="0009137F"/>
    <w:rsid w:val="00091416"/>
    <w:rsid w:val="0009171C"/>
    <w:rsid w:val="000919BD"/>
    <w:rsid w:val="00091BB6"/>
    <w:rsid w:val="00091D52"/>
    <w:rsid w:val="00091EBA"/>
    <w:rsid w:val="00091FC8"/>
    <w:rsid w:val="000920A1"/>
    <w:rsid w:val="00092459"/>
    <w:rsid w:val="00092479"/>
    <w:rsid w:val="00092595"/>
    <w:rsid w:val="00092E24"/>
    <w:rsid w:val="00092E29"/>
    <w:rsid w:val="00093111"/>
    <w:rsid w:val="00093671"/>
    <w:rsid w:val="000936D7"/>
    <w:rsid w:val="000937C1"/>
    <w:rsid w:val="00093888"/>
    <w:rsid w:val="00093A9A"/>
    <w:rsid w:val="0009410A"/>
    <w:rsid w:val="000943A3"/>
    <w:rsid w:val="000943BE"/>
    <w:rsid w:val="0009453E"/>
    <w:rsid w:val="000945E2"/>
    <w:rsid w:val="000946B5"/>
    <w:rsid w:val="0009487A"/>
    <w:rsid w:val="00094990"/>
    <w:rsid w:val="000949DA"/>
    <w:rsid w:val="00094B67"/>
    <w:rsid w:val="00094BAF"/>
    <w:rsid w:val="00094C72"/>
    <w:rsid w:val="00094DCC"/>
    <w:rsid w:val="000950F4"/>
    <w:rsid w:val="000951A2"/>
    <w:rsid w:val="00095344"/>
    <w:rsid w:val="000953C6"/>
    <w:rsid w:val="00095504"/>
    <w:rsid w:val="000955BF"/>
    <w:rsid w:val="0009569F"/>
    <w:rsid w:val="000957FD"/>
    <w:rsid w:val="000958BB"/>
    <w:rsid w:val="00095934"/>
    <w:rsid w:val="00095C34"/>
    <w:rsid w:val="00095D02"/>
    <w:rsid w:val="00095D1E"/>
    <w:rsid w:val="00095DB9"/>
    <w:rsid w:val="00095F37"/>
    <w:rsid w:val="00095F98"/>
    <w:rsid w:val="000960A4"/>
    <w:rsid w:val="000961CD"/>
    <w:rsid w:val="000962FC"/>
    <w:rsid w:val="000964BD"/>
    <w:rsid w:val="00096745"/>
    <w:rsid w:val="000967D5"/>
    <w:rsid w:val="00096802"/>
    <w:rsid w:val="00096949"/>
    <w:rsid w:val="0009694C"/>
    <w:rsid w:val="00096B40"/>
    <w:rsid w:val="00096CC0"/>
    <w:rsid w:val="00096D0A"/>
    <w:rsid w:val="00096E39"/>
    <w:rsid w:val="00096E57"/>
    <w:rsid w:val="00096FA6"/>
    <w:rsid w:val="00097198"/>
    <w:rsid w:val="000971AA"/>
    <w:rsid w:val="0009726E"/>
    <w:rsid w:val="0009739A"/>
    <w:rsid w:val="0009751C"/>
    <w:rsid w:val="00097619"/>
    <w:rsid w:val="000976DB"/>
    <w:rsid w:val="00097734"/>
    <w:rsid w:val="00097746"/>
    <w:rsid w:val="00097766"/>
    <w:rsid w:val="0009780C"/>
    <w:rsid w:val="00097884"/>
    <w:rsid w:val="000979D0"/>
    <w:rsid w:val="000979D2"/>
    <w:rsid w:val="00097AFD"/>
    <w:rsid w:val="00097D98"/>
    <w:rsid w:val="000A0391"/>
    <w:rsid w:val="000A0392"/>
    <w:rsid w:val="000A0520"/>
    <w:rsid w:val="000A089C"/>
    <w:rsid w:val="000A08AB"/>
    <w:rsid w:val="000A0945"/>
    <w:rsid w:val="000A0B62"/>
    <w:rsid w:val="000A0BC4"/>
    <w:rsid w:val="000A0C50"/>
    <w:rsid w:val="000A0DFB"/>
    <w:rsid w:val="000A0F76"/>
    <w:rsid w:val="000A1047"/>
    <w:rsid w:val="000A1225"/>
    <w:rsid w:val="000A1413"/>
    <w:rsid w:val="000A142D"/>
    <w:rsid w:val="000A14DF"/>
    <w:rsid w:val="000A1527"/>
    <w:rsid w:val="000A178B"/>
    <w:rsid w:val="000A1960"/>
    <w:rsid w:val="000A1A29"/>
    <w:rsid w:val="000A1D3B"/>
    <w:rsid w:val="000A1D50"/>
    <w:rsid w:val="000A1E30"/>
    <w:rsid w:val="000A1F42"/>
    <w:rsid w:val="000A2063"/>
    <w:rsid w:val="000A225E"/>
    <w:rsid w:val="000A2321"/>
    <w:rsid w:val="000A238E"/>
    <w:rsid w:val="000A23D6"/>
    <w:rsid w:val="000A24E4"/>
    <w:rsid w:val="000A27E8"/>
    <w:rsid w:val="000A2905"/>
    <w:rsid w:val="000A2C46"/>
    <w:rsid w:val="000A2CA6"/>
    <w:rsid w:val="000A2D17"/>
    <w:rsid w:val="000A2D97"/>
    <w:rsid w:val="000A2EB3"/>
    <w:rsid w:val="000A2F67"/>
    <w:rsid w:val="000A2F6C"/>
    <w:rsid w:val="000A2F89"/>
    <w:rsid w:val="000A32D9"/>
    <w:rsid w:val="000A32E0"/>
    <w:rsid w:val="000A362A"/>
    <w:rsid w:val="000A371B"/>
    <w:rsid w:val="000A3AD4"/>
    <w:rsid w:val="000A3F93"/>
    <w:rsid w:val="000A4000"/>
    <w:rsid w:val="000A40FE"/>
    <w:rsid w:val="000A43DC"/>
    <w:rsid w:val="000A4494"/>
    <w:rsid w:val="000A44F2"/>
    <w:rsid w:val="000A45A4"/>
    <w:rsid w:val="000A46B9"/>
    <w:rsid w:val="000A4F3F"/>
    <w:rsid w:val="000A4FC3"/>
    <w:rsid w:val="000A5155"/>
    <w:rsid w:val="000A549E"/>
    <w:rsid w:val="000A54B6"/>
    <w:rsid w:val="000A5501"/>
    <w:rsid w:val="000A5626"/>
    <w:rsid w:val="000A5CB2"/>
    <w:rsid w:val="000A5FC8"/>
    <w:rsid w:val="000A61A8"/>
    <w:rsid w:val="000A62B6"/>
    <w:rsid w:val="000A64DE"/>
    <w:rsid w:val="000A675E"/>
    <w:rsid w:val="000A6A90"/>
    <w:rsid w:val="000A6B9B"/>
    <w:rsid w:val="000A6CAB"/>
    <w:rsid w:val="000A6D4B"/>
    <w:rsid w:val="000A6E1D"/>
    <w:rsid w:val="000A6E41"/>
    <w:rsid w:val="000A6E79"/>
    <w:rsid w:val="000A6F30"/>
    <w:rsid w:val="000A6FF4"/>
    <w:rsid w:val="000A70B7"/>
    <w:rsid w:val="000A74C3"/>
    <w:rsid w:val="000A77C6"/>
    <w:rsid w:val="000A7881"/>
    <w:rsid w:val="000A79EF"/>
    <w:rsid w:val="000A7A02"/>
    <w:rsid w:val="000A7C85"/>
    <w:rsid w:val="000B00BA"/>
    <w:rsid w:val="000B020D"/>
    <w:rsid w:val="000B0351"/>
    <w:rsid w:val="000B0452"/>
    <w:rsid w:val="000B0540"/>
    <w:rsid w:val="000B063B"/>
    <w:rsid w:val="000B0B03"/>
    <w:rsid w:val="000B0C03"/>
    <w:rsid w:val="000B0E1D"/>
    <w:rsid w:val="000B0F5C"/>
    <w:rsid w:val="000B111D"/>
    <w:rsid w:val="000B1207"/>
    <w:rsid w:val="000B121B"/>
    <w:rsid w:val="000B1261"/>
    <w:rsid w:val="000B14AC"/>
    <w:rsid w:val="000B1654"/>
    <w:rsid w:val="000B1682"/>
    <w:rsid w:val="000B16E8"/>
    <w:rsid w:val="000B1890"/>
    <w:rsid w:val="000B1985"/>
    <w:rsid w:val="000B1A66"/>
    <w:rsid w:val="000B1B53"/>
    <w:rsid w:val="000B1BBE"/>
    <w:rsid w:val="000B1DD2"/>
    <w:rsid w:val="000B1F97"/>
    <w:rsid w:val="000B228A"/>
    <w:rsid w:val="000B26A1"/>
    <w:rsid w:val="000B2767"/>
    <w:rsid w:val="000B283B"/>
    <w:rsid w:val="000B2A6B"/>
    <w:rsid w:val="000B2A70"/>
    <w:rsid w:val="000B2D58"/>
    <w:rsid w:val="000B2E0C"/>
    <w:rsid w:val="000B331A"/>
    <w:rsid w:val="000B3344"/>
    <w:rsid w:val="000B35EB"/>
    <w:rsid w:val="000B3806"/>
    <w:rsid w:val="000B3A0B"/>
    <w:rsid w:val="000B3B43"/>
    <w:rsid w:val="000B3DD7"/>
    <w:rsid w:val="000B3ED7"/>
    <w:rsid w:val="000B3F3C"/>
    <w:rsid w:val="000B3F78"/>
    <w:rsid w:val="000B4184"/>
    <w:rsid w:val="000B41F7"/>
    <w:rsid w:val="000B4247"/>
    <w:rsid w:val="000B4256"/>
    <w:rsid w:val="000B4400"/>
    <w:rsid w:val="000B449A"/>
    <w:rsid w:val="000B4787"/>
    <w:rsid w:val="000B4810"/>
    <w:rsid w:val="000B481E"/>
    <w:rsid w:val="000B48CA"/>
    <w:rsid w:val="000B4AD6"/>
    <w:rsid w:val="000B4C6B"/>
    <w:rsid w:val="000B4EDE"/>
    <w:rsid w:val="000B516F"/>
    <w:rsid w:val="000B5285"/>
    <w:rsid w:val="000B573D"/>
    <w:rsid w:val="000B575C"/>
    <w:rsid w:val="000B57B9"/>
    <w:rsid w:val="000B591B"/>
    <w:rsid w:val="000B5947"/>
    <w:rsid w:val="000B597D"/>
    <w:rsid w:val="000B59FA"/>
    <w:rsid w:val="000B5B79"/>
    <w:rsid w:val="000B5C75"/>
    <w:rsid w:val="000B5F50"/>
    <w:rsid w:val="000B600E"/>
    <w:rsid w:val="000B6022"/>
    <w:rsid w:val="000B61E2"/>
    <w:rsid w:val="000B621C"/>
    <w:rsid w:val="000B6282"/>
    <w:rsid w:val="000B6415"/>
    <w:rsid w:val="000B6429"/>
    <w:rsid w:val="000B653A"/>
    <w:rsid w:val="000B6549"/>
    <w:rsid w:val="000B65B5"/>
    <w:rsid w:val="000B66C1"/>
    <w:rsid w:val="000B6723"/>
    <w:rsid w:val="000B69CB"/>
    <w:rsid w:val="000B6D78"/>
    <w:rsid w:val="000B6E5D"/>
    <w:rsid w:val="000B6EB0"/>
    <w:rsid w:val="000B6EEA"/>
    <w:rsid w:val="000B701A"/>
    <w:rsid w:val="000B7384"/>
    <w:rsid w:val="000B7404"/>
    <w:rsid w:val="000B756D"/>
    <w:rsid w:val="000B766F"/>
    <w:rsid w:val="000B782E"/>
    <w:rsid w:val="000B79A1"/>
    <w:rsid w:val="000B7C1A"/>
    <w:rsid w:val="000B7FF1"/>
    <w:rsid w:val="000C04C3"/>
    <w:rsid w:val="000C0597"/>
    <w:rsid w:val="000C0644"/>
    <w:rsid w:val="000C0785"/>
    <w:rsid w:val="000C07E8"/>
    <w:rsid w:val="000C09E4"/>
    <w:rsid w:val="000C09FA"/>
    <w:rsid w:val="000C0BE2"/>
    <w:rsid w:val="000C0C8E"/>
    <w:rsid w:val="000C0D5D"/>
    <w:rsid w:val="000C1160"/>
    <w:rsid w:val="000C121F"/>
    <w:rsid w:val="000C1222"/>
    <w:rsid w:val="000C17D8"/>
    <w:rsid w:val="000C1851"/>
    <w:rsid w:val="000C1A3E"/>
    <w:rsid w:val="000C1B9A"/>
    <w:rsid w:val="000C1E06"/>
    <w:rsid w:val="000C250B"/>
    <w:rsid w:val="000C25E0"/>
    <w:rsid w:val="000C2734"/>
    <w:rsid w:val="000C296D"/>
    <w:rsid w:val="000C2E63"/>
    <w:rsid w:val="000C2F1F"/>
    <w:rsid w:val="000C3084"/>
    <w:rsid w:val="000C3088"/>
    <w:rsid w:val="000C314D"/>
    <w:rsid w:val="000C37B2"/>
    <w:rsid w:val="000C3B0A"/>
    <w:rsid w:val="000C3D88"/>
    <w:rsid w:val="000C3EC1"/>
    <w:rsid w:val="000C3F30"/>
    <w:rsid w:val="000C40E7"/>
    <w:rsid w:val="000C4171"/>
    <w:rsid w:val="000C45DD"/>
    <w:rsid w:val="000C45E8"/>
    <w:rsid w:val="000C462D"/>
    <w:rsid w:val="000C47EF"/>
    <w:rsid w:val="000C4872"/>
    <w:rsid w:val="000C48E6"/>
    <w:rsid w:val="000C4A6F"/>
    <w:rsid w:val="000C4CF6"/>
    <w:rsid w:val="000C4DB9"/>
    <w:rsid w:val="000C50DC"/>
    <w:rsid w:val="000C51EB"/>
    <w:rsid w:val="000C523A"/>
    <w:rsid w:val="000C5346"/>
    <w:rsid w:val="000C5355"/>
    <w:rsid w:val="000C54B9"/>
    <w:rsid w:val="000C5604"/>
    <w:rsid w:val="000C5674"/>
    <w:rsid w:val="000C58DE"/>
    <w:rsid w:val="000C5B76"/>
    <w:rsid w:val="000C5BF3"/>
    <w:rsid w:val="000C5D69"/>
    <w:rsid w:val="000C5FAA"/>
    <w:rsid w:val="000C6262"/>
    <w:rsid w:val="000C6286"/>
    <w:rsid w:val="000C639B"/>
    <w:rsid w:val="000C63CC"/>
    <w:rsid w:val="000C6546"/>
    <w:rsid w:val="000C66DE"/>
    <w:rsid w:val="000C6832"/>
    <w:rsid w:val="000C68E9"/>
    <w:rsid w:val="000C6A63"/>
    <w:rsid w:val="000C6B91"/>
    <w:rsid w:val="000C6C02"/>
    <w:rsid w:val="000C6C39"/>
    <w:rsid w:val="000C6DDE"/>
    <w:rsid w:val="000C6E80"/>
    <w:rsid w:val="000C706C"/>
    <w:rsid w:val="000C7117"/>
    <w:rsid w:val="000C7329"/>
    <w:rsid w:val="000C7434"/>
    <w:rsid w:val="000C797B"/>
    <w:rsid w:val="000C79F6"/>
    <w:rsid w:val="000C7D42"/>
    <w:rsid w:val="000C7F95"/>
    <w:rsid w:val="000D0110"/>
    <w:rsid w:val="000D03EB"/>
    <w:rsid w:val="000D05D9"/>
    <w:rsid w:val="000D0876"/>
    <w:rsid w:val="000D0AB9"/>
    <w:rsid w:val="000D0B73"/>
    <w:rsid w:val="000D0C90"/>
    <w:rsid w:val="000D0CF0"/>
    <w:rsid w:val="000D0E5E"/>
    <w:rsid w:val="000D0E64"/>
    <w:rsid w:val="000D0E6E"/>
    <w:rsid w:val="000D0FC5"/>
    <w:rsid w:val="000D12DC"/>
    <w:rsid w:val="000D1425"/>
    <w:rsid w:val="000D186C"/>
    <w:rsid w:val="000D18BE"/>
    <w:rsid w:val="000D1A3C"/>
    <w:rsid w:val="000D1A90"/>
    <w:rsid w:val="000D1A97"/>
    <w:rsid w:val="000D1C8F"/>
    <w:rsid w:val="000D1DC4"/>
    <w:rsid w:val="000D1E53"/>
    <w:rsid w:val="000D1F65"/>
    <w:rsid w:val="000D202F"/>
    <w:rsid w:val="000D20EF"/>
    <w:rsid w:val="000D2110"/>
    <w:rsid w:val="000D219C"/>
    <w:rsid w:val="000D22CA"/>
    <w:rsid w:val="000D2318"/>
    <w:rsid w:val="000D25C5"/>
    <w:rsid w:val="000D276B"/>
    <w:rsid w:val="000D29AF"/>
    <w:rsid w:val="000D2C1A"/>
    <w:rsid w:val="000D2C3E"/>
    <w:rsid w:val="000D2CBA"/>
    <w:rsid w:val="000D3038"/>
    <w:rsid w:val="000D3173"/>
    <w:rsid w:val="000D32B3"/>
    <w:rsid w:val="000D32C5"/>
    <w:rsid w:val="000D33D9"/>
    <w:rsid w:val="000D3519"/>
    <w:rsid w:val="000D3556"/>
    <w:rsid w:val="000D36A9"/>
    <w:rsid w:val="000D3BC5"/>
    <w:rsid w:val="000D3BE3"/>
    <w:rsid w:val="000D3C55"/>
    <w:rsid w:val="000D3CED"/>
    <w:rsid w:val="000D3D04"/>
    <w:rsid w:val="000D3E17"/>
    <w:rsid w:val="000D3FA2"/>
    <w:rsid w:val="000D4177"/>
    <w:rsid w:val="000D4364"/>
    <w:rsid w:val="000D43B9"/>
    <w:rsid w:val="000D4422"/>
    <w:rsid w:val="000D450C"/>
    <w:rsid w:val="000D45C3"/>
    <w:rsid w:val="000D4612"/>
    <w:rsid w:val="000D46C3"/>
    <w:rsid w:val="000D4848"/>
    <w:rsid w:val="000D4905"/>
    <w:rsid w:val="000D496A"/>
    <w:rsid w:val="000D4B31"/>
    <w:rsid w:val="000D4BAF"/>
    <w:rsid w:val="000D4C8A"/>
    <w:rsid w:val="000D4F90"/>
    <w:rsid w:val="000D5030"/>
    <w:rsid w:val="000D514A"/>
    <w:rsid w:val="000D53EB"/>
    <w:rsid w:val="000D551F"/>
    <w:rsid w:val="000D5653"/>
    <w:rsid w:val="000D57BC"/>
    <w:rsid w:val="000D5BF0"/>
    <w:rsid w:val="000D5DFA"/>
    <w:rsid w:val="000D5E21"/>
    <w:rsid w:val="000D6049"/>
    <w:rsid w:val="000D606E"/>
    <w:rsid w:val="000D6083"/>
    <w:rsid w:val="000D60DA"/>
    <w:rsid w:val="000D6178"/>
    <w:rsid w:val="000D635A"/>
    <w:rsid w:val="000D6636"/>
    <w:rsid w:val="000D667A"/>
    <w:rsid w:val="000D6920"/>
    <w:rsid w:val="000D6C06"/>
    <w:rsid w:val="000D7033"/>
    <w:rsid w:val="000D70A7"/>
    <w:rsid w:val="000D71C1"/>
    <w:rsid w:val="000D720B"/>
    <w:rsid w:val="000D7224"/>
    <w:rsid w:val="000D7233"/>
    <w:rsid w:val="000D7253"/>
    <w:rsid w:val="000D7419"/>
    <w:rsid w:val="000D7436"/>
    <w:rsid w:val="000D759D"/>
    <w:rsid w:val="000D76D3"/>
    <w:rsid w:val="000D7B3E"/>
    <w:rsid w:val="000D7D13"/>
    <w:rsid w:val="000D7D5A"/>
    <w:rsid w:val="000E0102"/>
    <w:rsid w:val="000E0188"/>
    <w:rsid w:val="000E0208"/>
    <w:rsid w:val="000E02E4"/>
    <w:rsid w:val="000E03FD"/>
    <w:rsid w:val="000E0498"/>
    <w:rsid w:val="000E0525"/>
    <w:rsid w:val="000E08C7"/>
    <w:rsid w:val="000E0B3D"/>
    <w:rsid w:val="000E0CA5"/>
    <w:rsid w:val="000E0D76"/>
    <w:rsid w:val="000E0E5C"/>
    <w:rsid w:val="000E0EBE"/>
    <w:rsid w:val="000E143A"/>
    <w:rsid w:val="000E152B"/>
    <w:rsid w:val="000E1564"/>
    <w:rsid w:val="000E160F"/>
    <w:rsid w:val="000E1ADE"/>
    <w:rsid w:val="000E1B9A"/>
    <w:rsid w:val="000E1D32"/>
    <w:rsid w:val="000E1F12"/>
    <w:rsid w:val="000E1FF6"/>
    <w:rsid w:val="000E208A"/>
    <w:rsid w:val="000E2117"/>
    <w:rsid w:val="000E2120"/>
    <w:rsid w:val="000E249B"/>
    <w:rsid w:val="000E25B3"/>
    <w:rsid w:val="000E25C5"/>
    <w:rsid w:val="000E2785"/>
    <w:rsid w:val="000E27C3"/>
    <w:rsid w:val="000E282C"/>
    <w:rsid w:val="000E2852"/>
    <w:rsid w:val="000E28AA"/>
    <w:rsid w:val="000E297B"/>
    <w:rsid w:val="000E2AF4"/>
    <w:rsid w:val="000E2C4B"/>
    <w:rsid w:val="000E2D46"/>
    <w:rsid w:val="000E2DF4"/>
    <w:rsid w:val="000E3082"/>
    <w:rsid w:val="000E3136"/>
    <w:rsid w:val="000E326D"/>
    <w:rsid w:val="000E32F4"/>
    <w:rsid w:val="000E3363"/>
    <w:rsid w:val="000E3613"/>
    <w:rsid w:val="000E364A"/>
    <w:rsid w:val="000E3732"/>
    <w:rsid w:val="000E3981"/>
    <w:rsid w:val="000E39EE"/>
    <w:rsid w:val="000E3B00"/>
    <w:rsid w:val="000E3BAD"/>
    <w:rsid w:val="000E3DCD"/>
    <w:rsid w:val="000E4281"/>
    <w:rsid w:val="000E43A9"/>
    <w:rsid w:val="000E43BA"/>
    <w:rsid w:val="000E4713"/>
    <w:rsid w:val="000E483D"/>
    <w:rsid w:val="000E4E62"/>
    <w:rsid w:val="000E5095"/>
    <w:rsid w:val="000E52EB"/>
    <w:rsid w:val="000E540D"/>
    <w:rsid w:val="000E5545"/>
    <w:rsid w:val="000E568D"/>
    <w:rsid w:val="000E59F2"/>
    <w:rsid w:val="000E5C31"/>
    <w:rsid w:val="000E5CB2"/>
    <w:rsid w:val="000E630A"/>
    <w:rsid w:val="000E64B4"/>
    <w:rsid w:val="000E6576"/>
    <w:rsid w:val="000E66D2"/>
    <w:rsid w:val="000E67C7"/>
    <w:rsid w:val="000E6B61"/>
    <w:rsid w:val="000E6D55"/>
    <w:rsid w:val="000E6FB7"/>
    <w:rsid w:val="000E7612"/>
    <w:rsid w:val="000E765D"/>
    <w:rsid w:val="000E77B8"/>
    <w:rsid w:val="000E799E"/>
    <w:rsid w:val="000E7ACA"/>
    <w:rsid w:val="000E7C01"/>
    <w:rsid w:val="000E7D51"/>
    <w:rsid w:val="000E7D7D"/>
    <w:rsid w:val="000E7DCB"/>
    <w:rsid w:val="000F0187"/>
    <w:rsid w:val="000F01A5"/>
    <w:rsid w:val="000F01D0"/>
    <w:rsid w:val="000F037B"/>
    <w:rsid w:val="000F04F6"/>
    <w:rsid w:val="000F0525"/>
    <w:rsid w:val="000F0816"/>
    <w:rsid w:val="000F0ABC"/>
    <w:rsid w:val="000F0C58"/>
    <w:rsid w:val="000F0D2B"/>
    <w:rsid w:val="000F10E5"/>
    <w:rsid w:val="000F131C"/>
    <w:rsid w:val="000F1344"/>
    <w:rsid w:val="000F14F5"/>
    <w:rsid w:val="000F16AA"/>
    <w:rsid w:val="000F16BC"/>
    <w:rsid w:val="000F1A53"/>
    <w:rsid w:val="000F1AA3"/>
    <w:rsid w:val="000F1D42"/>
    <w:rsid w:val="000F21C3"/>
    <w:rsid w:val="000F223F"/>
    <w:rsid w:val="000F23B2"/>
    <w:rsid w:val="000F2402"/>
    <w:rsid w:val="000F242C"/>
    <w:rsid w:val="000F26E0"/>
    <w:rsid w:val="000F2718"/>
    <w:rsid w:val="000F27B7"/>
    <w:rsid w:val="000F2821"/>
    <w:rsid w:val="000F2856"/>
    <w:rsid w:val="000F2930"/>
    <w:rsid w:val="000F2A83"/>
    <w:rsid w:val="000F2B81"/>
    <w:rsid w:val="000F2C12"/>
    <w:rsid w:val="000F2D80"/>
    <w:rsid w:val="000F2EB6"/>
    <w:rsid w:val="000F3436"/>
    <w:rsid w:val="000F34B4"/>
    <w:rsid w:val="000F355B"/>
    <w:rsid w:val="000F38AA"/>
    <w:rsid w:val="000F3AA5"/>
    <w:rsid w:val="000F3ADB"/>
    <w:rsid w:val="000F3B47"/>
    <w:rsid w:val="000F3B8A"/>
    <w:rsid w:val="000F3C85"/>
    <w:rsid w:val="000F4034"/>
    <w:rsid w:val="000F43DE"/>
    <w:rsid w:val="000F442E"/>
    <w:rsid w:val="000F4541"/>
    <w:rsid w:val="000F4640"/>
    <w:rsid w:val="000F4991"/>
    <w:rsid w:val="000F499D"/>
    <w:rsid w:val="000F4E67"/>
    <w:rsid w:val="000F4F2D"/>
    <w:rsid w:val="000F4F73"/>
    <w:rsid w:val="000F52EC"/>
    <w:rsid w:val="000F52FF"/>
    <w:rsid w:val="000F5309"/>
    <w:rsid w:val="000F530C"/>
    <w:rsid w:val="000F54AF"/>
    <w:rsid w:val="000F55BA"/>
    <w:rsid w:val="000F56BD"/>
    <w:rsid w:val="000F57E7"/>
    <w:rsid w:val="000F59A4"/>
    <w:rsid w:val="000F5A52"/>
    <w:rsid w:val="000F5B41"/>
    <w:rsid w:val="000F5BC2"/>
    <w:rsid w:val="000F5C77"/>
    <w:rsid w:val="000F5EE8"/>
    <w:rsid w:val="000F5FA8"/>
    <w:rsid w:val="000F628B"/>
    <w:rsid w:val="000F6487"/>
    <w:rsid w:val="000F65CC"/>
    <w:rsid w:val="000F6625"/>
    <w:rsid w:val="000F6750"/>
    <w:rsid w:val="000F67AB"/>
    <w:rsid w:val="000F68A1"/>
    <w:rsid w:val="000F6B3B"/>
    <w:rsid w:val="000F6B5A"/>
    <w:rsid w:val="000F6B5C"/>
    <w:rsid w:val="000F6C17"/>
    <w:rsid w:val="000F719C"/>
    <w:rsid w:val="000F72A4"/>
    <w:rsid w:val="000F7394"/>
    <w:rsid w:val="000F73B1"/>
    <w:rsid w:val="000F7594"/>
    <w:rsid w:val="000F76FB"/>
    <w:rsid w:val="000F77BA"/>
    <w:rsid w:val="000F7901"/>
    <w:rsid w:val="000F7B76"/>
    <w:rsid w:val="000F7C65"/>
    <w:rsid w:val="000F7C81"/>
    <w:rsid w:val="000F7DD9"/>
    <w:rsid w:val="00100137"/>
    <w:rsid w:val="0010015F"/>
    <w:rsid w:val="00100284"/>
    <w:rsid w:val="00100498"/>
    <w:rsid w:val="001004EF"/>
    <w:rsid w:val="00100553"/>
    <w:rsid w:val="0010075A"/>
    <w:rsid w:val="001008DD"/>
    <w:rsid w:val="00100ADE"/>
    <w:rsid w:val="00100C33"/>
    <w:rsid w:val="00100CAF"/>
    <w:rsid w:val="00100EC7"/>
    <w:rsid w:val="00100F47"/>
    <w:rsid w:val="00100F4A"/>
    <w:rsid w:val="00101088"/>
    <w:rsid w:val="0010121B"/>
    <w:rsid w:val="00101258"/>
    <w:rsid w:val="001012EE"/>
    <w:rsid w:val="001013E6"/>
    <w:rsid w:val="0010140E"/>
    <w:rsid w:val="00101624"/>
    <w:rsid w:val="001017EC"/>
    <w:rsid w:val="00101A9C"/>
    <w:rsid w:val="00101B28"/>
    <w:rsid w:val="00101B40"/>
    <w:rsid w:val="00101E63"/>
    <w:rsid w:val="00101E75"/>
    <w:rsid w:val="00101ED5"/>
    <w:rsid w:val="00101FBD"/>
    <w:rsid w:val="0010200B"/>
    <w:rsid w:val="00102660"/>
    <w:rsid w:val="00102932"/>
    <w:rsid w:val="00102A33"/>
    <w:rsid w:val="00102CA2"/>
    <w:rsid w:val="00102D68"/>
    <w:rsid w:val="00103098"/>
    <w:rsid w:val="001031A3"/>
    <w:rsid w:val="001032C0"/>
    <w:rsid w:val="0010352C"/>
    <w:rsid w:val="00103854"/>
    <w:rsid w:val="00103A0D"/>
    <w:rsid w:val="00103BF0"/>
    <w:rsid w:val="00103CA7"/>
    <w:rsid w:val="00103CD7"/>
    <w:rsid w:val="00103D6A"/>
    <w:rsid w:val="001040C1"/>
    <w:rsid w:val="001042ED"/>
    <w:rsid w:val="0010446F"/>
    <w:rsid w:val="00104495"/>
    <w:rsid w:val="001045B7"/>
    <w:rsid w:val="0010461D"/>
    <w:rsid w:val="001047F1"/>
    <w:rsid w:val="001048A9"/>
    <w:rsid w:val="00104914"/>
    <w:rsid w:val="00104AC9"/>
    <w:rsid w:val="00104B5B"/>
    <w:rsid w:val="00104FB3"/>
    <w:rsid w:val="00104FF4"/>
    <w:rsid w:val="00105636"/>
    <w:rsid w:val="001058D5"/>
    <w:rsid w:val="00105B1B"/>
    <w:rsid w:val="00105FC8"/>
    <w:rsid w:val="0010609C"/>
    <w:rsid w:val="00106487"/>
    <w:rsid w:val="00106691"/>
    <w:rsid w:val="001068CB"/>
    <w:rsid w:val="0010691E"/>
    <w:rsid w:val="00106934"/>
    <w:rsid w:val="00106AD7"/>
    <w:rsid w:val="00106B56"/>
    <w:rsid w:val="00106BA1"/>
    <w:rsid w:val="00106BAD"/>
    <w:rsid w:val="00106D28"/>
    <w:rsid w:val="00106D7A"/>
    <w:rsid w:val="00106F32"/>
    <w:rsid w:val="00106F55"/>
    <w:rsid w:val="00106F57"/>
    <w:rsid w:val="00106FAF"/>
    <w:rsid w:val="00107399"/>
    <w:rsid w:val="001073E3"/>
    <w:rsid w:val="00107606"/>
    <w:rsid w:val="0010788F"/>
    <w:rsid w:val="001078FE"/>
    <w:rsid w:val="00107AC9"/>
    <w:rsid w:val="00107B55"/>
    <w:rsid w:val="00107CBA"/>
    <w:rsid w:val="001100C1"/>
    <w:rsid w:val="0011025A"/>
    <w:rsid w:val="00110370"/>
    <w:rsid w:val="00110389"/>
    <w:rsid w:val="00110397"/>
    <w:rsid w:val="00110440"/>
    <w:rsid w:val="00110644"/>
    <w:rsid w:val="001106F5"/>
    <w:rsid w:val="0011071A"/>
    <w:rsid w:val="00110787"/>
    <w:rsid w:val="001108F3"/>
    <w:rsid w:val="00110935"/>
    <w:rsid w:val="00110958"/>
    <w:rsid w:val="00110972"/>
    <w:rsid w:val="00110B97"/>
    <w:rsid w:val="00110D8F"/>
    <w:rsid w:val="00110DC2"/>
    <w:rsid w:val="001111DA"/>
    <w:rsid w:val="001111F0"/>
    <w:rsid w:val="0011137C"/>
    <w:rsid w:val="0011148A"/>
    <w:rsid w:val="0011160E"/>
    <w:rsid w:val="00111856"/>
    <w:rsid w:val="001118A0"/>
    <w:rsid w:val="001118CF"/>
    <w:rsid w:val="00111931"/>
    <w:rsid w:val="00111DCB"/>
    <w:rsid w:val="00111DE7"/>
    <w:rsid w:val="00111E3A"/>
    <w:rsid w:val="001123E3"/>
    <w:rsid w:val="001123E7"/>
    <w:rsid w:val="00112516"/>
    <w:rsid w:val="00112923"/>
    <w:rsid w:val="00112C0C"/>
    <w:rsid w:val="00112C80"/>
    <w:rsid w:val="00112D0A"/>
    <w:rsid w:val="00112E5E"/>
    <w:rsid w:val="00112E67"/>
    <w:rsid w:val="00113026"/>
    <w:rsid w:val="0011338B"/>
    <w:rsid w:val="0011344C"/>
    <w:rsid w:val="001136AC"/>
    <w:rsid w:val="001136C7"/>
    <w:rsid w:val="0011384F"/>
    <w:rsid w:val="0011387F"/>
    <w:rsid w:val="001138D2"/>
    <w:rsid w:val="0011397F"/>
    <w:rsid w:val="00113B27"/>
    <w:rsid w:val="00113BFA"/>
    <w:rsid w:val="00113C86"/>
    <w:rsid w:val="00113F98"/>
    <w:rsid w:val="00114069"/>
    <w:rsid w:val="0011411A"/>
    <w:rsid w:val="001141F2"/>
    <w:rsid w:val="001143C0"/>
    <w:rsid w:val="0011441F"/>
    <w:rsid w:val="0011446F"/>
    <w:rsid w:val="00114501"/>
    <w:rsid w:val="001145F4"/>
    <w:rsid w:val="0011473B"/>
    <w:rsid w:val="00114969"/>
    <w:rsid w:val="00114B68"/>
    <w:rsid w:val="00114C2E"/>
    <w:rsid w:val="00114CDD"/>
    <w:rsid w:val="00114D41"/>
    <w:rsid w:val="00114D53"/>
    <w:rsid w:val="00114DC1"/>
    <w:rsid w:val="00114FFB"/>
    <w:rsid w:val="00115292"/>
    <w:rsid w:val="001153E5"/>
    <w:rsid w:val="001154A1"/>
    <w:rsid w:val="001155E6"/>
    <w:rsid w:val="0011581D"/>
    <w:rsid w:val="00115998"/>
    <w:rsid w:val="00115A6D"/>
    <w:rsid w:val="00115A7C"/>
    <w:rsid w:val="00115B82"/>
    <w:rsid w:val="00115EB9"/>
    <w:rsid w:val="00116024"/>
    <w:rsid w:val="001162B0"/>
    <w:rsid w:val="00116482"/>
    <w:rsid w:val="00116673"/>
    <w:rsid w:val="001166A5"/>
    <w:rsid w:val="00116909"/>
    <w:rsid w:val="0011694B"/>
    <w:rsid w:val="00116997"/>
    <w:rsid w:val="00116ACD"/>
    <w:rsid w:val="00116DA0"/>
    <w:rsid w:val="00116DF5"/>
    <w:rsid w:val="001172B0"/>
    <w:rsid w:val="00117331"/>
    <w:rsid w:val="001176F8"/>
    <w:rsid w:val="00117868"/>
    <w:rsid w:val="00117879"/>
    <w:rsid w:val="00117D14"/>
    <w:rsid w:val="00117F57"/>
    <w:rsid w:val="00120139"/>
    <w:rsid w:val="00120173"/>
    <w:rsid w:val="00120524"/>
    <w:rsid w:val="001207CD"/>
    <w:rsid w:val="00120887"/>
    <w:rsid w:val="00120B6C"/>
    <w:rsid w:val="00120B9A"/>
    <w:rsid w:val="00120C7A"/>
    <w:rsid w:val="00120D12"/>
    <w:rsid w:val="00120EC3"/>
    <w:rsid w:val="00120FA8"/>
    <w:rsid w:val="00121160"/>
    <w:rsid w:val="0012128D"/>
    <w:rsid w:val="001215E9"/>
    <w:rsid w:val="0012161D"/>
    <w:rsid w:val="001216DA"/>
    <w:rsid w:val="00121708"/>
    <w:rsid w:val="00121956"/>
    <w:rsid w:val="00121984"/>
    <w:rsid w:val="00121A96"/>
    <w:rsid w:val="00121CB0"/>
    <w:rsid w:val="00122122"/>
    <w:rsid w:val="00122198"/>
    <w:rsid w:val="00122323"/>
    <w:rsid w:val="001223D7"/>
    <w:rsid w:val="001224EB"/>
    <w:rsid w:val="0012267B"/>
    <w:rsid w:val="001228D5"/>
    <w:rsid w:val="001228E5"/>
    <w:rsid w:val="00122DDF"/>
    <w:rsid w:val="00122E83"/>
    <w:rsid w:val="00122E9D"/>
    <w:rsid w:val="0012304B"/>
    <w:rsid w:val="001231DB"/>
    <w:rsid w:val="001231F8"/>
    <w:rsid w:val="00123587"/>
    <w:rsid w:val="00123765"/>
    <w:rsid w:val="001237C7"/>
    <w:rsid w:val="001237D7"/>
    <w:rsid w:val="0012382B"/>
    <w:rsid w:val="001239B2"/>
    <w:rsid w:val="00123ACB"/>
    <w:rsid w:val="00123CA4"/>
    <w:rsid w:val="00123FAD"/>
    <w:rsid w:val="00124281"/>
    <w:rsid w:val="001243B4"/>
    <w:rsid w:val="0012459A"/>
    <w:rsid w:val="001245AB"/>
    <w:rsid w:val="0012470E"/>
    <w:rsid w:val="0012487B"/>
    <w:rsid w:val="001248DE"/>
    <w:rsid w:val="00124937"/>
    <w:rsid w:val="00124942"/>
    <w:rsid w:val="00124B5C"/>
    <w:rsid w:val="00124B89"/>
    <w:rsid w:val="00124CFB"/>
    <w:rsid w:val="00124E66"/>
    <w:rsid w:val="00124E86"/>
    <w:rsid w:val="00124E87"/>
    <w:rsid w:val="00124FDE"/>
    <w:rsid w:val="001250B9"/>
    <w:rsid w:val="0012534E"/>
    <w:rsid w:val="001255F9"/>
    <w:rsid w:val="001257A5"/>
    <w:rsid w:val="001258E0"/>
    <w:rsid w:val="00125ABC"/>
    <w:rsid w:val="00125B74"/>
    <w:rsid w:val="00125D1C"/>
    <w:rsid w:val="00125EE5"/>
    <w:rsid w:val="00125F03"/>
    <w:rsid w:val="00125FB8"/>
    <w:rsid w:val="001261F7"/>
    <w:rsid w:val="00126392"/>
    <w:rsid w:val="00126594"/>
    <w:rsid w:val="001265B7"/>
    <w:rsid w:val="0012688F"/>
    <w:rsid w:val="001268C2"/>
    <w:rsid w:val="00126928"/>
    <w:rsid w:val="001269E3"/>
    <w:rsid w:val="00126C51"/>
    <w:rsid w:val="00126E4F"/>
    <w:rsid w:val="00127018"/>
    <w:rsid w:val="00127187"/>
    <w:rsid w:val="001271AD"/>
    <w:rsid w:val="00127326"/>
    <w:rsid w:val="0012752E"/>
    <w:rsid w:val="001276FB"/>
    <w:rsid w:val="00127833"/>
    <w:rsid w:val="001278C2"/>
    <w:rsid w:val="001279A7"/>
    <w:rsid w:val="001279EF"/>
    <w:rsid w:val="00127A3F"/>
    <w:rsid w:val="00127BD3"/>
    <w:rsid w:val="00127BDF"/>
    <w:rsid w:val="00127C9D"/>
    <w:rsid w:val="00127D7E"/>
    <w:rsid w:val="00127DEB"/>
    <w:rsid w:val="00127E88"/>
    <w:rsid w:val="0013036A"/>
    <w:rsid w:val="00130465"/>
    <w:rsid w:val="00130617"/>
    <w:rsid w:val="00130646"/>
    <w:rsid w:val="00130655"/>
    <w:rsid w:val="00130736"/>
    <w:rsid w:val="001307C3"/>
    <w:rsid w:val="00130836"/>
    <w:rsid w:val="0013086C"/>
    <w:rsid w:val="0013090E"/>
    <w:rsid w:val="00130A5F"/>
    <w:rsid w:val="00130EF2"/>
    <w:rsid w:val="0013120C"/>
    <w:rsid w:val="00131707"/>
    <w:rsid w:val="00131978"/>
    <w:rsid w:val="001319DE"/>
    <w:rsid w:val="00131DDD"/>
    <w:rsid w:val="00131E97"/>
    <w:rsid w:val="00131EB2"/>
    <w:rsid w:val="00131EE0"/>
    <w:rsid w:val="00131EE8"/>
    <w:rsid w:val="0013203B"/>
    <w:rsid w:val="001320EB"/>
    <w:rsid w:val="001321D2"/>
    <w:rsid w:val="00132238"/>
    <w:rsid w:val="0013246C"/>
    <w:rsid w:val="00132471"/>
    <w:rsid w:val="0013247F"/>
    <w:rsid w:val="001324DD"/>
    <w:rsid w:val="00132526"/>
    <w:rsid w:val="001326A2"/>
    <w:rsid w:val="0013270C"/>
    <w:rsid w:val="0013291F"/>
    <w:rsid w:val="00132A2B"/>
    <w:rsid w:val="00132AAC"/>
    <w:rsid w:val="00132C8D"/>
    <w:rsid w:val="00132DEA"/>
    <w:rsid w:val="001330C5"/>
    <w:rsid w:val="001333C2"/>
    <w:rsid w:val="001334DF"/>
    <w:rsid w:val="0013362B"/>
    <w:rsid w:val="001337C3"/>
    <w:rsid w:val="00133949"/>
    <w:rsid w:val="0013397D"/>
    <w:rsid w:val="00133C93"/>
    <w:rsid w:val="00133D51"/>
    <w:rsid w:val="00134037"/>
    <w:rsid w:val="00134299"/>
    <w:rsid w:val="001344C1"/>
    <w:rsid w:val="001346D3"/>
    <w:rsid w:val="00134797"/>
    <w:rsid w:val="00134CB4"/>
    <w:rsid w:val="00134DBE"/>
    <w:rsid w:val="00134DE5"/>
    <w:rsid w:val="00134E2B"/>
    <w:rsid w:val="00134F2C"/>
    <w:rsid w:val="00134F73"/>
    <w:rsid w:val="0013516E"/>
    <w:rsid w:val="00135185"/>
    <w:rsid w:val="001352FC"/>
    <w:rsid w:val="001354E2"/>
    <w:rsid w:val="00135568"/>
    <w:rsid w:val="001355ED"/>
    <w:rsid w:val="001355F4"/>
    <w:rsid w:val="00135906"/>
    <w:rsid w:val="0013594E"/>
    <w:rsid w:val="001359BB"/>
    <w:rsid w:val="00135A88"/>
    <w:rsid w:val="00135AF1"/>
    <w:rsid w:val="00135B49"/>
    <w:rsid w:val="00135C4A"/>
    <w:rsid w:val="00135C80"/>
    <w:rsid w:val="00135D2D"/>
    <w:rsid w:val="00135DC2"/>
    <w:rsid w:val="00136057"/>
    <w:rsid w:val="001360A4"/>
    <w:rsid w:val="0013616A"/>
    <w:rsid w:val="00136180"/>
    <w:rsid w:val="0013629F"/>
    <w:rsid w:val="001362BA"/>
    <w:rsid w:val="001363C3"/>
    <w:rsid w:val="0013644B"/>
    <w:rsid w:val="0013649A"/>
    <w:rsid w:val="0013672B"/>
    <w:rsid w:val="0013692F"/>
    <w:rsid w:val="00136A4C"/>
    <w:rsid w:val="00136A95"/>
    <w:rsid w:val="00136BAE"/>
    <w:rsid w:val="00136CBD"/>
    <w:rsid w:val="00136CFD"/>
    <w:rsid w:val="00136DB6"/>
    <w:rsid w:val="00136EF8"/>
    <w:rsid w:val="00136F69"/>
    <w:rsid w:val="00136FC7"/>
    <w:rsid w:val="00137019"/>
    <w:rsid w:val="00137075"/>
    <w:rsid w:val="0013746F"/>
    <w:rsid w:val="00137530"/>
    <w:rsid w:val="00137898"/>
    <w:rsid w:val="00137989"/>
    <w:rsid w:val="00137EC7"/>
    <w:rsid w:val="00137EEE"/>
    <w:rsid w:val="001401F7"/>
    <w:rsid w:val="00140685"/>
    <w:rsid w:val="00140799"/>
    <w:rsid w:val="001407C7"/>
    <w:rsid w:val="001407DA"/>
    <w:rsid w:val="00140848"/>
    <w:rsid w:val="00140876"/>
    <w:rsid w:val="00140AE3"/>
    <w:rsid w:val="00140AF2"/>
    <w:rsid w:val="00140BE7"/>
    <w:rsid w:val="00140C81"/>
    <w:rsid w:val="00140D72"/>
    <w:rsid w:val="00140DB3"/>
    <w:rsid w:val="0014107B"/>
    <w:rsid w:val="00141211"/>
    <w:rsid w:val="00141253"/>
    <w:rsid w:val="00141266"/>
    <w:rsid w:val="0014132F"/>
    <w:rsid w:val="001416F3"/>
    <w:rsid w:val="001416FE"/>
    <w:rsid w:val="001417CE"/>
    <w:rsid w:val="001418D7"/>
    <w:rsid w:val="001419D8"/>
    <w:rsid w:val="00141DA8"/>
    <w:rsid w:val="00141DAB"/>
    <w:rsid w:val="00141DE7"/>
    <w:rsid w:val="00141E1D"/>
    <w:rsid w:val="001420B7"/>
    <w:rsid w:val="001421BD"/>
    <w:rsid w:val="00142249"/>
    <w:rsid w:val="001423D4"/>
    <w:rsid w:val="00142938"/>
    <w:rsid w:val="00142CF5"/>
    <w:rsid w:val="00142EAA"/>
    <w:rsid w:val="00142F47"/>
    <w:rsid w:val="001430A9"/>
    <w:rsid w:val="001430C7"/>
    <w:rsid w:val="0014319A"/>
    <w:rsid w:val="00143462"/>
    <w:rsid w:val="001436B3"/>
    <w:rsid w:val="001436E1"/>
    <w:rsid w:val="0014378B"/>
    <w:rsid w:val="0014394E"/>
    <w:rsid w:val="00143958"/>
    <w:rsid w:val="0014398E"/>
    <w:rsid w:val="0014417A"/>
    <w:rsid w:val="001441C8"/>
    <w:rsid w:val="00144298"/>
    <w:rsid w:val="0014439E"/>
    <w:rsid w:val="001443C0"/>
    <w:rsid w:val="00144555"/>
    <w:rsid w:val="00144983"/>
    <w:rsid w:val="001449C0"/>
    <w:rsid w:val="00144A4C"/>
    <w:rsid w:val="00145183"/>
    <w:rsid w:val="001453CC"/>
    <w:rsid w:val="001455AF"/>
    <w:rsid w:val="0014560C"/>
    <w:rsid w:val="00145696"/>
    <w:rsid w:val="001456E9"/>
    <w:rsid w:val="00145708"/>
    <w:rsid w:val="00145774"/>
    <w:rsid w:val="00145872"/>
    <w:rsid w:val="00145B4E"/>
    <w:rsid w:val="00145C2C"/>
    <w:rsid w:val="00145C2E"/>
    <w:rsid w:val="00145E8A"/>
    <w:rsid w:val="00145EF1"/>
    <w:rsid w:val="0014600C"/>
    <w:rsid w:val="00146047"/>
    <w:rsid w:val="0014624B"/>
    <w:rsid w:val="00146345"/>
    <w:rsid w:val="00146356"/>
    <w:rsid w:val="001465DD"/>
    <w:rsid w:val="00146678"/>
    <w:rsid w:val="001468AA"/>
    <w:rsid w:val="001468EA"/>
    <w:rsid w:val="00146BDA"/>
    <w:rsid w:val="00146BDE"/>
    <w:rsid w:val="00146C31"/>
    <w:rsid w:val="00146C4C"/>
    <w:rsid w:val="00146ED5"/>
    <w:rsid w:val="001470BE"/>
    <w:rsid w:val="0014726E"/>
    <w:rsid w:val="001472C3"/>
    <w:rsid w:val="001472DE"/>
    <w:rsid w:val="00147314"/>
    <w:rsid w:val="00147355"/>
    <w:rsid w:val="00147362"/>
    <w:rsid w:val="001475F9"/>
    <w:rsid w:val="0014762F"/>
    <w:rsid w:val="00147656"/>
    <w:rsid w:val="00147685"/>
    <w:rsid w:val="001477E2"/>
    <w:rsid w:val="00147841"/>
    <w:rsid w:val="001478A5"/>
    <w:rsid w:val="001478CB"/>
    <w:rsid w:val="00147D5C"/>
    <w:rsid w:val="00147E03"/>
    <w:rsid w:val="00150160"/>
    <w:rsid w:val="001501A5"/>
    <w:rsid w:val="001504B5"/>
    <w:rsid w:val="001505A5"/>
    <w:rsid w:val="00150604"/>
    <w:rsid w:val="001507A1"/>
    <w:rsid w:val="001509B0"/>
    <w:rsid w:val="00150C64"/>
    <w:rsid w:val="00150D2C"/>
    <w:rsid w:val="00150D65"/>
    <w:rsid w:val="00150D7B"/>
    <w:rsid w:val="00150EA8"/>
    <w:rsid w:val="00150EFF"/>
    <w:rsid w:val="001511C8"/>
    <w:rsid w:val="0015123F"/>
    <w:rsid w:val="00151289"/>
    <w:rsid w:val="00151312"/>
    <w:rsid w:val="0015135A"/>
    <w:rsid w:val="001514E4"/>
    <w:rsid w:val="001515EE"/>
    <w:rsid w:val="0015163A"/>
    <w:rsid w:val="00151727"/>
    <w:rsid w:val="00151929"/>
    <w:rsid w:val="00151B2E"/>
    <w:rsid w:val="00151CEF"/>
    <w:rsid w:val="00151DE9"/>
    <w:rsid w:val="00151E76"/>
    <w:rsid w:val="00152082"/>
    <w:rsid w:val="00152265"/>
    <w:rsid w:val="001522D4"/>
    <w:rsid w:val="001525F8"/>
    <w:rsid w:val="00152665"/>
    <w:rsid w:val="0015274F"/>
    <w:rsid w:val="0015276F"/>
    <w:rsid w:val="001528E7"/>
    <w:rsid w:val="0015290A"/>
    <w:rsid w:val="00152A30"/>
    <w:rsid w:val="00152AB4"/>
    <w:rsid w:val="00152B5F"/>
    <w:rsid w:val="00152E9E"/>
    <w:rsid w:val="00152EDE"/>
    <w:rsid w:val="00152F06"/>
    <w:rsid w:val="00152F89"/>
    <w:rsid w:val="00152FC2"/>
    <w:rsid w:val="001536B1"/>
    <w:rsid w:val="00153726"/>
    <w:rsid w:val="0015382B"/>
    <w:rsid w:val="001538E6"/>
    <w:rsid w:val="00153A65"/>
    <w:rsid w:val="00153B70"/>
    <w:rsid w:val="00153EE7"/>
    <w:rsid w:val="00153F2E"/>
    <w:rsid w:val="001540A9"/>
    <w:rsid w:val="0015432C"/>
    <w:rsid w:val="0015432D"/>
    <w:rsid w:val="00154485"/>
    <w:rsid w:val="00154517"/>
    <w:rsid w:val="001546F9"/>
    <w:rsid w:val="00154E08"/>
    <w:rsid w:val="00154EF4"/>
    <w:rsid w:val="00154FFA"/>
    <w:rsid w:val="00155089"/>
    <w:rsid w:val="001550BE"/>
    <w:rsid w:val="001550D9"/>
    <w:rsid w:val="001551E9"/>
    <w:rsid w:val="0015525C"/>
    <w:rsid w:val="00155328"/>
    <w:rsid w:val="001554CE"/>
    <w:rsid w:val="0015558B"/>
    <w:rsid w:val="001555E8"/>
    <w:rsid w:val="0015583E"/>
    <w:rsid w:val="0015590E"/>
    <w:rsid w:val="00155923"/>
    <w:rsid w:val="00155954"/>
    <w:rsid w:val="00155A17"/>
    <w:rsid w:val="00155B90"/>
    <w:rsid w:val="00155B92"/>
    <w:rsid w:val="00155C30"/>
    <w:rsid w:val="00155CF0"/>
    <w:rsid w:val="00155E6B"/>
    <w:rsid w:val="0015601F"/>
    <w:rsid w:val="001560AB"/>
    <w:rsid w:val="001560BB"/>
    <w:rsid w:val="00156149"/>
    <w:rsid w:val="001561D8"/>
    <w:rsid w:val="00156560"/>
    <w:rsid w:val="001566AB"/>
    <w:rsid w:val="00156820"/>
    <w:rsid w:val="00156AEB"/>
    <w:rsid w:val="00156BC5"/>
    <w:rsid w:val="00156C88"/>
    <w:rsid w:val="00156CEB"/>
    <w:rsid w:val="00156ECC"/>
    <w:rsid w:val="00156F85"/>
    <w:rsid w:val="00157848"/>
    <w:rsid w:val="00157923"/>
    <w:rsid w:val="00157C2E"/>
    <w:rsid w:val="00157C3E"/>
    <w:rsid w:val="001604FC"/>
    <w:rsid w:val="00160766"/>
    <w:rsid w:val="001607B8"/>
    <w:rsid w:val="00160967"/>
    <w:rsid w:val="00160B1F"/>
    <w:rsid w:val="00160B73"/>
    <w:rsid w:val="00160C07"/>
    <w:rsid w:val="00160CB7"/>
    <w:rsid w:val="00160DAC"/>
    <w:rsid w:val="00160EA8"/>
    <w:rsid w:val="00160EFF"/>
    <w:rsid w:val="00160FAF"/>
    <w:rsid w:val="00161027"/>
    <w:rsid w:val="0016104D"/>
    <w:rsid w:val="00161126"/>
    <w:rsid w:val="00161288"/>
    <w:rsid w:val="00161295"/>
    <w:rsid w:val="001613BC"/>
    <w:rsid w:val="00161441"/>
    <w:rsid w:val="00161476"/>
    <w:rsid w:val="00161502"/>
    <w:rsid w:val="00161B6C"/>
    <w:rsid w:val="00161C5E"/>
    <w:rsid w:val="00161ED5"/>
    <w:rsid w:val="001620D8"/>
    <w:rsid w:val="001621B5"/>
    <w:rsid w:val="001625FF"/>
    <w:rsid w:val="0016260A"/>
    <w:rsid w:val="00162624"/>
    <w:rsid w:val="0016277C"/>
    <w:rsid w:val="00162782"/>
    <w:rsid w:val="00162A07"/>
    <w:rsid w:val="00162AE8"/>
    <w:rsid w:val="00162C62"/>
    <w:rsid w:val="00162C7A"/>
    <w:rsid w:val="00162F63"/>
    <w:rsid w:val="001633F3"/>
    <w:rsid w:val="0016353D"/>
    <w:rsid w:val="00163547"/>
    <w:rsid w:val="00163705"/>
    <w:rsid w:val="001638E4"/>
    <w:rsid w:val="00163AB4"/>
    <w:rsid w:val="00163C7A"/>
    <w:rsid w:val="00163D0D"/>
    <w:rsid w:val="00163D62"/>
    <w:rsid w:val="0016425C"/>
    <w:rsid w:val="00164313"/>
    <w:rsid w:val="0016441F"/>
    <w:rsid w:val="001645F0"/>
    <w:rsid w:val="001646EE"/>
    <w:rsid w:val="001647A5"/>
    <w:rsid w:val="00164975"/>
    <w:rsid w:val="001649F1"/>
    <w:rsid w:val="00164B23"/>
    <w:rsid w:val="00164B82"/>
    <w:rsid w:val="00164C58"/>
    <w:rsid w:val="001650C7"/>
    <w:rsid w:val="00165376"/>
    <w:rsid w:val="00165535"/>
    <w:rsid w:val="00165621"/>
    <w:rsid w:val="00165678"/>
    <w:rsid w:val="0016597D"/>
    <w:rsid w:val="00165D89"/>
    <w:rsid w:val="00165FCF"/>
    <w:rsid w:val="0016641D"/>
    <w:rsid w:val="0016650E"/>
    <w:rsid w:val="00166513"/>
    <w:rsid w:val="001665E8"/>
    <w:rsid w:val="00166661"/>
    <w:rsid w:val="001666C6"/>
    <w:rsid w:val="001669D9"/>
    <w:rsid w:val="00166FA8"/>
    <w:rsid w:val="00167165"/>
    <w:rsid w:val="001671C4"/>
    <w:rsid w:val="00167430"/>
    <w:rsid w:val="00167540"/>
    <w:rsid w:val="00167649"/>
    <w:rsid w:val="001676F7"/>
    <w:rsid w:val="00167761"/>
    <w:rsid w:val="0016780E"/>
    <w:rsid w:val="00167926"/>
    <w:rsid w:val="00167A81"/>
    <w:rsid w:val="00167AB5"/>
    <w:rsid w:val="00167E19"/>
    <w:rsid w:val="00170205"/>
    <w:rsid w:val="0017030A"/>
    <w:rsid w:val="00170315"/>
    <w:rsid w:val="0017068F"/>
    <w:rsid w:val="001706AB"/>
    <w:rsid w:val="001707C5"/>
    <w:rsid w:val="001707CD"/>
    <w:rsid w:val="00170809"/>
    <w:rsid w:val="0017094A"/>
    <w:rsid w:val="00170991"/>
    <w:rsid w:val="00170A8B"/>
    <w:rsid w:val="00170AF5"/>
    <w:rsid w:val="00170B13"/>
    <w:rsid w:val="00170B40"/>
    <w:rsid w:val="00170B6F"/>
    <w:rsid w:val="00170EF5"/>
    <w:rsid w:val="00171063"/>
    <w:rsid w:val="0017109F"/>
    <w:rsid w:val="0017119D"/>
    <w:rsid w:val="0017126D"/>
    <w:rsid w:val="001716D4"/>
    <w:rsid w:val="00171751"/>
    <w:rsid w:val="001718AA"/>
    <w:rsid w:val="00171A08"/>
    <w:rsid w:val="00171A0D"/>
    <w:rsid w:val="00171AB8"/>
    <w:rsid w:val="00171B0F"/>
    <w:rsid w:val="00171C31"/>
    <w:rsid w:val="00171D28"/>
    <w:rsid w:val="00171DEE"/>
    <w:rsid w:val="00171E02"/>
    <w:rsid w:val="00172133"/>
    <w:rsid w:val="001721B5"/>
    <w:rsid w:val="001721D6"/>
    <w:rsid w:val="00172340"/>
    <w:rsid w:val="001725E1"/>
    <w:rsid w:val="001727C7"/>
    <w:rsid w:val="00172AA9"/>
    <w:rsid w:val="00172AAC"/>
    <w:rsid w:val="00172B0E"/>
    <w:rsid w:val="00172CC9"/>
    <w:rsid w:val="00172D8C"/>
    <w:rsid w:val="001730C9"/>
    <w:rsid w:val="00173585"/>
    <w:rsid w:val="0017398C"/>
    <w:rsid w:val="001739EF"/>
    <w:rsid w:val="00173A31"/>
    <w:rsid w:val="00173B43"/>
    <w:rsid w:val="00173C12"/>
    <w:rsid w:val="00173C3C"/>
    <w:rsid w:val="00173C56"/>
    <w:rsid w:val="00173D2E"/>
    <w:rsid w:val="00173E43"/>
    <w:rsid w:val="00173EA3"/>
    <w:rsid w:val="00173ECD"/>
    <w:rsid w:val="00173F0E"/>
    <w:rsid w:val="00174381"/>
    <w:rsid w:val="00174451"/>
    <w:rsid w:val="001748CF"/>
    <w:rsid w:val="00174A93"/>
    <w:rsid w:val="00174CCC"/>
    <w:rsid w:val="00174DA2"/>
    <w:rsid w:val="00174DE3"/>
    <w:rsid w:val="00174EB1"/>
    <w:rsid w:val="00175139"/>
    <w:rsid w:val="001751C0"/>
    <w:rsid w:val="0017522E"/>
    <w:rsid w:val="00175536"/>
    <w:rsid w:val="00175546"/>
    <w:rsid w:val="00175B1E"/>
    <w:rsid w:val="00175B45"/>
    <w:rsid w:val="00175D2C"/>
    <w:rsid w:val="00175D85"/>
    <w:rsid w:val="00175E24"/>
    <w:rsid w:val="00175F07"/>
    <w:rsid w:val="00175FA4"/>
    <w:rsid w:val="00176082"/>
    <w:rsid w:val="001760A8"/>
    <w:rsid w:val="00176178"/>
    <w:rsid w:val="001761E2"/>
    <w:rsid w:val="0017637E"/>
    <w:rsid w:val="00176C07"/>
    <w:rsid w:val="00176EF2"/>
    <w:rsid w:val="00176F49"/>
    <w:rsid w:val="00176FC7"/>
    <w:rsid w:val="00177061"/>
    <w:rsid w:val="00177172"/>
    <w:rsid w:val="001774F3"/>
    <w:rsid w:val="00177557"/>
    <w:rsid w:val="00177877"/>
    <w:rsid w:val="001778F2"/>
    <w:rsid w:val="00177AB4"/>
    <w:rsid w:val="00177BDB"/>
    <w:rsid w:val="00177C94"/>
    <w:rsid w:val="00177CA3"/>
    <w:rsid w:val="00177E1E"/>
    <w:rsid w:val="00177F14"/>
    <w:rsid w:val="00177F4E"/>
    <w:rsid w:val="00177F96"/>
    <w:rsid w:val="0018005C"/>
    <w:rsid w:val="001801B6"/>
    <w:rsid w:val="00180491"/>
    <w:rsid w:val="0018054F"/>
    <w:rsid w:val="00180691"/>
    <w:rsid w:val="0018069E"/>
    <w:rsid w:val="001806DA"/>
    <w:rsid w:val="00180706"/>
    <w:rsid w:val="00180760"/>
    <w:rsid w:val="001807F4"/>
    <w:rsid w:val="0018095E"/>
    <w:rsid w:val="00180AD1"/>
    <w:rsid w:val="00180BA6"/>
    <w:rsid w:val="00180BAC"/>
    <w:rsid w:val="00180BAD"/>
    <w:rsid w:val="00180C03"/>
    <w:rsid w:val="00180C05"/>
    <w:rsid w:val="00180CFD"/>
    <w:rsid w:val="00180F0C"/>
    <w:rsid w:val="001812B7"/>
    <w:rsid w:val="00181538"/>
    <w:rsid w:val="0018165C"/>
    <w:rsid w:val="00181767"/>
    <w:rsid w:val="0018177F"/>
    <w:rsid w:val="00181912"/>
    <w:rsid w:val="00181B36"/>
    <w:rsid w:val="00181BD9"/>
    <w:rsid w:val="00181E61"/>
    <w:rsid w:val="00181E6B"/>
    <w:rsid w:val="00181F80"/>
    <w:rsid w:val="0018239B"/>
    <w:rsid w:val="00182733"/>
    <w:rsid w:val="00182754"/>
    <w:rsid w:val="00182872"/>
    <w:rsid w:val="001828B4"/>
    <w:rsid w:val="0018298F"/>
    <w:rsid w:val="00182A13"/>
    <w:rsid w:val="00182A36"/>
    <w:rsid w:val="00182BE5"/>
    <w:rsid w:val="00182DE0"/>
    <w:rsid w:val="00182EDC"/>
    <w:rsid w:val="00182FEA"/>
    <w:rsid w:val="001833E1"/>
    <w:rsid w:val="0018342E"/>
    <w:rsid w:val="001835E1"/>
    <w:rsid w:val="0018372E"/>
    <w:rsid w:val="001837F8"/>
    <w:rsid w:val="0018382A"/>
    <w:rsid w:val="001838E7"/>
    <w:rsid w:val="001838F0"/>
    <w:rsid w:val="00183A27"/>
    <w:rsid w:val="00183A41"/>
    <w:rsid w:val="00183B22"/>
    <w:rsid w:val="00183B9B"/>
    <w:rsid w:val="00183D88"/>
    <w:rsid w:val="00183EA1"/>
    <w:rsid w:val="0018405F"/>
    <w:rsid w:val="001841DF"/>
    <w:rsid w:val="00184230"/>
    <w:rsid w:val="0018424B"/>
    <w:rsid w:val="001843EC"/>
    <w:rsid w:val="001845BF"/>
    <w:rsid w:val="0018479E"/>
    <w:rsid w:val="001848E0"/>
    <w:rsid w:val="00184AAF"/>
    <w:rsid w:val="00184B9C"/>
    <w:rsid w:val="00184BAA"/>
    <w:rsid w:val="00184C42"/>
    <w:rsid w:val="00184D6A"/>
    <w:rsid w:val="0018509B"/>
    <w:rsid w:val="001851B6"/>
    <w:rsid w:val="00185359"/>
    <w:rsid w:val="0018536F"/>
    <w:rsid w:val="001856A7"/>
    <w:rsid w:val="00185879"/>
    <w:rsid w:val="00185B60"/>
    <w:rsid w:val="00185D6F"/>
    <w:rsid w:val="00185E11"/>
    <w:rsid w:val="001861BD"/>
    <w:rsid w:val="001861D6"/>
    <w:rsid w:val="00186362"/>
    <w:rsid w:val="0018649A"/>
    <w:rsid w:val="0018650C"/>
    <w:rsid w:val="0018656B"/>
    <w:rsid w:val="00186570"/>
    <w:rsid w:val="001865BE"/>
    <w:rsid w:val="0018661B"/>
    <w:rsid w:val="0018676B"/>
    <w:rsid w:val="00186789"/>
    <w:rsid w:val="001868D2"/>
    <w:rsid w:val="00186CF2"/>
    <w:rsid w:val="00186D22"/>
    <w:rsid w:val="00186DE9"/>
    <w:rsid w:val="001872CB"/>
    <w:rsid w:val="001872F8"/>
    <w:rsid w:val="00187375"/>
    <w:rsid w:val="00187404"/>
    <w:rsid w:val="00187479"/>
    <w:rsid w:val="001874DD"/>
    <w:rsid w:val="0018750B"/>
    <w:rsid w:val="0018761B"/>
    <w:rsid w:val="00187759"/>
    <w:rsid w:val="00187887"/>
    <w:rsid w:val="00187DE5"/>
    <w:rsid w:val="00187E54"/>
    <w:rsid w:val="00187E86"/>
    <w:rsid w:val="00187F0D"/>
    <w:rsid w:val="00187FE2"/>
    <w:rsid w:val="00187FE7"/>
    <w:rsid w:val="00187FE9"/>
    <w:rsid w:val="001900DD"/>
    <w:rsid w:val="001901AA"/>
    <w:rsid w:val="00190223"/>
    <w:rsid w:val="001903ED"/>
    <w:rsid w:val="001906F3"/>
    <w:rsid w:val="00190743"/>
    <w:rsid w:val="00190B9B"/>
    <w:rsid w:val="00190C13"/>
    <w:rsid w:val="00190C73"/>
    <w:rsid w:val="00190EEB"/>
    <w:rsid w:val="0019122C"/>
    <w:rsid w:val="0019133A"/>
    <w:rsid w:val="0019144D"/>
    <w:rsid w:val="0019170B"/>
    <w:rsid w:val="00191720"/>
    <w:rsid w:val="00191824"/>
    <w:rsid w:val="0019189B"/>
    <w:rsid w:val="00191AF1"/>
    <w:rsid w:val="00191D84"/>
    <w:rsid w:val="00191E46"/>
    <w:rsid w:val="00191FFD"/>
    <w:rsid w:val="001921BA"/>
    <w:rsid w:val="001922F0"/>
    <w:rsid w:val="001924A1"/>
    <w:rsid w:val="00192643"/>
    <w:rsid w:val="00192671"/>
    <w:rsid w:val="0019267A"/>
    <w:rsid w:val="0019278E"/>
    <w:rsid w:val="001927FE"/>
    <w:rsid w:val="00192936"/>
    <w:rsid w:val="00192A7C"/>
    <w:rsid w:val="00192BD7"/>
    <w:rsid w:val="00192E95"/>
    <w:rsid w:val="0019309F"/>
    <w:rsid w:val="001930AD"/>
    <w:rsid w:val="00193130"/>
    <w:rsid w:val="001933E7"/>
    <w:rsid w:val="001934E3"/>
    <w:rsid w:val="00193A19"/>
    <w:rsid w:val="00193C37"/>
    <w:rsid w:val="00193DC0"/>
    <w:rsid w:val="00193F3A"/>
    <w:rsid w:val="00193F6E"/>
    <w:rsid w:val="001940FB"/>
    <w:rsid w:val="00194249"/>
    <w:rsid w:val="001942E8"/>
    <w:rsid w:val="0019442B"/>
    <w:rsid w:val="001944A8"/>
    <w:rsid w:val="00194608"/>
    <w:rsid w:val="0019479A"/>
    <w:rsid w:val="001947A9"/>
    <w:rsid w:val="001947C0"/>
    <w:rsid w:val="00194967"/>
    <w:rsid w:val="00194AE7"/>
    <w:rsid w:val="00194B54"/>
    <w:rsid w:val="00194BC6"/>
    <w:rsid w:val="00194BFC"/>
    <w:rsid w:val="0019520F"/>
    <w:rsid w:val="00195235"/>
    <w:rsid w:val="001952D4"/>
    <w:rsid w:val="0019541E"/>
    <w:rsid w:val="0019554A"/>
    <w:rsid w:val="001956F8"/>
    <w:rsid w:val="00195780"/>
    <w:rsid w:val="001958A6"/>
    <w:rsid w:val="00195B31"/>
    <w:rsid w:val="00195FE5"/>
    <w:rsid w:val="001961EB"/>
    <w:rsid w:val="001963D4"/>
    <w:rsid w:val="00196444"/>
    <w:rsid w:val="0019644E"/>
    <w:rsid w:val="0019678E"/>
    <w:rsid w:val="00196903"/>
    <w:rsid w:val="00196B54"/>
    <w:rsid w:val="00196B5C"/>
    <w:rsid w:val="00196C3D"/>
    <w:rsid w:val="00196C4F"/>
    <w:rsid w:val="00196EC9"/>
    <w:rsid w:val="00196F72"/>
    <w:rsid w:val="00197333"/>
    <w:rsid w:val="00197735"/>
    <w:rsid w:val="001978F4"/>
    <w:rsid w:val="00197A10"/>
    <w:rsid w:val="00197EBF"/>
    <w:rsid w:val="00197EF7"/>
    <w:rsid w:val="00197F8F"/>
    <w:rsid w:val="00197FBE"/>
    <w:rsid w:val="001A010A"/>
    <w:rsid w:val="001A024E"/>
    <w:rsid w:val="001A02E6"/>
    <w:rsid w:val="001A031B"/>
    <w:rsid w:val="001A03C9"/>
    <w:rsid w:val="001A0659"/>
    <w:rsid w:val="001A07F5"/>
    <w:rsid w:val="001A0873"/>
    <w:rsid w:val="001A08D5"/>
    <w:rsid w:val="001A0BE0"/>
    <w:rsid w:val="001A0C7C"/>
    <w:rsid w:val="001A0D11"/>
    <w:rsid w:val="001A0E2B"/>
    <w:rsid w:val="001A0E6D"/>
    <w:rsid w:val="001A0E74"/>
    <w:rsid w:val="001A1005"/>
    <w:rsid w:val="001A11C3"/>
    <w:rsid w:val="001A1250"/>
    <w:rsid w:val="001A126F"/>
    <w:rsid w:val="001A14F8"/>
    <w:rsid w:val="001A158E"/>
    <w:rsid w:val="001A15A7"/>
    <w:rsid w:val="001A1616"/>
    <w:rsid w:val="001A17D7"/>
    <w:rsid w:val="001A1A65"/>
    <w:rsid w:val="001A1AD1"/>
    <w:rsid w:val="001A1B32"/>
    <w:rsid w:val="001A1BF6"/>
    <w:rsid w:val="001A207E"/>
    <w:rsid w:val="001A2547"/>
    <w:rsid w:val="001A2581"/>
    <w:rsid w:val="001A26F7"/>
    <w:rsid w:val="001A272C"/>
    <w:rsid w:val="001A283F"/>
    <w:rsid w:val="001A28ED"/>
    <w:rsid w:val="001A29AB"/>
    <w:rsid w:val="001A2BFB"/>
    <w:rsid w:val="001A2C4E"/>
    <w:rsid w:val="001A2C7F"/>
    <w:rsid w:val="001A2CE7"/>
    <w:rsid w:val="001A2DCE"/>
    <w:rsid w:val="001A2DFF"/>
    <w:rsid w:val="001A2F01"/>
    <w:rsid w:val="001A308E"/>
    <w:rsid w:val="001A327A"/>
    <w:rsid w:val="001A350F"/>
    <w:rsid w:val="001A354D"/>
    <w:rsid w:val="001A3A00"/>
    <w:rsid w:val="001A3B21"/>
    <w:rsid w:val="001A3B4B"/>
    <w:rsid w:val="001A3B67"/>
    <w:rsid w:val="001A3D19"/>
    <w:rsid w:val="001A3D25"/>
    <w:rsid w:val="001A3D60"/>
    <w:rsid w:val="001A3E27"/>
    <w:rsid w:val="001A3E61"/>
    <w:rsid w:val="001A3FFA"/>
    <w:rsid w:val="001A4063"/>
    <w:rsid w:val="001A41A1"/>
    <w:rsid w:val="001A4214"/>
    <w:rsid w:val="001A4365"/>
    <w:rsid w:val="001A446D"/>
    <w:rsid w:val="001A49CD"/>
    <w:rsid w:val="001A4ABC"/>
    <w:rsid w:val="001A4B07"/>
    <w:rsid w:val="001A4B59"/>
    <w:rsid w:val="001A4BDC"/>
    <w:rsid w:val="001A4DFC"/>
    <w:rsid w:val="001A4F18"/>
    <w:rsid w:val="001A4FA7"/>
    <w:rsid w:val="001A5014"/>
    <w:rsid w:val="001A51A5"/>
    <w:rsid w:val="001A5226"/>
    <w:rsid w:val="001A52F4"/>
    <w:rsid w:val="001A5473"/>
    <w:rsid w:val="001A565E"/>
    <w:rsid w:val="001A569B"/>
    <w:rsid w:val="001A56D2"/>
    <w:rsid w:val="001A5827"/>
    <w:rsid w:val="001A589D"/>
    <w:rsid w:val="001A58C1"/>
    <w:rsid w:val="001A59BD"/>
    <w:rsid w:val="001A5C1F"/>
    <w:rsid w:val="001A5D60"/>
    <w:rsid w:val="001A5F91"/>
    <w:rsid w:val="001A6037"/>
    <w:rsid w:val="001A6174"/>
    <w:rsid w:val="001A61D8"/>
    <w:rsid w:val="001A621E"/>
    <w:rsid w:val="001A6290"/>
    <w:rsid w:val="001A6417"/>
    <w:rsid w:val="001A64E3"/>
    <w:rsid w:val="001A65D8"/>
    <w:rsid w:val="001A65F7"/>
    <w:rsid w:val="001A6750"/>
    <w:rsid w:val="001A6819"/>
    <w:rsid w:val="001A685E"/>
    <w:rsid w:val="001A691F"/>
    <w:rsid w:val="001A6AFE"/>
    <w:rsid w:val="001A6BED"/>
    <w:rsid w:val="001A6DB0"/>
    <w:rsid w:val="001A6E97"/>
    <w:rsid w:val="001A6EE4"/>
    <w:rsid w:val="001A6F92"/>
    <w:rsid w:val="001A6FCA"/>
    <w:rsid w:val="001A71D4"/>
    <w:rsid w:val="001A729C"/>
    <w:rsid w:val="001A7303"/>
    <w:rsid w:val="001A7371"/>
    <w:rsid w:val="001A741A"/>
    <w:rsid w:val="001A7447"/>
    <w:rsid w:val="001A75EB"/>
    <w:rsid w:val="001A76EE"/>
    <w:rsid w:val="001A78AC"/>
    <w:rsid w:val="001A7BD7"/>
    <w:rsid w:val="001A7C1A"/>
    <w:rsid w:val="001A7EA2"/>
    <w:rsid w:val="001A7EB6"/>
    <w:rsid w:val="001A7F25"/>
    <w:rsid w:val="001A7F74"/>
    <w:rsid w:val="001A7F75"/>
    <w:rsid w:val="001A7FE2"/>
    <w:rsid w:val="001A7FE6"/>
    <w:rsid w:val="001B000D"/>
    <w:rsid w:val="001B0118"/>
    <w:rsid w:val="001B0279"/>
    <w:rsid w:val="001B0464"/>
    <w:rsid w:val="001B0588"/>
    <w:rsid w:val="001B05B7"/>
    <w:rsid w:val="001B062D"/>
    <w:rsid w:val="001B0AB6"/>
    <w:rsid w:val="001B0C12"/>
    <w:rsid w:val="001B0C19"/>
    <w:rsid w:val="001B0DD4"/>
    <w:rsid w:val="001B0E26"/>
    <w:rsid w:val="001B0FC6"/>
    <w:rsid w:val="001B1271"/>
    <w:rsid w:val="001B12AD"/>
    <w:rsid w:val="001B141F"/>
    <w:rsid w:val="001B14A0"/>
    <w:rsid w:val="001B1577"/>
    <w:rsid w:val="001B1C4D"/>
    <w:rsid w:val="001B1EEF"/>
    <w:rsid w:val="001B1F25"/>
    <w:rsid w:val="001B1F9D"/>
    <w:rsid w:val="001B215E"/>
    <w:rsid w:val="001B2403"/>
    <w:rsid w:val="001B26D5"/>
    <w:rsid w:val="001B293B"/>
    <w:rsid w:val="001B2A43"/>
    <w:rsid w:val="001B2A7D"/>
    <w:rsid w:val="001B2DEB"/>
    <w:rsid w:val="001B2E5F"/>
    <w:rsid w:val="001B3073"/>
    <w:rsid w:val="001B30D2"/>
    <w:rsid w:val="001B333A"/>
    <w:rsid w:val="001B350D"/>
    <w:rsid w:val="001B3705"/>
    <w:rsid w:val="001B3706"/>
    <w:rsid w:val="001B376B"/>
    <w:rsid w:val="001B37A0"/>
    <w:rsid w:val="001B38A8"/>
    <w:rsid w:val="001B39F4"/>
    <w:rsid w:val="001B3BC4"/>
    <w:rsid w:val="001B3C6A"/>
    <w:rsid w:val="001B3CF5"/>
    <w:rsid w:val="001B3D32"/>
    <w:rsid w:val="001B3E04"/>
    <w:rsid w:val="001B3E3E"/>
    <w:rsid w:val="001B3EA1"/>
    <w:rsid w:val="001B3F26"/>
    <w:rsid w:val="001B3F67"/>
    <w:rsid w:val="001B4067"/>
    <w:rsid w:val="001B40A8"/>
    <w:rsid w:val="001B4127"/>
    <w:rsid w:val="001B4145"/>
    <w:rsid w:val="001B41CF"/>
    <w:rsid w:val="001B4278"/>
    <w:rsid w:val="001B4289"/>
    <w:rsid w:val="001B42AC"/>
    <w:rsid w:val="001B42B1"/>
    <w:rsid w:val="001B4501"/>
    <w:rsid w:val="001B4570"/>
    <w:rsid w:val="001B4603"/>
    <w:rsid w:val="001B4AD2"/>
    <w:rsid w:val="001B4BB2"/>
    <w:rsid w:val="001B4CB8"/>
    <w:rsid w:val="001B50D3"/>
    <w:rsid w:val="001B532D"/>
    <w:rsid w:val="001B53B1"/>
    <w:rsid w:val="001B53D5"/>
    <w:rsid w:val="001B5445"/>
    <w:rsid w:val="001B5460"/>
    <w:rsid w:val="001B5515"/>
    <w:rsid w:val="001B557F"/>
    <w:rsid w:val="001B559C"/>
    <w:rsid w:val="001B57D8"/>
    <w:rsid w:val="001B5C01"/>
    <w:rsid w:val="001B5C28"/>
    <w:rsid w:val="001B5CA2"/>
    <w:rsid w:val="001B5CFD"/>
    <w:rsid w:val="001B5D9B"/>
    <w:rsid w:val="001B5EB1"/>
    <w:rsid w:val="001B6014"/>
    <w:rsid w:val="001B6121"/>
    <w:rsid w:val="001B629B"/>
    <w:rsid w:val="001B6344"/>
    <w:rsid w:val="001B63D4"/>
    <w:rsid w:val="001B65D9"/>
    <w:rsid w:val="001B65EE"/>
    <w:rsid w:val="001B6659"/>
    <w:rsid w:val="001B6951"/>
    <w:rsid w:val="001B6A04"/>
    <w:rsid w:val="001B6C55"/>
    <w:rsid w:val="001B6D65"/>
    <w:rsid w:val="001B6F5C"/>
    <w:rsid w:val="001B72DA"/>
    <w:rsid w:val="001B72E0"/>
    <w:rsid w:val="001B7471"/>
    <w:rsid w:val="001B769A"/>
    <w:rsid w:val="001B774D"/>
    <w:rsid w:val="001B77FC"/>
    <w:rsid w:val="001B786A"/>
    <w:rsid w:val="001B794A"/>
    <w:rsid w:val="001B7C29"/>
    <w:rsid w:val="001B7DFE"/>
    <w:rsid w:val="001B7EB8"/>
    <w:rsid w:val="001B7FB3"/>
    <w:rsid w:val="001B7FD6"/>
    <w:rsid w:val="001C0031"/>
    <w:rsid w:val="001C0055"/>
    <w:rsid w:val="001C02A7"/>
    <w:rsid w:val="001C02BC"/>
    <w:rsid w:val="001C02BD"/>
    <w:rsid w:val="001C0419"/>
    <w:rsid w:val="001C069F"/>
    <w:rsid w:val="001C08EF"/>
    <w:rsid w:val="001C0AF8"/>
    <w:rsid w:val="001C0B07"/>
    <w:rsid w:val="001C0B46"/>
    <w:rsid w:val="001C0C3A"/>
    <w:rsid w:val="001C0C7B"/>
    <w:rsid w:val="001C0D28"/>
    <w:rsid w:val="001C0F47"/>
    <w:rsid w:val="001C11D4"/>
    <w:rsid w:val="001C127E"/>
    <w:rsid w:val="001C129E"/>
    <w:rsid w:val="001C1356"/>
    <w:rsid w:val="001C13B3"/>
    <w:rsid w:val="001C14B5"/>
    <w:rsid w:val="001C17F6"/>
    <w:rsid w:val="001C1866"/>
    <w:rsid w:val="001C1A7A"/>
    <w:rsid w:val="001C1C5B"/>
    <w:rsid w:val="001C1EC9"/>
    <w:rsid w:val="001C1FE1"/>
    <w:rsid w:val="001C218B"/>
    <w:rsid w:val="001C2224"/>
    <w:rsid w:val="001C22E9"/>
    <w:rsid w:val="001C2465"/>
    <w:rsid w:val="001C26F1"/>
    <w:rsid w:val="001C2981"/>
    <w:rsid w:val="001C29EC"/>
    <w:rsid w:val="001C29F7"/>
    <w:rsid w:val="001C2A51"/>
    <w:rsid w:val="001C2D00"/>
    <w:rsid w:val="001C2D42"/>
    <w:rsid w:val="001C2D45"/>
    <w:rsid w:val="001C2F2F"/>
    <w:rsid w:val="001C2F60"/>
    <w:rsid w:val="001C2F67"/>
    <w:rsid w:val="001C2F6F"/>
    <w:rsid w:val="001C308B"/>
    <w:rsid w:val="001C30BF"/>
    <w:rsid w:val="001C30EF"/>
    <w:rsid w:val="001C341B"/>
    <w:rsid w:val="001C35A8"/>
    <w:rsid w:val="001C3665"/>
    <w:rsid w:val="001C368F"/>
    <w:rsid w:val="001C378B"/>
    <w:rsid w:val="001C37C6"/>
    <w:rsid w:val="001C38F4"/>
    <w:rsid w:val="001C3AFC"/>
    <w:rsid w:val="001C3C1D"/>
    <w:rsid w:val="001C3DF5"/>
    <w:rsid w:val="001C3EA2"/>
    <w:rsid w:val="001C3F5D"/>
    <w:rsid w:val="001C3FB3"/>
    <w:rsid w:val="001C40F5"/>
    <w:rsid w:val="001C441D"/>
    <w:rsid w:val="001C450C"/>
    <w:rsid w:val="001C4647"/>
    <w:rsid w:val="001C4650"/>
    <w:rsid w:val="001C4B0F"/>
    <w:rsid w:val="001C4B6B"/>
    <w:rsid w:val="001C4BC6"/>
    <w:rsid w:val="001C4DE1"/>
    <w:rsid w:val="001C4E54"/>
    <w:rsid w:val="001C4EA0"/>
    <w:rsid w:val="001C4F09"/>
    <w:rsid w:val="001C507C"/>
    <w:rsid w:val="001C554A"/>
    <w:rsid w:val="001C5789"/>
    <w:rsid w:val="001C57AF"/>
    <w:rsid w:val="001C57FE"/>
    <w:rsid w:val="001C59DD"/>
    <w:rsid w:val="001C5AB9"/>
    <w:rsid w:val="001C5C4F"/>
    <w:rsid w:val="001C6193"/>
    <w:rsid w:val="001C629D"/>
    <w:rsid w:val="001C63B2"/>
    <w:rsid w:val="001C64A2"/>
    <w:rsid w:val="001C656C"/>
    <w:rsid w:val="001C658F"/>
    <w:rsid w:val="001C65B2"/>
    <w:rsid w:val="001C65C6"/>
    <w:rsid w:val="001C6AB3"/>
    <w:rsid w:val="001C6CA3"/>
    <w:rsid w:val="001C6F8F"/>
    <w:rsid w:val="001C7304"/>
    <w:rsid w:val="001C7327"/>
    <w:rsid w:val="001C7364"/>
    <w:rsid w:val="001C775B"/>
    <w:rsid w:val="001C7A6B"/>
    <w:rsid w:val="001C7B8F"/>
    <w:rsid w:val="001C7C0F"/>
    <w:rsid w:val="001C7C97"/>
    <w:rsid w:val="001C7E6A"/>
    <w:rsid w:val="001C7F3F"/>
    <w:rsid w:val="001C7F53"/>
    <w:rsid w:val="001D000E"/>
    <w:rsid w:val="001D01BF"/>
    <w:rsid w:val="001D01FA"/>
    <w:rsid w:val="001D0460"/>
    <w:rsid w:val="001D0625"/>
    <w:rsid w:val="001D0816"/>
    <w:rsid w:val="001D0874"/>
    <w:rsid w:val="001D0A57"/>
    <w:rsid w:val="001D0AFC"/>
    <w:rsid w:val="001D0B59"/>
    <w:rsid w:val="001D0E2E"/>
    <w:rsid w:val="001D0F42"/>
    <w:rsid w:val="001D0F52"/>
    <w:rsid w:val="001D132E"/>
    <w:rsid w:val="001D14AF"/>
    <w:rsid w:val="001D14C4"/>
    <w:rsid w:val="001D16C7"/>
    <w:rsid w:val="001D1C9F"/>
    <w:rsid w:val="001D1F38"/>
    <w:rsid w:val="001D1FCD"/>
    <w:rsid w:val="001D20F9"/>
    <w:rsid w:val="001D23DB"/>
    <w:rsid w:val="001D23EF"/>
    <w:rsid w:val="001D269F"/>
    <w:rsid w:val="001D26B6"/>
    <w:rsid w:val="001D2A23"/>
    <w:rsid w:val="001D2A88"/>
    <w:rsid w:val="001D2A8A"/>
    <w:rsid w:val="001D2AAD"/>
    <w:rsid w:val="001D2B1D"/>
    <w:rsid w:val="001D2B28"/>
    <w:rsid w:val="001D2CC8"/>
    <w:rsid w:val="001D2E84"/>
    <w:rsid w:val="001D2EF6"/>
    <w:rsid w:val="001D3019"/>
    <w:rsid w:val="001D3080"/>
    <w:rsid w:val="001D3112"/>
    <w:rsid w:val="001D33EE"/>
    <w:rsid w:val="001D36EF"/>
    <w:rsid w:val="001D37CA"/>
    <w:rsid w:val="001D3945"/>
    <w:rsid w:val="001D39C9"/>
    <w:rsid w:val="001D3E00"/>
    <w:rsid w:val="001D3F95"/>
    <w:rsid w:val="001D4289"/>
    <w:rsid w:val="001D432F"/>
    <w:rsid w:val="001D4372"/>
    <w:rsid w:val="001D46C2"/>
    <w:rsid w:val="001D4738"/>
    <w:rsid w:val="001D47CE"/>
    <w:rsid w:val="001D48E8"/>
    <w:rsid w:val="001D49F4"/>
    <w:rsid w:val="001D4B9B"/>
    <w:rsid w:val="001D4D9D"/>
    <w:rsid w:val="001D4EEF"/>
    <w:rsid w:val="001D502F"/>
    <w:rsid w:val="001D53B4"/>
    <w:rsid w:val="001D55E1"/>
    <w:rsid w:val="001D596D"/>
    <w:rsid w:val="001D5A33"/>
    <w:rsid w:val="001D5AA4"/>
    <w:rsid w:val="001D5E7E"/>
    <w:rsid w:val="001D608F"/>
    <w:rsid w:val="001D6113"/>
    <w:rsid w:val="001D6197"/>
    <w:rsid w:val="001D64E9"/>
    <w:rsid w:val="001D656C"/>
    <w:rsid w:val="001D665C"/>
    <w:rsid w:val="001D6680"/>
    <w:rsid w:val="001D66B9"/>
    <w:rsid w:val="001D672A"/>
    <w:rsid w:val="001D67CE"/>
    <w:rsid w:val="001D6D12"/>
    <w:rsid w:val="001D6E33"/>
    <w:rsid w:val="001D6EF0"/>
    <w:rsid w:val="001D71D8"/>
    <w:rsid w:val="001D738A"/>
    <w:rsid w:val="001D7420"/>
    <w:rsid w:val="001D7696"/>
    <w:rsid w:val="001D78B5"/>
    <w:rsid w:val="001D7C0B"/>
    <w:rsid w:val="001E0010"/>
    <w:rsid w:val="001E0093"/>
    <w:rsid w:val="001E0405"/>
    <w:rsid w:val="001E05FD"/>
    <w:rsid w:val="001E06AD"/>
    <w:rsid w:val="001E06F4"/>
    <w:rsid w:val="001E0A80"/>
    <w:rsid w:val="001E0B31"/>
    <w:rsid w:val="001E0B51"/>
    <w:rsid w:val="001E0BC4"/>
    <w:rsid w:val="001E0BCA"/>
    <w:rsid w:val="001E0D0B"/>
    <w:rsid w:val="001E1244"/>
    <w:rsid w:val="001E147D"/>
    <w:rsid w:val="001E14B1"/>
    <w:rsid w:val="001E1502"/>
    <w:rsid w:val="001E162B"/>
    <w:rsid w:val="001E176D"/>
    <w:rsid w:val="001E18A9"/>
    <w:rsid w:val="001E1CBC"/>
    <w:rsid w:val="001E202B"/>
    <w:rsid w:val="001E20E7"/>
    <w:rsid w:val="001E2242"/>
    <w:rsid w:val="001E2384"/>
    <w:rsid w:val="001E23A9"/>
    <w:rsid w:val="001E24A2"/>
    <w:rsid w:val="001E27E6"/>
    <w:rsid w:val="001E28E7"/>
    <w:rsid w:val="001E2903"/>
    <w:rsid w:val="001E2A39"/>
    <w:rsid w:val="001E2E32"/>
    <w:rsid w:val="001E2FBA"/>
    <w:rsid w:val="001E3410"/>
    <w:rsid w:val="001E3541"/>
    <w:rsid w:val="001E35B0"/>
    <w:rsid w:val="001E35BD"/>
    <w:rsid w:val="001E3674"/>
    <w:rsid w:val="001E3A32"/>
    <w:rsid w:val="001E3B83"/>
    <w:rsid w:val="001E3C7A"/>
    <w:rsid w:val="001E3CDC"/>
    <w:rsid w:val="001E3D2F"/>
    <w:rsid w:val="001E43A5"/>
    <w:rsid w:val="001E4446"/>
    <w:rsid w:val="001E458E"/>
    <w:rsid w:val="001E465D"/>
    <w:rsid w:val="001E4F2F"/>
    <w:rsid w:val="001E4F36"/>
    <w:rsid w:val="001E5241"/>
    <w:rsid w:val="001E53E5"/>
    <w:rsid w:val="001E5486"/>
    <w:rsid w:val="001E5578"/>
    <w:rsid w:val="001E5596"/>
    <w:rsid w:val="001E565D"/>
    <w:rsid w:val="001E59D8"/>
    <w:rsid w:val="001E59DC"/>
    <w:rsid w:val="001E5E71"/>
    <w:rsid w:val="001E5EE3"/>
    <w:rsid w:val="001E5FF7"/>
    <w:rsid w:val="001E6271"/>
    <w:rsid w:val="001E64D3"/>
    <w:rsid w:val="001E6683"/>
    <w:rsid w:val="001E68F4"/>
    <w:rsid w:val="001E6BED"/>
    <w:rsid w:val="001E6CA5"/>
    <w:rsid w:val="001E6E01"/>
    <w:rsid w:val="001E6E39"/>
    <w:rsid w:val="001E6FEE"/>
    <w:rsid w:val="001E71DD"/>
    <w:rsid w:val="001E73C1"/>
    <w:rsid w:val="001E73FB"/>
    <w:rsid w:val="001E751A"/>
    <w:rsid w:val="001E76CF"/>
    <w:rsid w:val="001E776B"/>
    <w:rsid w:val="001E778A"/>
    <w:rsid w:val="001E77EF"/>
    <w:rsid w:val="001E77FA"/>
    <w:rsid w:val="001E7AE8"/>
    <w:rsid w:val="001E7B92"/>
    <w:rsid w:val="001E7D25"/>
    <w:rsid w:val="001F02DE"/>
    <w:rsid w:val="001F03D5"/>
    <w:rsid w:val="001F0443"/>
    <w:rsid w:val="001F04B0"/>
    <w:rsid w:val="001F079B"/>
    <w:rsid w:val="001F0859"/>
    <w:rsid w:val="001F0969"/>
    <w:rsid w:val="001F0A4C"/>
    <w:rsid w:val="001F0CE8"/>
    <w:rsid w:val="001F0D07"/>
    <w:rsid w:val="001F0E66"/>
    <w:rsid w:val="001F0E86"/>
    <w:rsid w:val="001F0F56"/>
    <w:rsid w:val="001F12C4"/>
    <w:rsid w:val="001F13D4"/>
    <w:rsid w:val="001F1407"/>
    <w:rsid w:val="001F15BC"/>
    <w:rsid w:val="001F17E3"/>
    <w:rsid w:val="001F1C17"/>
    <w:rsid w:val="001F1C8F"/>
    <w:rsid w:val="001F232F"/>
    <w:rsid w:val="001F236E"/>
    <w:rsid w:val="001F2667"/>
    <w:rsid w:val="001F29EF"/>
    <w:rsid w:val="001F2E07"/>
    <w:rsid w:val="001F2E66"/>
    <w:rsid w:val="001F2E8E"/>
    <w:rsid w:val="001F3045"/>
    <w:rsid w:val="001F3059"/>
    <w:rsid w:val="001F30CC"/>
    <w:rsid w:val="001F31A3"/>
    <w:rsid w:val="001F3221"/>
    <w:rsid w:val="001F3252"/>
    <w:rsid w:val="001F32D9"/>
    <w:rsid w:val="001F32FA"/>
    <w:rsid w:val="001F33E3"/>
    <w:rsid w:val="001F349A"/>
    <w:rsid w:val="001F34E1"/>
    <w:rsid w:val="001F351E"/>
    <w:rsid w:val="001F3641"/>
    <w:rsid w:val="001F3760"/>
    <w:rsid w:val="001F39FF"/>
    <w:rsid w:val="001F4033"/>
    <w:rsid w:val="001F4123"/>
    <w:rsid w:val="001F441E"/>
    <w:rsid w:val="001F48B1"/>
    <w:rsid w:val="001F49AC"/>
    <w:rsid w:val="001F4A10"/>
    <w:rsid w:val="001F4BB6"/>
    <w:rsid w:val="001F4CD2"/>
    <w:rsid w:val="001F4ED0"/>
    <w:rsid w:val="001F507F"/>
    <w:rsid w:val="001F5204"/>
    <w:rsid w:val="001F533B"/>
    <w:rsid w:val="001F54A8"/>
    <w:rsid w:val="001F57AB"/>
    <w:rsid w:val="001F5831"/>
    <w:rsid w:val="001F5AF0"/>
    <w:rsid w:val="001F5BEF"/>
    <w:rsid w:val="001F6013"/>
    <w:rsid w:val="001F6024"/>
    <w:rsid w:val="001F62B1"/>
    <w:rsid w:val="001F68EC"/>
    <w:rsid w:val="001F6E48"/>
    <w:rsid w:val="001F707C"/>
    <w:rsid w:val="001F708C"/>
    <w:rsid w:val="001F73ED"/>
    <w:rsid w:val="001F74EB"/>
    <w:rsid w:val="001F76BD"/>
    <w:rsid w:val="001F7AB5"/>
    <w:rsid w:val="001F7FCB"/>
    <w:rsid w:val="002003AE"/>
    <w:rsid w:val="00200673"/>
    <w:rsid w:val="002006FA"/>
    <w:rsid w:val="00200C55"/>
    <w:rsid w:val="00200CBD"/>
    <w:rsid w:val="00200DBB"/>
    <w:rsid w:val="00200F6D"/>
    <w:rsid w:val="00201036"/>
    <w:rsid w:val="00201120"/>
    <w:rsid w:val="0020144D"/>
    <w:rsid w:val="00201590"/>
    <w:rsid w:val="002015D3"/>
    <w:rsid w:val="00201731"/>
    <w:rsid w:val="00201962"/>
    <w:rsid w:val="00201A34"/>
    <w:rsid w:val="00201B91"/>
    <w:rsid w:val="00201C8C"/>
    <w:rsid w:val="00201E53"/>
    <w:rsid w:val="00202031"/>
    <w:rsid w:val="002021FA"/>
    <w:rsid w:val="00202542"/>
    <w:rsid w:val="002025EB"/>
    <w:rsid w:val="00202817"/>
    <w:rsid w:val="002028AB"/>
    <w:rsid w:val="00202947"/>
    <w:rsid w:val="00202B06"/>
    <w:rsid w:val="00202BD3"/>
    <w:rsid w:val="00202C27"/>
    <w:rsid w:val="00202C61"/>
    <w:rsid w:val="00202E4E"/>
    <w:rsid w:val="00202EA7"/>
    <w:rsid w:val="00202F1A"/>
    <w:rsid w:val="0020319C"/>
    <w:rsid w:val="00203251"/>
    <w:rsid w:val="00203296"/>
    <w:rsid w:val="00203317"/>
    <w:rsid w:val="002034CA"/>
    <w:rsid w:val="00203577"/>
    <w:rsid w:val="0020371F"/>
    <w:rsid w:val="0020388F"/>
    <w:rsid w:val="002038B0"/>
    <w:rsid w:val="00203917"/>
    <w:rsid w:val="00203A14"/>
    <w:rsid w:val="00203B96"/>
    <w:rsid w:val="00203C8C"/>
    <w:rsid w:val="00203CD0"/>
    <w:rsid w:val="00203D5B"/>
    <w:rsid w:val="00203E27"/>
    <w:rsid w:val="002040F8"/>
    <w:rsid w:val="00204111"/>
    <w:rsid w:val="00204127"/>
    <w:rsid w:val="002041D8"/>
    <w:rsid w:val="002042C4"/>
    <w:rsid w:val="0020431A"/>
    <w:rsid w:val="0020433A"/>
    <w:rsid w:val="00204407"/>
    <w:rsid w:val="0020454A"/>
    <w:rsid w:val="00204575"/>
    <w:rsid w:val="002047A4"/>
    <w:rsid w:val="0020483A"/>
    <w:rsid w:val="002048FB"/>
    <w:rsid w:val="00204ABE"/>
    <w:rsid w:val="00204C11"/>
    <w:rsid w:val="00204D03"/>
    <w:rsid w:val="00204D18"/>
    <w:rsid w:val="00204FFA"/>
    <w:rsid w:val="00205539"/>
    <w:rsid w:val="00205744"/>
    <w:rsid w:val="00205765"/>
    <w:rsid w:val="0020580B"/>
    <w:rsid w:val="00205C29"/>
    <w:rsid w:val="00205F06"/>
    <w:rsid w:val="0020620A"/>
    <w:rsid w:val="0020626F"/>
    <w:rsid w:val="002063A1"/>
    <w:rsid w:val="00206513"/>
    <w:rsid w:val="00206583"/>
    <w:rsid w:val="002066B7"/>
    <w:rsid w:val="00206AE2"/>
    <w:rsid w:val="00206AFC"/>
    <w:rsid w:val="00206BE7"/>
    <w:rsid w:val="00206C36"/>
    <w:rsid w:val="00206E4B"/>
    <w:rsid w:val="00206E87"/>
    <w:rsid w:val="00207056"/>
    <w:rsid w:val="002070AB"/>
    <w:rsid w:val="00207170"/>
    <w:rsid w:val="00207219"/>
    <w:rsid w:val="00207258"/>
    <w:rsid w:val="00207261"/>
    <w:rsid w:val="0020737E"/>
    <w:rsid w:val="002077A7"/>
    <w:rsid w:val="0020784B"/>
    <w:rsid w:val="002079D7"/>
    <w:rsid w:val="00207AF2"/>
    <w:rsid w:val="00207C08"/>
    <w:rsid w:val="00207EB5"/>
    <w:rsid w:val="002100FA"/>
    <w:rsid w:val="00210173"/>
    <w:rsid w:val="00210343"/>
    <w:rsid w:val="00210461"/>
    <w:rsid w:val="00210614"/>
    <w:rsid w:val="00210A17"/>
    <w:rsid w:val="00210B80"/>
    <w:rsid w:val="00210C0C"/>
    <w:rsid w:val="00210C39"/>
    <w:rsid w:val="00210E69"/>
    <w:rsid w:val="00211033"/>
    <w:rsid w:val="0021116B"/>
    <w:rsid w:val="00211429"/>
    <w:rsid w:val="00211519"/>
    <w:rsid w:val="0021178F"/>
    <w:rsid w:val="00211797"/>
    <w:rsid w:val="002118C1"/>
    <w:rsid w:val="002118F0"/>
    <w:rsid w:val="002119DF"/>
    <w:rsid w:val="00211A63"/>
    <w:rsid w:val="00211B1B"/>
    <w:rsid w:val="00211BCD"/>
    <w:rsid w:val="00211C22"/>
    <w:rsid w:val="00211DAF"/>
    <w:rsid w:val="00211F17"/>
    <w:rsid w:val="002121E6"/>
    <w:rsid w:val="002124B2"/>
    <w:rsid w:val="00212712"/>
    <w:rsid w:val="0021280B"/>
    <w:rsid w:val="00212857"/>
    <w:rsid w:val="002129A1"/>
    <w:rsid w:val="00212C5F"/>
    <w:rsid w:val="00212CD6"/>
    <w:rsid w:val="00212DFF"/>
    <w:rsid w:val="00212F4B"/>
    <w:rsid w:val="002133B3"/>
    <w:rsid w:val="002133F3"/>
    <w:rsid w:val="0021356C"/>
    <w:rsid w:val="00213571"/>
    <w:rsid w:val="00213688"/>
    <w:rsid w:val="00213771"/>
    <w:rsid w:val="00213F36"/>
    <w:rsid w:val="002144E4"/>
    <w:rsid w:val="002145FF"/>
    <w:rsid w:val="0021463C"/>
    <w:rsid w:val="002146EA"/>
    <w:rsid w:val="002148A5"/>
    <w:rsid w:val="002148C3"/>
    <w:rsid w:val="00214B6C"/>
    <w:rsid w:val="00214DA4"/>
    <w:rsid w:val="002152DB"/>
    <w:rsid w:val="002155B9"/>
    <w:rsid w:val="002156AE"/>
    <w:rsid w:val="0021591D"/>
    <w:rsid w:val="00215CE7"/>
    <w:rsid w:val="00215FF4"/>
    <w:rsid w:val="00216134"/>
    <w:rsid w:val="0021618B"/>
    <w:rsid w:val="002161DF"/>
    <w:rsid w:val="002163B2"/>
    <w:rsid w:val="002164B6"/>
    <w:rsid w:val="002166D7"/>
    <w:rsid w:val="002166F3"/>
    <w:rsid w:val="00216D67"/>
    <w:rsid w:val="00216FD2"/>
    <w:rsid w:val="00217022"/>
    <w:rsid w:val="00217AB6"/>
    <w:rsid w:val="002201BE"/>
    <w:rsid w:val="002205D8"/>
    <w:rsid w:val="0022073D"/>
    <w:rsid w:val="002208E5"/>
    <w:rsid w:val="00220B4F"/>
    <w:rsid w:val="00220C6F"/>
    <w:rsid w:val="00220E30"/>
    <w:rsid w:val="00220EF3"/>
    <w:rsid w:val="0022128D"/>
    <w:rsid w:val="002212E6"/>
    <w:rsid w:val="00221B30"/>
    <w:rsid w:val="00221BBA"/>
    <w:rsid w:val="00221C13"/>
    <w:rsid w:val="00221CB6"/>
    <w:rsid w:val="00221E4A"/>
    <w:rsid w:val="0022220E"/>
    <w:rsid w:val="00222436"/>
    <w:rsid w:val="00222ACB"/>
    <w:rsid w:val="00222D31"/>
    <w:rsid w:val="00222D3E"/>
    <w:rsid w:val="00222F8A"/>
    <w:rsid w:val="00222FFC"/>
    <w:rsid w:val="0022301D"/>
    <w:rsid w:val="002230BE"/>
    <w:rsid w:val="0022340F"/>
    <w:rsid w:val="0022349B"/>
    <w:rsid w:val="002234D6"/>
    <w:rsid w:val="002236EC"/>
    <w:rsid w:val="00223823"/>
    <w:rsid w:val="0022388C"/>
    <w:rsid w:val="0022396E"/>
    <w:rsid w:val="002239CB"/>
    <w:rsid w:val="00223ABE"/>
    <w:rsid w:val="00223BAA"/>
    <w:rsid w:val="00223E77"/>
    <w:rsid w:val="00223F79"/>
    <w:rsid w:val="00224345"/>
    <w:rsid w:val="00224397"/>
    <w:rsid w:val="002244D3"/>
    <w:rsid w:val="00224888"/>
    <w:rsid w:val="00224895"/>
    <w:rsid w:val="00224974"/>
    <w:rsid w:val="002249C4"/>
    <w:rsid w:val="00225089"/>
    <w:rsid w:val="002250FC"/>
    <w:rsid w:val="00225348"/>
    <w:rsid w:val="002254D7"/>
    <w:rsid w:val="0022553A"/>
    <w:rsid w:val="002256C8"/>
    <w:rsid w:val="00225A29"/>
    <w:rsid w:val="00225B37"/>
    <w:rsid w:val="00225B62"/>
    <w:rsid w:val="00225CAA"/>
    <w:rsid w:val="00225E64"/>
    <w:rsid w:val="00225E96"/>
    <w:rsid w:val="00226022"/>
    <w:rsid w:val="0022608D"/>
    <w:rsid w:val="002260AC"/>
    <w:rsid w:val="00226157"/>
    <w:rsid w:val="0022615C"/>
    <w:rsid w:val="0022633C"/>
    <w:rsid w:val="0022637F"/>
    <w:rsid w:val="002263D4"/>
    <w:rsid w:val="00226452"/>
    <w:rsid w:val="00226473"/>
    <w:rsid w:val="0022647E"/>
    <w:rsid w:val="002264EE"/>
    <w:rsid w:val="0022688D"/>
    <w:rsid w:val="002268EB"/>
    <w:rsid w:val="00226B71"/>
    <w:rsid w:val="00226C03"/>
    <w:rsid w:val="00226C86"/>
    <w:rsid w:val="00226C9E"/>
    <w:rsid w:val="00226D38"/>
    <w:rsid w:val="00226DFF"/>
    <w:rsid w:val="00226E0A"/>
    <w:rsid w:val="00226E31"/>
    <w:rsid w:val="00226EA9"/>
    <w:rsid w:val="00226ECF"/>
    <w:rsid w:val="00226FCA"/>
    <w:rsid w:val="00227063"/>
    <w:rsid w:val="00227653"/>
    <w:rsid w:val="002277DA"/>
    <w:rsid w:val="00227A9B"/>
    <w:rsid w:val="00227CB3"/>
    <w:rsid w:val="00227CEC"/>
    <w:rsid w:val="0022D535"/>
    <w:rsid w:val="0023014A"/>
    <w:rsid w:val="002302D6"/>
    <w:rsid w:val="00230315"/>
    <w:rsid w:val="00230474"/>
    <w:rsid w:val="00230563"/>
    <w:rsid w:val="00230693"/>
    <w:rsid w:val="0023089D"/>
    <w:rsid w:val="00230953"/>
    <w:rsid w:val="00230977"/>
    <w:rsid w:val="00230A0F"/>
    <w:rsid w:val="00230B77"/>
    <w:rsid w:val="00230E3D"/>
    <w:rsid w:val="00231100"/>
    <w:rsid w:val="00231113"/>
    <w:rsid w:val="0023114B"/>
    <w:rsid w:val="00231515"/>
    <w:rsid w:val="0023157D"/>
    <w:rsid w:val="002317D3"/>
    <w:rsid w:val="00231A4E"/>
    <w:rsid w:val="00231BFC"/>
    <w:rsid w:val="00231C6F"/>
    <w:rsid w:val="00231DEB"/>
    <w:rsid w:val="00231E24"/>
    <w:rsid w:val="00231FBE"/>
    <w:rsid w:val="0023202A"/>
    <w:rsid w:val="0023206D"/>
    <w:rsid w:val="0023212E"/>
    <w:rsid w:val="00232177"/>
    <w:rsid w:val="0023254B"/>
    <w:rsid w:val="00232670"/>
    <w:rsid w:val="00232894"/>
    <w:rsid w:val="00232A2F"/>
    <w:rsid w:val="00232A80"/>
    <w:rsid w:val="00232D03"/>
    <w:rsid w:val="00232FA8"/>
    <w:rsid w:val="002330CB"/>
    <w:rsid w:val="002332A7"/>
    <w:rsid w:val="002333D1"/>
    <w:rsid w:val="0023348B"/>
    <w:rsid w:val="0023364A"/>
    <w:rsid w:val="00233A21"/>
    <w:rsid w:val="00233B17"/>
    <w:rsid w:val="00233B57"/>
    <w:rsid w:val="00233B5D"/>
    <w:rsid w:val="00233C46"/>
    <w:rsid w:val="0023436C"/>
    <w:rsid w:val="00234418"/>
    <w:rsid w:val="002344E3"/>
    <w:rsid w:val="002347DF"/>
    <w:rsid w:val="00234876"/>
    <w:rsid w:val="002348ED"/>
    <w:rsid w:val="00234997"/>
    <w:rsid w:val="00234B4C"/>
    <w:rsid w:val="00234CC1"/>
    <w:rsid w:val="00234EBB"/>
    <w:rsid w:val="00235116"/>
    <w:rsid w:val="002354FA"/>
    <w:rsid w:val="0023555E"/>
    <w:rsid w:val="0023568D"/>
    <w:rsid w:val="00235976"/>
    <w:rsid w:val="00235A78"/>
    <w:rsid w:val="00235DA4"/>
    <w:rsid w:val="00235E0D"/>
    <w:rsid w:val="002360E5"/>
    <w:rsid w:val="002364E7"/>
    <w:rsid w:val="0023650C"/>
    <w:rsid w:val="0023672D"/>
    <w:rsid w:val="00236765"/>
    <w:rsid w:val="0023693C"/>
    <w:rsid w:val="0023695F"/>
    <w:rsid w:val="002369AC"/>
    <w:rsid w:val="00236A2A"/>
    <w:rsid w:val="00236A33"/>
    <w:rsid w:val="00236A96"/>
    <w:rsid w:val="00236C98"/>
    <w:rsid w:val="00236D4B"/>
    <w:rsid w:val="00236F4A"/>
    <w:rsid w:val="00237064"/>
    <w:rsid w:val="0023706C"/>
    <w:rsid w:val="00237113"/>
    <w:rsid w:val="00237220"/>
    <w:rsid w:val="00237901"/>
    <w:rsid w:val="00237954"/>
    <w:rsid w:val="00237985"/>
    <w:rsid w:val="00237A02"/>
    <w:rsid w:val="00237AD8"/>
    <w:rsid w:val="00237B30"/>
    <w:rsid w:val="00237B33"/>
    <w:rsid w:val="00237B94"/>
    <w:rsid w:val="00237E1E"/>
    <w:rsid w:val="0024000F"/>
    <w:rsid w:val="00240153"/>
    <w:rsid w:val="002401F3"/>
    <w:rsid w:val="002402FB"/>
    <w:rsid w:val="002409E1"/>
    <w:rsid w:val="00240A86"/>
    <w:rsid w:val="00240B66"/>
    <w:rsid w:val="00240BEE"/>
    <w:rsid w:val="00240C48"/>
    <w:rsid w:val="00240EDF"/>
    <w:rsid w:val="002410F8"/>
    <w:rsid w:val="002413C7"/>
    <w:rsid w:val="00241539"/>
    <w:rsid w:val="002415E6"/>
    <w:rsid w:val="00241750"/>
    <w:rsid w:val="00241AEB"/>
    <w:rsid w:val="00241CAC"/>
    <w:rsid w:val="00241CAD"/>
    <w:rsid w:val="00241D17"/>
    <w:rsid w:val="00241D68"/>
    <w:rsid w:val="00241DC7"/>
    <w:rsid w:val="00241FB4"/>
    <w:rsid w:val="002422F3"/>
    <w:rsid w:val="002423A0"/>
    <w:rsid w:val="00242475"/>
    <w:rsid w:val="0024252D"/>
    <w:rsid w:val="00242548"/>
    <w:rsid w:val="0024280C"/>
    <w:rsid w:val="002428A0"/>
    <w:rsid w:val="00242A0F"/>
    <w:rsid w:val="00242BC6"/>
    <w:rsid w:val="00242DD1"/>
    <w:rsid w:val="00242DE6"/>
    <w:rsid w:val="00242EFD"/>
    <w:rsid w:val="00243094"/>
    <w:rsid w:val="002430EC"/>
    <w:rsid w:val="00243133"/>
    <w:rsid w:val="0024315C"/>
    <w:rsid w:val="002431A3"/>
    <w:rsid w:val="002432F7"/>
    <w:rsid w:val="0024337E"/>
    <w:rsid w:val="002434C0"/>
    <w:rsid w:val="00243755"/>
    <w:rsid w:val="00243847"/>
    <w:rsid w:val="002438B3"/>
    <w:rsid w:val="00243BA3"/>
    <w:rsid w:val="00243CA1"/>
    <w:rsid w:val="00243D98"/>
    <w:rsid w:val="00243F95"/>
    <w:rsid w:val="00244068"/>
    <w:rsid w:val="002441FE"/>
    <w:rsid w:val="002442D3"/>
    <w:rsid w:val="002443C6"/>
    <w:rsid w:val="002443F7"/>
    <w:rsid w:val="002447C3"/>
    <w:rsid w:val="00244A51"/>
    <w:rsid w:val="00244A6E"/>
    <w:rsid w:val="00244A7F"/>
    <w:rsid w:val="00244C6D"/>
    <w:rsid w:val="00244D60"/>
    <w:rsid w:val="00244D70"/>
    <w:rsid w:val="00244F1C"/>
    <w:rsid w:val="00245359"/>
    <w:rsid w:val="002453B2"/>
    <w:rsid w:val="00245665"/>
    <w:rsid w:val="0024570B"/>
    <w:rsid w:val="002458A7"/>
    <w:rsid w:val="0024599A"/>
    <w:rsid w:val="00245AF7"/>
    <w:rsid w:val="00245D9F"/>
    <w:rsid w:val="00245EA4"/>
    <w:rsid w:val="00245F0D"/>
    <w:rsid w:val="0024600C"/>
    <w:rsid w:val="00246161"/>
    <w:rsid w:val="00246482"/>
    <w:rsid w:val="002464A5"/>
    <w:rsid w:val="0024696C"/>
    <w:rsid w:val="00246A24"/>
    <w:rsid w:val="00246B09"/>
    <w:rsid w:val="00246C27"/>
    <w:rsid w:val="0024741F"/>
    <w:rsid w:val="0024752B"/>
    <w:rsid w:val="00247534"/>
    <w:rsid w:val="00247601"/>
    <w:rsid w:val="002477C2"/>
    <w:rsid w:val="002478D5"/>
    <w:rsid w:val="00247911"/>
    <w:rsid w:val="00247A62"/>
    <w:rsid w:val="00247E51"/>
    <w:rsid w:val="00247E94"/>
    <w:rsid w:val="00247FDF"/>
    <w:rsid w:val="00250042"/>
    <w:rsid w:val="002503BE"/>
    <w:rsid w:val="0025047A"/>
    <w:rsid w:val="002504B5"/>
    <w:rsid w:val="00250663"/>
    <w:rsid w:val="002506CA"/>
    <w:rsid w:val="002507EF"/>
    <w:rsid w:val="00250957"/>
    <w:rsid w:val="00250C65"/>
    <w:rsid w:val="00250DA7"/>
    <w:rsid w:val="00250EB7"/>
    <w:rsid w:val="00251335"/>
    <w:rsid w:val="0025148E"/>
    <w:rsid w:val="002517FD"/>
    <w:rsid w:val="00251813"/>
    <w:rsid w:val="002518DC"/>
    <w:rsid w:val="0025197F"/>
    <w:rsid w:val="00251A1A"/>
    <w:rsid w:val="00251B42"/>
    <w:rsid w:val="00251CFB"/>
    <w:rsid w:val="00251EE6"/>
    <w:rsid w:val="002523C5"/>
    <w:rsid w:val="00252469"/>
    <w:rsid w:val="00252520"/>
    <w:rsid w:val="0025253D"/>
    <w:rsid w:val="002525AC"/>
    <w:rsid w:val="0025293B"/>
    <w:rsid w:val="00252A20"/>
    <w:rsid w:val="00252CC7"/>
    <w:rsid w:val="00252E2B"/>
    <w:rsid w:val="00253350"/>
    <w:rsid w:val="00253681"/>
    <w:rsid w:val="0025398D"/>
    <w:rsid w:val="00253B91"/>
    <w:rsid w:val="00253B94"/>
    <w:rsid w:val="00253BE2"/>
    <w:rsid w:val="00253CC5"/>
    <w:rsid w:val="00253EE2"/>
    <w:rsid w:val="00253FC3"/>
    <w:rsid w:val="00254140"/>
    <w:rsid w:val="002542F4"/>
    <w:rsid w:val="00254360"/>
    <w:rsid w:val="002544B2"/>
    <w:rsid w:val="00254505"/>
    <w:rsid w:val="0025461C"/>
    <w:rsid w:val="002547AD"/>
    <w:rsid w:val="002548A1"/>
    <w:rsid w:val="002548F6"/>
    <w:rsid w:val="002549DF"/>
    <w:rsid w:val="00254F72"/>
    <w:rsid w:val="00254FF1"/>
    <w:rsid w:val="002551D8"/>
    <w:rsid w:val="002551E6"/>
    <w:rsid w:val="00255247"/>
    <w:rsid w:val="0025539B"/>
    <w:rsid w:val="00255438"/>
    <w:rsid w:val="002555A0"/>
    <w:rsid w:val="00255736"/>
    <w:rsid w:val="00255811"/>
    <w:rsid w:val="002559D0"/>
    <w:rsid w:val="00255DAD"/>
    <w:rsid w:val="00255E05"/>
    <w:rsid w:val="00255E9B"/>
    <w:rsid w:val="00255F83"/>
    <w:rsid w:val="00256415"/>
    <w:rsid w:val="0025644D"/>
    <w:rsid w:val="00256485"/>
    <w:rsid w:val="00256710"/>
    <w:rsid w:val="00256833"/>
    <w:rsid w:val="0025696A"/>
    <w:rsid w:val="00256A62"/>
    <w:rsid w:val="00256AB2"/>
    <w:rsid w:val="00256BCF"/>
    <w:rsid w:val="00256D5F"/>
    <w:rsid w:val="00256DB6"/>
    <w:rsid w:val="00256F7C"/>
    <w:rsid w:val="002572DD"/>
    <w:rsid w:val="002572F6"/>
    <w:rsid w:val="0025747A"/>
    <w:rsid w:val="002576F1"/>
    <w:rsid w:val="002578B9"/>
    <w:rsid w:val="002579CC"/>
    <w:rsid w:val="00257CB0"/>
    <w:rsid w:val="00257D32"/>
    <w:rsid w:val="002600D9"/>
    <w:rsid w:val="002601C6"/>
    <w:rsid w:val="00260258"/>
    <w:rsid w:val="0026027C"/>
    <w:rsid w:val="00260455"/>
    <w:rsid w:val="00260861"/>
    <w:rsid w:val="00260A21"/>
    <w:rsid w:val="00260AC1"/>
    <w:rsid w:val="00260ACF"/>
    <w:rsid w:val="00260CC1"/>
    <w:rsid w:val="00260D21"/>
    <w:rsid w:val="00260EC5"/>
    <w:rsid w:val="00260EFF"/>
    <w:rsid w:val="00260FCC"/>
    <w:rsid w:val="00260FF8"/>
    <w:rsid w:val="00261191"/>
    <w:rsid w:val="002611F4"/>
    <w:rsid w:val="002617CA"/>
    <w:rsid w:val="0026194E"/>
    <w:rsid w:val="00261C83"/>
    <w:rsid w:val="00261CA6"/>
    <w:rsid w:val="00261FA6"/>
    <w:rsid w:val="00262005"/>
    <w:rsid w:val="00262161"/>
    <w:rsid w:val="002624E1"/>
    <w:rsid w:val="00262683"/>
    <w:rsid w:val="00262775"/>
    <w:rsid w:val="00262792"/>
    <w:rsid w:val="002627E7"/>
    <w:rsid w:val="002629B0"/>
    <w:rsid w:val="00262A6A"/>
    <w:rsid w:val="00262BCD"/>
    <w:rsid w:val="00262BF8"/>
    <w:rsid w:val="00262C0D"/>
    <w:rsid w:val="00262CA3"/>
    <w:rsid w:val="00262DC3"/>
    <w:rsid w:val="002632C3"/>
    <w:rsid w:val="00263400"/>
    <w:rsid w:val="00263576"/>
    <w:rsid w:val="00263688"/>
    <w:rsid w:val="002637ED"/>
    <w:rsid w:val="002638BD"/>
    <w:rsid w:val="00263A23"/>
    <w:rsid w:val="00263AC2"/>
    <w:rsid w:val="00263B07"/>
    <w:rsid w:val="00263B61"/>
    <w:rsid w:val="00263BC6"/>
    <w:rsid w:val="00263C36"/>
    <w:rsid w:val="00263D44"/>
    <w:rsid w:val="00263E6F"/>
    <w:rsid w:val="00263EA5"/>
    <w:rsid w:val="00263ED7"/>
    <w:rsid w:val="00264088"/>
    <w:rsid w:val="002643C7"/>
    <w:rsid w:val="00264C26"/>
    <w:rsid w:val="00264F9E"/>
    <w:rsid w:val="00265028"/>
    <w:rsid w:val="002655B2"/>
    <w:rsid w:val="00265609"/>
    <w:rsid w:val="00265632"/>
    <w:rsid w:val="00265667"/>
    <w:rsid w:val="002656AE"/>
    <w:rsid w:val="002658FB"/>
    <w:rsid w:val="00265A60"/>
    <w:rsid w:val="00265B23"/>
    <w:rsid w:val="00265B94"/>
    <w:rsid w:val="00265BA8"/>
    <w:rsid w:val="00265C4D"/>
    <w:rsid w:val="00265DE3"/>
    <w:rsid w:val="00265E4D"/>
    <w:rsid w:val="0026600B"/>
    <w:rsid w:val="00266014"/>
    <w:rsid w:val="00266428"/>
    <w:rsid w:val="0026648D"/>
    <w:rsid w:val="00266790"/>
    <w:rsid w:val="002669BC"/>
    <w:rsid w:val="00266BAF"/>
    <w:rsid w:val="00266D65"/>
    <w:rsid w:val="00266F68"/>
    <w:rsid w:val="00266F71"/>
    <w:rsid w:val="002671F7"/>
    <w:rsid w:val="0026748C"/>
    <w:rsid w:val="0026751B"/>
    <w:rsid w:val="00267590"/>
    <w:rsid w:val="002675AD"/>
    <w:rsid w:val="00267D17"/>
    <w:rsid w:val="00267DF5"/>
    <w:rsid w:val="00267EAF"/>
    <w:rsid w:val="00268E49"/>
    <w:rsid w:val="00270568"/>
    <w:rsid w:val="00270DD7"/>
    <w:rsid w:val="00270E61"/>
    <w:rsid w:val="002710A5"/>
    <w:rsid w:val="00271342"/>
    <w:rsid w:val="0027189E"/>
    <w:rsid w:val="002718EB"/>
    <w:rsid w:val="00271AFA"/>
    <w:rsid w:val="00271B40"/>
    <w:rsid w:val="00271B61"/>
    <w:rsid w:val="00271C65"/>
    <w:rsid w:val="00271F40"/>
    <w:rsid w:val="00271FB1"/>
    <w:rsid w:val="00272078"/>
    <w:rsid w:val="00272183"/>
    <w:rsid w:val="0027221E"/>
    <w:rsid w:val="002723B8"/>
    <w:rsid w:val="002723CD"/>
    <w:rsid w:val="0027253F"/>
    <w:rsid w:val="0027269F"/>
    <w:rsid w:val="002727D0"/>
    <w:rsid w:val="00272891"/>
    <w:rsid w:val="00272B3C"/>
    <w:rsid w:val="00272DE5"/>
    <w:rsid w:val="00272E8F"/>
    <w:rsid w:val="00273230"/>
    <w:rsid w:val="002733C3"/>
    <w:rsid w:val="00273618"/>
    <w:rsid w:val="002736B0"/>
    <w:rsid w:val="00273806"/>
    <w:rsid w:val="00273A82"/>
    <w:rsid w:val="00273AD6"/>
    <w:rsid w:val="00273B6B"/>
    <w:rsid w:val="00273BE4"/>
    <w:rsid w:val="00273C4C"/>
    <w:rsid w:val="00273E21"/>
    <w:rsid w:val="00273E5F"/>
    <w:rsid w:val="00273E8B"/>
    <w:rsid w:val="00273EEC"/>
    <w:rsid w:val="00274038"/>
    <w:rsid w:val="002741A8"/>
    <w:rsid w:val="002743AB"/>
    <w:rsid w:val="00274427"/>
    <w:rsid w:val="002744EE"/>
    <w:rsid w:val="00274636"/>
    <w:rsid w:val="00274766"/>
    <w:rsid w:val="002748B2"/>
    <w:rsid w:val="00274BEF"/>
    <w:rsid w:val="00274F16"/>
    <w:rsid w:val="0027524A"/>
    <w:rsid w:val="0027525D"/>
    <w:rsid w:val="0027544F"/>
    <w:rsid w:val="00275548"/>
    <w:rsid w:val="00275607"/>
    <w:rsid w:val="002756F7"/>
    <w:rsid w:val="00275822"/>
    <w:rsid w:val="00275CCB"/>
    <w:rsid w:val="00275F4D"/>
    <w:rsid w:val="0027610E"/>
    <w:rsid w:val="00276284"/>
    <w:rsid w:val="002763F4"/>
    <w:rsid w:val="00276431"/>
    <w:rsid w:val="00276443"/>
    <w:rsid w:val="00276620"/>
    <w:rsid w:val="00276831"/>
    <w:rsid w:val="0027683A"/>
    <w:rsid w:val="002768F6"/>
    <w:rsid w:val="00276CB3"/>
    <w:rsid w:val="00276DB7"/>
    <w:rsid w:val="00276E2E"/>
    <w:rsid w:val="0027702A"/>
    <w:rsid w:val="00277618"/>
    <w:rsid w:val="0027761B"/>
    <w:rsid w:val="00277708"/>
    <w:rsid w:val="00277762"/>
    <w:rsid w:val="002778A8"/>
    <w:rsid w:val="00277964"/>
    <w:rsid w:val="00277B51"/>
    <w:rsid w:val="00277B7F"/>
    <w:rsid w:val="002800FE"/>
    <w:rsid w:val="0028033D"/>
    <w:rsid w:val="002803C4"/>
    <w:rsid w:val="002805CB"/>
    <w:rsid w:val="00280E95"/>
    <w:rsid w:val="00281062"/>
    <w:rsid w:val="00281176"/>
    <w:rsid w:val="002811CB"/>
    <w:rsid w:val="002812D7"/>
    <w:rsid w:val="002812E7"/>
    <w:rsid w:val="002815C4"/>
    <w:rsid w:val="002816B6"/>
    <w:rsid w:val="00281D22"/>
    <w:rsid w:val="00281EAB"/>
    <w:rsid w:val="00281EBD"/>
    <w:rsid w:val="002820DA"/>
    <w:rsid w:val="002821D5"/>
    <w:rsid w:val="002828DD"/>
    <w:rsid w:val="002828F3"/>
    <w:rsid w:val="00282904"/>
    <w:rsid w:val="00282986"/>
    <w:rsid w:val="00282D4A"/>
    <w:rsid w:val="00282E0C"/>
    <w:rsid w:val="00283D9F"/>
    <w:rsid w:val="00284100"/>
    <w:rsid w:val="00284126"/>
    <w:rsid w:val="00284566"/>
    <w:rsid w:val="00284943"/>
    <w:rsid w:val="00284C04"/>
    <w:rsid w:val="00284F4E"/>
    <w:rsid w:val="00285163"/>
    <w:rsid w:val="002854AF"/>
    <w:rsid w:val="0028551E"/>
    <w:rsid w:val="002856EB"/>
    <w:rsid w:val="002856EE"/>
    <w:rsid w:val="00285813"/>
    <w:rsid w:val="00285838"/>
    <w:rsid w:val="00285B81"/>
    <w:rsid w:val="00286323"/>
    <w:rsid w:val="002863CD"/>
    <w:rsid w:val="002863DC"/>
    <w:rsid w:val="002864D7"/>
    <w:rsid w:val="002865CA"/>
    <w:rsid w:val="0028671B"/>
    <w:rsid w:val="0028680A"/>
    <w:rsid w:val="00286AC9"/>
    <w:rsid w:val="00286BAA"/>
    <w:rsid w:val="00286BC5"/>
    <w:rsid w:val="00286C14"/>
    <w:rsid w:val="00286DC3"/>
    <w:rsid w:val="00286E5C"/>
    <w:rsid w:val="00287001"/>
    <w:rsid w:val="00287138"/>
    <w:rsid w:val="00287311"/>
    <w:rsid w:val="00287363"/>
    <w:rsid w:val="00287434"/>
    <w:rsid w:val="0028754A"/>
    <w:rsid w:val="002875E5"/>
    <w:rsid w:val="0028766A"/>
    <w:rsid w:val="002876B7"/>
    <w:rsid w:val="0028773F"/>
    <w:rsid w:val="002877BD"/>
    <w:rsid w:val="00287841"/>
    <w:rsid w:val="00287979"/>
    <w:rsid w:val="00287A64"/>
    <w:rsid w:val="00287CFF"/>
    <w:rsid w:val="00287E85"/>
    <w:rsid w:val="00287EFD"/>
    <w:rsid w:val="00290014"/>
    <w:rsid w:val="00290196"/>
    <w:rsid w:val="00290250"/>
    <w:rsid w:val="00290260"/>
    <w:rsid w:val="00290360"/>
    <w:rsid w:val="002904EB"/>
    <w:rsid w:val="002908B1"/>
    <w:rsid w:val="0029099A"/>
    <w:rsid w:val="00290B22"/>
    <w:rsid w:val="00290E61"/>
    <w:rsid w:val="0029120D"/>
    <w:rsid w:val="0029157B"/>
    <w:rsid w:val="00291958"/>
    <w:rsid w:val="00291AC5"/>
    <w:rsid w:val="00291BFE"/>
    <w:rsid w:val="00291E91"/>
    <w:rsid w:val="00291F23"/>
    <w:rsid w:val="00291FC3"/>
    <w:rsid w:val="0029200E"/>
    <w:rsid w:val="0029222B"/>
    <w:rsid w:val="002923BC"/>
    <w:rsid w:val="0029289F"/>
    <w:rsid w:val="00292AF7"/>
    <w:rsid w:val="00292B74"/>
    <w:rsid w:val="00292B75"/>
    <w:rsid w:val="00292D45"/>
    <w:rsid w:val="00292E85"/>
    <w:rsid w:val="00292EAE"/>
    <w:rsid w:val="00293369"/>
    <w:rsid w:val="00293388"/>
    <w:rsid w:val="002933A9"/>
    <w:rsid w:val="0029387F"/>
    <w:rsid w:val="002938B9"/>
    <w:rsid w:val="00293DBA"/>
    <w:rsid w:val="00294087"/>
    <w:rsid w:val="0029417E"/>
    <w:rsid w:val="00294350"/>
    <w:rsid w:val="00294364"/>
    <w:rsid w:val="0029455E"/>
    <w:rsid w:val="002945E5"/>
    <w:rsid w:val="00294650"/>
    <w:rsid w:val="002946A2"/>
    <w:rsid w:val="002947C0"/>
    <w:rsid w:val="0029498E"/>
    <w:rsid w:val="002949FE"/>
    <w:rsid w:val="00294A2A"/>
    <w:rsid w:val="00294C7E"/>
    <w:rsid w:val="00294CFE"/>
    <w:rsid w:val="00294F55"/>
    <w:rsid w:val="00294F8C"/>
    <w:rsid w:val="0029512A"/>
    <w:rsid w:val="0029520A"/>
    <w:rsid w:val="00295211"/>
    <w:rsid w:val="00295226"/>
    <w:rsid w:val="002952B4"/>
    <w:rsid w:val="00295412"/>
    <w:rsid w:val="0029552F"/>
    <w:rsid w:val="00295714"/>
    <w:rsid w:val="00295764"/>
    <w:rsid w:val="00295B60"/>
    <w:rsid w:val="00295C5A"/>
    <w:rsid w:val="00295D21"/>
    <w:rsid w:val="00295D56"/>
    <w:rsid w:val="00296089"/>
    <w:rsid w:val="00296304"/>
    <w:rsid w:val="002965AD"/>
    <w:rsid w:val="002965B7"/>
    <w:rsid w:val="00296B07"/>
    <w:rsid w:val="00296C5D"/>
    <w:rsid w:val="00296C9A"/>
    <w:rsid w:val="00296D99"/>
    <w:rsid w:val="00296E36"/>
    <w:rsid w:val="0029723D"/>
    <w:rsid w:val="002973BC"/>
    <w:rsid w:val="002973BD"/>
    <w:rsid w:val="0029745A"/>
    <w:rsid w:val="00297682"/>
    <w:rsid w:val="00297769"/>
    <w:rsid w:val="00297852"/>
    <w:rsid w:val="00297C5E"/>
    <w:rsid w:val="002A014A"/>
    <w:rsid w:val="002A01D2"/>
    <w:rsid w:val="002A02C7"/>
    <w:rsid w:val="002A052E"/>
    <w:rsid w:val="002A07E0"/>
    <w:rsid w:val="002A08A4"/>
    <w:rsid w:val="002A0AD2"/>
    <w:rsid w:val="002A0B00"/>
    <w:rsid w:val="002A0DB4"/>
    <w:rsid w:val="002A1214"/>
    <w:rsid w:val="002A136B"/>
    <w:rsid w:val="002A19D6"/>
    <w:rsid w:val="002A1C2E"/>
    <w:rsid w:val="002A1EC3"/>
    <w:rsid w:val="002A1EF8"/>
    <w:rsid w:val="002A212F"/>
    <w:rsid w:val="002A21DF"/>
    <w:rsid w:val="002A25BD"/>
    <w:rsid w:val="002A26F5"/>
    <w:rsid w:val="002A2766"/>
    <w:rsid w:val="002A27B4"/>
    <w:rsid w:val="002A28B1"/>
    <w:rsid w:val="002A2965"/>
    <w:rsid w:val="002A29C6"/>
    <w:rsid w:val="002A2A61"/>
    <w:rsid w:val="002A2ACB"/>
    <w:rsid w:val="002A2B1B"/>
    <w:rsid w:val="002A2B60"/>
    <w:rsid w:val="002A2B93"/>
    <w:rsid w:val="002A2D12"/>
    <w:rsid w:val="002A2E63"/>
    <w:rsid w:val="002A3285"/>
    <w:rsid w:val="002A3295"/>
    <w:rsid w:val="002A3324"/>
    <w:rsid w:val="002A3337"/>
    <w:rsid w:val="002A36F3"/>
    <w:rsid w:val="002A3768"/>
    <w:rsid w:val="002A390D"/>
    <w:rsid w:val="002A3C51"/>
    <w:rsid w:val="002A3D40"/>
    <w:rsid w:val="002A3DCA"/>
    <w:rsid w:val="002A3F03"/>
    <w:rsid w:val="002A3F11"/>
    <w:rsid w:val="002A40FF"/>
    <w:rsid w:val="002A4431"/>
    <w:rsid w:val="002A4510"/>
    <w:rsid w:val="002A45F1"/>
    <w:rsid w:val="002A465D"/>
    <w:rsid w:val="002A4AE7"/>
    <w:rsid w:val="002A4BE4"/>
    <w:rsid w:val="002A4CB1"/>
    <w:rsid w:val="002A5188"/>
    <w:rsid w:val="002A51D6"/>
    <w:rsid w:val="002A5367"/>
    <w:rsid w:val="002A54B1"/>
    <w:rsid w:val="002A5651"/>
    <w:rsid w:val="002A5833"/>
    <w:rsid w:val="002A5A1B"/>
    <w:rsid w:val="002A5DEC"/>
    <w:rsid w:val="002A5EB1"/>
    <w:rsid w:val="002A5EB8"/>
    <w:rsid w:val="002A5FA1"/>
    <w:rsid w:val="002A5FA6"/>
    <w:rsid w:val="002A680A"/>
    <w:rsid w:val="002A6928"/>
    <w:rsid w:val="002A6959"/>
    <w:rsid w:val="002A6979"/>
    <w:rsid w:val="002A6CC0"/>
    <w:rsid w:val="002A6E0C"/>
    <w:rsid w:val="002A6E0D"/>
    <w:rsid w:val="002A6E0E"/>
    <w:rsid w:val="002A6F35"/>
    <w:rsid w:val="002A7353"/>
    <w:rsid w:val="002A737E"/>
    <w:rsid w:val="002A744F"/>
    <w:rsid w:val="002A74C4"/>
    <w:rsid w:val="002A761C"/>
    <w:rsid w:val="002A7729"/>
    <w:rsid w:val="002A7798"/>
    <w:rsid w:val="002A77CF"/>
    <w:rsid w:val="002A78DD"/>
    <w:rsid w:val="002A7D5B"/>
    <w:rsid w:val="002A7E15"/>
    <w:rsid w:val="002A7E7C"/>
    <w:rsid w:val="002A7FBB"/>
    <w:rsid w:val="002B040B"/>
    <w:rsid w:val="002B051B"/>
    <w:rsid w:val="002B056C"/>
    <w:rsid w:val="002B059F"/>
    <w:rsid w:val="002B05CF"/>
    <w:rsid w:val="002B0791"/>
    <w:rsid w:val="002B08CE"/>
    <w:rsid w:val="002B0B03"/>
    <w:rsid w:val="002B0C5B"/>
    <w:rsid w:val="002B0E85"/>
    <w:rsid w:val="002B0EB0"/>
    <w:rsid w:val="002B0ED3"/>
    <w:rsid w:val="002B11EE"/>
    <w:rsid w:val="002B1290"/>
    <w:rsid w:val="002B12E3"/>
    <w:rsid w:val="002B14C6"/>
    <w:rsid w:val="002B157D"/>
    <w:rsid w:val="002B19B0"/>
    <w:rsid w:val="002B1A5A"/>
    <w:rsid w:val="002B1AAB"/>
    <w:rsid w:val="002B1B1A"/>
    <w:rsid w:val="002B1B23"/>
    <w:rsid w:val="002B1BE4"/>
    <w:rsid w:val="002B1C8D"/>
    <w:rsid w:val="002B1DFF"/>
    <w:rsid w:val="002B1EAB"/>
    <w:rsid w:val="002B1FD0"/>
    <w:rsid w:val="002B20B0"/>
    <w:rsid w:val="002B20D9"/>
    <w:rsid w:val="002B2213"/>
    <w:rsid w:val="002B2298"/>
    <w:rsid w:val="002B23A6"/>
    <w:rsid w:val="002B24C6"/>
    <w:rsid w:val="002B27DB"/>
    <w:rsid w:val="002B2A99"/>
    <w:rsid w:val="002B336B"/>
    <w:rsid w:val="002B351B"/>
    <w:rsid w:val="002B3571"/>
    <w:rsid w:val="002B376C"/>
    <w:rsid w:val="002B388E"/>
    <w:rsid w:val="002B39EB"/>
    <w:rsid w:val="002B3A90"/>
    <w:rsid w:val="002B3E86"/>
    <w:rsid w:val="002B3ED0"/>
    <w:rsid w:val="002B41BE"/>
    <w:rsid w:val="002B42AA"/>
    <w:rsid w:val="002B4344"/>
    <w:rsid w:val="002B445E"/>
    <w:rsid w:val="002B45D3"/>
    <w:rsid w:val="002B46CD"/>
    <w:rsid w:val="002B480A"/>
    <w:rsid w:val="002B4954"/>
    <w:rsid w:val="002B4CEF"/>
    <w:rsid w:val="002B4CFF"/>
    <w:rsid w:val="002B4F12"/>
    <w:rsid w:val="002B5115"/>
    <w:rsid w:val="002B53D2"/>
    <w:rsid w:val="002B545D"/>
    <w:rsid w:val="002B55EE"/>
    <w:rsid w:val="002B5A9C"/>
    <w:rsid w:val="002B5E91"/>
    <w:rsid w:val="002B5EB1"/>
    <w:rsid w:val="002B5F6A"/>
    <w:rsid w:val="002B5FB3"/>
    <w:rsid w:val="002B603F"/>
    <w:rsid w:val="002B6170"/>
    <w:rsid w:val="002B62F9"/>
    <w:rsid w:val="002B634C"/>
    <w:rsid w:val="002B655C"/>
    <w:rsid w:val="002B68AB"/>
    <w:rsid w:val="002B694A"/>
    <w:rsid w:val="002B6A0C"/>
    <w:rsid w:val="002B6C0C"/>
    <w:rsid w:val="002B6CBA"/>
    <w:rsid w:val="002B6D64"/>
    <w:rsid w:val="002B7287"/>
    <w:rsid w:val="002B72FF"/>
    <w:rsid w:val="002B7359"/>
    <w:rsid w:val="002B7665"/>
    <w:rsid w:val="002B7955"/>
    <w:rsid w:val="002B7972"/>
    <w:rsid w:val="002B7C9E"/>
    <w:rsid w:val="002B7CA5"/>
    <w:rsid w:val="002B7E68"/>
    <w:rsid w:val="002B7F5C"/>
    <w:rsid w:val="002C003E"/>
    <w:rsid w:val="002C0345"/>
    <w:rsid w:val="002C041F"/>
    <w:rsid w:val="002C0612"/>
    <w:rsid w:val="002C06B6"/>
    <w:rsid w:val="002C0724"/>
    <w:rsid w:val="002C0777"/>
    <w:rsid w:val="002C07E9"/>
    <w:rsid w:val="002C0D31"/>
    <w:rsid w:val="002C0DBB"/>
    <w:rsid w:val="002C0DDE"/>
    <w:rsid w:val="002C0E11"/>
    <w:rsid w:val="002C10AE"/>
    <w:rsid w:val="002C11AB"/>
    <w:rsid w:val="002C12A3"/>
    <w:rsid w:val="002C14AF"/>
    <w:rsid w:val="002C14B3"/>
    <w:rsid w:val="002C16F3"/>
    <w:rsid w:val="002C1792"/>
    <w:rsid w:val="002C18A1"/>
    <w:rsid w:val="002C18F2"/>
    <w:rsid w:val="002C1913"/>
    <w:rsid w:val="002C19EB"/>
    <w:rsid w:val="002C1A40"/>
    <w:rsid w:val="002C1A79"/>
    <w:rsid w:val="002C1BD9"/>
    <w:rsid w:val="002C1C19"/>
    <w:rsid w:val="002C1D1B"/>
    <w:rsid w:val="002C1FF0"/>
    <w:rsid w:val="002C2178"/>
    <w:rsid w:val="002C23FF"/>
    <w:rsid w:val="002C2459"/>
    <w:rsid w:val="002C2473"/>
    <w:rsid w:val="002C2593"/>
    <w:rsid w:val="002C2645"/>
    <w:rsid w:val="002C2715"/>
    <w:rsid w:val="002C2CC9"/>
    <w:rsid w:val="002C2E00"/>
    <w:rsid w:val="002C2E1A"/>
    <w:rsid w:val="002C2EA8"/>
    <w:rsid w:val="002C2F17"/>
    <w:rsid w:val="002C2F20"/>
    <w:rsid w:val="002C30CA"/>
    <w:rsid w:val="002C326F"/>
    <w:rsid w:val="002C32ED"/>
    <w:rsid w:val="002C36B6"/>
    <w:rsid w:val="002C378D"/>
    <w:rsid w:val="002C3A4B"/>
    <w:rsid w:val="002C3AB2"/>
    <w:rsid w:val="002C3AB7"/>
    <w:rsid w:val="002C3FAA"/>
    <w:rsid w:val="002C4047"/>
    <w:rsid w:val="002C40B3"/>
    <w:rsid w:val="002C40C9"/>
    <w:rsid w:val="002C4365"/>
    <w:rsid w:val="002C43C0"/>
    <w:rsid w:val="002C43C8"/>
    <w:rsid w:val="002C47BD"/>
    <w:rsid w:val="002C47C2"/>
    <w:rsid w:val="002C480A"/>
    <w:rsid w:val="002C4E6B"/>
    <w:rsid w:val="002C4E99"/>
    <w:rsid w:val="002C4ED0"/>
    <w:rsid w:val="002C51F0"/>
    <w:rsid w:val="002C539F"/>
    <w:rsid w:val="002C5418"/>
    <w:rsid w:val="002C5549"/>
    <w:rsid w:val="002C554A"/>
    <w:rsid w:val="002C59FA"/>
    <w:rsid w:val="002C5A1D"/>
    <w:rsid w:val="002C5CCE"/>
    <w:rsid w:val="002C5E36"/>
    <w:rsid w:val="002C5E6F"/>
    <w:rsid w:val="002C5F13"/>
    <w:rsid w:val="002C612C"/>
    <w:rsid w:val="002C626C"/>
    <w:rsid w:val="002C6526"/>
    <w:rsid w:val="002C6A8C"/>
    <w:rsid w:val="002C6ADF"/>
    <w:rsid w:val="002C6BEF"/>
    <w:rsid w:val="002C6C59"/>
    <w:rsid w:val="002C6D7C"/>
    <w:rsid w:val="002C6E1C"/>
    <w:rsid w:val="002C6FCE"/>
    <w:rsid w:val="002C702C"/>
    <w:rsid w:val="002C7042"/>
    <w:rsid w:val="002C7048"/>
    <w:rsid w:val="002C730E"/>
    <w:rsid w:val="002C7395"/>
    <w:rsid w:val="002C74B7"/>
    <w:rsid w:val="002C7570"/>
    <w:rsid w:val="002C7618"/>
    <w:rsid w:val="002C780B"/>
    <w:rsid w:val="002C78F7"/>
    <w:rsid w:val="002C7CA2"/>
    <w:rsid w:val="002C7FBB"/>
    <w:rsid w:val="002D0061"/>
    <w:rsid w:val="002D011D"/>
    <w:rsid w:val="002D037D"/>
    <w:rsid w:val="002D054C"/>
    <w:rsid w:val="002D08D8"/>
    <w:rsid w:val="002D0950"/>
    <w:rsid w:val="002D0CF3"/>
    <w:rsid w:val="002D0E01"/>
    <w:rsid w:val="002D1053"/>
    <w:rsid w:val="002D17E7"/>
    <w:rsid w:val="002D17F5"/>
    <w:rsid w:val="002D18EC"/>
    <w:rsid w:val="002D1C79"/>
    <w:rsid w:val="002D1CB9"/>
    <w:rsid w:val="002D2014"/>
    <w:rsid w:val="002D216F"/>
    <w:rsid w:val="002D218F"/>
    <w:rsid w:val="002D21CF"/>
    <w:rsid w:val="002D22EB"/>
    <w:rsid w:val="002D2383"/>
    <w:rsid w:val="002D23BE"/>
    <w:rsid w:val="002D2534"/>
    <w:rsid w:val="002D2728"/>
    <w:rsid w:val="002D27C8"/>
    <w:rsid w:val="002D2AC4"/>
    <w:rsid w:val="002D2B16"/>
    <w:rsid w:val="002D2DDD"/>
    <w:rsid w:val="002D2F79"/>
    <w:rsid w:val="002D3078"/>
    <w:rsid w:val="002D30A8"/>
    <w:rsid w:val="002D346F"/>
    <w:rsid w:val="002D3688"/>
    <w:rsid w:val="002D3B2D"/>
    <w:rsid w:val="002D3C7D"/>
    <w:rsid w:val="002D3DAD"/>
    <w:rsid w:val="002D3E61"/>
    <w:rsid w:val="002D4B47"/>
    <w:rsid w:val="002D4D32"/>
    <w:rsid w:val="002D4D52"/>
    <w:rsid w:val="002D4F0B"/>
    <w:rsid w:val="002D529B"/>
    <w:rsid w:val="002D5348"/>
    <w:rsid w:val="002D5529"/>
    <w:rsid w:val="002D5656"/>
    <w:rsid w:val="002D5682"/>
    <w:rsid w:val="002D5716"/>
    <w:rsid w:val="002D571D"/>
    <w:rsid w:val="002D58F3"/>
    <w:rsid w:val="002D594E"/>
    <w:rsid w:val="002D59DB"/>
    <w:rsid w:val="002D5B2F"/>
    <w:rsid w:val="002D5C15"/>
    <w:rsid w:val="002D5CC5"/>
    <w:rsid w:val="002D5DFA"/>
    <w:rsid w:val="002D5F4B"/>
    <w:rsid w:val="002D62BD"/>
    <w:rsid w:val="002D6445"/>
    <w:rsid w:val="002D64DC"/>
    <w:rsid w:val="002D66F9"/>
    <w:rsid w:val="002D6764"/>
    <w:rsid w:val="002D677E"/>
    <w:rsid w:val="002D691E"/>
    <w:rsid w:val="002D6997"/>
    <w:rsid w:val="002D6B64"/>
    <w:rsid w:val="002D6BDC"/>
    <w:rsid w:val="002D6C5E"/>
    <w:rsid w:val="002D6D76"/>
    <w:rsid w:val="002D6ED7"/>
    <w:rsid w:val="002D6F7C"/>
    <w:rsid w:val="002D6FDD"/>
    <w:rsid w:val="002D704B"/>
    <w:rsid w:val="002D7116"/>
    <w:rsid w:val="002D7254"/>
    <w:rsid w:val="002D732A"/>
    <w:rsid w:val="002D7402"/>
    <w:rsid w:val="002D74CB"/>
    <w:rsid w:val="002D754B"/>
    <w:rsid w:val="002D75DC"/>
    <w:rsid w:val="002D7E5A"/>
    <w:rsid w:val="002D7F57"/>
    <w:rsid w:val="002E040D"/>
    <w:rsid w:val="002E087E"/>
    <w:rsid w:val="002E08DD"/>
    <w:rsid w:val="002E0963"/>
    <w:rsid w:val="002E0A7B"/>
    <w:rsid w:val="002E0CF2"/>
    <w:rsid w:val="002E0D6A"/>
    <w:rsid w:val="002E0F7B"/>
    <w:rsid w:val="002E136A"/>
    <w:rsid w:val="002E14AE"/>
    <w:rsid w:val="002E154B"/>
    <w:rsid w:val="002E15DB"/>
    <w:rsid w:val="002E16F9"/>
    <w:rsid w:val="002E1BA9"/>
    <w:rsid w:val="002E1E77"/>
    <w:rsid w:val="002E1FF9"/>
    <w:rsid w:val="002E20D5"/>
    <w:rsid w:val="002E2286"/>
    <w:rsid w:val="002E2309"/>
    <w:rsid w:val="002E28BE"/>
    <w:rsid w:val="002E2960"/>
    <w:rsid w:val="002E29C7"/>
    <w:rsid w:val="002E2B20"/>
    <w:rsid w:val="002E2B4B"/>
    <w:rsid w:val="002E2BC6"/>
    <w:rsid w:val="002E2CE9"/>
    <w:rsid w:val="002E2CFC"/>
    <w:rsid w:val="002E2D27"/>
    <w:rsid w:val="002E2DF4"/>
    <w:rsid w:val="002E308A"/>
    <w:rsid w:val="002E313F"/>
    <w:rsid w:val="002E348E"/>
    <w:rsid w:val="002E38AE"/>
    <w:rsid w:val="002E3969"/>
    <w:rsid w:val="002E3BB0"/>
    <w:rsid w:val="002E403E"/>
    <w:rsid w:val="002E41CB"/>
    <w:rsid w:val="002E4312"/>
    <w:rsid w:val="002E43B9"/>
    <w:rsid w:val="002E4544"/>
    <w:rsid w:val="002E47AE"/>
    <w:rsid w:val="002E485D"/>
    <w:rsid w:val="002E4873"/>
    <w:rsid w:val="002E48D3"/>
    <w:rsid w:val="002E4B5C"/>
    <w:rsid w:val="002E4E35"/>
    <w:rsid w:val="002E4F0B"/>
    <w:rsid w:val="002E5051"/>
    <w:rsid w:val="002E50C1"/>
    <w:rsid w:val="002E5103"/>
    <w:rsid w:val="002E536D"/>
    <w:rsid w:val="002E5393"/>
    <w:rsid w:val="002E5637"/>
    <w:rsid w:val="002E594B"/>
    <w:rsid w:val="002E5990"/>
    <w:rsid w:val="002E5A0F"/>
    <w:rsid w:val="002E5B4C"/>
    <w:rsid w:val="002E5BB0"/>
    <w:rsid w:val="002E5CFC"/>
    <w:rsid w:val="002E5D61"/>
    <w:rsid w:val="002E5E97"/>
    <w:rsid w:val="002E6018"/>
    <w:rsid w:val="002E6375"/>
    <w:rsid w:val="002E63A1"/>
    <w:rsid w:val="002E6414"/>
    <w:rsid w:val="002E6554"/>
    <w:rsid w:val="002E6588"/>
    <w:rsid w:val="002E658E"/>
    <w:rsid w:val="002E6649"/>
    <w:rsid w:val="002E69E7"/>
    <w:rsid w:val="002E6AD6"/>
    <w:rsid w:val="002E6B1E"/>
    <w:rsid w:val="002E6BD4"/>
    <w:rsid w:val="002E7063"/>
    <w:rsid w:val="002E71A1"/>
    <w:rsid w:val="002E71FF"/>
    <w:rsid w:val="002E723A"/>
    <w:rsid w:val="002E7396"/>
    <w:rsid w:val="002E74E6"/>
    <w:rsid w:val="002E7525"/>
    <w:rsid w:val="002E7555"/>
    <w:rsid w:val="002E7651"/>
    <w:rsid w:val="002E7699"/>
    <w:rsid w:val="002E7805"/>
    <w:rsid w:val="002E78B9"/>
    <w:rsid w:val="002E7A00"/>
    <w:rsid w:val="002E7CFB"/>
    <w:rsid w:val="002E7D0E"/>
    <w:rsid w:val="002E7FFB"/>
    <w:rsid w:val="002F0027"/>
    <w:rsid w:val="002F0121"/>
    <w:rsid w:val="002F0240"/>
    <w:rsid w:val="002F031B"/>
    <w:rsid w:val="002F0389"/>
    <w:rsid w:val="002F046A"/>
    <w:rsid w:val="002F0736"/>
    <w:rsid w:val="002F07D6"/>
    <w:rsid w:val="002F089A"/>
    <w:rsid w:val="002F0954"/>
    <w:rsid w:val="002F0D49"/>
    <w:rsid w:val="002F0DAE"/>
    <w:rsid w:val="002F0EA3"/>
    <w:rsid w:val="002F0F60"/>
    <w:rsid w:val="002F13CA"/>
    <w:rsid w:val="002F13DA"/>
    <w:rsid w:val="002F14A5"/>
    <w:rsid w:val="002F1723"/>
    <w:rsid w:val="002F17A0"/>
    <w:rsid w:val="002F17CD"/>
    <w:rsid w:val="002F18B0"/>
    <w:rsid w:val="002F1C59"/>
    <w:rsid w:val="002F1D39"/>
    <w:rsid w:val="002F1E27"/>
    <w:rsid w:val="002F1EBE"/>
    <w:rsid w:val="002F2057"/>
    <w:rsid w:val="002F20B1"/>
    <w:rsid w:val="002F20FA"/>
    <w:rsid w:val="002F21C6"/>
    <w:rsid w:val="002F2219"/>
    <w:rsid w:val="002F22C9"/>
    <w:rsid w:val="002F23D7"/>
    <w:rsid w:val="002F249E"/>
    <w:rsid w:val="002F24CD"/>
    <w:rsid w:val="002F2851"/>
    <w:rsid w:val="002F2855"/>
    <w:rsid w:val="002F28C0"/>
    <w:rsid w:val="002F28FE"/>
    <w:rsid w:val="002F291F"/>
    <w:rsid w:val="002F2994"/>
    <w:rsid w:val="002F2A1C"/>
    <w:rsid w:val="002F2B75"/>
    <w:rsid w:val="002F2F74"/>
    <w:rsid w:val="002F30AB"/>
    <w:rsid w:val="002F3101"/>
    <w:rsid w:val="002F3271"/>
    <w:rsid w:val="002F32E7"/>
    <w:rsid w:val="002F3515"/>
    <w:rsid w:val="002F3688"/>
    <w:rsid w:val="002F37FF"/>
    <w:rsid w:val="002F380A"/>
    <w:rsid w:val="002F3CE3"/>
    <w:rsid w:val="002F3CE6"/>
    <w:rsid w:val="002F3E26"/>
    <w:rsid w:val="002F3E5A"/>
    <w:rsid w:val="002F3F36"/>
    <w:rsid w:val="002F413D"/>
    <w:rsid w:val="002F42A3"/>
    <w:rsid w:val="002F4341"/>
    <w:rsid w:val="002F43DF"/>
    <w:rsid w:val="002F44BC"/>
    <w:rsid w:val="002F4622"/>
    <w:rsid w:val="002F47B2"/>
    <w:rsid w:val="002F48AD"/>
    <w:rsid w:val="002F48E4"/>
    <w:rsid w:val="002F4A6A"/>
    <w:rsid w:val="002F51B2"/>
    <w:rsid w:val="002F5215"/>
    <w:rsid w:val="002F528E"/>
    <w:rsid w:val="002F5353"/>
    <w:rsid w:val="002F53B3"/>
    <w:rsid w:val="002F542C"/>
    <w:rsid w:val="002F55A7"/>
    <w:rsid w:val="002F57C2"/>
    <w:rsid w:val="002F58F2"/>
    <w:rsid w:val="002F5939"/>
    <w:rsid w:val="002F595A"/>
    <w:rsid w:val="002F5C90"/>
    <w:rsid w:val="002F5E17"/>
    <w:rsid w:val="002F5F61"/>
    <w:rsid w:val="002F60F3"/>
    <w:rsid w:val="002F6282"/>
    <w:rsid w:val="002F62FD"/>
    <w:rsid w:val="002F634E"/>
    <w:rsid w:val="002F674C"/>
    <w:rsid w:val="002F6A0D"/>
    <w:rsid w:val="002F6A4C"/>
    <w:rsid w:val="002F6BE5"/>
    <w:rsid w:val="002F6CEF"/>
    <w:rsid w:val="002F704B"/>
    <w:rsid w:val="002F7084"/>
    <w:rsid w:val="002F709B"/>
    <w:rsid w:val="002F71B7"/>
    <w:rsid w:val="002F71BD"/>
    <w:rsid w:val="002F7268"/>
    <w:rsid w:val="002F757E"/>
    <w:rsid w:val="002F75C5"/>
    <w:rsid w:val="002F77E2"/>
    <w:rsid w:val="002F7904"/>
    <w:rsid w:val="002F7BCD"/>
    <w:rsid w:val="002F7D34"/>
    <w:rsid w:val="002F7D59"/>
    <w:rsid w:val="002F7ED1"/>
    <w:rsid w:val="002F7F70"/>
    <w:rsid w:val="0030027C"/>
    <w:rsid w:val="00300311"/>
    <w:rsid w:val="00300345"/>
    <w:rsid w:val="003005B5"/>
    <w:rsid w:val="003008AC"/>
    <w:rsid w:val="00300DEB"/>
    <w:rsid w:val="00300EAD"/>
    <w:rsid w:val="00301011"/>
    <w:rsid w:val="00301081"/>
    <w:rsid w:val="003011C7"/>
    <w:rsid w:val="003014D7"/>
    <w:rsid w:val="00301524"/>
    <w:rsid w:val="003015B5"/>
    <w:rsid w:val="003016BA"/>
    <w:rsid w:val="0030188C"/>
    <w:rsid w:val="0030191E"/>
    <w:rsid w:val="00301B03"/>
    <w:rsid w:val="00301C49"/>
    <w:rsid w:val="00301E54"/>
    <w:rsid w:val="0030204D"/>
    <w:rsid w:val="0030275F"/>
    <w:rsid w:val="003028FA"/>
    <w:rsid w:val="00302958"/>
    <w:rsid w:val="00302AE3"/>
    <w:rsid w:val="00302CB0"/>
    <w:rsid w:val="00302E29"/>
    <w:rsid w:val="00302F5A"/>
    <w:rsid w:val="00303117"/>
    <w:rsid w:val="00303542"/>
    <w:rsid w:val="0030371A"/>
    <w:rsid w:val="00303CDF"/>
    <w:rsid w:val="00303E6C"/>
    <w:rsid w:val="00304043"/>
    <w:rsid w:val="0030409D"/>
    <w:rsid w:val="003041F9"/>
    <w:rsid w:val="003043F1"/>
    <w:rsid w:val="00304655"/>
    <w:rsid w:val="0030482F"/>
    <w:rsid w:val="003048A1"/>
    <w:rsid w:val="00304B93"/>
    <w:rsid w:val="00304E49"/>
    <w:rsid w:val="00305393"/>
    <w:rsid w:val="00305788"/>
    <w:rsid w:val="00305B1C"/>
    <w:rsid w:val="00305BFB"/>
    <w:rsid w:val="00305C67"/>
    <w:rsid w:val="0030604D"/>
    <w:rsid w:val="00306269"/>
    <w:rsid w:val="003068ED"/>
    <w:rsid w:val="00306950"/>
    <w:rsid w:val="003069B4"/>
    <w:rsid w:val="00306DD7"/>
    <w:rsid w:val="0030729A"/>
    <w:rsid w:val="003073BD"/>
    <w:rsid w:val="0030740F"/>
    <w:rsid w:val="0030752A"/>
    <w:rsid w:val="00307701"/>
    <w:rsid w:val="0030778D"/>
    <w:rsid w:val="003078E2"/>
    <w:rsid w:val="003079CF"/>
    <w:rsid w:val="00307D78"/>
    <w:rsid w:val="00307E55"/>
    <w:rsid w:val="00307FC1"/>
    <w:rsid w:val="0031011C"/>
    <w:rsid w:val="0031056D"/>
    <w:rsid w:val="00310588"/>
    <w:rsid w:val="003105BD"/>
    <w:rsid w:val="003105EE"/>
    <w:rsid w:val="00310675"/>
    <w:rsid w:val="0031089B"/>
    <w:rsid w:val="003108A0"/>
    <w:rsid w:val="003108D7"/>
    <w:rsid w:val="00310913"/>
    <w:rsid w:val="00310937"/>
    <w:rsid w:val="00310E4B"/>
    <w:rsid w:val="00310F2B"/>
    <w:rsid w:val="00310F76"/>
    <w:rsid w:val="00311006"/>
    <w:rsid w:val="00311275"/>
    <w:rsid w:val="003112C7"/>
    <w:rsid w:val="003112D8"/>
    <w:rsid w:val="00311302"/>
    <w:rsid w:val="0031143D"/>
    <w:rsid w:val="003114CC"/>
    <w:rsid w:val="003114CF"/>
    <w:rsid w:val="00311551"/>
    <w:rsid w:val="00311574"/>
    <w:rsid w:val="003115DE"/>
    <w:rsid w:val="00311650"/>
    <w:rsid w:val="00311B1E"/>
    <w:rsid w:val="00311F13"/>
    <w:rsid w:val="00311FB4"/>
    <w:rsid w:val="0031214D"/>
    <w:rsid w:val="00312246"/>
    <w:rsid w:val="003124B5"/>
    <w:rsid w:val="00312525"/>
    <w:rsid w:val="00312594"/>
    <w:rsid w:val="003125BD"/>
    <w:rsid w:val="003125C3"/>
    <w:rsid w:val="003125CE"/>
    <w:rsid w:val="00312796"/>
    <w:rsid w:val="00312BE0"/>
    <w:rsid w:val="00312D01"/>
    <w:rsid w:val="00312D60"/>
    <w:rsid w:val="00312DDE"/>
    <w:rsid w:val="00312E96"/>
    <w:rsid w:val="00313326"/>
    <w:rsid w:val="00313344"/>
    <w:rsid w:val="0031349A"/>
    <w:rsid w:val="003135FA"/>
    <w:rsid w:val="0031378F"/>
    <w:rsid w:val="00313C05"/>
    <w:rsid w:val="00313E54"/>
    <w:rsid w:val="0031422D"/>
    <w:rsid w:val="00314340"/>
    <w:rsid w:val="00314511"/>
    <w:rsid w:val="00314917"/>
    <w:rsid w:val="00314CCF"/>
    <w:rsid w:val="00314D91"/>
    <w:rsid w:val="00314E12"/>
    <w:rsid w:val="00315202"/>
    <w:rsid w:val="00315250"/>
    <w:rsid w:val="00315274"/>
    <w:rsid w:val="003152C3"/>
    <w:rsid w:val="003152DF"/>
    <w:rsid w:val="00315330"/>
    <w:rsid w:val="00315341"/>
    <w:rsid w:val="00315458"/>
    <w:rsid w:val="0031555E"/>
    <w:rsid w:val="00315607"/>
    <w:rsid w:val="00315717"/>
    <w:rsid w:val="0031584D"/>
    <w:rsid w:val="0031594E"/>
    <w:rsid w:val="00315B34"/>
    <w:rsid w:val="00315B4D"/>
    <w:rsid w:val="00315E79"/>
    <w:rsid w:val="00315F4E"/>
    <w:rsid w:val="00316022"/>
    <w:rsid w:val="0031609E"/>
    <w:rsid w:val="00316192"/>
    <w:rsid w:val="003162DA"/>
    <w:rsid w:val="0031631E"/>
    <w:rsid w:val="0031639E"/>
    <w:rsid w:val="003163D8"/>
    <w:rsid w:val="0031647A"/>
    <w:rsid w:val="003164B1"/>
    <w:rsid w:val="00316556"/>
    <w:rsid w:val="003165C1"/>
    <w:rsid w:val="003167A0"/>
    <w:rsid w:val="00316A14"/>
    <w:rsid w:val="00316AA7"/>
    <w:rsid w:val="00316BAE"/>
    <w:rsid w:val="00316D1A"/>
    <w:rsid w:val="00316DC0"/>
    <w:rsid w:val="00316E1A"/>
    <w:rsid w:val="00316E7B"/>
    <w:rsid w:val="00317141"/>
    <w:rsid w:val="00317877"/>
    <w:rsid w:val="00317ABF"/>
    <w:rsid w:val="00317B79"/>
    <w:rsid w:val="00317C07"/>
    <w:rsid w:val="00317C5C"/>
    <w:rsid w:val="00317E63"/>
    <w:rsid w:val="00317E9F"/>
    <w:rsid w:val="00317FF2"/>
    <w:rsid w:val="00320084"/>
    <w:rsid w:val="003200A7"/>
    <w:rsid w:val="0032014A"/>
    <w:rsid w:val="00320331"/>
    <w:rsid w:val="00320410"/>
    <w:rsid w:val="00320588"/>
    <w:rsid w:val="003205F3"/>
    <w:rsid w:val="0032072C"/>
    <w:rsid w:val="00320766"/>
    <w:rsid w:val="0032086E"/>
    <w:rsid w:val="00320978"/>
    <w:rsid w:val="00320A00"/>
    <w:rsid w:val="00320BDF"/>
    <w:rsid w:val="003211BC"/>
    <w:rsid w:val="0032129F"/>
    <w:rsid w:val="003215A3"/>
    <w:rsid w:val="0032167C"/>
    <w:rsid w:val="00321709"/>
    <w:rsid w:val="00321A15"/>
    <w:rsid w:val="00321A7A"/>
    <w:rsid w:val="00321BFC"/>
    <w:rsid w:val="00321C2C"/>
    <w:rsid w:val="00321C3B"/>
    <w:rsid w:val="00321C8A"/>
    <w:rsid w:val="00321C8E"/>
    <w:rsid w:val="00321CE2"/>
    <w:rsid w:val="00321D4A"/>
    <w:rsid w:val="00321D66"/>
    <w:rsid w:val="00321DEE"/>
    <w:rsid w:val="00321F68"/>
    <w:rsid w:val="00322185"/>
    <w:rsid w:val="003221EC"/>
    <w:rsid w:val="0032225D"/>
    <w:rsid w:val="00322286"/>
    <w:rsid w:val="00322834"/>
    <w:rsid w:val="00322A95"/>
    <w:rsid w:val="00322C01"/>
    <w:rsid w:val="00322C7E"/>
    <w:rsid w:val="00322C8D"/>
    <w:rsid w:val="00322E18"/>
    <w:rsid w:val="0032316E"/>
    <w:rsid w:val="00323244"/>
    <w:rsid w:val="0032333D"/>
    <w:rsid w:val="00323458"/>
    <w:rsid w:val="003234D9"/>
    <w:rsid w:val="00323858"/>
    <w:rsid w:val="00323A7F"/>
    <w:rsid w:val="0032451E"/>
    <w:rsid w:val="00324533"/>
    <w:rsid w:val="00324577"/>
    <w:rsid w:val="00324596"/>
    <w:rsid w:val="003245EC"/>
    <w:rsid w:val="003245EF"/>
    <w:rsid w:val="0032475E"/>
    <w:rsid w:val="00324906"/>
    <w:rsid w:val="003249A7"/>
    <w:rsid w:val="00324DE2"/>
    <w:rsid w:val="00324E7B"/>
    <w:rsid w:val="0032515B"/>
    <w:rsid w:val="003252F5"/>
    <w:rsid w:val="003254D7"/>
    <w:rsid w:val="0032552F"/>
    <w:rsid w:val="003255F3"/>
    <w:rsid w:val="00325733"/>
    <w:rsid w:val="00325763"/>
    <w:rsid w:val="00325851"/>
    <w:rsid w:val="003258EC"/>
    <w:rsid w:val="00325956"/>
    <w:rsid w:val="00325AEB"/>
    <w:rsid w:val="00325F0B"/>
    <w:rsid w:val="00325FE0"/>
    <w:rsid w:val="00326331"/>
    <w:rsid w:val="003263AC"/>
    <w:rsid w:val="00326470"/>
    <w:rsid w:val="0032649E"/>
    <w:rsid w:val="003264B4"/>
    <w:rsid w:val="0032693C"/>
    <w:rsid w:val="00326B2E"/>
    <w:rsid w:val="00326B33"/>
    <w:rsid w:val="00326D94"/>
    <w:rsid w:val="00327398"/>
    <w:rsid w:val="003273BA"/>
    <w:rsid w:val="00327890"/>
    <w:rsid w:val="00327CE6"/>
    <w:rsid w:val="00327D44"/>
    <w:rsid w:val="00327D4B"/>
    <w:rsid w:val="00327F22"/>
    <w:rsid w:val="00330326"/>
    <w:rsid w:val="0033036C"/>
    <w:rsid w:val="003304C7"/>
    <w:rsid w:val="003307A9"/>
    <w:rsid w:val="00330A11"/>
    <w:rsid w:val="00330C3D"/>
    <w:rsid w:val="00330E12"/>
    <w:rsid w:val="00331083"/>
    <w:rsid w:val="00331119"/>
    <w:rsid w:val="0033114E"/>
    <w:rsid w:val="0033147B"/>
    <w:rsid w:val="003315A7"/>
    <w:rsid w:val="003316BE"/>
    <w:rsid w:val="0033171A"/>
    <w:rsid w:val="00331AB7"/>
    <w:rsid w:val="00331AC0"/>
    <w:rsid w:val="00331E06"/>
    <w:rsid w:val="00331F2F"/>
    <w:rsid w:val="00331F6C"/>
    <w:rsid w:val="003320C2"/>
    <w:rsid w:val="00332324"/>
    <w:rsid w:val="00332660"/>
    <w:rsid w:val="00332858"/>
    <w:rsid w:val="003329D4"/>
    <w:rsid w:val="00332AF5"/>
    <w:rsid w:val="00332C0D"/>
    <w:rsid w:val="00332C9C"/>
    <w:rsid w:val="00332D0E"/>
    <w:rsid w:val="00332D8F"/>
    <w:rsid w:val="00332E0D"/>
    <w:rsid w:val="00332E80"/>
    <w:rsid w:val="00332F08"/>
    <w:rsid w:val="00333023"/>
    <w:rsid w:val="003331A5"/>
    <w:rsid w:val="003331A9"/>
    <w:rsid w:val="003333DB"/>
    <w:rsid w:val="003335A1"/>
    <w:rsid w:val="0033363C"/>
    <w:rsid w:val="0033368F"/>
    <w:rsid w:val="00333705"/>
    <w:rsid w:val="00333880"/>
    <w:rsid w:val="0033391F"/>
    <w:rsid w:val="00333B63"/>
    <w:rsid w:val="00333C5F"/>
    <w:rsid w:val="00333D20"/>
    <w:rsid w:val="00333FE2"/>
    <w:rsid w:val="0033422D"/>
    <w:rsid w:val="00334296"/>
    <w:rsid w:val="003343D4"/>
    <w:rsid w:val="0033440D"/>
    <w:rsid w:val="003345E1"/>
    <w:rsid w:val="00334828"/>
    <w:rsid w:val="00334A0B"/>
    <w:rsid w:val="00334CE5"/>
    <w:rsid w:val="00334D40"/>
    <w:rsid w:val="0033508B"/>
    <w:rsid w:val="003350D5"/>
    <w:rsid w:val="00335354"/>
    <w:rsid w:val="003353D7"/>
    <w:rsid w:val="00335464"/>
    <w:rsid w:val="00335737"/>
    <w:rsid w:val="0033587E"/>
    <w:rsid w:val="00335AB9"/>
    <w:rsid w:val="00335AC8"/>
    <w:rsid w:val="00335B51"/>
    <w:rsid w:val="00335C0C"/>
    <w:rsid w:val="00335D10"/>
    <w:rsid w:val="00335D30"/>
    <w:rsid w:val="00335DC7"/>
    <w:rsid w:val="00335DD0"/>
    <w:rsid w:val="00335EE2"/>
    <w:rsid w:val="0033656F"/>
    <w:rsid w:val="0033660F"/>
    <w:rsid w:val="0033661C"/>
    <w:rsid w:val="00336690"/>
    <w:rsid w:val="00336937"/>
    <w:rsid w:val="00336938"/>
    <w:rsid w:val="00336951"/>
    <w:rsid w:val="0033698B"/>
    <w:rsid w:val="00336C5E"/>
    <w:rsid w:val="00336CA8"/>
    <w:rsid w:val="00337002"/>
    <w:rsid w:val="00337104"/>
    <w:rsid w:val="00337107"/>
    <w:rsid w:val="003371B8"/>
    <w:rsid w:val="00337219"/>
    <w:rsid w:val="00337578"/>
    <w:rsid w:val="00337763"/>
    <w:rsid w:val="00337927"/>
    <w:rsid w:val="00337BB3"/>
    <w:rsid w:val="00340094"/>
    <w:rsid w:val="00340220"/>
    <w:rsid w:val="00340438"/>
    <w:rsid w:val="0034068B"/>
    <w:rsid w:val="003406A6"/>
    <w:rsid w:val="00340B2B"/>
    <w:rsid w:val="00340B3E"/>
    <w:rsid w:val="00340D20"/>
    <w:rsid w:val="00340E34"/>
    <w:rsid w:val="00340F1E"/>
    <w:rsid w:val="00341134"/>
    <w:rsid w:val="0034118B"/>
    <w:rsid w:val="0034118E"/>
    <w:rsid w:val="00341339"/>
    <w:rsid w:val="0034134E"/>
    <w:rsid w:val="00341410"/>
    <w:rsid w:val="003414D2"/>
    <w:rsid w:val="0034156E"/>
    <w:rsid w:val="003417C1"/>
    <w:rsid w:val="00341814"/>
    <w:rsid w:val="00341837"/>
    <w:rsid w:val="00341891"/>
    <w:rsid w:val="00341D24"/>
    <w:rsid w:val="00341D48"/>
    <w:rsid w:val="00341E2D"/>
    <w:rsid w:val="003421C5"/>
    <w:rsid w:val="00342350"/>
    <w:rsid w:val="00342479"/>
    <w:rsid w:val="00342563"/>
    <w:rsid w:val="00342670"/>
    <w:rsid w:val="0034269B"/>
    <w:rsid w:val="003427AC"/>
    <w:rsid w:val="00342923"/>
    <w:rsid w:val="0034298C"/>
    <w:rsid w:val="003429C8"/>
    <w:rsid w:val="00342B51"/>
    <w:rsid w:val="00342B7E"/>
    <w:rsid w:val="00342C96"/>
    <w:rsid w:val="00342E92"/>
    <w:rsid w:val="00342F14"/>
    <w:rsid w:val="00342F29"/>
    <w:rsid w:val="003431F6"/>
    <w:rsid w:val="00343226"/>
    <w:rsid w:val="0034372B"/>
    <w:rsid w:val="0034381F"/>
    <w:rsid w:val="00343BF5"/>
    <w:rsid w:val="003440B3"/>
    <w:rsid w:val="00344180"/>
    <w:rsid w:val="0034425F"/>
    <w:rsid w:val="00344395"/>
    <w:rsid w:val="00344397"/>
    <w:rsid w:val="003443CA"/>
    <w:rsid w:val="0034440C"/>
    <w:rsid w:val="003444E8"/>
    <w:rsid w:val="003446DE"/>
    <w:rsid w:val="00344A47"/>
    <w:rsid w:val="00344BBB"/>
    <w:rsid w:val="00344C57"/>
    <w:rsid w:val="00344D54"/>
    <w:rsid w:val="00344F2F"/>
    <w:rsid w:val="00344FBA"/>
    <w:rsid w:val="0034526F"/>
    <w:rsid w:val="00345570"/>
    <w:rsid w:val="00345582"/>
    <w:rsid w:val="0034576D"/>
    <w:rsid w:val="003457D3"/>
    <w:rsid w:val="00345882"/>
    <w:rsid w:val="00345942"/>
    <w:rsid w:val="003459AB"/>
    <w:rsid w:val="00345CD1"/>
    <w:rsid w:val="00345D09"/>
    <w:rsid w:val="00345DF2"/>
    <w:rsid w:val="00345EE3"/>
    <w:rsid w:val="00345F59"/>
    <w:rsid w:val="00345F75"/>
    <w:rsid w:val="00346063"/>
    <w:rsid w:val="00346507"/>
    <w:rsid w:val="003465FC"/>
    <w:rsid w:val="003466A4"/>
    <w:rsid w:val="0034682C"/>
    <w:rsid w:val="0034687F"/>
    <w:rsid w:val="00346911"/>
    <w:rsid w:val="00346B09"/>
    <w:rsid w:val="00346B80"/>
    <w:rsid w:val="00346D45"/>
    <w:rsid w:val="00346DFC"/>
    <w:rsid w:val="00347021"/>
    <w:rsid w:val="00347391"/>
    <w:rsid w:val="003473C2"/>
    <w:rsid w:val="003475B7"/>
    <w:rsid w:val="00347830"/>
    <w:rsid w:val="00347933"/>
    <w:rsid w:val="00347A94"/>
    <w:rsid w:val="00347BAE"/>
    <w:rsid w:val="00347C9A"/>
    <w:rsid w:val="00347E88"/>
    <w:rsid w:val="00347FF4"/>
    <w:rsid w:val="00350132"/>
    <w:rsid w:val="00350384"/>
    <w:rsid w:val="0035039A"/>
    <w:rsid w:val="003503ED"/>
    <w:rsid w:val="00350426"/>
    <w:rsid w:val="003504AE"/>
    <w:rsid w:val="00350684"/>
    <w:rsid w:val="00350D97"/>
    <w:rsid w:val="00351071"/>
    <w:rsid w:val="003510D8"/>
    <w:rsid w:val="00351121"/>
    <w:rsid w:val="003515A8"/>
    <w:rsid w:val="00351698"/>
    <w:rsid w:val="00351838"/>
    <w:rsid w:val="00351A15"/>
    <w:rsid w:val="00351A24"/>
    <w:rsid w:val="00351A2F"/>
    <w:rsid w:val="00351D10"/>
    <w:rsid w:val="00351F35"/>
    <w:rsid w:val="003526BA"/>
    <w:rsid w:val="003527F6"/>
    <w:rsid w:val="00352A2C"/>
    <w:rsid w:val="00352BB8"/>
    <w:rsid w:val="00352C16"/>
    <w:rsid w:val="00352C47"/>
    <w:rsid w:val="00352C9A"/>
    <w:rsid w:val="00352ED1"/>
    <w:rsid w:val="00352F4B"/>
    <w:rsid w:val="00352FBF"/>
    <w:rsid w:val="00352FD9"/>
    <w:rsid w:val="00352FDD"/>
    <w:rsid w:val="0035301E"/>
    <w:rsid w:val="003530B9"/>
    <w:rsid w:val="003534D6"/>
    <w:rsid w:val="00353DF8"/>
    <w:rsid w:val="00353EC3"/>
    <w:rsid w:val="00353F42"/>
    <w:rsid w:val="003540B7"/>
    <w:rsid w:val="00354306"/>
    <w:rsid w:val="00354456"/>
    <w:rsid w:val="003545EB"/>
    <w:rsid w:val="003546A6"/>
    <w:rsid w:val="00354789"/>
    <w:rsid w:val="0035487F"/>
    <w:rsid w:val="00354906"/>
    <w:rsid w:val="003549DE"/>
    <w:rsid w:val="00354BF3"/>
    <w:rsid w:val="00354D93"/>
    <w:rsid w:val="00355362"/>
    <w:rsid w:val="003555C3"/>
    <w:rsid w:val="0035571E"/>
    <w:rsid w:val="00355760"/>
    <w:rsid w:val="00355C2E"/>
    <w:rsid w:val="00355C9B"/>
    <w:rsid w:val="00355E2B"/>
    <w:rsid w:val="00355E4A"/>
    <w:rsid w:val="003560B2"/>
    <w:rsid w:val="00356104"/>
    <w:rsid w:val="00356142"/>
    <w:rsid w:val="003562AD"/>
    <w:rsid w:val="00356313"/>
    <w:rsid w:val="00356347"/>
    <w:rsid w:val="0035645E"/>
    <w:rsid w:val="0035669A"/>
    <w:rsid w:val="003568E7"/>
    <w:rsid w:val="00356904"/>
    <w:rsid w:val="00356C3A"/>
    <w:rsid w:val="00356C6A"/>
    <w:rsid w:val="00356D1B"/>
    <w:rsid w:val="00356DCE"/>
    <w:rsid w:val="0035700C"/>
    <w:rsid w:val="0035707C"/>
    <w:rsid w:val="003571E3"/>
    <w:rsid w:val="0035770A"/>
    <w:rsid w:val="00357757"/>
    <w:rsid w:val="00357C9A"/>
    <w:rsid w:val="00360105"/>
    <w:rsid w:val="0036039A"/>
    <w:rsid w:val="003603C7"/>
    <w:rsid w:val="003605DE"/>
    <w:rsid w:val="0036061A"/>
    <w:rsid w:val="00360637"/>
    <w:rsid w:val="003608EF"/>
    <w:rsid w:val="00360A84"/>
    <w:rsid w:val="00360AFD"/>
    <w:rsid w:val="00360D0F"/>
    <w:rsid w:val="003610D8"/>
    <w:rsid w:val="00361461"/>
    <w:rsid w:val="0036165F"/>
    <w:rsid w:val="003617A3"/>
    <w:rsid w:val="0036198C"/>
    <w:rsid w:val="00361AAA"/>
    <w:rsid w:val="00361B2E"/>
    <w:rsid w:val="00361B6F"/>
    <w:rsid w:val="00361C3A"/>
    <w:rsid w:val="00361D41"/>
    <w:rsid w:val="00361F25"/>
    <w:rsid w:val="00362016"/>
    <w:rsid w:val="0036212B"/>
    <w:rsid w:val="00362133"/>
    <w:rsid w:val="0036224D"/>
    <w:rsid w:val="003622D5"/>
    <w:rsid w:val="00362475"/>
    <w:rsid w:val="003624DC"/>
    <w:rsid w:val="003624F8"/>
    <w:rsid w:val="00362640"/>
    <w:rsid w:val="00362741"/>
    <w:rsid w:val="00362995"/>
    <w:rsid w:val="00362AAC"/>
    <w:rsid w:val="00362AC6"/>
    <w:rsid w:val="00362E74"/>
    <w:rsid w:val="00362FE3"/>
    <w:rsid w:val="003633C0"/>
    <w:rsid w:val="00363461"/>
    <w:rsid w:val="00363543"/>
    <w:rsid w:val="00363563"/>
    <w:rsid w:val="003636C1"/>
    <w:rsid w:val="0036385C"/>
    <w:rsid w:val="0036391F"/>
    <w:rsid w:val="00363A1F"/>
    <w:rsid w:val="00363AF6"/>
    <w:rsid w:val="00363B33"/>
    <w:rsid w:val="00363B4F"/>
    <w:rsid w:val="00363CE9"/>
    <w:rsid w:val="00363D60"/>
    <w:rsid w:val="00363DE7"/>
    <w:rsid w:val="003641DF"/>
    <w:rsid w:val="003643EA"/>
    <w:rsid w:val="003645C9"/>
    <w:rsid w:val="00364786"/>
    <w:rsid w:val="0036482B"/>
    <w:rsid w:val="003648EF"/>
    <w:rsid w:val="0036494F"/>
    <w:rsid w:val="00364CDF"/>
    <w:rsid w:val="00364E4B"/>
    <w:rsid w:val="00364F76"/>
    <w:rsid w:val="003650BE"/>
    <w:rsid w:val="003650F6"/>
    <w:rsid w:val="0036533B"/>
    <w:rsid w:val="003655B5"/>
    <w:rsid w:val="003655D1"/>
    <w:rsid w:val="00365620"/>
    <w:rsid w:val="0036562A"/>
    <w:rsid w:val="00365732"/>
    <w:rsid w:val="0036582D"/>
    <w:rsid w:val="003658F4"/>
    <w:rsid w:val="00365941"/>
    <w:rsid w:val="00365BDF"/>
    <w:rsid w:val="00365C6E"/>
    <w:rsid w:val="00365CC6"/>
    <w:rsid w:val="00365D61"/>
    <w:rsid w:val="00365D79"/>
    <w:rsid w:val="00365D8A"/>
    <w:rsid w:val="00365E33"/>
    <w:rsid w:val="00365FA4"/>
    <w:rsid w:val="00366050"/>
    <w:rsid w:val="003660E2"/>
    <w:rsid w:val="0036653E"/>
    <w:rsid w:val="00366B75"/>
    <w:rsid w:val="00366ECB"/>
    <w:rsid w:val="0036742F"/>
    <w:rsid w:val="003674E8"/>
    <w:rsid w:val="00367780"/>
    <w:rsid w:val="0036781B"/>
    <w:rsid w:val="00367820"/>
    <w:rsid w:val="00367881"/>
    <w:rsid w:val="00367937"/>
    <w:rsid w:val="00367B75"/>
    <w:rsid w:val="00367FD2"/>
    <w:rsid w:val="00367FFE"/>
    <w:rsid w:val="0037032A"/>
    <w:rsid w:val="00370789"/>
    <w:rsid w:val="00370BCA"/>
    <w:rsid w:val="00370CED"/>
    <w:rsid w:val="00370E14"/>
    <w:rsid w:val="00370F4B"/>
    <w:rsid w:val="00370F70"/>
    <w:rsid w:val="00371051"/>
    <w:rsid w:val="003710A4"/>
    <w:rsid w:val="0037113D"/>
    <w:rsid w:val="003716DB"/>
    <w:rsid w:val="00371935"/>
    <w:rsid w:val="00371E1C"/>
    <w:rsid w:val="00371E3F"/>
    <w:rsid w:val="00372280"/>
    <w:rsid w:val="0037245B"/>
    <w:rsid w:val="00372475"/>
    <w:rsid w:val="003724BE"/>
    <w:rsid w:val="003724FF"/>
    <w:rsid w:val="0037250E"/>
    <w:rsid w:val="00372693"/>
    <w:rsid w:val="0037269D"/>
    <w:rsid w:val="0037284E"/>
    <w:rsid w:val="003728D9"/>
    <w:rsid w:val="00372DC3"/>
    <w:rsid w:val="00372DD6"/>
    <w:rsid w:val="0037303C"/>
    <w:rsid w:val="00373132"/>
    <w:rsid w:val="00373175"/>
    <w:rsid w:val="003731DB"/>
    <w:rsid w:val="00373202"/>
    <w:rsid w:val="00373294"/>
    <w:rsid w:val="003733B6"/>
    <w:rsid w:val="003733DD"/>
    <w:rsid w:val="0037342D"/>
    <w:rsid w:val="00373448"/>
    <w:rsid w:val="0037373D"/>
    <w:rsid w:val="0037374D"/>
    <w:rsid w:val="00373997"/>
    <w:rsid w:val="00373A82"/>
    <w:rsid w:val="00373C05"/>
    <w:rsid w:val="00373DA0"/>
    <w:rsid w:val="00373FA0"/>
    <w:rsid w:val="0037406F"/>
    <w:rsid w:val="003740ED"/>
    <w:rsid w:val="003741E9"/>
    <w:rsid w:val="0037461C"/>
    <w:rsid w:val="00374842"/>
    <w:rsid w:val="003748E7"/>
    <w:rsid w:val="0037497B"/>
    <w:rsid w:val="003749C2"/>
    <w:rsid w:val="00374A46"/>
    <w:rsid w:val="00374AF5"/>
    <w:rsid w:val="00374B15"/>
    <w:rsid w:val="00374BD9"/>
    <w:rsid w:val="00374C03"/>
    <w:rsid w:val="00374D01"/>
    <w:rsid w:val="00374E07"/>
    <w:rsid w:val="00374F65"/>
    <w:rsid w:val="00374FF3"/>
    <w:rsid w:val="00375061"/>
    <w:rsid w:val="00375069"/>
    <w:rsid w:val="00375158"/>
    <w:rsid w:val="00375462"/>
    <w:rsid w:val="00375528"/>
    <w:rsid w:val="0037552C"/>
    <w:rsid w:val="00375625"/>
    <w:rsid w:val="003756BF"/>
    <w:rsid w:val="003758ED"/>
    <w:rsid w:val="00375BE5"/>
    <w:rsid w:val="00375DC3"/>
    <w:rsid w:val="00375FC5"/>
    <w:rsid w:val="0037616A"/>
    <w:rsid w:val="00376186"/>
    <w:rsid w:val="003761E9"/>
    <w:rsid w:val="00376236"/>
    <w:rsid w:val="0037626A"/>
    <w:rsid w:val="00376364"/>
    <w:rsid w:val="00376668"/>
    <w:rsid w:val="003768CF"/>
    <w:rsid w:val="00376BE1"/>
    <w:rsid w:val="00376D74"/>
    <w:rsid w:val="00377145"/>
    <w:rsid w:val="0037716C"/>
    <w:rsid w:val="003775E5"/>
    <w:rsid w:val="003776A5"/>
    <w:rsid w:val="0037777A"/>
    <w:rsid w:val="00377ED4"/>
    <w:rsid w:val="00377EED"/>
    <w:rsid w:val="0038001B"/>
    <w:rsid w:val="0038001F"/>
    <w:rsid w:val="0038009B"/>
    <w:rsid w:val="003801EE"/>
    <w:rsid w:val="003802B7"/>
    <w:rsid w:val="00380318"/>
    <w:rsid w:val="0038039A"/>
    <w:rsid w:val="00380422"/>
    <w:rsid w:val="003804CC"/>
    <w:rsid w:val="003807E0"/>
    <w:rsid w:val="003808B5"/>
    <w:rsid w:val="003808D3"/>
    <w:rsid w:val="00380A2B"/>
    <w:rsid w:val="0038100B"/>
    <w:rsid w:val="003810B2"/>
    <w:rsid w:val="0038120E"/>
    <w:rsid w:val="00381702"/>
    <w:rsid w:val="00381756"/>
    <w:rsid w:val="00381AB2"/>
    <w:rsid w:val="00381AB6"/>
    <w:rsid w:val="00381B97"/>
    <w:rsid w:val="00381C92"/>
    <w:rsid w:val="00381CAF"/>
    <w:rsid w:val="00381CC2"/>
    <w:rsid w:val="00381F3D"/>
    <w:rsid w:val="00382005"/>
    <w:rsid w:val="00382129"/>
    <w:rsid w:val="00382186"/>
    <w:rsid w:val="00382280"/>
    <w:rsid w:val="003823FE"/>
    <w:rsid w:val="003825EE"/>
    <w:rsid w:val="003828A8"/>
    <w:rsid w:val="00382968"/>
    <w:rsid w:val="00382A66"/>
    <w:rsid w:val="00382B57"/>
    <w:rsid w:val="00382BAD"/>
    <w:rsid w:val="00382C18"/>
    <w:rsid w:val="00382D24"/>
    <w:rsid w:val="00382E98"/>
    <w:rsid w:val="00382F00"/>
    <w:rsid w:val="00382FCA"/>
    <w:rsid w:val="00383251"/>
    <w:rsid w:val="00383364"/>
    <w:rsid w:val="003833A0"/>
    <w:rsid w:val="003833AD"/>
    <w:rsid w:val="003835CE"/>
    <w:rsid w:val="003836C6"/>
    <w:rsid w:val="00383986"/>
    <w:rsid w:val="00383B9E"/>
    <w:rsid w:val="00383BDD"/>
    <w:rsid w:val="00383E98"/>
    <w:rsid w:val="00383EAC"/>
    <w:rsid w:val="00383EE1"/>
    <w:rsid w:val="0038420C"/>
    <w:rsid w:val="003843D4"/>
    <w:rsid w:val="00384414"/>
    <w:rsid w:val="0038457D"/>
    <w:rsid w:val="003848FD"/>
    <w:rsid w:val="00384A85"/>
    <w:rsid w:val="00384B1C"/>
    <w:rsid w:val="00384BA5"/>
    <w:rsid w:val="00384D26"/>
    <w:rsid w:val="00384EE4"/>
    <w:rsid w:val="00384F7C"/>
    <w:rsid w:val="0038552B"/>
    <w:rsid w:val="003855B4"/>
    <w:rsid w:val="003855EF"/>
    <w:rsid w:val="00385704"/>
    <w:rsid w:val="003858B7"/>
    <w:rsid w:val="00385CCE"/>
    <w:rsid w:val="00385DD6"/>
    <w:rsid w:val="00385EFE"/>
    <w:rsid w:val="00385FB2"/>
    <w:rsid w:val="00386168"/>
    <w:rsid w:val="00386357"/>
    <w:rsid w:val="00386583"/>
    <w:rsid w:val="00386776"/>
    <w:rsid w:val="003868F1"/>
    <w:rsid w:val="00386980"/>
    <w:rsid w:val="00386ACC"/>
    <w:rsid w:val="00386C9E"/>
    <w:rsid w:val="00386DB6"/>
    <w:rsid w:val="00386DF4"/>
    <w:rsid w:val="003872C7"/>
    <w:rsid w:val="003875DF"/>
    <w:rsid w:val="003875FC"/>
    <w:rsid w:val="00387621"/>
    <w:rsid w:val="0038767C"/>
    <w:rsid w:val="003876E9"/>
    <w:rsid w:val="00387777"/>
    <w:rsid w:val="003878A2"/>
    <w:rsid w:val="00387930"/>
    <w:rsid w:val="00387A27"/>
    <w:rsid w:val="00387A5F"/>
    <w:rsid w:val="00387AAF"/>
    <w:rsid w:val="00390133"/>
    <w:rsid w:val="0039017B"/>
    <w:rsid w:val="003901B6"/>
    <w:rsid w:val="003904CE"/>
    <w:rsid w:val="00390577"/>
    <w:rsid w:val="0039057D"/>
    <w:rsid w:val="003907F3"/>
    <w:rsid w:val="003908B8"/>
    <w:rsid w:val="003909DD"/>
    <w:rsid w:val="00390BBD"/>
    <w:rsid w:val="00390C80"/>
    <w:rsid w:val="00390CAF"/>
    <w:rsid w:val="00390E17"/>
    <w:rsid w:val="00390EB5"/>
    <w:rsid w:val="00390FD6"/>
    <w:rsid w:val="00391083"/>
    <w:rsid w:val="00391087"/>
    <w:rsid w:val="0039121C"/>
    <w:rsid w:val="0039143B"/>
    <w:rsid w:val="003915B4"/>
    <w:rsid w:val="003915B8"/>
    <w:rsid w:val="003917B3"/>
    <w:rsid w:val="00391899"/>
    <w:rsid w:val="0039190E"/>
    <w:rsid w:val="003919E9"/>
    <w:rsid w:val="00391C8B"/>
    <w:rsid w:val="00391F9D"/>
    <w:rsid w:val="003920BE"/>
    <w:rsid w:val="0039221D"/>
    <w:rsid w:val="003925CE"/>
    <w:rsid w:val="003926CA"/>
    <w:rsid w:val="003928D6"/>
    <w:rsid w:val="00392981"/>
    <w:rsid w:val="00392B63"/>
    <w:rsid w:val="00392CB5"/>
    <w:rsid w:val="003931B9"/>
    <w:rsid w:val="003932C1"/>
    <w:rsid w:val="00393397"/>
    <w:rsid w:val="0039349A"/>
    <w:rsid w:val="0039370B"/>
    <w:rsid w:val="003937B4"/>
    <w:rsid w:val="00393B47"/>
    <w:rsid w:val="00393BE9"/>
    <w:rsid w:val="00393E6D"/>
    <w:rsid w:val="00393F1A"/>
    <w:rsid w:val="0039430F"/>
    <w:rsid w:val="0039459B"/>
    <w:rsid w:val="003946FC"/>
    <w:rsid w:val="00394B9F"/>
    <w:rsid w:val="00394D61"/>
    <w:rsid w:val="00394DB6"/>
    <w:rsid w:val="003951C4"/>
    <w:rsid w:val="003954DA"/>
    <w:rsid w:val="0039558D"/>
    <w:rsid w:val="0039576E"/>
    <w:rsid w:val="003958DA"/>
    <w:rsid w:val="00395946"/>
    <w:rsid w:val="00395A5A"/>
    <w:rsid w:val="00395B17"/>
    <w:rsid w:val="00395B82"/>
    <w:rsid w:val="00395C79"/>
    <w:rsid w:val="00395CDB"/>
    <w:rsid w:val="0039602C"/>
    <w:rsid w:val="003962CC"/>
    <w:rsid w:val="00396307"/>
    <w:rsid w:val="003965F6"/>
    <w:rsid w:val="00396782"/>
    <w:rsid w:val="003967F1"/>
    <w:rsid w:val="00396A0D"/>
    <w:rsid w:val="00396A9A"/>
    <w:rsid w:val="00396AFE"/>
    <w:rsid w:val="00396D90"/>
    <w:rsid w:val="00396E66"/>
    <w:rsid w:val="00396E71"/>
    <w:rsid w:val="0039731A"/>
    <w:rsid w:val="00397322"/>
    <w:rsid w:val="00397328"/>
    <w:rsid w:val="003976A4"/>
    <w:rsid w:val="00397A7B"/>
    <w:rsid w:val="00397D37"/>
    <w:rsid w:val="00397F9D"/>
    <w:rsid w:val="003A02AD"/>
    <w:rsid w:val="003A0376"/>
    <w:rsid w:val="003A0538"/>
    <w:rsid w:val="003A067B"/>
    <w:rsid w:val="003A07E2"/>
    <w:rsid w:val="003A0A8D"/>
    <w:rsid w:val="003A0DAC"/>
    <w:rsid w:val="003A0E47"/>
    <w:rsid w:val="003A1037"/>
    <w:rsid w:val="003A11CB"/>
    <w:rsid w:val="003A11F7"/>
    <w:rsid w:val="003A1347"/>
    <w:rsid w:val="003A1973"/>
    <w:rsid w:val="003A1DE3"/>
    <w:rsid w:val="003A1E95"/>
    <w:rsid w:val="003A20DF"/>
    <w:rsid w:val="003A215D"/>
    <w:rsid w:val="003A218E"/>
    <w:rsid w:val="003A21B3"/>
    <w:rsid w:val="003A2207"/>
    <w:rsid w:val="003A2226"/>
    <w:rsid w:val="003A2235"/>
    <w:rsid w:val="003A22FD"/>
    <w:rsid w:val="003A232E"/>
    <w:rsid w:val="003A237C"/>
    <w:rsid w:val="003A2478"/>
    <w:rsid w:val="003A255B"/>
    <w:rsid w:val="003A262C"/>
    <w:rsid w:val="003A29B5"/>
    <w:rsid w:val="003A2EC6"/>
    <w:rsid w:val="003A2F4C"/>
    <w:rsid w:val="003A2FE9"/>
    <w:rsid w:val="003A3055"/>
    <w:rsid w:val="003A30E0"/>
    <w:rsid w:val="003A31B1"/>
    <w:rsid w:val="003A32FA"/>
    <w:rsid w:val="003A3326"/>
    <w:rsid w:val="003A33C2"/>
    <w:rsid w:val="003A34A2"/>
    <w:rsid w:val="003A34D3"/>
    <w:rsid w:val="003A36D4"/>
    <w:rsid w:val="003A3825"/>
    <w:rsid w:val="003A3889"/>
    <w:rsid w:val="003A3A0C"/>
    <w:rsid w:val="003A3A1B"/>
    <w:rsid w:val="003A3B9B"/>
    <w:rsid w:val="003A3D3F"/>
    <w:rsid w:val="003A4188"/>
    <w:rsid w:val="003A422C"/>
    <w:rsid w:val="003A44E3"/>
    <w:rsid w:val="003A45D7"/>
    <w:rsid w:val="003A46F1"/>
    <w:rsid w:val="003A47CA"/>
    <w:rsid w:val="003A49D9"/>
    <w:rsid w:val="003A4A99"/>
    <w:rsid w:val="003A4B57"/>
    <w:rsid w:val="003A4C79"/>
    <w:rsid w:val="003A4EBB"/>
    <w:rsid w:val="003A4FA5"/>
    <w:rsid w:val="003A51F4"/>
    <w:rsid w:val="003A56AB"/>
    <w:rsid w:val="003A5813"/>
    <w:rsid w:val="003A5867"/>
    <w:rsid w:val="003A593D"/>
    <w:rsid w:val="003A593F"/>
    <w:rsid w:val="003A59CF"/>
    <w:rsid w:val="003A59D8"/>
    <w:rsid w:val="003A5B9E"/>
    <w:rsid w:val="003A5C68"/>
    <w:rsid w:val="003A5CDB"/>
    <w:rsid w:val="003A5D77"/>
    <w:rsid w:val="003A606A"/>
    <w:rsid w:val="003A6114"/>
    <w:rsid w:val="003A62AC"/>
    <w:rsid w:val="003A6482"/>
    <w:rsid w:val="003A655B"/>
    <w:rsid w:val="003A664E"/>
    <w:rsid w:val="003A666C"/>
    <w:rsid w:val="003A6A6B"/>
    <w:rsid w:val="003A6A77"/>
    <w:rsid w:val="003A6BC6"/>
    <w:rsid w:val="003A6D50"/>
    <w:rsid w:val="003A6D8A"/>
    <w:rsid w:val="003A6E85"/>
    <w:rsid w:val="003A6E8B"/>
    <w:rsid w:val="003A703C"/>
    <w:rsid w:val="003A72A5"/>
    <w:rsid w:val="003A72BC"/>
    <w:rsid w:val="003A73E8"/>
    <w:rsid w:val="003A74D3"/>
    <w:rsid w:val="003A796C"/>
    <w:rsid w:val="003A7A5D"/>
    <w:rsid w:val="003B0210"/>
    <w:rsid w:val="003B03A4"/>
    <w:rsid w:val="003B0572"/>
    <w:rsid w:val="003B0620"/>
    <w:rsid w:val="003B075E"/>
    <w:rsid w:val="003B0CB5"/>
    <w:rsid w:val="003B0E15"/>
    <w:rsid w:val="003B0F47"/>
    <w:rsid w:val="003B1071"/>
    <w:rsid w:val="003B11B1"/>
    <w:rsid w:val="003B12B2"/>
    <w:rsid w:val="003B13EC"/>
    <w:rsid w:val="003B1489"/>
    <w:rsid w:val="003B15CB"/>
    <w:rsid w:val="003B1612"/>
    <w:rsid w:val="003B197E"/>
    <w:rsid w:val="003B1AA2"/>
    <w:rsid w:val="003B1DF6"/>
    <w:rsid w:val="003B1E04"/>
    <w:rsid w:val="003B1E80"/>
    <w:rsid w:val="003B22BF"/>
    <w:rsid w:val="003B22C1"/>
    <w:rsid w:val="003B26A7"/>
    <w:rsid w:val="003B275E"/>
    <w:rsid w:val="003B27ED"/>
    <w:rsid w:val="003B2803"/>
    <w:rsid w:val="003B2E1F"/>
    <w:rsid w:val="003B2ED7"/>
    <w:rsid w:val="003B2EEC"/>
    <w:rsid w:val="003B2F6E"/>
    <w:rsid w:val="003B3181"/>
    <w:rsid w:val="003B31E7"/>
    <w:rsid w:val="003B3265"/>
    <w:rsid w:val="003B3A6B"/>
    <w:rsid w:val="003B3B64"/>
    <w:rsid w:val="003B3F4D"/>
    <w:rsid w:val="003B4040"/>
    <w:rsid w:val="003B43AB"/>
    <w:rsid w:val="003B4667"/>
    <w:rsid w:val="003B4766"/>
    <w:rsid w:val="003B48D9"/>
    <w:rsid w:val="003B4910"/>
    <w:rsid w:val="003B49CD"/>
    <w:rsid w:val="003B4A83"/>
    <w:rsid w:val="003B4AD2"/>
    <w:rsid w:val="003B4BD3"/>
    <w:rsid w:val="003B4C63"/>
    <w:rsid w:val="003B4CCC"/>
    <w:rsid w:val="003B4D00"/>
    <w:rsid w:val="003B4D21"/>
    <w:rsid w:val="003B4E12"/>
    <w:rsid w:val="003B53FA"/>
    <w:rsid w:val="003B55BD"/>
    <w:rsid w:val="003B5B5A"/>
    <w:rsid w:val="003B5CA2"/>
    <w:rsid w:val="003B5DBA"/>
    <w:rsid w:val="003B6018"/>
    <w:rsid w:val="003B607E"/>
    <w:rsid w:val="003B6099"/>
    <w:rsid w:val="003B6181"/>
    <w:rsid w:val="003B627D"/>
    <w:rsid w:val="003B650E"/>
    <w:rsid w:val="003B65B9"/>
    <w:rsid w:val="003B65FA"/>
    <w:rsid w:val="003B660A"/>
    <w:rsid w:val="003B663E"/>
    <w:rsid w:val="003B67B2"/>
    <w:rsid w:val="003B6955"/>
    <w:rsid w:val="003B69B6"/>
    <w:rsid w:val="003B69F3"/>
    <w:rsid w:val="003B6BAD"/>
    <w:rsid w:val="003B6BF7"/>
    <w:rsid w:val="003B6C16"/>
    <w:rsid w:val="003B6C7E"/>
    <w:rsid w:val="003B6D84"/>
    <w:rsid w:val="003B70EE"/>
    <w:rsid w:val="003B7119"/>
    <w:rsid w:val="003B71E8"/>
    <w:rsid w:val="003B7284"/>
    <w:rsid w:val="003B7352"/>
    <w:rsid w:val="003B7386"/>
    <w:rsid w:val="003B73B8"/>
    <w:rsid w:val="003B73E7"/>
    <w:rsid w:val="003B744C"/>
    <w:rsid w:val="003B74BC"/>
    <w:rsid w:val="003B7631"/>
    <w:rsid w:val="003B79A3"/>
    <w:rsid w:val="003B7A39"/>
    <w:rsid w:val="003B7BB0"/>
    <w:rsid w:val="003B7F77"/>
    <w:rsid w:val="003C0390"/>
    <w:rsid w:val="003C03DE"/>
    <w:rsid w:val="003C0513"/>
    <w:rsid w:val="003C0613"/>
    <w:rsid w:val="003C0794"/>
    <w:rsid w:val="003C091A"/>
    <w:rsid w:val="003C09A1"/>
    <w:rsid w:val="003C0BBD"/>
    <w:rsid w:val="003C0F90"/>
    <w:rsid w:val="003C106A"/>
    <w:rsid w:val="003C10A0"/>
    <w:rsid w:val="003C117D"/>
    <w:rsid w:val="003C12AD"/>
    <w:rsid w:val="003C136E"/>
    <w:rsid w:val="003C14BC"/>
    <w:rsid w:val="003C1540"/>
    <w:rsid w:val="003C15C8"/>
    <w:rsid w:val="003C170C"/>
    <w:rsid w:val="003C1799"/>
    <w:rsid w:val="003C1A55"/>
    <w:rsid w:val="003C1B4E"/>
    <w:rsid w:val="003C1C44"/>
    <w:rsid w:val="003C1C4F"/>
    <w:rsid w:val="003C1D64"/>
    <w:rsid w:val="003C1E0D"/>
    <w:rsid w:val="003C1EFF"/>
    <w:rsid w:val="003C2213"/>
    <w:rsid w:val="003C23E2"/>
    <w:rsid w:val="003C2503"/>
    <w:rsid w:val="003C2685"/>
    <w:rsid w:val="003C28E5"/>
    <w:rsid w:val="003C29C4"/>
    <w:rsid w:val="003C29CD"/>
    <w:rsid w:val="003C29E9"/>
    <w:rsid w:val="003C2ADC"/>
    <w:rsid w:val="003C2BA2"/>
    <w:rsid w:val="003C2DFA"/>
    <w:rsid w:val="003C2E9E"/>
    <w:rsid w:val="003C2F13"/>
    <w:rsid w:val="003C355A"/>
    <w:rsid w:val="003C3654"/>
    <w:rsid w:val="003C36CA"/>
    <w:rsid w:val="003C3A15"/>
    <w:rsid w:val="003C3A9A"/>
    <w:rsid w:val="003C3EA0"/>
    <w:rsid w:val="003C4283"/>
    <w:rsid w:val="003C437D"/>
    <w:rsid w:val="003C43E2"/>
    <w:rsid w:val="003C4531"/>
    <w:rsid w:val="003C461E"/>
    <w:rsid w:val="003C46C1"/>
    <w:rsid w:val="003C474F"/>
    <w:rsid w:val="003C48AD"/>
    <w:rsid w:val="003C4BC7"/>
    <w:rsid w:val="003C5448"/>
    <w:rsid w:val="003C5510"/>
    <w:rsid w:val="003C5783"/>
    <w:rsid w:val="003C5791"/>
    <w:rsid w:val="003C5C1A"/>
    <w:rsid w:val="003C5D08"/>
    <w:rsid w:val="003C5D38"/>
    <w:rsid w:val="003C5DB4"/>
    <w:rsid w:val="003C5F25"/>
    <w:rsid w:val="003C5FAF"/>
    <w:rsid w:val="003C6021"/>
    <w:rsid w:val="003C60FB"/>
    <w:rsid w:val="003C6420"/>
    <w:rsid w:val="003C6436"/>
    <w:rsid w:val="003C661A"/>
    <w:rsid w:val="003C6800"/>
    <w:rsid w:val="003C6911"/>
    <w:rsid w:val="003C6B00"/>
    <w:rsid w:val="003C6E84"/>
    <w:rsid w:val="003C6F21"/>
    <w:rsid w:val="003C6FE4"/>
    <w:rsid w:val="003C70E1"/>
    <w:rsid w:val="003C72A6"/>
    <w:rsid w:val="003C7636"/>
    <w:rsid w:val="003C7A68"/>
    <w:rsid w:val="003C7A75"/>
    <w:rsid w:val="003C7B47"/>
    <w:rsid w:val="003C7C10"/>
    <w:rsid w:val="003C7C72"/>
    <w:rsid w:val="003C7D1F"/>
    <w:rsid w:val="003D01F5"/>
    <w:rsid w:val="003D02A5"/>
    <w:rsid w:val="003D0496"/>
    <w:rsid w:val="003D0887"/>
    <w:rsid w:val="003D08E3"/>
    <w:rsid w:val="003D096B"/>
    <w:rsid w:val="003D0A1C"/>
    <w:rsid w:val="003D0A4E"/>
    <w:rsid w:val="003D0A66"/>
    <w:rsid w:val="003D0BB5"/>
    <w:rsid w:val="003D0FB5"/>
    <w:rsid w:val="003D1158"/>
    <w:rsid w:val="003D115C"/>
    <w:rsid w:val="003D13D7"/>
    <w:rsid w:val="003D1413"/>
    <w:rsid w:val="003D1509"/>
    <w:rsid w:val="003D15C1"/>
    <w:rsid w:val="003D15EB"/>
    <w:rsid w:val="003D166F"/>
    <w:rsid w:val="003D1DF3"/>
    <w:rsid w:val="003D2081"/>
    <w:rsid w:val="003D208F"/>
    <w:rsid w:val="003D20A1"/>
    <w:rsid w:val="003D20A3"/>
    <w:rsid w:val="003D20D1"/>
    <w:rsid w:val="003D20F6"/>
    <w:rsid w:val="003D22A4"/>
    <w:rsid w:val="003D23FF"/>
    <w:rsid w:val="003D2498"/>
    <w:rsid w:val="003D2599"/>
    <w:rsid w:val="003D28ED"/>
    <w:rsid w:val="003D2DEC"/>
    <w:rsid w:val="003D2F61"/>
    <w:rsid w:val="003D301C"/>
    <w:rsid w:val="003D3203"/>
    <w:rsid w:val="003D3787"/>
    <w:rsid w:val="003D379A"/>
    <w:rsid w:val="003D3866"/>
    <w:rsid w:val="003D3A45"/>
    <w:rsid w:val="003D3DA2"/>
    <w:rsid w:val="003D3E81"/>
    <w:rsid w:val="003D3FCE"/>
    <w:rsid w:val="003D4103"/>
    <w:rsid w:val="003D414A"/>
    <w:rsid w:val="003D4155"/>
    <w:rsid w:val="003D41D8"/>
    <w:rsid w:val="003D4230"/>
    <w:rsid w:val="003D4331"/>
    <w:rsid w:val="003D4537"/>
    <w:rsid w:val="003D454A"/>
    <w:rsid w:val="003D4581"/>
    <w:rsid w:val="003D479B"/>
    <w:rsid w:val="003D4994"/>
    <w:rsid w:val="003D49E3"/>
    <w:rsid w:val="003D4AB6"/>
    <w:rsid w:val="003D4B50"/>
    <w:rsid w:val="003D52CE"/>
    <w:rsid w:val="003D550D"/>
    <w:rsid w:val="003D5565"/>
    <w:rsid w:val="003D56F5"/>
    <w:rsid w:val="003D57DC"/>
    <w:rsid w:val="003D5906"/>
    <w:rsid w:val="003D59A5"/>
    <w:rsid w:val="003D5D38"/>
    <w:rsid w:val="003D5E45"/>
    <w:rsid w:val="003D5F12"/>
    <w:rsid w:val="003D6070"/>
    <w:rsid w:val="003D6190"/>
    <w:rsid w:val="003D6533"/>
    <w:rsid w:val="003D661F"/>
    <w:rsid w:val="003D674B"/>
    <w:rsid w:val="003D68F7"/>
    <w:rsid w:val="003D6BE8"/>
    <w:rsid w:val="003D6C9A"/>
    <w:rsid w:val="003D6CBC"/>
    <w:rsid w:val="003D6CCF"/>
    <w:rsid w:val="003D6ECF"/>
    <w:rsid w:val="003D7139"/>
    <w:rsid w:val="003D726B"/>
    <w:rsid w:val="003D739C"/>
    <w:rsid w:val="003D7446"/>
    <w:rsid w:val="003D74BE"/>
    <w:rsid w:val="003D773F"/>
    <w:rsid w:val="003D7778"/>
    <w:rsid w:val="003D7791"/>
    <w:rsid w:val="003D790F"/>
    <w:rsid w:val="003D7BE9"/>
    <w:rsid w:val="003D7C68"/>
    <w:rsid w:val="003D7C6D"/>
    <w:rsid w:val="003D7D78"/>
    <w:rsid w:val="003D7DE4"/>
    <w:rsid w:val="003D7EBF"/>
    <w:rsid w:val="003E000F"/>
    <w:rsid w:val="003E0035"/>
    <w:rsid w:val="003E017C"/>
    <w:rsid w:val="003E022B"/>
    <w:rsid w:val="003E0399"/>
    <w:rsid w:val="003E04FC"/>
    <w:rsid w:val="003E082A"/>
    <w:rsid w:val="003E0988"/>
    <w:rsid w:val="003E09D4"/>
    <w:rsid w:val="003E0A58"/>
    <w:rsid w:val="003E0E3D"/>
    <w:rsid w:val="003E0F62"/>
    <w:rsid w:val="003E149B"/>
    <w:rsid w:val="003E14A0"/>
    <w:rsid w:val="003E16DD"/>
    <w:rsid w:val="003E1A80"/>
    <w:rsid w:val="003E1B47"/>
    <w:rsid w:val="003E1E92"/>
    <w:rsid w:val="003E1FC9"/>
    <w:rsid w:val="003E20BE"/>
    <w:rsid w:val="003E2126"/>
    <w:rsid w:val="003E214D"/>
    <w:rsid w:val="003E2157"/>
    <w:rsid w:val="003E2268"/>
    <w:rsid w:val="003E2380"/>
    <w:rsid w:val="003E2447"/>
    <w:rsid w:val="003E266B"/>
    <w:rsid w:val="003E268F"/>
    <w:rsid w:val="003E279F"/>
    <w:rsid w:val="003E285D"/>
    <w:rsid w:val="003E2A49"/>
    <w:rsid w:val="003E2A8F"/>
    <w:rsid w:val="003E2D33"/>
    <w:rsid w:val="003E2DE9"/>
    <w:rsid w:val="003E327D"/>
    <w:rsid w:val="003E32FD"/>
    <w:rsid w:val="003E33BD"/>
    <w:rsid w:val="003E33EC"/>
    <w:rsid w:val="003E3476"/>
    <w:rsid w:val="003E3538"/>
    <w:rsid w:val="003E353F"/>
    <w:rsid w:val="003E356D"/>
    <w:rsid w:val="003E370B"/>
    <w:rsid w:val="003E37C4"/>
    <w:rsid w:val="003E3830"/>
    <w:rsid w:val="003E38A3"/>
    <w:rsid w:val="003E38E8"/>
    <w:rsid w:val="003E3D34"/>
    <w:rsid w:val="003E3D65"/>
    <w:rsid w:val="003E40D2"/>
    <w:rsid w:val="003E42EF"/>
    <w:rsid w:val="003E4362"/>
    <w:rsid w:val="003E46DA"/>
    <w:rsid w:val="003E49EC"/>
    <w:rsid w:val="003E4D5B"/>
    <w:rsid w:val="003E4F1D"/>
    <w:rsid w:val="003E4FE0"/>
    <w:rsid w:val="003E5011"/>
    <w:rsid w:val="003E540B"/>
    <w:rsid w:val="003E54D6"/>
    <w:rsid w:val="003E553F"/>
    <w:rsid w:val="003E5759"/>
    <w:rsid w:val="003E5815"/>
    <w:rsid w:val="003E584F"/>
    <w:rsid w:val="003E5876"/>
    <w:rsid w:val="003E5A4F"/>
    <w:rsid w:val="003E5B4D"/>
    <w:rsid w:val="003E5FFD"/>
    <w:rsid w:val="003E60AA"/>
    <w:rsid w:val="003E63C4"/>
    <w:rsid w:val="003E664B"/>
    <w:rsid w:val="003E6891"/>
    <w:rsid w:val="003E6C14"/>
    <w:rsid w:val="003E6D98"/>
    <w:rsid w:val="003E6DB3"/>
    <w:rsid w:val="003E6EA5"/>
    <w:rsid w:val="003E70D1"/>
    <w:rsid w:val="003E71C3"/>
    <w:rsid w:val="003E7382"/>
    <w:rsid w:val="003E75DA"/>
    <w:rsid w:val="003E7631"/>
    <w:rsid w:val="003E7682"/>
    <w:rsid w:val="003E77FB"/>
    <w:rsid w:val="003E79D1"/>
    <w:rsid w:val="003F00C6"/>
    <w:rsid w:val="003F0288"/>
    <w:rsid w:val="003F04C4"/>
    <w:rsid w:val="003F0507"/>
    <w:rsid w:val="003F050D"/>
    <w:rsid w:val="003F0529"/>
    <w:rsid w:val="003F0611"/>
    <w:rsid w:val="003F077A"/>
    <w:rsid w:val="003F0AEB"/>
    <w:rsid w:val="003F0B04"/>
    <w:rsid w:val="003F0BCE"/>
    <w:rsid w:val="003F0C0A"/>
    <w:rsid w:val="003F0DF7"/>
    <w:rsid w:val="003F1227"/>
    <w:rsid w:val="003F1242"/>
    <w:rsid w:val="003F1252"/>
    <w:rsid w:val="003F192E"/>
    <w:rsid w:val="003F1CF9"/>
    <w:rsid w:val="003F1E39"/>
    <w:rsid w:val="003F1FC0"/>
    <w:rsid w:val="003F21E3"/>
    <w:rsid w:val="003F2488"/>
    <w:rsid w:val="003F284F"/>
    <w:rsid w:val="003F28A6"/>
    <w:rsid w:val="003F28AA"/>
    <w:rsid w:val="003F2ADB"/>
    <w:rsid w:val="003F2C4E"/>
    <w:rsid w:val="003F2C74"/>
    <w:rsid w:val="003F2CB7"/>
    <w:rsid w:val="003F2E41"/>
    <w:rsid w:val="003F2F1A"/>
    <w:rsid w:val="003F31F8"/>
    <w:rsid w:val="003F3224"/>
    <w:rsid w:val="003F33EE"/>
    <w:rsid w:val="003F3599"/>
    <w:rsid w:val="003F381A"/>
    <w:rsid w:val="003F382D"/>
    <w:rsid w:val="003F3859"/>
    <w:rsid w:val="003F3A32"/>
    <w:rsid w:val="003F3DEB"/>
    <w:rsid w:val="003F40FD"/>
    <w:rsid w:val="003F42C3"/>
    <w:rsid w:val="003F43C6"/>
    <w:rsid w:val="003F4463"/>
    <w:rsid w:val="003F4641"/>
    <w:rsid w:val="003F4A74"/>
    <w:rsid w:val="003F5076"/>
    <w:rsid w:val="003F509B"/>
    <w:rsid w:val="003F5178"/>
    <w:rsid w:val="003F5555"/>
    <w:rsid w:val="003F5716"/>
    <w:rsid w:val="003F5889"/>
    <w:rsid w:val="003F5ADC"/>
    <w:rsid w:val="003F5B9D"/>
    <w:rsid w:val="003F5BBD"/>
    <w:rsid w:val="003F5BE7"/>
    <w:rsid w:val="003F6536"/>
    <w:rsid w:val="003F658F"/>
    <w:rsid w:val="003F65B9"/>
    <w:rsid w:val="003F6AC7"/>
    <w:rsid w:val="003F6C7D"/>
    <w:rsid w:val="003F6C8D"/>
    <w:rsid w:val="003F6E32"/>
    <w:rsid w:val="003F7287"/>
    <w:rsid w:val="003F7541"/>
    <w:rsid w:val="003F79E9"/>
    <w:rsid w:val="003F7D1D"/>
    <w:rsid w:val="003F7FC4"/>
    <w:rsid w:val="0040004F"/>
    <w:rsid w:val="004002C2"/>
    <w:rsid w:val="004005B9"/>
    <w:rsid w:val="0040096C"/>
    <w:rsid w:val="004009C2"/>
    <w:rsid w:val="00400AD7"/>
    <w:rsid w:val="00400B97"/>
    <w:rsid w:val="00400C32"/>
    <w:rsid w:val="00400F5A"/>
    <w:rsid w:val="00401200"/>
    <w:rsid w:val="00401729"/>
    <w:rsid w:val="00401892"/>
    <w:rsid w:val="00401898"/>
    <w:rsid w:val="00401A05"/>
    <w:rsid w:val="00401DAE"/>
    <w:rsid w:val="0040206B"/>
    <w:rsid w:val="004020DD"/>
    <w:rsid w:val="00402132"/>
    <w:rsid w:val="0040213C"/>
    <w:rsid w:val="004021EC"/>
    <w:rsid w:val="00402203"/>
    <w:rsid w:val="004025E1"/>
    <w:rsid w:val="0040267E"/>
    <w:rsid w:val="004026FF"/>
    <w:rsid w:val="004029BC"/>
    <w:rsid w:val="00402C1B"/>
    <w:rsid w:val="00402F1B"/>
    <w:rsid w:val="00402F47"/>
    <w:rsid w:val="00402F59"/>
    <w:rsid w:val="004031DE"/>
    <w:rsid w:val="0040320E"/>
    <w:rsid w:val="0040321A"/>
    <w:rsid w:val="00403282"/>
    <w:rsid w:val="004033E7"/>
    <w:rsid w:val="00403467"/>
    <w:rsid w:val="00404078"/>
    <w:rsid w:val="004040ED"/>
    <w:rsid w:val="00404220"/>
    <w:rsid w:val="00404297"/>
    <w:rsid w:val="00404319"/>
    <w:rsid w:val="00404384"/>
    <w:rsid w:val="00404434"/>
    <w:rsid w:val="0040444E"/>
    <w:rsid w:val="0040446A"/>
    <w:rsid w:val="004046D8"/>
    <w:rsid w:val="00404796"/>
    <w:rsid w:val="00404D0E"/>
    <w:rsid w:val="00404D5C"/>
    <w:rsid w:val="00404FEE"/>
    <w:rsid w:val="004050F9"/>
    <w:rsid w:val="004050FE"/>
    <w:rsid w:val="0040519C"/>
    <w:rsid w:val="004051AE"/>
    <w:rsid w:val="004052DE"/>
    <w:rsid w:val="00405364"/>
    <w:rsid w:val="0040537B"/>
    <w:rsid w:val="00405424"/>
    <w:rsid w:val="004056A5"/>
    <w:rsid w:val="00405905"/>
    <w:rsid w:val="00405CC0"/>
    <w:rsid w:val="00405D30"/>
    <w:rsid w:val="00406177"/>
    <w:rsid w:val="004061C6"/>
    <w:rsid w:val="00406241"/>
    <w:rsid w:val="0040668A"/>
    <w:rsid w:val="00406701"/>
    <w:rsid w:val="00406752"/>
    <w:rsid w:val="0040695E"/>
    <w:rsid w:val="00406DCF"/>
    <w:rsid w:val="00406E99"/>
    <w:rsid w:val="00406F83"/>
    <w:rsid w:val="004071A2"/>
    <w:rsid w:val="004071AF"/>
    <w:rsid w:val="004071B3"/>
    <w:rsid w:val="004071E5"/>
    <w:rsid w:val="004072FE"/>
    <w:rsid w:val="0040733D"/>
    <w:rsid w:val="004073BA"/>
    <w:rsid w:val="00407441"/>
    <w:rsid w:val="00407460"/>
    <w:rsid w:val="0040753B"/>
    <w:rsid w:val="00407690"/>
    <w:rsid w:val="00407951"/>
    <w:rsid w:val="00407C43"/>
    <w:rsid w:val="00407C62"/>
    <w:rsid w:val="00407DAC"/>
    <w:rsid w:val="00407E41"/>
    <w:rsid w:val="00407F2A"/>
    <w:rsid w:val="00407FE5"/>
    <w:rsid w:val="004101B4"/>
    <w:rsid w:val="0041022C"/>
    <w:rsid w:val="00410475"/>
    <w:rsid w:val="0041049F"/>
    <w:rsid w:val="0041058B"/>
    <w:rsid w:val="0041070F"/>
    <w:rsid w:val="004107F8"/>
    <w:rsid w:val="00410866"/>
    <w:rsid w:val="00410E0E"/>
    <w:rsid w:val="00410F07"/>
    <w:rsid w:val="00411161"/>
    <w:rsid w:val="0041125B"/>
    <w:rsid w:val="004112DB"/>
    <w:rsid w:val="004114A9"/>
    <w:rsid w:val="004114F9"/>
    <w:rsid w:val="00411575"/>
    <w:rsid w:val="00411AB2"/>
    <w:rsid w:val="00411CA1"/>
    <w:rsid w:val="00411D9D"/>
    <w:rsid w:val="00412155"/>
    <w:rsid w:val="00412162"/>
    <w:rsid w:val="0041224D"/>
    <w:rsid w:val="0041247C"/>
    <w:rsid w:val="004125BE"/>
    <w:rsid w:val="004129FA"/>
    <w:rsid w:val="00412AC0"/>
    <w:rsid w:val="00412EF7"/>
    <w:rsid w:val="00413038"/>
    <w:rsid w:val="00413050"/>
    <w:rsid w:val="0041308E"/>
    <w:rsid w:val="00413327"/>
    <w:rsid w:val="004134E4"/>
    <w:rsid w:val="0041390D"/>
    <w:rsid w:val="00413B46"/>
    <w:rsid w:val="00413D41"/>
    <w:rsid w:val="00413DCB"/>
    <w:rsid w:val="00413E29"/>
    <w:rsid w:val="00413E70"/>
    <w:rsid w:val="004141E3"/>
    <w:rsid w:val="0041437D"/>
    <w:rsid w:val="00414517"/>
    <w:rsid w:val="0041459B"/>
    <w:rsid w:val="004145AF"/>
    <w:rsid w:val="00414873"/>
    <w:rsid w:val="00414C8F"/>
    <w:rsid w:val="00414C95"/>
    <w:rsid w:val="00414CE5"/>
    <w:rsid w:val="00414E31"/>
    <w:rsid w:val="00414F75"/>
    <w:rsid w:val="00415016"/>
    <w:rsid w:val="004150D0"/>
    <w:rsid w:val="004150E7"/>
    <w:rsid w:val="004151D5"/>
    <w:rsid w:val="0041567D"/>
    <w:rsid w:val="004158AE"/>
    <w:rsid w:val="00415955"/>
    <w:rsid w:val="004159F0"/>
    <w:rsid w:val="00415A68"/>
    <w:rsid w:val="00415C84"/>
    <w:rsid w:val="00415E7C"/>
    <w:rsid w:val="00415EA5"/>
    <w:rsid w:val="00416084"/>
    <w:rsid w:val="004160AF"/>
    <w:rsid w:val="00416186"/>
    <w:rsid w:val="004163EB"/>
    <w:rsid w:val="004169F8"/>
    <w:rsid w:val="00416AC4"/>
    <w:rsid w:val="00416B41"/>
    <w:rsid w:val="00416B5B"/>
    <w:rsid w:val="00416BFA"/>
    <w:rsid w:val="00416C0B"/>
    <w:rsid w:val="00416C27"/>
    <w:rsid w:val="00416D5E"/>
    <w:rsid w:val="00416E66"/>
    <w:rsid w:val="004170E3"/>
    <w:rsid w:val="0041711D"/>
    <w:rsid w:val="0041720C"/>
    <w:rsid w:val="00417300"/>
    <w:rsid w:val="00417613"/>
    <w:rsid w:val="0041769E"/>
    <w:rsid w:val="004176CB"/>
    <w:rsid w:val="004177CE"/>
    <w:rsid w:val="00417A08"/>
    <w:rsid w:val="00417D6E"/>
    <w:rsid w:val="00417D95"/>
    <w:rsid w:val="00417E1E"/>
    <w:rsid w:val="0042053B"/>
    <w:rsid w:val="0042093C"/>
    <w:rsid w:val="004209DE"/>
    <w:rsid w:val="00420A77"/>
    <w:rsid w:val="00420AAF"/>
    <w:rsid w:val="00420BB1"/>
    <w:rsid w:val="00420BC8"/>
    <w:rsid w:val="00420D88"/>
    <w:rsid w:val="00420D8A"/>
    <w:rsid w:val="00420FEE"/>
    <w:rsid w:val="004210F9"/>
    <w:rsid w:val="004211B4"/>
    <w:rsid w:val="00421273"/>
    <w:rsid w:val="00421421"/>
    <w:rsid w:val="0042150F"/>
    <w:rsid w:val="00421563"/>
    <w:rsid w:val="00421BC0"/>
    <w:rsid w:val="00421C79"/>
    <w:rsid w:val="00421E72"/>
    <w:rsid w:val="0042216F"/>
    <w:rsid w:val="00422273"/>
    <w:rsid w:val="0042234A"/>
    <w:rsid w:val="00422434"/>
    <w:rsid w:val="00422495"/>
    <w:rsid w:val="0042289E"/>
    <w:rsid w:val="00422924"/>
    <w:rsid w:val="00422C20"/>
    <w:rsid w:val="00422CF6"/>
    <w:rsid w:val="00422E70"/>
    <w:rsid w:val="00422E88"/>
    <w:rsid w:val="00422EE8"/>
    <w:rsid w:val="00422FF0"/>
    <w:rsid w:val="0042357D"/>
    <w:rsid w:val="004236BC"/>
    <w:rsid w:val="004236D5"/>
    <w:rsid w:val="004237B4"/>
    <w:rsid w:val="00423BCC"/>
    <w:rsid w:val="00423C17"/>
    <w:rsid w:val="00423E0C"/>
    <w:rsid w:val="00423F4D"/>
    <w:rsid w:val="00423FFC"/>
    <w:rsid w:val="004240E6"/>
    <w:rsid w:val="00424417"/>
    <w:rsid w:val="00424706"/>
    <w:rsid w:val="00424859"/>
    <w:rsid w:val="00424862"/>
    <w:rsid w:val="0042489E"/>
    <w:rsid w:val="00424AE5"/>
    <w:rsid w:val="00424B9E"/>
    <w:rsid w:val="00424D47"/>
    <w:rsid w:val="00424EF7"/>
    <w:rsid w:val="00425385"/>
    <w:rsid w:val="004254B7"/>
    <w:rsid w:val="00425500"/>
    <w:rsid w:val="004259F0"/>
    <w:rsid w:val="00425A6C"/>
    <w:rsid w:val="00425A8C"/>
    <w:rsid w:val="00425BC3"/>
    <w:rsid w:val="00425BF5"/>
    <w:rsid w:val="00425DE5"/>
    <w:rsid w:val="00425EDC"/>
    <w:rsid w:val="00425FEA"/>
    <w:rsid w:val="0042623A"/>
    <w:rsid w:val="004263A3"/>
    <w:rsid w:val="004263CB"/>
    <w:rsid w:val="00426407"/>
    <w:rsid w:val="004267E3"/>
    <w:rsid w:val="0042680A"/>
    <w:rsid w:val="00426815"/>
    <w:rsid w:val="00426939"/>
    <w:rsid w:val="00426AFD"/>
    <w:rsid w:val="00426D4F"/>
    <w:rsid w:val="00426DA9"/>
    <w:rsid w:val="0042713E"/>
    <w:rsid w:val="00427384"/>
    <w:rsid w:val="004273BD"/>
    <w:rsid w:val="004275D0"/>
    <w:rsid w:val="00427822"/>
    <w:rsid w:val="00427C3A"/>
    <w:rsid w:val="00427F3B"/>
    <w:rsid w:val="00430189"/>
    <w:rsid w:val="0043026F"/>
    <w:rsid w:val="00430433"/>
    <w:rsid w:val="0043076D"/>
    <w:rsid w:val="0043081D"/>
    <w:rsid w:val="00430AA2"/>
    <w:rsid w:val="00430BD9"/>
    <w:rsid w:val="00430D12"/>
    <w:rsid w:val="00430F57"/>
    <w:rsid w:val="00430FEA"/>
    <w:rsid w:val="00430FF9"/>
    <w:rsid w:val="00431034"/>
    <w:rsid w:val="004310D5"/>
    <w:rsid w:val="00431163"/>
    <w:rsid w:val="0043128C"/>
    <w:rsid w:val="00431296"/>
    <w:rsid w:val="004313E1"/>
    <w:rsid w:val="004314E9"/>
    <w:rsid w:val="004315FC"/>
    <w:rsid w:val="0043163D"/>
    <w:rsid w:val="004319CB"/>
    <w:rsid w:val="00431AED"/>
    <w:rsid w:val="00431B14"/>
    <w:rsid w:val="00431D9F"/>
    <w:rsid w:val="00431DF2"/>
    <w:rsid w:val="00431F4E"/>
    <w:rsid w:val="00432163"/>
    <w:rsid w:val="004323AF"/>
    <w:rsid w:val="004326EC"/>
    <w:rsid w:val="0043279C"/>
    <w:rsid w:val="00432842"/>
    <w:rsid w:val="004330F6"/>
    <w:rsid w:val="00433355"/>
    <w:rsid w:val="00433376"/>
    <w:rsid w:val="00433452"/>
    <w:rsid w:val="004335A8"/>
    <w:rsid w:val="0043362E"/>
    <w:rsid w:val="00433855"/>
    <w:rsid w:val="004338A5"/>
    <w:rsid w:val="00433AE9"/>
    <w:rsid w:val="00433BF2"/>
    <w:rsid w:val="00433E2E"/>
    <w:rsid w:val="00433EA3"/>
    <w:rsid w:val="00434073"/>
    <w:rsid w:val="004340B0"/>
    <w:rsid w:val="004343A7"/>
    <w:rsid w:val="00434496"/>
    <w:rsid w:val="004347F3"/>
    <w:rsid w:val="00434824"/>
    <w:rsid w:val="004348C4"/>
    <w:rsid w:val="00434DAB"/>
    <w:rsid w:val="00435222"/>
    <w:rsid w:val="00435263"/>
    <w:rsid w:val="0043539C"/>
    <w:rsid w:val="0043543C"/>
    <w:rsid w:val="00435476"/>
    <w:rsid w:val="0043548E"/>
    <w:rsid w:val="00435656"/>
    <w:rsid w:val="0043591C"/>
    <w:rsid w:val="00435986"/>
    <w:rsid w:val="00435C87"/>
    <w:rsid w:val="00435D89"/>
    <w:rsid w:val="00435FBA"/>
    <w:rsid w:val="00436354"/>
    <w:rsid w:val="004364E4"/>
    <w:rsid w:val="00436667"/>
    <w:rsid w:val="00436727"/>
    <w:rsid w:val="004367DB"/>
    <w:rsid w:val="004372AA"/>
    <w:rsid w:val="00437568"/>
    <w:rsid w:val="004375B9"/>
    <w:rsid w:val="00437758"/>
    <w:rsid w:val="00437850"/>
    <w:rsid w:val="00437DEA"/>
    <w:rsid w:val="00437E47"/>
    <w:rsid w:val="00437E71"/>
    <w:rsid w:val="00437F6F"/>
    <w:rsid w:val="004400A3"/>
    <w:rsid w:val="004400B0"/>
    <w:rsid w:val="0044012E"/>
    <w:rsid w:val="004402D6"/>
    <w:rsid w:val="00440427"/>
    <w:rsid w:val="00440465"/>
    <w:rsid w:val="004406C5"/>
    <w:rsid w:val="00440A26"/>
    <w:rsid w:val="00440B9A"/>
    <w:rsid w:val="00440BFC"/>
    <w:rsid w:val="00440EB2"/>
    <w:rsid w:val="00440EE4"/>
    <w:rsid w:val="00440EF9"/>
    <w:rsid w:val="00440F3D"/>
    <w:rsid w:val="00441571"/>
    <w:rsid w:val="004416CA"/>
    <w:rsid w:val="00441724"/>
    <w:rsid w:val="004417ED"/>
    <w:rsid w:val="004421A2"/>
    <w:rsid w:val="004422DF"/>
    <w:rsid w:val="004422EE"/>
    <w:rsid w:val="004423D0"/>
    <w:rsid w:val="00442426"/>
    <w:rsid w:val="004426C2"/>
    <w:rsid w:val="0044282C"/>
    <w:rsid w:val="004429C4"/>
    <w:rsid w:val="00442B68"/>
    <w:rsid w:val="00442C16"/>
    <w:rsid w:val="00442C31"/>
    <w:rsid w:val="00442C47"/>
    <w:rsid w:val="00442D6A"/>
    <w:rsid w:val="00442DE2"/>
    <w:rsid w:val="00442EF4"/>
    <w:rsid w:val="004431D7"/>
    <w:rsid w:val="00443262"/>
    <w:rsid w:val="00443314"/>
    <w:rsid w:val="00443320"/>
    <w:rsid w:val="00443685"/>
    <w:rsid w:val="00443862"/>
    <w:rsid w:val="00443A7C"/>
    <w:rsid w:val="00443B3F"/>
    <w:rsid w:val="00443CE3"/>
    <w:rsid w:val="00443D70"/>
    <w:rsid w:val="00443F72"/>
    <w:rsid w:val="00444055"/>
    <w:rsid w:val="004440AA"/>
    <w:rsid w:val="00444168"/>
    <w:rsid w:val="0044432D"/>
    <w:rsid w:val="00444346"/>
    <w:rsid w:val="0044461E"/>
    <w:rsid w:val="00444BF3"/>
    <w:rsid w:val="00444C6B"/>
    <w:rsid w:val="00444C6C"/>
    <w:rsid w:val="00444CD8"/>
    <w:rsid w:val="00444D59"/>
    <w:rsid w:val="00444DFA"/>
    <w:rsid w:val="00444E65"/>
    <w:rsid w:val="00444FC8"/>
    <w:rsid w:val="00444FEB"/>
    <w:rsid w:val="004450C0"/>
    <w:rsid w:val="004454CC"/>
    <w:rsid w:val="00445596"/>
    <w:rsid w:val="004455FA"/>
    <w:rsid w:val="00445A08"/>
    <w:rsid w:val="00445B64"/>
    <w:rsid w:val="00445D06"/>
    <w:rsid w:val="00445DD6"/>
    <w:rsid w:val="00445E09"/>
    <w:rsid w:val="0044614C"/>
    <w:rsid w:val="00446250"/>
    <w:rsid w:val="00446304"/>
    <w:rsid w:val="00446367"/>
    <w:rsid w:val="004463D7"/>
    <w:rsid w:val="0044645F"/>
    <w:rsid w:val="00446483"/>
    <w:rsid w:val="004468E1"/>
    <w:rsid w:val="00446995"/>
    <w:rsid w:val="00446D3B"/>
    <w:rsid w:val="00446FD3"/>
    <w:rsid w:val="00446FEB"/>
    <w:rsid w:val="004470BE"/>
    <w:rsid w:val="004471B1"/>
    <w:rsid w:val="00447217"/>
    <w:rsid w:val="0044759F"/>
    <w:rsid w:val="00447699"/>
    <w:rsid w:val="00447895"/>
    <w:rsid w:val="004479DB"/>
    <w:rsid w:val="00447A0C"/>
    <w:rsid w:val="00447A93"/>
    <w:rsid w:val="00447B05"/>
    <w:rsid w:val="00447B0A"/>
    <w:rsid w:val="00447C98"/>
    <w:rsid w:val="00447FF2"/>
    <w:rsid w:val="00450192"/>
    <w:rsid w:val="00450254"/>
    <w:rsid w:val="004502CB"/>
    <w:rsid w:val="00450499"/>
    <w:rsid w:val="0045062B"/>
    <w:rsid w:val="004507A7"/>
    <w:rsid w:val="00450AA4"/>
    <w:rsid w:val="00450B02"/>
    <w:rsid w:val="00450BC1"/>
    <w:rsid w:val="00450C46"/>
    <w:rsid w:val="00450E2F"/>
    <w:rsid w:val="00450EC9"/>
    <w:rsid w:val="00450F47"/>
    <w:rsid w:val="004511DD"/>
    <w:rsid w:val="00451213"/>
    <w:rsid w:val="0045128D"/>
    <w:rsid w:val="00451482"/>
    <w:rsid w:val="00451572"/>
    <w:rsid w:val="00451627"/>
    <w:rsid w:val="00451753"/>
    <w:rsid w:val="00451B35"/>
    <w:rsid w:val="00451C1D"/>
    <w:rsid w:val="00451C5F"/>
    <w:rsid w:val="00451E00"/>
    <w:rsid w:val="0045204F"/>
    <w:rsid w:val="00452090"/>
    <w:rsid w:val="004520AE"/>
    <w:rsid w:val="004520C5"/>
    <w:rsid w:val="0045221C"/>
    <w:rsid w:val="004522D0"/>
    <w:rsid w:val="004524EC"/>
    <w:rsid w:val="004525FC"/>
    <w:rsid w:val="00452649"/>
    <w:rsid w:val="004528A5"/>
    <w:rsid w:val="00452A12"/>
    <w:rsid w:val="00452A5D"/>
    <w:rsid w:val="00452B57"/>
    <w:rsid w:val="00452C83"/>
    <w:rsid w:val="00452D57"/>
    <w:rsid w:val="00452D8C"/>
    <w:rsid w:val="00452DBC"/>
    <w:rsid w:val="00453114"/>
    <w:rsid w:val="00453252"/>
    <w:rsid w:val="0045325D"/>
    <w:rsid w:val="004532F6"/>
    <w:rsid w:val="0045340E"/>
    <w:rsid w:val="004534D5"/>
    <w:rsid w:val="00453699"/>
    <w:rsid w:val="00453707"/>
    <w:rsid w:val="00453778"/>
    <w:rsid w:val="004537DC"/>
    <w:rsid w:val="004537E8"/>
    <w:rsid w:val="00453973"/>
    <w:rsid w:val="00453993"/>
    <w:rsid w:val="00453A1C"/>
    <w:rsid w:val="00453A2E"/>
    <w:rsid w:val="00453A70"/>
    <w:rsid w:val="00453AF7"/>
    <w:rsid w:val="00453B7B"/>
    <w:rsid w:val="00453CDC"/>
    <w:rsid w:val="00453DF8"/>
    <w:rsid w:val="00453F44"/>
    <w:rsid w:val="00453F94"/>
    <w:rsid w:val="00454459"/>
    <w:rsid w:val="004544B0"/>
    <w:rsid w:val="004544E5"/>
    <w:rsid w:val="0045451C"/>
    <w:rsid w:val="00454573"/>
    <w:rsid w:val="004545B9"/>
    <w:rsid w:val="004546F1"/>
    <w:rsid w:val="0045477C"/>
    <w:rsid w:val="00454AEC"/>
    <w:rsid w:val="00454BC6"/>
    <w:rsid w:val="00454CB4"/>
    <w:rsid w:val="00454D15"/>
    <w:rsid w:val="00454D36"/>
    <w:rsid w:val="00454DD9"/>
    <w:rsid w:val="00454F81"/>
    <w:rsid w:val="0045511C"/>
    <w:rsid w:val="00455242"/>
    <w:rsid w:val="0045549C"/>
    <w:rsid w:val="0045577B"/>
    <w:rsid w:val="004557D4"/>
    <w:rsid w:val="00455B85"/>
    <w:rsid w:val="00455DB8"/>
    <w:rsid w:val="00455F1A"/>
    <w:rsid w:val="00455F53"/>
    <w:rsid w:val="00455FDA"/>
    <w:rsid w:val="00456157"/>
    <w:rsid w:val="004566A8"/>
    <w:rsid w:val="004566EF"/>
    <w:rsid w:val="00456DD3"/>
    <w:rsid w:val="00456E84"/>
    <w:rsid w:val="004572D3"/>
    <w:rsid w:val="00457320"/>
    <w:rsid w:val="00457341"/>
    <w:rsid w:val="00457347"/>
    <w:rsid w:val="00457385"/>
    <w:rsid w:val="00457420"/>
    <w:rsid w:val="00457610"/>
    <w:rsid w:val="004576CB"/>
    <w:rsid w:val="00457876"/>
    <w:rsid w:val="004578EC"/>
    <w:rsid w:val="004579FB"/>
    <w:rsid w:val="00457CDA"/>
    <w:rsid w:val="00457CF9"/>
    <w:rsid w:val="00457F14"/>
    <w:rsid w:val="00457F6C"/>
    <w:rsid w:val="00457FD6"/>
    <w:rsid w:val="0045E612"/>
    <w:rsid w:val="00460062"/>
    <w:rsid w:val="00460235"/>
    <w:rsid w:val="00460307"/>
    <w:rsid w:val="00460478"/>
    <w:rsid w:val="0046074D"/>
    <w:rsid w:val="0046075F"/>
    <w:rsid w:val="00460766"/>
    <w:rsid w:val="00460815"/>
    <w:rsid w:val="004608DC"/>
    <w:rsid w:val="00460A39"/>
    <w:rsid w:val="00460A4B"/>
    <w:rsid w:val="00460A8C"/>
    <w:rsid w:val="00460CC2"/>
    <w:rsid w:val="00460D34"/>
    <w:rsid w:val="00460DCD"/>
    <w:rsid w:val="00460EE3"/>
    <w:rsid w:val="00460FA1"/>
    <w:rsid w:val="004612AF"/>
    <w:rsid w:val="004613E2"/>
    <w:rsid w:val="00461490"/>
    <w:rsid w:val="00461657"/>
    <w:rsid w:val="004616A3"/>
    <w:rsid w:val="004616D9"/>
    <w:rsid w:val="004617A5"/>
    <w:rsid w:val="00461A6F"/>
    <w:rsid w:val="00461BBB"/>
    <w:rsid w:val="00461BED"/>
    <w:rsid w:val="00461CBA"/>
    <w:rsid w:val="00461D7C"/>
    <w:rsid w:val="00461E3C"/>
    <w:rsid w:val="004622DD"/>
    <w:rsid w:val="004624D4"/>
    <w:rsid w:val="00462530"/>
    <w:rsid w:val="00462671"/>
    <w:rsid w:val="0046283A"/>
    <w:rsid w:val="004629D4"/>
    <w:rsid w:val="004629F6"/>
    <w:rsid w:val="00462A26"/>
    <w:rsid w:val="00462CDF"/>
    <w:rsid w:val="00462EAF"/>
    <w:rsid w:val="00462EBE"/>
    <w:rsid w:val="00463090"/>
    <w:rsid w:val="00463147"/>
    <w:rsid w:val="00463434"/>
    <w:rsid w:val="0046363E"/>
    <w:rsid w:val="00463665"/>
    <w:rsid w:val="00463FB9"/>
    <w:rsid w:val="004642E8"/>
    <w:rsid w:val="004643E5"/>
    <w:rsid w:val="004646D8"/>
    <w:rsid w:val="00464718"/>
    <w:rsid w:val="00464942"/>
    <w:rsid w:val="00464C47"/>
    <w:rsid w:val="00464C77"/>
    <w:rsid w:val="00464CA2"/>
    <w:rsid w:val="00464FD0"/>
    <w:rsid w:val="0046504E"/>
    <w:rsid w:val="004650B1"/>
    <w:rsid w:val="004650BC"/>
    <w:rsid w:val="0046515F"/>
    <w:rsid w:val="004651C8"/>
    <w:rsid w:val="004653F6"/>
    <w:rsid w:val="0046540A"/>
    <w:rsid w:val="00465502"/>
    <w:rsid w:val="0046558B"/>
    <w:rsid w:val="004655F0"/>
    <w:rsid w:val="00465B2E"/>
    <w:rsid w:val="00465BC9"/>
    <w:rsid w:val="00465D97"/>
    <w:rsid w:val="00466031"/>
    <w:rsid w:val="00466127"/>
    <w:rsid w:val="004661C7"/>
    <w:rsid w:val="004662B7"/>
    <w:rsid w:val="0046630D"/>
    <w:rsid w:val="004663AC"/>
    <w:rsid w:val="004666E3"/>
    <w:rsid w:val="004667B1"/>
    <w:rsid w:val="004668E2"/>
    <w:rsid w:val="00466AEE"/>
    <w:rsid w:val="00466BCC"/>
    <w:rsid w:val="00466BEE"/>
    <w:rsid w:val="00466C28"/>
    <w:rsid w:val="00467146"/>
    <w:rsid w:val="00467170"/>
    <w:rsid w:val="00467173"/>
    <w:rsid w:val="00467452"/>
    <w:rsid w:val="00467744"/>
    <w:rsid w:val="00467986"/>
    <w:rsid w:val="00467A01"/>
    <w:rsid w:val="00467A41"/>
    <w:rsid w:val="00467DBD"/>
    <w:rsid w:val="00467F04"/>
    <w:rsid w:val="00467FA6"/>
    <w:rsid w:val="0047019E"/>
    <w:rsid w:val="0047020A"/>
    <w:rsid w:val="004702FF"/>
    <w:rsid w:val="00470576"/>
    <w:rsid w:val="00470AD3"/>
    <w:rsid w:val="00470BB5"/>
    <w:rsid w:val="00470C45"/>
    <w:rsid w:val="00470C86"/>
    <w:rsid w:val="0047113E"/>
    <w:rsid w:val="004711AA"/>
    <w:rsid w:val="00471445"/>
    <w:rsid w:val="00471674"/>
    <w:rsid w:val="004717D0"/>
    <w:rsid w:val="00471919"/>
    <w:rsid w:val="00471A91"/>
    <w:rsid w:val="00471B56"/>
    <w:rsid w:val="00471C6F"/>
    <w:rsid w:val="0047227F"/>
    <w:rsid w:val="0047244E"/>
    <w:rsid w:val="0047247F"/>
    <w:rsid w:val="004725FA"/>
    <w:rsid w:val="0047269F"/>
    <w:rsid w:val="00472876"/>
    <w:rsid w:val="00472925"/>
    <w:rsid w:val="0047294D"/>
    <w:rsid w:val="0047310A"/>
    <w:rsid w:val="00473308"/>
    <w:rsid w:val="00473396"/>
    <w:rsid w:val="004733C1"/>
    <w:rsid w:val="00473633"/>
    <w:rsid w:val="00473652"/>
    <w:rsid w:val="0047367B"/>
    <w:rsid w:val="00473777"/>
    <w:rsid w:val="004738CC"/>
    <w:rsid w:val="0047399D"/>
    <w:rsid w:val="004739A9"/>
    <w:rsid w:val="00473AC0"/>
    <w:rsid w:val="00473E03"/>
    <w:rsid w:val="00473F4D"/>
    <w:rsid w:val="00473FEE"/>
    <w:rsid w:val="00474279"/>
    <w:rsid w:val="00474540"/>
    <w:rsid w:val="0047455C"/>
    <w:rsid w:val="004746CE"/>
    <w:rsid w:val="004748B4"/>
    <w:rsid w:val="0047497C"/>
    <w:rsid w:val="00474AA6"/>
    <w:rsid w:val="00474B70"/>
    <w:rsid w:val="00474B83"/>
    <w:rsid w:val="00474C6B"/>
    <w:rsid w:val="00474DEA"/>
    <w:rsid w:val="00474F6E"/>
    <w:rsid w:val="00474FAD"/>
    <w:rsid w:val="004750C8"/>
    <w:rsid w:val="004754F2"/>
    <w:rsid w:val="00475565"/>
    <w:rsid w:val="004757E8"/>
    <w:rsid w:val="0047580D"/>
    <w:rsid w:val="00475883"/>
    <w:rsid w:val="004758BF"/>
    <w:rsid w:val="0047591F"/>
    <w:rsid w:val="00475B23"/>
    <w:rsid w:val="00475BAE"/>
    <w:rsid w:val="00475C67"/>
    <w:rsid w:val="00475DFF"/>
    <w:rsid w:val="00475E17"/>
    <w:rsid w:val="004760AC"/>
    <w:rsid w:val="004761B2"/>
    <w:rsid w:val="00476446"/>
    <w:rsid w:val="004764C7"/>
    <w:rsid w:val="00476564"/>
    <w:rsid w:val="004767E8"/>
    <w:rsid w:val="00476847"/>
    <w:rsid w:val="0047687D"/>
    <w:rsid w:val="00476A01"/>
    <w:rsid w:val="00476A44"/>
    <w:rsid w:val="00476B32"/>
    <w:rsid w:val="00476B8E"/>
    <w:rsid w:val="00476C30"/>
    <w:rsid w:val="00476F39"/>
    <w:rsid w:val="00476F59"/>
    <w:rsid w:val="00476FD6"/>
    <w:rsid w:val="00477142"/>
    <w:rsid w:val="00477227"/>
    <w:rsid w:val="0047723D"/>
    <w:rsid w:val="00477635"/>
    <w:rsid w:val="00477719"/>
    <w:rsid w:val="00477926"/>
    <w:rsid w:val="0047794C"/>
    <w:rsid w:val="00477D51"/>
    <w:rsid w:val="00477DD2"/>
    <w:rsid w:val="004800F5"/>
    <w:rsid w:val="004802AC"/>
    <w:rsid w:val="00480328"/>
    <w:rsid w:val="00480460"/>
    <w:rsid w:val="00480464"/>
    <w:rsid w:val="004804BE"/>
    <w:rsid w:val="004805B8"/>
    <w:rsid w:val="004805F5"/>
    <w:rsid w:val="00480619"/>
    <w:rsid w:val="004806D6"/>
    <w:rsid w:val="004807E4"/>
    <w:rsid w:val="004809CF"/>
    <w:rsid w:val="004809DF"/>
    <w:rsid w:val="00480C10"/>
    <w:rsid w:val="00480CBB"/>
    <w:rsid w:val="00481403"/>
    <w:rsid w:val="00481424"/>
    <w:rsid w:val="00481568"/>
    <w:rsid w:val="004819BF"/>
    <w:rsid w:val="00481A58"/>
    <w:rsid w:val="00481C18"/>
    <w:rsid w:val="00481F13"/>
    <w:rsid w:val="00481F1A"/>
    <w:rsid w:val="00481FDE"/>
    <w:rsid w:val="00482028"/>
    <w:rsid w:val="0048224F"/>
    <w:rsid w:val="004824D8"/>
    <w:rsid w:val="00482CA1"/>
    <w:rsid w:val="00482CD9"/>
    <w:rsid w:val="00482D7F"/>
    <w:rsid w:val="00482DAD"/>
    <w:rsid w:val="00482FCD"/>
    <w:rsid w:val="004831FA"/>
    <w:rsid w:val="0048321D"/>
    <w:rsid w:val="004832E5"/>
    <w:rsid w:val="0048362B"/>
    <w:rsid w:val="004837FD"/>
    <w:rsid w:val="00483831"/>
    <w:rsid w:val="00483972"/>
    <w:rsid w:val="00483A34"/>
    <w:rsid w:val="00483A5D"/>
    <w:rsid w:val="00483B6D"/>
    <w:rsid w:val="00483EE9"/>
    <w:rsid w:val="004840D5"/>
    <w:rsid w:val="004841E8"/>
    <w:rsid w:val="00484403"/>
    <w:rsid w:val="004844D5"/>
    <w:rsid w:val="00484950"/>
    <w:rsid w:val="004849C2"/>
    <w:rsid w:val="00484AF2"/>
    <w:rsid w:val="00484C80"/>
    <w:rsid w:val="00484CD6"/>
    <w:rsid w:val="00485003"/>
    <w:rsid w:val="00485279"/>
    <w:rsid w:val="00485331"/>
    <w:rsid w:val="004856A8"/>
    <w:rsid w:val="00485993"/>
    <w:rsid w:val="00485B7E"/>
    <w:rsid w:val="00485C7A"/>
    <w:rsid w:val="00485E6B"/>
    <w:rsid w:val="00486402"/>
    <w:rsid w:val="004864CC"/>
    <w:rsid w:val="00486B55"/>
    <w:rsid w:val="00486BF1"/>
    <w:rsid w:val="00486C05"/>
    <w:rsid w:val="00486CD1"/>
    <w:rsid w:val="00486F79"/>
    <w:rsid w:val="004871F1"/>
    <w:rsid w:val="004873FE"/>
    <w:rsid w:val="004874EF"/>
    <w:rsid w:val="004875DD"/>
    <w:rsid w:val="0048765B"/>
    <w:rsid w:val="00487662"/>
    <w:rsid w:val="004876B5"/>
    <w:rsid w:val="004877D0"/>
    <w:rsid w:val="00487848"/>
    <w:rsid w:val="00487932"/>
    <w:rsid w:val="00487A5F"/>
    <w:rsid w:val="00487B6A"/>
    <w:rsid w:val="00487EF8"/>
    <w:rsid w:val="00487F3F"/>
    <w:rsid w:val="004900E0"/>
    <w:rsid w:val="00490254"/>
    <w:rsid w:val="00490773"/>
    <w:rsid w:val="00490875"/>
    <w:rsid w:val="00490B11"/>
    <w:rsid w:val="00490B85"/>
    <w:rsid w:val="00490EB3"/>
    <w:rsid w:val="00490F48"/>
    <w:rsid w:val="0049105C"/>
    <w:rsid w:val="00491187"/>
    <w:rsid w:val="00491233"/>
    <w:rsid w:val="004915AC"/>
    <w:rsid w:val="0049178D"/>
    <w:rsid w:val="004918D8"/>
    <w:rsid w:val="004919A7"/>
    <w:rsid w:val="00491AC5"/>
    <w:rsid w:val="00491ACB"/>
    <w:rsid w:val="00492067"/>
    <w:rsid w:val="004923EC"/>
    <w:rsid w:val="00492534"/>
    <w:rsid w:val="004928CE"/>
    <w:rsid w:val="00492A3A"/>
    <w:rsid w:val="00492AA2"/>
    <w:rsid w:val="00492ADC"/>
    <w:rsid w:val="00492CAF"/>
    <w:rsid w:val="00492E1F"/>
    <w:rsid w:val="00492E72"/>
    <w:rsid w:val="004932A2"/>
    <w:rsid w:val="004932EE"/>
    <w:rsid w:val="00493332"/>
    <w:rsid w:val="00493497"/>
    <w:rsid w:val="0049349A"/>
    <w:rsid w:val="004937EC"/>
    <w:rsid w:val="004938F7"/>
    <w:rsid w:val="004939EC"/>
    <w:rsid w:val="00493D29"/>
    <w:rsid w:val="00493F7C"/>
    <w:rsid w:val="00493F95"/>
    <w:rsid w:val="0049417D"/>
    <w:rsid w:val="0049434E"/>
    <w:rsid w:val="004944B6"/>
    <w:rsid w:val="00494546"/>
    <w:rsid w:val="00494549"/>
    <w:rsid w:val="00494638"/>
    <w:rsid w:val="004946A3"/>
    <w:rsid w:val="0049477A"/>
    <w:rsid w:val="00494789"/>
    <w:rsid w:val="00494A86"/>
    <w:rsid w:val="00494A89"/>
    <w:rsid w:val="00494D6A"/>
    <w:rsid w:val="00495044"/>
    <w:rsid w:val="004952C0"/>
    <w:rsid w:val="0049542D"/>
    <w:rsid w:val="00495967"/>
    <w:rsid w:val="00495F59"/>
    <w:rsid w:val="00496010"/>
    <w:rsid w:val="00496277"/>
    <w:rsid w:val="00496392"/>
    <w:rsid w:val="00496752"/>
    <w:rsid w:val="0049686A"/>
    <w:rsid w:val="00496996"/>
    <w:rsid w:val="00496AE6"/>
    <w:rsid w:val="00496B8D"/>
    <w:rsid w:val="00497115"/>
    <w:rsid w:val="00497189"/>
    <w:rsid w:val="0049738D"/>
    <w:rsid w:val="0049753A"/>
    <w:rsid w:val="0049758C"/>
    <w:rsid w:val="0049783E"/>
    <w:rsid w:val="00497A92"/>
    <w:rsid w:val="00497AEF"/>
    <w:rsid w:val="00497DAE"/>
    <w:rsid w:val="004A040F"/>
    <w:rsid w:val="004A042C"/>
    <w:rsid w:val="004A0486"/>
    <w:rsid w:val="004A06ED"/>
    <w:rsid w:val="004A089C"/>
    <w:rsid w:val="004A0925"/>
    <w:rsid w:val="004A0A1D"/>
    <w:rsid w:val="004A0A45"/>
    <w:rsid w:val="004A0BF3"/>
    <w:rsid w:val="004A0EC0"/>
    <w:rsid w:val="004A105E"/>
    <w:rsid w:val="004A1436"/>
    <w:rsid w:val="004A144B"/>
    <w:rsid w:val="004A147E"/>
    <w:rsid w:val="004A157F"/>
    <w:rsid w:val="004A15EA"/>
    <w:rsid w:val="004A169B"/>
    <w:rsid w:val="004A1986"/>
    <w:rsid w:val="004A1BCF"/>
    <w:rsid w:val="004A1DA4"/>
    <w:rsid w:val="004A1E62"/>
    <w:rsid w:val="004A2238"/>
    <w:rsid w:val="004A2255"/>
    <w:rsid w:val="004A2367"/>
    <w:rsid w:val="004A237A"/>
    <w:rsid w:val="004A2673"/>
    <w:rsid w:val="004A2679"/>
    <w:rsid w:val="004A26C6"/>
    <w:rsid w:val="004A288B"/>
    <w:rsid w:val="004A29B0"/>
    <w:rsid w:val="004A2A01"/>
    <w:rsid w:val="004A2A24"/>
    <w:rsid w:val="004A2FBA"/>
    <w:rsid w:val="004A3308"/>
    <w:rsid w:val="004A380D"/>
    <w:rsid w:val="004A390B"/>
    <w:rsid w:val="004A3FB4"/>
    <w:rsid w:val="004A3FD2"/>
    <w:rsid w:val="004A3FF8"/>
    <w:rsid w:val="004A4110"/>
    <w:rsid w:val="004A426A"/>
    <w:rsid w:val="004A46CB"/>
    <w:rsid w:val="004A47C6"/>
    <w:rsid w:val="004A4988"/>
    <w:rsid w:val="004A4B47"/>
    <w:rsid w:val="004A5568"/>
    <w:rsid w:val="004A560E"/>
    <w:rsid w:val="004A578B"/>
    <w:rsid w:val="004A57AE"/>
    <w:rsid w:val="004A5810"/>
    <w:rsid w:val="004A5873"/>
    <w:rsid w:val="004A5891"/>
    <w:rsid w:val="004A5956"/>
    <w:rsid w:val="004A5F83"/>
    <w:rsid w:val="004A618D"/>
    <w:rsid w:val="004A61E4"/>
    <w:rsid w:val="004A6231"/>
    <w:rsid w:val="004A6402"/>
    <w:rsid w:val="004A6559"/>
    <w:rsid w:val="004A65C4"/>
    <w:rsid w:val="004A668A"/>
    <w:rsid w:val="004A6709"/>
    <w:rsid w:val="004A6933"/>
    <w:rsid w:val="004A6B18"/>
    <w:rsid w:val="004A6B33"/>
    <w:rsid w:val="004A6C3A"/>
    <w:rsid w:val="004A6ED2"/>
    <w:rsid w:val="004A718F"/>
    <w:rsid w:val="004A78AC"/>
    <w:rsid w:val="004A7AEB"/>
    <w:rsid w:val="004A7B51"/>
    <w:rsid w:val="004A7C33"/>
    <w:rsid w:val="004A7D67"/>
    <w:rsid w:val="004A7F30"/>
    <w:rsid w:val="004B00F5"/>
    <w:rsid w:val="004B042F"/>
    <w:rsid w:val="004B0485"/>
    <w:rsid w:val="004B04A3"/>
    <w:rsid w:val="004B06C9"/>
    <w:rsid w:val="004B089E"/>
    <w:rsid w:val="004B08BB"/>
    <w:rsid w:val="004B08C4"/>
    <w:rsid w:val="004B08DE"/>
    <w:rsid w:val="004B0AA4"/>
    <w:rsid w:val="004B0BB2"/>
    <w:rsid w:val="004B0BCF"/>
    <w:rsid w:val="004B0C18"/>
    <w:rsid w:val="004B0D7B"/>
    <w:rsid w:val="004B116A"/>
    <w:rsid w:val="004B11D0"/>
    <w:rsid w:val="004B1798"/>
    <w:rsid w:val="004B17FC"/>
    <w:rsid w:val="004B1887"/>
    <w:rsid w:val="004B1F05"/>
    <w:rsid w:val="004B2099"/>
    <w:rsid w:val="004B22D6"/>
    <w:rsid w:val="004B25B9"/>
    <w:rsid w:val="004B2714"/>
    <w:rsid w:val="004B2A1C"/>
    <w:rsid w:val="004B30BF"/>
    <w:rsid w:val="004B35A1"/>
    <w:rsid w:val="004B3701"/>
    <w:rsid w:val="004B3A60"/>
    <w:rsid w:val="004B3C00"/>
    <w:rsid w:val="004B4069"/>
    <w:rsid w:val="004B4216"/>
    <w:rsid w:val="004B42F9"/>
    <w:rsid w:val="004B4420"/>
    <w:rsid w:val="004B460B"/>
    <w:rsid w:val="004B489F"/>
    <w:rsid w:val="004B48C3"/>
    <w:rsid w:val="004B4AF3"/>
    <w:rsid w:val="004B4CE3"/>
    <w:rsid w:val="004B4ED9"/>
    <w:rsid w:val="004B4F6F"/>
    <w:rsid w:val="004B4FD9"/>
    <w:rsid w:val="004B55CB"/>
    <w:rsid w:val="004B56B7"/>
    <w:rsid w:val="004B5A44"/>
    <w:rsid w:val="004B5A73"/>
    <w:rsid w:val="004B5BAE"/>
    <w:rsid w:val="004B5CC6"/>
    <w:rsid w:val="004B5CF2"/>
    <w:rsid w:val="004B6037"/>
    <w:rsid w:val="004B604C"/>
    <w:rsid w:val="004B6078"/>
    <w:rsid w:val="004B6158"/>
    <w:rsid w:val="004B62B4"/>
    <w:rsid w:val="004B62CE"/>
    <w:rsid w:val="004B6325"/>
    <w:rsid w:val="004B63EE"/>
    <w:rsid w:val="004B66BC"/>
    <w:rsid w:val="004B6702"/>
    <w:rsid w:val="004B68A6"/>
    <w:rsid w:val="004B692F"/>
    <w:rsid w:val="004B6B62"/>
    <w:rsid w:val="004B6CC6"/>
    <w:rsid w:val="004B6E65"/>
    <w:rsid w:val="004B6F1A"/>
    <w:rsid w:val="004B6F37"/>
    <w:rsid w:val="004B6FAC"/>
    <w:rsid w:val="004B70C7"/>
    <w:rsid w:val="004B71A1"/>
    <w:rsid w:val="004B741D"/>
    <w:rsid w:val="004B742B"/>
    <w:rsid w:val="004B7458"/>
    <w:rsid w:val="004B766C"/>
    <w:rsid w:val="004B79AE"/>
    <w:rsid w:val="004B7D26"/>
    <w:rsid w:val="004B7D54"/>
    <w:rsid w:val="004B7DAB"/>
    <w:rsid w:val="004B7DCA"/>
    <w:rsid w:val="004B7EB5"/>
    <w:rsid w:val="004B7F6C"/>
    <w:rsid w:val="004B7FD8"/>
    <w:rsid w:val="004BA3E2"/>
    <w:rsid w:val="004C01D1"/>
    <w:rsid w:val="004C0402"/>
    <w:rsid w:val="004C09FD"/>
    <w:rsid w:val="004C0D45"/>
    <w:rsid w:val="004C1079"/>
    <w:rsid w:val="004C1155"/>
    <w:rsid w:val="004C144D"/>
    <w:rsid w:val="004C14A2"/>
    <w:rsid w:val="004C156A"/>
    <w:rsid w:val="004C159A"/>
    <w:rsid w:val="004C16F1"/>
    <w:rsid w:val="004C1845"/>
    <w:rsid w:val="004C1B9A"/>
    <w:rsid w:val="004C1BE3"/>
    <w:rsid w:val="004C1CF3"/>
    <w:rsid w:val="004C1D10"/>
    <w:rsid w:val="004C1D36"/>
    <w:rsid w:val="004C1EB5"/>
    <w:rsid w:val="004C1F09"/>
    <w:rsid w:val="004C238D"/>
    <w:rsid w:val="004C242A"/>
    <w:rsid w:val="004C2469"/>
    <w:rsid w:val="004C25B5"/>
    <w:rsid w:val="004C2AE1"/>
    <w:rsid w:val="004C2F61"/>
    <w:rsid w:val="004C2F9A"/>
    <w:rsid w:val="004C3075"/>
    <w:rsid w:val="004C30A6"/>
    <w:rsid w:val="004C3455"/>
    <w:rsid w:val="004C35CC"/>
    <w:rsid w:val="004C36BB"/>
    <w:rsid w:val="004C370D"/>
    <w:rsid w:val="004C3B0D"/>
    <w:rsid w:val="004C3B78"/>
    <w:rsid w:val="004C3BF7"/>
    <w:rsid w:val="004C3C03"/>
    <w:rsid w:val="004C3CB3"/>
    <w:rsid w:val="004C3E69"/>
    <w:rsid w:val="004C3E8C"/>
    <w:rsid w:val="004C3FEA"/>
    <w:rsid w:val="004C49B5"/>
    <w:rsid w:val="004C4A4F"/>
    <w:rsid w:val="004C4CC2"/>
    <w:rsid w:val="004C4D52"/>
    <w:rsid w:val="004C502F"/>
    <w:rsid w:val="004C5096"/>
    <w:rsid w:val="004C51A8"/>
    <w:rsid w:val="004C5238"/>
    <w:rsid w:val="004C5309"/>
    <w:rsid w:val="004C5347"/>
    <w:rsid w:val="004C535F"/>
    <w:rsid w:val="004C54A6"/>
    <w:rsid w:val="004C5647"/>
    <w:rsid w:val="004C56D9"/>
    <w:rsid w:val="004C5863"/>
    <w:rsid w:val="004C5AF9"/>
    <w:rsid w:val="004C5CE3"/>
    <w:rsid w:val="004C5EB6"/>
    <w:rsid w:val="004C5EDD"/>
    <w:rsid w:val="004C6310"/>
    <w:rsid w:val="004C6352"/>
    <w:rsid w:val="004C6442"/>
    <w:rsid w:val="004C64F0"/>
    <w:rsid w:val="004C675A"/>
    <w:rsid w:val="004C67A8"/>
    <w:rsid w:val="004C67D8"/>
    <w:rsid w:val="004C6897"/>
    <w:rsid w:val="004C69F2"/>
    <w:rsid w:val="004C6B82"/>
    <w:rsid w:val="004C6C47"/>
    <w:rsid w:val="004C6E6A"/>
    <w:rsid w:val="004C6E7F"/>
    <w:rsid w:val="004C6F02"/>
    <w:rsid w:val="004C6F1B"/>
    <w:rsid w:val="004C6F73"/>
    <w:rsid w:val="004C6FA0"/>
    <w:rsid w:val="004C7002"/>
    <w:rsid w:val="004C722C"/>
    <w:rsid w:val="004C7477"/>
    <w:rsid w:val="004C7497"/>
    <w:rsid w:val="004C7541"/>
    <w:rsid w:val="004C7AEE"/>
    <w:rsid w:val="004C7BFE"/>
    <w:rsid w:val="004C7E4E"/>
    <w:rsid w:val="004C7EF3"/>
    <w:rsid w:val="004C7F31"/>
    <w:rsid w:val="004C7FAA"/>
    <w:rsid w:val="004D01F4"/>
    <w:rsid w:val="004D04BB"/>
    <w:rsid w:val="004D0635"/>
    <w:rsid w:val="004D0666"/>
    <w:rsid w:val="004D070E"/>
    <w:rsid w:val="004D0732"/>
    <w:rsid w:val="004D0851"/>
    <w:rsid w:val="004D0858"/>
    <w:rsid w:val="004D0A6C"/>
    <w:rsid w:val="004D0C41"/>
    <w:rsid w:val="004D0FBC"/>
    <w:rsid w:val="004D1582"/>
    <w:rsid w:val="004D178F"/>
    <w:rsid w:val="004D17F5"/>
    <w:rsid w:val="004D18F9"/>
    <w:rsid w:val="004D1B0A"/>
    <w:rsid w:val="004D1B69"/>
    <w:rsid w:val="004D1CE7"/>
    <w:rsid w:val="004D1D22"/>
    <w:rsid w:val="004D1D45"/>
    <w:rsid w:val="004D1E7A"/>
    <w:rsid w:val="004D1EDB"/>
    <w:rsid w:val="004D208A"/>
    <w:rsid w:val="004D2106"/>
    <w:rsid w:val="004D21B1"/>
    <w:rsid w:val="004D237A"/>
    <w:rsid w:val="004D2435"/>
    <w:rsid w:val="004D2653"/>
    <w:rsid w:val="004D27AA"/>
    <w:rsid w:val="004D28CE"/>
    <w:rsid w:val="004D2943"/>
    <w:rsid w:val="004D2C6B"/>
    <w:rsid w:val="004D2E74"/>
    <w:rsid w:val="004D2F31"/>
    <w:rsid w:val="004D328C"/>
    <w:rsid w:val="004D35E8"/>
    <w:rsid w:val="004D374B"/>
    <w:rsid w:val="004D3950"/>
    <w:rsid w:val="004D3A16"/>
    <w:rsid w:val="004D3A81"/>
    <w:rsid w:val="004D3C91"/>
    <w:rsid w:val="004D3CE1"/>
    <w:rsid w:val="004D3D46"/>
    <w:rsid w:val="004D3E61"/>
    <w:rsid w:val="004D3E77"/>
    <w:rsid w:val="004D3F38"/>
    <w:rsid w:val="004D403D"/>
    <w:rsid w:val="004D4083"/>
    <w:rsid w:val="004D42AC"/>
    <w:rsid w:val="004D43A2"/>
    <w:rsid w:val="004D4755"/>
    <w:rsid w:val="004D4862"/>
    <w:rsid w:val="004D48B7"/>
    <w:rsid w:val="004D4986"/>
    <w:rsid w:val="004D4AC6"/>
    <w:rsid w:val="004D4AEC"/>
    <w:rsid w:val="004D4B6A"/>
    <w:rsid w:val="004D4C98"/>
    <w:rsid w:val="004D4CCF"/>
    <w:rsid w:val="004D4F15"/>
    <w:rsid w:val="004D4F19"/>
    <w:rsid w:val="004D4FEC"/>
    <w:rsid w:val="004D5125"/>
    <w:rsid w:val="004D51A4"/>
    <w:rsid w:val="004D525F"/>
    <w:rsid w:val="004D52C6"/>
    <w:rsid w:val="004D53B9"/>
    <w:rsid w:val="004D53BF"/>
    <w:rsid w:val="004D53DE"/>
    <w:rsid w:val="004D56FC"/>
    <w:rsid w:val="004D58D0"/>
    <w:rsid w:val="004D59CD"/>
    <w:rsid w:val="004D5C12"/>
    <w:rsid w:val="004D5EA0"/>
    <w:rsid w:val="004D5F24"/>
    <w:rsid w:val="004D5FA7"/>
    <w:rsid w:val="004D653E"/>
    <w:rsid w:val="004D654D"/>
    <w:rsid w:val="004D6688"/>
    <w:rsid w:val="004D6915"/>
    <w:rsid w:val="004D6C21"/>
    <w:rsid w:val="004D6D11"/>
    <w:rsid w:val="004D70B7"/>
    <w:rsid w:val="004D71A3"/>
    <w:rsid w:val="004D71E5"/>
    <w:rsid w:val="004D72DD"/>
    <w:rsid w:val="004D7388"/>
    <w:rsid w:val="004D73CB"/>
    <w:rsid w:val="004D7957"/>
    <w:rsid w:val="004D79FE"/>
    <w:rsid w:val="004D7C7C"/>
    <w:rsid w:val="004D7D3E"/>
    <w:rsid w:val="004E0103"/>
    <w:rsid w:val="004E01A9"/>
    <w:rsid w:val="004E02D4"/>
    <w:rsid w:val="004E02D5"/>
    <w:rsid w:val="004E0539"/>
    <w:rsid w:val="004E06BC"/>
    <w:rsid w:val="004E06C5"/>
    <w:rsid w:val="004E0779"/>
    <w:rsid w:val="004E0AF6"/>
    <w:rsid w:val="004E0B1A"/>
    <w:rsid w:val="004E0CCD"/>
    <w:rsid w:val="004E0CFD"/>
    <w:rsid w:val="004E0E11"/>
    <w:rsid w:val="004E0E8C"/>
    <w:rsid w:val="004E0F9D"/>
    <w:rsid w:val="004E1079"/>
    <w:rsid w:val="004E15C9"/>
    <w:rsid w:val="004E1634"/>
    <w:rsid w:val="004E172B"/>
    <w:rsid w:val="004E1737"/>
    <w:rsid w:val="004E1794"/>
    <w:rsid w:val="004E17FE"/>
    <w:rsid w:val="004E197F"/>
    <w:rsid w:val="004E1A7B"/>
    <w:rsid w:val="004E1FE9"/>
    <w:rsid w:val="004E2135"/>
    <w:rsid w:val="004E22FE"/>
    <w:rsid w:val="004E23C7"/>
    <w:rsid w:val="004E27B5"/>
    <w:rsid w:val="004E288A"/>
    <w:rsid w:val="004E2927"/>
    <w:rsid w:val="004E2A3F"/>
    <w:rsid w:val="004E2B7F"/>
    <w:rsid w:val="004E2C83"/>
    <w:rsid w:val="004E2D03"/>
    <w:rsid w:val="004E2DF7"/>
    <w:rsid w:val="004E2EDD"/>
    <w:rsid w:val="004E2F03"/>
    <w:rsid w:val="004E307F"/>
    <w:rsid w:val="004E31E5"/>
    <w:rsid w:val="004E3260"/>
    <w:rsid w:val="004E34E2"/>
    <w:rsid w:val="004E3504"/>
    <w:rsid w:val="004E3507"/>
    <w:rsid w:val="004E366E"/>
    <w:rsid w:val="004E380C"/>
    <w:rsid w:val="004E39A8"/>
    <w:rsid w:val="004E3AEB"/>
    <w:rsid w:val="004E3DB4"/>
    <w:rsid w:val="004E40A5"/>
    <w:rsid w:val="004E415D"/>
    <w:rsid w:val="004E416E"/>
    <w:rsid w:val="004E41AF"/>
    <w:rsid w:val="004E4216"/>
    <w:rsid w:val="004E432F"/>
    <w:rsid w:val="004E4364"/>
    <w:rsid w:val="004E4620"/>
    <w:rsid w:val="004E4671"/>
    <w:rsid w:val="004E4722"/>
    <w:rsid w:val="004E48C2"/>
    <w:rsid w:val="004E4E0C"/>
    <w:rsid w:val="004E4EC1"/>
    <w:rsid w:val="004E4F0C"/>
    <w:rsid w:val="004E4F24"/>
    <w:rsid w:val="004E51BA"/>
    <w:rsid w:val="004E51D2"/>
    <w:rsid w:val="004E579E"/>
    <w:rsid w:val="004E58A2"/>
    <w:rsid w:val="004E5B18"/>
    <w:rsid w:val="004E5BAF"/>
    <w:rsid w:val="004E5E61"/>
    <w:rsid w:val="004E5F88"/>
    <w:rsid w:val="004E6212"/>
    <w:rsid w:val="004E62A4"/>
    <w:rsid w:val="004E62B6"/>
    <w:rsid w:val="004E63D6"/>
    <w:rsid w:val="004E642A"/>
    <w:rsid w:val="004E68CA"/>
    <w:rsid w:val="004E69CE"/>
    <w:rsid w:val="004E6A56"/>
    <w:rsid w:val="004E6C2D"/>
    <w:rsid w:val="004E6C53"/>
    <w:rsid w:val="004E6E81"/>
    <w:rsid w:val="004E701D"/>
    <w:rsid w:val="004E71B3"/>
    <w:rsid w:val="004E727B"/>
    <w:rsid w:val="004E73C4"/>
    <w:rsid w:val="004E74EC"/>
    <w:rsid w:val="004E759B"/>
    <w:rsid w:val="004E7601"/>
    <w:rsid w:val="004E77A3"/>
    <w:rsid w:val="004E785D"/>
    <w:rsid w:val="004E79B4"/>
    <w:rsid w:val="004E7A27"/>
    <w:rsid w:val="004E7A86"/>
    <w:rsid w:val="004E7B78"/>
    <w:rsid w:val="004E7BBD"/>
    <w:rsid w:val="004E7CD4"/>
    <w:rsid w:val="004E7D45"/>
    <w:rsid w:val="004E7D47"/>
    <w:rsid w:val="004E7D4F"/>
    <w:rsid w:val="004E7E12"/>
    <w:rsid w:val="004F0267"/>
    <w:rsid w:val="004F034D"/>
    <w:rsid w:val="004F03DB"/>
    <w:rsid w:val="004F06DD"/>
    <w:rsid w:val="004F0737"/>
    <w:rsid w:val="004F0CB1"/>
    <w:rsid w:val="004F0DDE"/>
    <w:rsid w:val="004F0E68"/>
    <w:rsid w:val="004F0E72"/>
    <w:rsid w:val="004F0F11"/>
    <w:rsid w:val="004F0F18"/>
    <w:rsid w:val="004F1258"/>
    <w:rsid w:val="004F1304"/>
    <w:rsid w:val="004F130B"/>
    <w:rsid w:val="004F13D6"/>
    <w:rsid w:val="004F1672"/>
    <w:rsid w:val="004F1781"/>
    <w:rsid w:val="004F1A00"/>
    <w:rsid w:val="004F1B6F"/>
    <w:rsid w:val="004F1C7B"/>
    <w:rsid w:val="004F1E16"/>
    <w:rsid w:val="004F1EB1"/>
    <w:rsid w:val="004F1FE5"/>
    <w:rsid w:val="004F22A0"/>
    <w:rsid w:val="004F2626"/>
    <w:rsid w:val="004F27F7"/>
    <w:rsid w:val="004F27FE"/>
    <w:rsid w:val="004F2B75"/>
    <w:rsid w:val="004F2C8C"/>
    <w:rsid w:val="004F31A4"/>
    <w:rsid w:val="004F3225"/>
    <w:rsid w:val="004F343E"/>
    <w:rsid w:val="004F34C9"/>
    <w:rsid w:val="004F34FF"/>
    <w:rsid w:val="004F36AC"/>
    <w:rsid w:val="004F36B5"/>
    <w:rsid w:val="004F36CE"/>
    <w:rsid w:val="004F36FD"/>
    <w:rsid w:val="004F3724"/>
    <w:rsid w:val="004F37CF"/>
    <w:rsid w:val="004F3968"/>
    <w:rsid w:val="004F3A21"/>
    <w:rsid w:val="004F3A31"/>
    <w:rsid w:val="004F3B2E"/>
    <w:rsid w:val="004F3C39"/>
    <w:rsid w:val="004F3CE2"/>
    <w:rsid w:val="004F3D04"/>
    <w:rsid w:val="004F3DB6"/>
    <w:rsid w:val="004F40CF"/>
    <w:rsid w:val="004F45D8"/>
    <w:rsid w:val="004F4602"/>
    <w:rsid w:val="004F460D"/>
    <w:rsid w:val="004F4792"/>
    <w:rsid w:val="004F4825"/>
    <w:rsid w:val="004F4B7E"/>
    <w:rsid w:val="004F4CEF"/>
    <w:rsid w:val="004F4D2C"/>
    <w:rsid w:val="004F51EA"/>
    <w:rsid w:val="004F521C"/>
    <w:rsid w:val="004F522D"/>
    <w:rsid w:val="004F52AE"/>
    <w:rsid w:val="004F5546"/>
    <w:rsid w:val="004F564A"/>
    <w:rsid w:val="004F56E2"/>
    <w:rsid w:val="004F57F3"/>
    <w:rsid w:val="004F5B17"/>
    <w:rsid w:val="004F625B"/>
    <w:rsid w:val="004F6592"/>
    <w:rsid w:val="004F693E"/>
    <w:rsid w:val="004F6A00"/>
    <w:rsid w:val="004F6ABD"/>
    <w:rsid w:val="004F6B0E"/>
    <w:rsid w:val="004F6C8B"/>
    <w:rsid w:val="004F6D28"/>
    <w:rsid w:val="004F6EBF"/>
    <w:rsid w:val="004F6FB1"/>
    <w:rsid w:val="004F70B3"/>
    <w:rsid w:val="004F7160"/>
    <w:rsid w:val="004F7236"/>
    <w:rsid w:val="004F738F"/>
    <w:rsid w:val="004F73C6"/>
    <w:rsid w:val="004F7437"/>
    <w:rsid w:val="004F785C"/>
    <w:rsid w:val="004F7A84"/>
    <w:rsid w:val="004F7AB7"/>
    <w:rsid w:val="004F7C00"/>
    <w:rsid w:val="004F7C38"/>
    <w:rsid w:val="005002BF"/>
    <w:rsid w:val="00500504"/>
    <w:rsid w:val="005009DC"/>
    <w:rsid w:val="00500AB0"/>
    <w:rsid w:val="00500F08"/>
    <w:rsid w:val="00500F1F"/>
    <w:rsid w:val="00500F71"/>
    <w:rsid w:val="00501167"/>
    <w:rsid w:val="00501235"/>
    <w:rsid w:val="005014A3"/>
    <w:rsid w:val="0050155E"/>
    <w:rsid w:val="00501571"/>
    <w:rsid w:val="0050163B"/>
    <w:rsid w:val="005018A3"/>
    <w:rsid w:val="005018D7"/>
    <w:rsid w:val="00501B94"/>
    <w:rsid w:val="00501BA4"/>
    <w:rsid w:val="00501D28"/>
    <w:rsid w:val="00501ED9"/>
    <w:rsid w:val="005021C0"/>
    <w:rsid w:val="005022C1"/>
    <w:rsid w:val="00502376"/>
    <w:rsid w:val="00502507"/>
    <w:rsid w:val="00502653"/>
    <w:rsid w:val="005026BE"/>
    <w:rsid w:val="005026C8"/>
    <w:rsid w:val="005029C8"/>
    <w:rsid w:val="00502D70"/>
    <w:rsid w:val="00502E38"/>
    <w:rsid w:val="005030F4"/>
    <w:rsid w:val="005034F2"/>
    <w:rsid w:val="00503619"/>
    <w:rsid w:val="00503AD6"/>
    <w:rsid w:val="00503C7C"/>
    <w:rsid w:val="00503C83"/>
    <w:rsid w:val="00503CCD"/>
    <w:rsid w:val="00503D37"/>
    <w:rsid w:val="00503E6D"/>
    <w:rsid w:val="00503EC6"/>
    <w:rsid w:val="00503F40"/>
    <w:rsid w:val="00503FA2"/>
    <w:rsid w:val="0050402C"/>
    <w:rsid w:val="0050419A"/>
    <w:rsid w:val="00504427"/>
    <w:rsid w:val="005046F1"/>
    <w:rsid w:val="005048DF"/>
    <w:rsid w:val="005049F1"/>
    <w:rsid w:val="00504A85"/>
    <w:rsid w:val="00504C5A"/>
    <w:rsid w:val="00504E77"/>
    <w:rsid w:val="00504F51"/>
    <w:rsid w:val="00504F66"/>
    <w:rsid w:val="00505213"/>
    <w:rsid w:val="005052B5"/>
    <w:rsid w:val="00505516"/>
    <w:rsid w:val="0050555C"/>
    <w:rsid w:val="005055AF"/>
    <w:rsid w:val="005055EA"/>
    <w:rsid w:val="005055F9"/>
    <w:rsid w:val="00505831"/>
    <w:rsid w:val="00505842"/>
    <w:rsid w:val="0050599E"/>
    <w:rsid w:val="00505A10"/>
    <w:rsid w:val="00505A7D"/>
    <w:rsid w:val="00505C5C"/>
    <w:rsid w:val="00505D51"/>
    <w:rsid w:val="00505D78"/>
    <w:rsid w:val="00505DDC"/>
    <w:rsid w:val="00505F5B"/>
    <w:rsid w:val="0050600F"/>
    <w:rsid w:val="00506168"/>
    <w:rsid w:val="00506186"/>
    <w:rsid w:val="00506391"/>
    <w:rsid w:val="005064C2"/>
    <w:rsid w:val="00506647"/>
    <w:rsid w:val="005066BA"/>
    <w:rsid w:val="005069CD"/>
    <w:rsid w:val="00506CE1"/>
    <w:rsid w:val="00506D28"/>
    <w:rsid w:val="00506DAC"/>
    <w:rsid w:val="00506EB2"/>
    <w:rsid w:val="0050700F"/>
    <w:rsid w:val="0050782B"/>
    <w:rsid w:val="00507F51"/>
    <w:rsid w:val="005101F3"/>
    <w:rsid w:val="00510327"/>
    <w:rsid w:val="00510335"/>
    <w:rsid w:val="00510BDE"/>
    <w:rsid w:val="00510CFD"/>
    <w:rsid w:val="00510DD7"/>
    <w:rsid w:val="005111BB"/>
    <w:rsid w:val="005113AA"/>
    <w:rsid w:val="00511753"/>
    <w:rsid w:val="005117DB"/>
    <w:rsid w:val="00511982"/>
    <w:rsid w:val="00511A06"/>
    <w:rsid w:val="00511B31"/>
    <w:rsid w:val="00511D8B"/>
    <w:rsid w:val="00511E8A"/>
    <w:rsid w:val="00511EB7"/>
    <w:rsid w:val="005123FA"/>
    <w:rsid w:val="005125FC"/>
    <w:rsid w:val="005128AA"/>
    <w:rsid w:val="005134E1"/>
    <w:rsid w:val="0051355C"/>
    <w:rsid w:val="005136C8"/>
    <w:rsid w:val="00513753"/>
    <w:rsid w:val="00513836"/>
    <w:rsid w:val="00513859"/>
    <w:rsid w:val="00513900"/>
    <w:rsid w:val="00513914"/>
    <w:rsid w:val="00513C38"/>
    <w:rsid w:val="00513D51"/>
    <w:rsid w:val="00513EE0"/>
    <w:rsid w:val="00514177"/>
    <w:rsid w:val="005142DA"/>
    <w:rsid w:val="0051449F"/>
    <w:rsid w:val="005145D9"/>
    <w:rsid w:val="00514767"/>
    <w:rsid w:val="005147B0"/>
    <w:rsid w:val="00514921"/>
    <w:rsid w:val="0051494B"/>
    <w:rsid w:val="005149C6"/>
    <w:rsid w:val="00514A4A"/>
    <w:rsid w:val="00514B9B"/>
    <w:rsid w:val="00514CB9"/>
    <w:rsid w:val="00514CE9"/>
    <w:rsid w:val="00514F20"/>
    <w:rsid w:val="00514F65"/>
    <w:rsid w:val="0051514D"/>
    <w:rsid w:val="0051514E"/>
    <w:rsid w:val="005153DF"/>
    <w:rsid w:val="005156D8"/>
    <w:rsid w:val="005157E5"/>
    <w:rsid w:val="00515A17"/>
    <w:rsid w:val="00515A4F"/>
    <w:rsid w:val="00515B4B"/>
    <w:rsid w:val="00515BAD"/>
    <w:rsid w:val="00515BF7"/>
    <w:rsid w:val="00515C08"/>
    <w:rsid w:val="00515CC2"/>
    <w:rsid w:val="00515F4C"/>
    <w:rsid w:val="0051603F"/>
    <w:rsid w:val="00516169"/>
    <w:rsid w:val="00516178"/>
    <w:rsid w:val="005163C1"/>
    <w:rsid w:val="00516487"/>
    <w:rsid w:val="005164B0"/>
    <w:rsid w:val="00516B3E"/>
    <w:rsid w:val="00516DDA"/>
    <w:rsid w:val="005172EB"/>
    <w:rsid w:val="0051758D"/>
    <w:rsid w:val="00517663"/>
    <w:rsid w:val="00517856"/>
    <w:rsid w:val="00517870"/>
    <w:rsid w:val="005179E4"/>
    <w:rsid w:val="00517B7D"/>
    <w:rsid w:val="00517FDB"/>
    <w:rsid w:val="005202E4"/>
    <w:rsid w:val="00520317"/>
    <w:rsid w:val="005203EE"/>
    <w:rsid w:val="005204F5"/>
    <w:rsid w:val="00520652"/>
    <w:rsid w:val="00520705"/>
    <w:rsid w:val="0052082D"/>
    <w:rsid w:val="0052085E"/>
    <w:rsid w:val="005208E2"/>
    <w:rsid w:val="00520B60"/>
    <w:rsid w:val="00520CAC"/>
    <w:rsid w:val="00520D41"/>
    <w:rsid w:val="00520F8B"/>
    <w:rsid w:val="00521038"/>
    <w:rsid w:val="00521271"/>
    <w:rsid w:val="005213BD"/>
    <w:rsid w:val="00521429"/>
    <w:rsid w:val="0052185C"/>
    <w:rsid w:val="0052193D"/>
    <w:rsid w:val="00521B85"/>
    <w:rsid w:val="00521C63"/>
    <w:rsid w:val="00521F1E"/>
    <w:rsid w:val="0052213E"/>
    <w:rsid w:val="0052227E"/>
    <w:rsid w:val="0052247D"/>
    <w:rsid w:val="00522509"/>
    <w:rsid w:val="005226DD"/>
    <w:rsid w:val="005229DA"/>
    <w:rsid w:val="00522D5C"/>
    <w:rsid w:val="00522E04"/>
    <w:rsid w:val="00522F04"/>
    <w:rsid w:val="00522FF8"/>
    <w:rsid w:val="00523056"/>
    <w:rsid w:val="00523057"/>
    <w:rsid w:val="0052320F"/>
    <w:rsid w:val="0052326A"/>
    <w:rsid w:val="005235F0"/>
    <w:rsid w:val="0052364E"/>
    <w:rsid w:val="005237C7"/>
    <w:rsid w:val="00523C1B"/>
    <w:rsid w:val="00523DE9"/>
    <w:rsid w:val="0052403F"/>
    <w:rsid w:val="00524182"/>
    <w:rsid w:val="005241B3"/>
    <w:rsid w:val="005244D1"/>
    <w:rsid w:val="00524634"/>
    <w:rsid w:val="00524738"/>
    <w:rsid w:val="00524BFD"/>
    <w:rsid w:val="00524C81"/>
    <w:rsid w:val="00524D85"/>
    <w:rsid w:val="00524FEF"/>
    <w:rsid w:val="00525016"/>
    <w:rsid w:val="0052530F"/>
    <w:rsid w:val="00525624"/>
    <w:rsid w:val="00525720"/>
    <w:rsid w:val="00525738"/>
    <w:rsid w:val="00525B30"/>
    <w:rsid w:val="00525BB8"/>
    <w:rsid w:val="00525FA9"/>
    <w:rsid w:val="00526281"/>
    <w:rsid w:val="00526514"/>
    <w:rsid w:val="0052667D"/>
    <w:rsid w:val="00526688"/>
    <w:rsid w:val="00526922"/>
    <w:rsid w:val="00526A25"/>
    <w:rsid w:val="00526A6A"/>
    <w:rsid w:val="00526C0F"/>
    <w:rsid w:val="00526E77"/>
    <w:rsid w:val="00526FD1"/>
    <w:rsid w:val="0052702C"/>
    <w:rsid w:val="005272DA"/>
    <w:rsid w:val="0052742E"/>
    <w:rsid w:val="00527588"/>
    <w:rsid w:val="00527636"/>
    <w:rsid w:val="00527847"/>
    <w:rsid w:val="00527B98"/>
    <w:rsid w:val="00527BFD"/>
    <w:rsid w:val="00527C21"/>
    <w:rsid w:val="00527CFD"/>
    <w:rsid w:val="00527F5E"/>
    <w:rsid w:val="00530239"/>
    <w:rsid w:val="0053027C"/>
    <w:rsid w:val="005304F8"/>
    <w:rsid w:val="005305F7"/>
    <w:rsid w:val="00530698"/>
    <w:rsid w:val="00530771"/>
    <w:rsid w:val="00530788"/>
    <w:rsid w:val="00530995"/>
    <w:rsid w:val="00530A46"/>
    <w:rsid w:val="00530ABF"/>
    <w:rsid w:val="00530CEA"/>
    <w:rsid w:val="00530D91"/>
    <w:rsid w:val="00531015"/>
    <w:rsid w:val="005312F2"/>
    <w:rsid w:val="005313AB"/>
    <w:rsid w:val="005316E0"/>
    <w:rsid w:val="005319FE"/>
    <w:rsid w:val="00531C8B"/>
    <w:rsid w:val="00531CFB"/>
    <w:rsid w:val="00531D97"/>
    <w:rsid w:val="00531FF7"/>
    <w:rsid w:val="0053222C"/>
    <w:rsid w:val="005324D1"/>
    <w:rsid w:val="0053292F"/>
    <w:rsid w:val="00532934"/>
    <w:rsid w:val="0053299B"/>
    <w:rsid w:val="005329C7"/>
    <w:rsid w:val="00532B54"/>
    <w:rsid w:val="00532C57"/>
    <w:rsid w:val="00532C5F"/>
    <w:rsid w:val="00532C93"/>
    <w:rsid w:val="00532CE7"/>
    <w:rsid w:val="00532D9C"/>
    <w:rsid w:val="00532DC5"/>
    <w:rsid w:val="00532E39"/>
    <w:rsid w:val="00532EB9"/>
    <w:rsid w:val="00533178"/>
    <w:rsid w:val="005331D5"/>
    <w:rsid w:val="00533277"/>
    <w:rsid w:val="005332A8"/>
    <w:rsid w:val="005332DD"/>
    <w:rsid w:val="005333FA"/>
    <w:rsid w:val="00533572"/>
    <w:rsid w:val="00533584"/>
    <w:rsid w:val="005335BF"/>
    <w:rsid w:val="005336CC"/>
    <w:rsid w:val="00533800"/>
    <w:rsid w:val="00533845"/>
    <w:rsid w:val="005338B1"/>
    <w:rsid w:val="005339C7"/>
    <w:rsid w:val="00533A55"/>
    <w:rsid w:val="00533AB2"/>
    <w:rsid w:val="00533B0A"/>
    <w:rsid w:val="0053415C"/>
    <w:rsid w:val="005344A9"/>
    <w:rsid w:val="005347FE"/>
    <w:rsid w:val="00534915"/>
    <w:rsid w:val="00534962"/>
    <w:rsid w:val="00534B8B"/>
    <w:rsid w:val="00534E49"/>
    <w:rsid w:val="00534F01"/>
    <w:rsid w:val="005350A6"/>
    <w:rsid w:val="0053516D"/>
    <w:rsid w:val="0053521D"/>
    <w:rsid w:val="00535588"/>
    <w:rsid w:val="0053561D"/>
    <w:rsid w:val="005357F5"/>
    <w:rsid w:val="0053587D"/>
    <w:rsid w:val="00535AEA"/>
    <w:rsid w:val="00535D49"/>
    <w:rsid w:val="00535DD4"/>
    <w:rsid w:val="00535FB7"/>
    <w:rsid w:val="00535FF7"/>
    <w:rsid w:val="0053602E"/>
    <w:rsid w:val="00536269"/>
    <w:rsid w:val="005362A8"/>
    <w:rsid w:val="005363EA"/>
    <w:rsid w:val="0053660E"/>
    <w:rsid w:val="00536658"/>
    <w:rsid w:val="0053669C"/>
    <w:rsid w:val="005366BB"/>
    <w:rsid w:val="005368B6"/>
    <w:rsid w:val="00536B37"/>
    <w:rsid w:val="00536CBB"/>
    <w:rsid w:val="00536F22"/>
    <w:rsid w:val="00537096"/>
    <w:rsid w:val="00537510"/>
    <w:rsid w:val="005375BF"/>
    <w:rsid w:val="00537641"/>
    <w:rsid w:val="0053767D"/>
    <w:rsid w:val="00537711"/>
    <w:rsid w:val="005377D0"/>
    <w:rsid w:val="0053780E"/>
    <w:rsid w:val="0053786F"/>
    <w:rsid w:val="00537CBF"/>
    <w:rsid w:val="00537DA3"/>
    <w:rsid w:val="00537EB8"/>
    <w:rsid w:val="00537ED7"/>
    <w:rsid w:val="00537F29"/>
    <w:rsid w:val="00540362"/>
    <w:rsid w:val="00540657"/>
    <w:rsid w:val="005408F6"/>
    <w:rsid w:val="005409FA"/>
    <w:rsid w:val="00540C05"/>
    <w:rsid w:val="00540C6D"/>
    <w:rsid w:val="00540C74"/>
    <w:rsid w:val="00540EC5"/>
    <w:rsid w:val="00540EFA"/>
    <w:rsid w:val="00540F66"/>
    <w:rsid w:val="0054101D"/>
    <w:rsid w:val="005410AC"/>
    <w:rsid w:val="0054117A"/>
    <w:rsid w:val="005412D3"/>
    <w:rsid w:val="00541351"/>
    <w:rsid w:val="005413B5"/>
    <w:rsid w:val="005416CB"/>
    <w:rsid w:val="005416D8"/>
    <w:rsid w:val="0054185B"/>
    <w:rsid w:val="0054199B"/>
    <w:rsid w:val="005419A5"/>
    <w:rsid w:val="00541DAC"/>
    <w:rsid w:val="00541DC3"/>
    <w:rsid w:val="00541EBE"/>
    <w:rsid w:val="00541F72"/>
    <w:rsid w:val="0054223D"/>
    <w:rsid w:val="0054255E"/>
    <w:rsid w:val="00542587"/>
    <w:rsid w:val="00542600"/>
    <w:rsid w:val="00542620"/>
    <w:rsid w:val="00542638"/>
    <w:rsid w:val="00542678"/>
    <w:rsid w:val="00542743"/>
    <w:rsid w:val="005427EC"/>
    <w:rsid w:val="00542826"/>
    <w:rsid w:val="005429E9"/>
    <w:rsid w:val="00542A75"/>
    <w:rsid w:val="00542BDB"/>
    <w:rsid w:val="00542C87"/>
    <w:rsid w:val="00542D1B"/>
    <w:rsid w:val="00542ECB"/>
    <w:rsid w:val="00543050"/>
    <w:rsid w:val="00543103"/>
    <w:rsid w:val="00543216"/>
    <w:rsid w:val="0054323E"/>
    <w:rsid w:val="0054353B"/>
    <w:rsid w:val="005436A7"/>
    <w:rsid w:val="005438E2"/>
    <w:rsid w:val="0054391B"/>
    <w:rsid w:val="00543BC0"/>
    <w:rsid w:val="00543CC8"/>
    <w:rsid w:val="00543D14"/>
    <w:rsid w:val="00544082"/>
    <w:rsid w:val="005440EF"/>
    <w:rsid w:val="00544280"/>
    <w:rsid w:val="005443AB"/>
    <w:rsid w:val="00544442"/>
    <w:rsid w:val="00544534"/>
    <w:rsid w:val="00544559"/>
    <w:rsid w:val="00544968"/>
    <w:rsid w:val="00544CC5"/>
    <w:rsid w:val="00544D08"/>
    <w:rsid w:val="00545009"/>
    <w:rsid w:val="00545179"/>
    <w:rsid w:val="00545606"/>
    <w:rsid w:val="005456A7"/>
    <w:rsid w:val="00545876"/>
    <w:rsid w:val="0054588F"/>
    <w:rsid w:val="00545930"/>
    <w:rsid w:val="00545C9B"/>
    <w:rsid w:val="00545D21"/>
    <w:rsid w:val="00545E96"/>
    <w:rsid w:val="00545F6B"/>
    <w:rsid w:val="005464A7"/>
    <w:rsid w:val="00546577"/>
    <w:rsid w:val="00546833"/>
    <w:rsid w:val="005468E2"/>
    <w:rsid w:val="005469FD"/>
    <w:rsid w:val="00546C70"/>
    <w:rsid w:val="00546E0C"/>
    <w:rsid w:val="00546E59"/>
    <w:rsid w:val="005470E4"/>
    <w:rsid w:val="0054716D"/>
    <w:rsid w:val="00547175"/>
    <w:rsid w:val="00547181"/>
    <w:rsid w:val="0054760F"/>
    <w:rsid w:val="005477A1"/>
    <w:rsid w:val="0054793D"/>
    <w:rsid w:val="00547A34"/>
    <w:rsid w:val="00547ABC"/>
    <w:rsid w:val="00547B67"/>
    <w:rsid w:val="00547BB4"/>
    <w:rsid w:val="00547D14"/>
    <w:rsid w:val="00547E02"/>
    <w:rsid w:val="00547EEB"/>
    <w:rsid w:val="00547F2F"/>
    <w:rsid w:val="005500F9"/>
    <w:rsid w:val="0055015B"/>
    <w:rsid w:val="00550388"/>
    <w:rsid w:val="00550450"/>
    <w:rsid w:val="00550507"/>
    <w:rsid w:val="005506CF"/>
    <w:rsid w:val="0055077E"/>
    <w:rsid w:val="00550A9B"/>
    <w:rsid w:val="00550B9E"/>
    <w:rsid w:val="00551769"/>
    <w:rsid w:val="00551A10"/>
    <w:rsid w:val="00551BB3"/>
    <w:rsid w:val="00551CFC"/>
    <w:rsid w:val="00551F02"/>
    <w:rsid w:val="005521C2"/>
    <w:rsid w:val="0055229D"/>
    <w:rsid w:val="005523AA"/>
    <w:rsid w:val="005523D4"/>
    <w:rsid w:val="0055240D"/>
    <w:rsid w:val="00552612"/>
    <w:rsid w:val="00552681"/>
    <w:rsid w:val="005526B9"/>
    <w:rsid w:val="005528DB"/>
    <w:rsid w:val="005529F0"/>
    <w:rsid w:val="00552AB3"/>
    <w:rsid w:val="00552AD1"/>
    <w:rsid w:val="00552AD5"/>
    <w:rsid w:val="00552BB6"/>
    <w:rsid w:val="00552C15"/>
    <w:rsid w:val="00552ED0"/>
    <w:rsid w:val="00552EDD"/>
    <w:rsid w:val="005530C2"/>
    <w:rsid w:val="00553181"/>
    <w:rsid w:val="00553193"/>
    <w:rsid w:val="005531EF"/>
    <w:rsid w:val="00553318"/>
    <w:rsid w:val="00553392"/>
    <w:rsid w:val="00553433"/>
    <w:rsid w:val="00553499"/>
    <w:rsid w:val="005537AC"/>
    <w:rsid w:val="00553B14"/>
    <w:rsid w:val="00553D10"/>
    <w:rsid w:val="00553D91"/>
    <w:rsid w:val="00553E67"/>
    <w:rsid w:val="00554170"/>
    <w:rsid w:val="005543AF"/>
    <w:rsid w:val="005543F7"/>
    <w:rsid w:val="00554418"/>
    <w:rsid w:val="005545F5"/>
    <w:rsid w:val="00554612"/>
    <w:rsid w:val="005547D8"/>
    <w:rsid w:val="005549BE"/>
    <w:rsid w:val="005549D5"/>
    <w:rsid w:val="00554C64"/>
    <w:rsid w:val="00554D2A"/>
    <w:rsid w:val="00554D41"/>
    <w:rsid w:val="00554DF9"/>
    <w:rsid w:val="00554E8A"/>
    <w:rsid w:val="0055503F"/>
    <w:rsid w:val="00555193"/>
    <w:rsid w:val="0055547B"/>
    <w:rsid w:val="005554BF"/>
    <w:rsid w:val="00555594"/>
    <w:rsid w:val="0055568B"/>
    <w:rsid w:val="0055568F"/>
    <w:rsid w:val="00555781"/>
    <w:rsid w:val="00555867"/>
    <w:rsid w:val="0055590B"/>
    <w:rsid w:val="00555A56"/>
    <w:rsid w:val="00555BE1"/>
    <w:rsid w:val="00555C64"/>
    <w:rsid w:val="00555CC1"/>
    <w:rsid w:val="00555D2A"/>
    <w:rsid w:val="00555DE9"/>
    <w:rsid w:val="00555FC5"/>
    <w:rsid w:val="00555FD4"/>
    <w:rsid w:val="0055600B"/>
    <w:rsid w:val="00556327"/>
    <w:rsid w:val="0055645C"/>
    <w:rsid w:val="00556511"/>
    <w:rsid w:val="00556656"/>
    <w:rsid w:val="005566E1"/>
    <w:rsid w:val="005567C0"/>
    <w:rsid w:val="005567EB"/>
    <w:rsid w:val="00556C7C"/>
    <w:rsid w:val="00556F22"/>
    <w:rsid w:val="00556F86"/>
    <w:rsid w:val="00556F90"/>
    <w:rsid w:val="005570E7"/>
    <w:rsid w:val="00557128"/>
    <w:rsid w:val="005571C3"/>
    <w:rsid w:val="0055737D"/>
    <w:rsid w:val="00557396"/>
    <w:rsid w:val="00557449"/>
    <w:rsid w:val="005579AF"/>
    <w:rsid w:val="00557A6D"/>
    <w:rsid w:val="00557AA7"/>
    <w:rsid w:val="00557C8B"/>
    <w:rsid w:val="00557CCF"/>
    <w:rsid w:val="0055B09A"/>
    <w:rsid w:val="0056002B"/>
    <w:rsid w:val="0056016D"/>
    <w:rsid w:val="00560301"/>
    <w:rsid w:val="005603A7"/>
    <w:rsid w:val="00560437"/>
    <w:rsid w:val="0056044E"/>
    <w:rsid w:val="00560523"/>
    <w:rsid w:val="005606D0"/>
    <w:rsid w:val="00560853"/>
    <w:rsid w:val="00560947"/>
    <w:rsid w:val="0056097D"/>
    <w:rsid w:val="00560D7C"/>
    <w:rsid w:val="00560F59"/>
    <w:rsid w:val="00561261"/>
    <w:rsid w:val="005612EE"/>
    <w:rsid w:val="00561444"/>
    <w:rsid w:val="00561467"/>
    <w:rsid w:val="0056167C"/>
    <w:rsid w:val="00561875"/>
    <w:rsid w:val="0056187D"/>
    <w:rsid w:val="00561CC3"/>
    <w:rsid w:val="00561CC7"/>
    <w:rsid w:val="00561D16"/>
    <w:rsid w:val="00561E16"/>
    <w:rsid w:val="00561E94"/>
    <w:rsid w:val="0056208A"/>
    <w:rsid w:val="005620A2"/>
    <w:rsid w:val="005620B4"/>
    <w:rsid w:val="005620CC"/>
    <w:rsid w:val="005620D3"/>
    <w:rsid w:val="00562114"/>
    <w:rsid w:val="00562260"/>
    <w:rsid w:val="005622C1"/>
    <w:rsid w:val="005625C4"/>
    <w:rsid w:val="005626B3"/>
    <w:rsid w:val="005628A5"/>
    <w:rsid w:val="00562BF5"/>
    <w:rsid w:val="00562E01"/>
    <w:rsid w:val="00562E51"/>
    <w:rsid w:val="00562E91"/>
    <w:rsid w:val="00562ECF"/>
    <w:rsid w:val="00562ED9"/>
    <w:rsid w:val="0056315A"/>
    <w:rsid w:val="00563427"/>
    <w:rsid w:val="005638A7"/>
    <w:rsid w:val="00563A62"/>
    <w:rsid w:val="00563D2A"/>
    <w:rsid w:val="00563DC1"/>
    <w:rsid w:val="00563E46"/>
    <w:rsid w:val="0056418E"/>
    <w:rsid w:val="005641EC"/>
    <w:rsid w:val="005643C5"/>
    <w:rsid w:val="0056442F"/>
    <w:rsid w:val="0056459D"/>
    <w:rsid w:val="0056473B"/>
    <w:rsid w:val="00564792"/>
    <w:rsid w:val="00564954"/>
    <w:rsid w:val="00564AB4"/>
    <w:rsid w:val="00564B56"/>
    <w:rsid w:val="00564BBF"/>
    <w:rsid w:val="00564D15"/>
    <w:rsid w:val="00564E31"/>
    <w:rsid w:val="00564E60"/>
    <w:rsid w:val="0056507C"/>
    <w:rsid w:val="005652B3"/>
    <w:rsid w:val="0056594A"/>
    <w:rsid w:val="00565959"/>
    <w:rsid w:val="005659F3"/>
    <w:rsid w:val="00565B81"/>
    <w:rsid w:val="00565B88"/>
    <w:rsid w:val="00565C79"/>
    <w:rsid w:val="00565F52"/>
    <w:rsid w:val="005661D3"/>
    <w:rsid w:val="00566269"/>
    <w:rsid w:val="005664E5"/>
    <w:rsid w:val="0056657B"/>
    <w:rsid w:val="005668BF"/>
    <w:rsid w:val="005668EF"/>
    <w:rsid w:val="00566AE3"/>
    <w:rsid w:val="00566AEE"/>
    <w:rsid w:val="00566DB5"/>
    <w:rsid w:val="00567055"/>
    <w:rsid w:val="0056714B"/>
    <w:rsid w:val="00567373"/>
    <w:rsid w:val="0056741A"/>
    <w:rsid w:val="005677C5"/>
    <w:rsid w:val="00567A26"/>
    <w:rsid w:val="00567A3D"/>
    <w:rsid w:val="00567B23"/>
    <w:rsid w:val="00567CAD"/>
    <w:rsid w:val="00567DDF"/>
    <w:rsid w:val="00567EB4"/>
    <w:rsid w:val="00570546"/>
    <w:rsid w:val="0057057D"/>
    <w:rsid w:val="005708AC"/>
    <w:rsid w:val="005709C2"/>
    <w:rsid w:val="005709EA"/>
    <w:rsid w:val="00570A24"/>
    <w:rsid w:val="00570B1E"/>
    <w:rsid w:val="00570B2E"/>
    <w:rsid w:val="00570C06"/>
    <w:rsid w:val="00570F0B"/>
    <w:rsid w:val="0057103E"/>
    <w:rsid w:val="00571125"/>
    <w:rsid w:val="0057126C"/>
    <w:rsid w:val="0057129E"/>
    <w:rsid w:val="005715FA"/>
    <w:rsid w:val="005716A0"/>
    <w:rsid w:val="00571718"/>
    <w:rsid w:val="0057174A"/>
    <w:rsid w:val="005718CF"/>
    <w:rsid w:val="005718EE"/>
    <w:rsid w:val="00571B41"/>
    <w:rsid w:val="00571BB3"/>
    <w:rsid w:val="00571C59"/>
    <w:rsid w:val="00571C92"/>
    <w:rsid w:val="00571DFD"/>
    <w:rsid w:val="00571EA7"/>
    <w:rsid w:val="00571F2B"/>
    <w:rsid w:val="005721E0"/>
    <w:rsid w:val="0057235C"/>
    <w:rsid w:val="005723A2"/>
    <w:rsid w:val="005723BD"/>
    <w:rsid w:val="005724FE"/>
    <w:rsid w:val="00572646"/>
    <w:rsid w:val="005726E2"/>
    <w:rsid w:val="0057270B"/>
    <w:rsid w:val="00572972"/>
    <w:rsid w:val="00572A75"/>
    <w:rsid w:val="00572F64"/>
    <w:rsid w:val="00573017"/>
    <w:rsid w:val="005732B7"/>
    <w:rsid w:val="00573316"/>
    <w:rsid w:val="0057360B"/>
    <w:rsid w:val="005736A3"/>
    <w:rsid w:val="00573726"/>
    <w:rsid w:val="0057376D"/>
    <w:rsid w:val="00573948"/>
    <w:rsid w:val="0057396A"/>
    <w:rsid w:val="00573ADD"/>
    <w:rsid w:val="00573CF8"/>
    <w:rsid w:val="00573E35"/>
    <w:rsid w:val="00573E90"/>
    <w:rsid w:val="00574009"/>
    <w:rsid w:val="00574174"/>
    <w:rsid w:val="0057423C"/>
    <w:rsid w:val="005742C4"/>
    <w:rsid w:val="00574390"/>
    <w:rsid w:val="00574492"/>
    <w:rsid w:val="00574685"/>
    <w:rsid w:val="00574741"/>
    <w:rsid w:val="005748B9"/>
    <w:rsid w:val="00574A84"/>
    <w:rsid w:val="00574B65"/>
    <w:rsid w:val="00574EFE"/>
    <w:rsid w:val="005751E7"/>
    <w:rsid w:val="0057524A"/>
    <w:rsid w:val="00575320"/>
    <w:rsid w:val="00575461"/>
    <w:rsid w:val="005754EA"/>
    <w:rsid w:val="0057552B"/>
    <w:rsid w:val="005755B9"/>
    <w:rsid w:val="0057568B"/>
    <w:rsid w:val="00575978"/>
    <w:rsid w:val="00575BB8"/>
    <w:rsid w:val="00575C46"/>
    <w:rsid w:val="0057605F"/>
    <w:rsid w:val="00576207"/>
    <w:rsid w:val="0057620A"/>
    <w:rsid w:val="005762EA"/>
    <w:rsid w:val="00576462"/>
    <w:rsid w:val="005767D6"/>
    <w:rsid w:val="005769EC"/>
    <w:rsid w:val="00576A61"/>
    <w:rsid w:val="00576C0B"/>
    <w:rsid w:val="00576C46"/>
    <w:rsid w:val="00577019"/>
    <w:rsid w:val="005770AE"/>
    <w:rsid w:val="005770E2"/>
    <w:rsid w:val="00577289"/>
    <w:rsid w:val="00577406"/>
    <w:rsid w:val="00577E34"/>
    <w:rsid w:val="00577E7F"/>
    <w:rsid w:val="00577FD0"/>
    <w:rsid w:val="005800DC"/>
    <w:rsid w:val="0058018B"/>
    <w:rsid w:val="005801DE"/>
    <w:rsid w:val="0058023E"/>
    <w:rsid w:val="005802A3"/>
    <w:rsid w:val="005802B8"/>
    <w:rsid w:val="005803A6"/>
    <w:rsid w:val="005803BA"/>
    <w:rsid w:val="005803DC"/>
    <w:rsid w:val="005804FD"/>
    <w:rsid w:val="005806B6"/>
    <w:rsid w:val="0058085F"/>
    <w:rsid w:val="00580984"/>
    <w:rsid w:val="00580AA9"/>
    <w:rsid w:val="00580DF1"/>
    <w:rsid w:val="00580E4D"/>
    <w:rsid w:val="00580E53"/>
    <w:rsid w:val="0058133B"/>
    <w:rsid w:val="0058140A"/>
    <w:rsid w:val="0058149A"/>
    <w:rsid w:val="0058168A"/>
    <w:rsid w:val="00581690"/>
    <w:rsid w:val="0058172C"/>
    <w:rsid w:val="005817B4"/>
    <w:rsid w:val="00581B88"/>
    <w:rsid w:val="00581BC8"/>
    <w:rsid w:val="00581C09"/>
    <w:rsid w:val="00581D22"/>
    <w:rsid w:val="00581FE8"/>
    <w:rsid w:val="005822D5"/>
    <w:rsid w:val="005824F2"/>
    <w:rsid w:val="005825AC"/>
    <w:rsid w:val="00582843"/>
    <w:rsid w:val="00582B01"/>
    <w:rsid w:val="00582C1D"/>
    <w:rsid w:val="00582E1B"/>
    <w:rsid w:val="00582E48"/>
    <w:rsid w:val="00582EA7"/>
    <w:rsid w:val="0058319E"/>
    <w:rsid w:val="00583207"/>
    <w:rsid w:val="00583227"/>
    <w:rsid w:val="0058339C"/>
    <w:rsid w:val="005833AA"/>
    <w:rsid w:val="0058345F"/>
    <w:rsid w:val="0058355D"/>
    <w:rsid w:val="005835C2"/>
    <w:rsid w:val="0058384B"/>
    <w:rsid w:val="0058385A"/>
    <w:rsid w:val="0058397A"/>
    <w:rsid w:val="005839E3"/>
    <w:rsid w:val="00583C0A"/>
    <w:rsid w:val="00583C4D"/>
    <w:rsid w:val="00583C9E"/>
    <w:rsid w:val="00583E47"/>
    <w:rsid w:val="00583F10"/>
    <w:rsid w:val="005840C0"/>
    <w:rsid w:val="005840C4"/>
    <w:rsid w:val="005841E7"/>
    <w:rsid w:val="00584215"/>
    <w:rsid w:val="00584322"/>
    <w:rsid w:val="00584425"/>
    <w:rsid w:val="005845A4"/>
    <w:rsid w:val="005847C4"/>
    <w:rsid w:val="005848D4"/>
    <w:rsid w:val="00584AD7"/>
    <w:rsid w:val="00584C61"/>
    <w:rsid w:val="00584CF9"/>
    <w:rsid w:val="00584D47"/>
    <w:rsid w:val="00584F14"/>
    <w:rsid w:val="00585117"/>
    <w:rsid w:val="00585302"/>
    <w:rsid w:val="00585303"/>
    <w:rsid w:val="0058542B"/>
    <w:rsid w:val="0058545B"/>
    <w:rsid w:val="005854A7"/>
    <w:rsid w:val="005854D6"/>
    <w:rsid w:val="0058581A"/>
    <w:rsid w:val="005859D3"/>
    <w:rsid w:val="00585A50"/>
    <w:rsid w:val="00585DD9"/>
    <w:rsid w:val="00585E5D"/>
    <w:rsid w:val="00585EEA"/>
    <w:rsid w:val="005862DA"/>
    <w:rsid w:val="005863BA"/>
    <w:rsid w:val="005864A1"/>
    <w:rsid w:val="005864F9"/>
    <w:rsid w:val="005865FB"/>
    <w:rsid w:val="00586723"/>
    <w:rsid w:val="0058674D"/>
    <w:rsid w:val="00586803"/>
    <w:rsid w:val="0058682A"/>
    <w:rsid w:val="005868E4"/>
    <w:rsid w:val="00586D7B"/>
    <w:rsid w:val="005870A0"/>
    <w:rsid w:val="005870A1"/>
    <w:rsid w:val="00587394"/>
    <w:rsid w:val="00587856"/>
    <w:rsid w:val="005878F7"/>
    <w:rsid w:val="00587B9E"/>
    <w:rsid w:val="00587CDB"/>
    <w:rsid w:val="00587DC4"/>
    <w:rsid w:val="00587E73"/>
    <w:rsid w:val="00587FA1"/>
    <w:rsid w:val="00590000"/>
    <w:rsid w:val="0059030E"/>
    <w:rsid w:val="00590343"/>
    <w:rsid w:val="005905AD"/>
    <w:rsid w:val="00590810"/>
    <w:rsid w:val="0059087C"/>
    <w:rsid w:val="0059099B"/>
    <w:rsid w:val="00590A23"/>
    <w:rsid w:val="00590C2E"/>
    <w:rsid w:val="00590C80"/>
    <w:rsid w:val="00590D84"/>
    <w:rsid w:val="00590D98"/>
    <w:rsid w:val="00590EFB"/>
    <w:rsid w:val="00590F0D"/>
    <w:rsid w:val="00590F29"/>
    <w:rsid w:val="00591077"/>
    <w:rsid w:val="0059199F"/>
    <w:rsid w:val="00591A8C"/>
    <w:rsid w:val="00591C71"/>
    <w:rsid w:val="00591C98"/>
    <w:rsid w:val="00591DC3"/>
    <w:rsid w:val="00591FD5"/>
    <w:rsid w:val="005920BD"/>
    <w:rsid w:val="005920F1"/>
    <w:rsid w:val="0059232D"/>
    <w:rsid w:val="00592380"/>
    <w:rsid w:val="00592401"/>
    <w:rsid w:val="005928DE"/>
    <w:rsid w:val="00592911"/>
    <w:rsid w:val="005929FD"/>
    <w:rsid w:val="00592A61"/>
    <w:rsid w:val="00592E7E"/>
    <w:rsid w:val="00592FB0"/>
    <w:rsid w:val="00592FCB"/>
    <w:rsid w:val="00593064"/>
    <w:rsid w:val="00593220"/>
    <w:rsid w:val="005934BC"/>
    <w:rsid w:val="00593585"/>
    <w:rsid w:val="005935D4"/>
    <w:rsid w:val="0059369B"/>
    <w:rsid w:val="005938F7"/>
    <w:rsid w:val="00593915"/>
    <w:rsid w:val="00593B91"/>
    <w:rsid w:val="00593D68"/>
    <w:rsid w:val="00593EE3"/>
    <w:rsid w:val="00593F1C"/>
    <w:rsid w:val="00594165"/>
    <w:rsid w:val="0059418B"/>
    <w:rsid w:val="00594223"/>
    <w:rsid w:val="00594353"/>
    <w:rsid w:val="00594599"/>
    <w:rsid w:val="005947F2"/>
    <w:rsid w:val="00594932"/>
    <w:rsid w:val="00594C90"/>
    <w:rsid w:val="00594E0D"/>
    <w:rsid w:val="00595154"/>
    <w:rsid w:val="0059559A"/>
    <w:rsid w:val="005955D0"/>
    <w:rsid w:val="00595642"/>
    <w:rsid w:val="005956FA"/>
    <w:rsid w:val="00595B61"/>
    <w:rsid w:val="00595F6F"/>
    <w:rsid w:val="00595F7B"/>
    <w:rsid w:val="00595FA6"/>
    <w:rsid w:val="005962A3"/>
    <w:rsid w:val="0059644C"/>
    <w:rsid w:val="005965C5"/>
    <w:rsid w:val="005967F3"/>
    <w:rsid w:val="0059685C"/>
    <w:rsid w:val="00596876"/>
    <w:rsid w:val="005968EB"/>
    <w:rsid w:val="0059692B"/>
    <w:rsid w:val="00596AE0"/>
    <w:rsid w:val="00596B81"/>
    <w:rsid w:val="00596BDE"/>
    <w:rsid w:val="00596CFE"/>
    <w:rsid w:val="00596FEE"/>
    <w:rsid w:val="00597345"/>
    <w:rsid w:val="0059747A"/>
    <w:rsid w:val="005974EF"/>
    <w:rsid w:val="005974FC"/>
    <w:rsid w:val="005978A1"/>
    <w:rsid w:val="00597A4A"/>
    <w:rsid w:val="00597B10"/>
    <w:rsid w:val="00597BBE"/>
    <w:rsid w:val="00597BC8"/>
    <w:rsid w:val="00597C02"/>
    <w:rsid w:val="00597C51"/>
    <w:rsid w:val="00597CA1"/>
    <w:rsid w:val="00597D7D"/>
    <w:rsid w:val="00597ECB"/>
    <w:rsid w:val="00597F14"/>
    <w:rsid w:val="00597F67"/>
    <w:rsid w:val="00597FAA"/>
    <w:rsid w:val="005A035B"/>
    <w:rsid w:val="005A06E6"/>
    <w:rsid w:val="005A072F"/>
    <w:rsid w:val="005A0852"/>
    <w:rsid w:val="005A0991"/>
    <w:rsid w:val="005A09E7"/>
    <w:rsid w:val="005A0A00"/>
    <w:rsid w:val="005A0AF4"/>
    <w:rsid w:val="005A0B25"/>
    <w:rsid w:val="005A0D07"/>
    <w:rsid w:val="005A0D21"/>
    <w:rsid w:val="005A0EBC"/>
    <w:rsid w:val="005A0FF8"/>
    <w:rsid w:val="005A1171"/>
    <w:rsid w:val="005A1181"/>
    <w:rsid w:val="005A128E"/>
    <w:rsid w:val="005A1486"/>
    <w:rsid w:val="005A15C6"/>
    <w:rsid w:val="005A1719"/>
    <w:rsid w:val="005A187E"/>
    <w:rsid w:val="005A1D1D"/>
    <w:rsid w:val="005A1F42"/>
    <w:rsid w:val="005A249B"/>
    <w:rsid w:val="005A2583"/>
    <w:rsid w:val="005A2598"/>
    <w:rsid w:val="005A2670"/>
    <w:rsid w:val="005A26EE"/>
    <w:rsid w:val="005A2A1C"/>
    <w:rsid w:val="005A2A6A"/>
    <w:rsid w:val="005A2AEE"/>
    <w:rsid w:val="005A2AF3"/>
    <w:rsid w:val="005A2B90"/>
    <w:rsid w:val="005A2C2B"/>
    <w:rsid w:val="005A2C9D"/>
    <w:rsid w:val="005A2F32"/>
    <w:rsid w:val="005A31B7"/>
    <w:rsid w:val="005A3261"/>
    <w:rsid w:val="005A3270"/>
    <w:rsid w:val="005A359A"/>
    <w:rsid w:val="005A3A89"/>
    <w:rsid w:val="005A3BDD"/>
    <w:rsid w:val="005A3BF2"/>
    <w:rsid w:val="005A3D28"/>
    <w:rsid w:val="005A3DC9"/>
    <w:rsid w:val="005A3EA2"/>
    <w:rsid w:val="005A3EC1"/>
    <w:rsid w:val="005A3F5E"/>
    <w:rsid w:val="005A40B4"/>
    <w:rsid w:val="005A4108"/>
    <w:rsid w:val="005A444E"/>
    <w:rsid w:val="005A44C8"/>
    <w:rsid w:val="005A458D"/>
    <w:rsid w:val="005A45C6"/>
    <w:rsid w:val="005A46BE"/>
    <w:rsid w:val="005A48D4"/>
    <w:rsid w:val="005A4911"/>
    <w:rsid w:val="005A495C"/>
    <w:rsid w:val="005A4B34"/>
    <w:rsid w:val="005A4DCB"/>
    <w:rsid w:val="005A4E65"/>
    <w:rsid w:val="005A4FDE"/>
    <w:rsid w:val="005A5086"/>
    <w:rsid w:val="005A564C"/>
    <w:rsid w:val="005A5777"/>
    <w:rsid w:val="005A5B9D"/>
    <w:rsid w:val="005A6063"/>
    <w:rsid w:val="005A612B"/>
    <w:rsid w:val="005A61F2"/>
    <w:rsid w:val="005A62B4"/>
    <w:rsid w:val="005A6314"/>
    <w:rsid w:val="005A65A2"/>
    <w:rsid w:val="005A65AA"/>
    <w:rsid w:val="005A68F5"/>
    <w:rsid w:val="005A6C49"/>
    <w:rsid w:val="005A6EDC"/>
    <w:rsid w:val="005A6F24"/>
    <w:rsid w:val="005A6F4F"/>
    <w:rsid w:val="005A7166"/>
    <w:rsid w:val="005A719F"/>
    <w:rsid w:val="005A7561"/>
    <w:rsid w:val="005A75EC"/>
    <w:rsid w:val="005A76A4"/>
    <w:rsid w:val="005A7704"/>
    <w:rsid w:val="005A7872"/>
    <w:rsid w:val="005A78C3"/>
    <w:rsid w:val="005A7993"/>
    <w:rsid w:val="005A7B2B"/>
    <w:rsid w:val="005A7DA2"/>
    <w:rsid w:val="005A7F65"/>
    <w:rsid w:val="005A7FCA"/>
    <w:rsid w:val="005B0052"/>
    <w:rsid w:val="005B0358"/>
    <w:rsid w:val="005B048A"/>
    <w:rsid w:val="005B04EB"/>
    <w:rsid w:val="005B0602"/>
    <w:rsid w:val="005B0A4A"/>
    <w:rsid w:val="005B0C55"/>
    <w:rsid w:val="005B0ECF"/>
    <w:rsid w:val="005B0FC7"/>
    <w:rsid w:val="005B1033"/>
    <w:rsid w:val="005B1049"/>
    <w:rsid w:val="005B1257"/>
    <w:rsid w:val="005B1656"/>
    <w:rsid w:val="005B1682"/>
    <w:rsid w:val="005B19F1"/>
    <w:rsid w:val="005B1A8D"/>
    <w:rsid w:val="005B1B43"/>
    <w:rsid w:val="005B1C44"/>
    <w:rsid w:val="005B1C50"/>
    <w:rsid w:val="005B20CE"/>
    <w:rsid w:val="005B22FD"/>
    <w:rsid w:val="005B2396"/>
    <w:rsid w:val="005B24FD"/>
    <w:rsid w:val="005B2619"/>
    <w:rsid w:val="005B2668"/>
    <w:rsid w:val="005B2850"/>
    <w:rsid w:val="005B29CE"/>
    <w:rsid w:val="005B2DAF"/>
    <w:rsid w:val="005B2FEC"/>
    <w:rsid w:val="005B3092"/>
    <w:rsid w:val="005B318E"/>
    <w:rsid w:val="005B31BF"/>
    <w:rsid w:val="005B328B"/>
    <w:rsid w:val="005B34AB"/>
    <w:rsid w:val="005B362A"/>
    <w:rsid w:val="005B381D"/>
    <w:rsid w:val="005B3889"/>
    <w:rsid w:val="005B38C2"/>
    <w:rsid w:val="005B394E"/>
    <w:rsid w:val="005B3ABB"/>
    <w:rsid w:val="005B3AF1"/>
    <w:rsid w:val="005B3B7E"/>
    <w:rsid w:val="005B3BEC"/>
    <w:rsid w:val="005B3FF5"/>
    <w:rsid w:val="005B4425"/>
    <w:rsid w:val="005B45F5"/>
    <w:rsid w:val="005B4838"/>
    <w:rsid w:val="005B4ADE"/>
    <w:rsid w:val="005B4B8D"/>
    <w:rsid w:val="005B4C51"/>
    <w:rsid w:val="005B4CDC"/>
    <w:rsid w:val="005B4E40"/>
    <w:rsid w:val="005B4EE2"/>
    <w:rsid w:val="005B5012"/>
    <w:rsid w:val="005B57A5"/>
    <w:rsid w:val="005B58C0"/>
    <w:rsid w:val="005B5D6B"/>
    <w:rsid w:val="005B5EBA"/>
    <w:rsid w:val="005B6182"/>
    <w:rsid w:val="005B627A"/>
    <w:rsid w:val="005B63C4"/>
    <w:rsid w:val="005B6839"/>
    <w:rsid w:val="005B6973"/>
    <w:rsid w:val="005B69ED"/>
    <w:rsid w:val="005B69FB"/>
    <w:rsid w:val="005B6AB0"/>
    <w:rsid w:val="005B6B18"/>
    <w:rsid w:val="005B6E01"/>
    <w:rsid w:val="005B6F26"/>
    <w:rsid w:val="005B71C7"/>
    <w:rsid w:val="005B7291"/>
    <w:rsid w:val="005B7317"/>
    <w:rsid w:val="005B7904"/>
    <w:rsid w:val="005B79A8"/>
    <w:rsid w:val="005B7B17"/>
    <w:rsid w:val="005B7CBC"/>
    <w:rsid w:val="005B7DBF"/>
    <w:rsid w:val="005BA5E4"/>
    <w:rsid w:val="005C0078"/>
    <w:rsid w:val="005C0269"/>
    <w:rsid w:val="005C042A"/>
    <w:rsid w:val="005C04DD"/>
    <w:rsid w:val="005C0567"/>
    <w:rsid w:val="005C0578"/>
    <w:rsid w:val="005C0848"/>
    <w:rsid w:val="005C08C5"/>
    <w:rsid w:val="005C0AB6"/>
    <w:rsid w:val="005C1102"/>
    <w:rsid w:val="005C1299"/>
    <w:rsid w:val="005C14B3"/>
    <w:rsid w:val="005C14C6"/>
    <w:rsid w:val="005C14CC"/>
    <w:rsid w:val="005C1655"/>
    <w:rsid w:val="005C1707"/>
    <w:rsid w:val="005C1829"/>
    <w:rsid w:val="005C1ADA"/>
    <w:rsid w:val="005C1F94"/>
    <w:rsid w:val="005C20CD"/>
    <w:rsid w:val="005C21D4"/>
    <w:rsid w:val="005C2362"/>
    <w:rsid w:val="005C2385"/>
    <w:rsid w:val="005C2425"/>
    <w:rsid w:val="005C2514"/>
    <w:rsid w:val="005C2529"/>
    <w:rsid w:val="005C2592"/>
    <w:rsid w:val="005C292B"/>
    <w:rsid w:val="005C2975"/>
    <w:rsid w:val="005C2A82"/>
    <w:rsid w:val="005C2A85"/>
    <w:rsid w:val="005C2C1A"/>
    <w:rsid w:val="005C2EB0"/>
    <w:rsid w:val="005C2F83"/>
    <w:rsid w:val="005C2FD5"/>
    <w:rsid w:val="005C3280"/>
    <w:rsid w:val="005C34FA"/>
    <w:rsid w:val="005C35A1"/>
    <w:rsid w:val="005C3DCF"/>
    <w:rsid w:val="005C3E21"/>
    <w:rsid w:val="005C3F7C"/>
    <w:rsid w:val="005C404C"/>
    <w:rsid w:val="005C4254"/>
    <w:rsid w:val="005C42EF"/>
    <w:rsid w:val="005C4324"/>
    <w:rsid w:val="005C438C"/>
    <w:rsid w:val="005C45DC"/>
    <w:rsid w:val="005C4715"/>
    <w:rsid w:val="005C4788"/>
    <w:rsid w:val="005C497A"/>
    <w:rsid w:val="005C4A87"/>
    <w:rsid w:val="005C4B15"/>
    <w:rsid w:val="005C4B9E"/>
    <w:rsid w:val="005C4C21"/>
    <w:rsid w:val="005C4C6A"/>
    <w:rsid w:val="005C4DC1"/>
    <w:rsid w:val="005C4F0C"/>
    <w:rsid w:val="005C504C"/>
    <w:rsid w:val="005C536E"/>
    <w:rsid w:val="005C5474"/>
    <w:rsid w:val="005C5632"/>
    <w:rsid w:val="005C56D6"/>
    <w:rsid w:val="005C56F7"/>
    <w:rsid w:val="005C575C"/>
    <w:rsid w:val="005C57FF"/>
    <w:rsid w:val="005C5BCC"/>
    <w:rsid w:val="005C5C3F"/>
    <w:rsid w:val="005C5C63"/>
    <w:rsid w:val="005C5FC7"/>
    <w:rsid w:val="005C6048"/>
    <w:rsid w:val="005C6091"/>
    <w:rsid w:val="005C62B4"/>
    <w:rsid w:val="005C630A"/>
    <w:rsid w:val="005C6350"/>
    <w:rsid w:val="005C6402"/>
    <w:rsid w:val="005C65DD"/>
    <w:rsid w:val="005C6637"/>
    <w:rsid w:val="005C6646"/>
    <w:rsid w:val="005C67DF"/>
    <w:rsid w:val="005C6B59"/>
    <w:rsid w:val="005C6B6E"/>
    <w:rsid w:val="005C6CFB"/>
    <w:rsid w:val="005C7087"/>
    <w:rsid w:val="005C7191"/>
    <w:rsid w:val="005C7198"/>
    <w:rsid w:val="005C7307"/>
    <w:rsid w:val="005C741F"/>
    <w:rsid w:val="005C7438"/>
    <w:rsid w:val="005C7591"/>
    <w:rsid w:val="005C76C9"/>
    <w:rsid w:val="005C77FF"/>
    <w:rsid w:val="005C7897"/>
    <w:rsid w:val="005C79C9"/>
    <w:rsid w:val="005C7A4C"/>
    <w:rsid w:val="005C7B32"/>
    <w:rsid w:val="005C7B7D"/>
    <w:rsid w:val="005C7DF9"/>
    <w:rsid w:val="005CCE00"/>
    <w:rsid w:val="005D01BD"/>
    <w:rsid w:val="005D01F1"/>
    <w:rsid w:val="005D0276"/>
    <w:rsid w:val="005D035C"/>
    <w:rsid w:val="005D03EF"/>
    <w:rsid w:val="005D04AF"/>
    <w:rsid w:val="005D0662"/>
    <w:rsid w:val="005D0752"/>
    <w:rsid w:val="005D0957"/>
    <w:rsid w:val="005D0A58"/>
    <w:rsid w:val="005D0A77"/>
    <w:rsid w:val="005D0CF7"/>
    <w:rsid w:val="005D0D6C"/>
    <w:rsid w:val="005D0E28"/>
    <w:rsid w:val="005D0E9A"/>
    <w:rsid w:val="005D1037"/>
    <w:rsid w:val="005D106A"/>
    <w:rsid w:val="005D1202"/>
    <w:rsid w:val="005D121A"/>
    <w:rsid w:val="005D1391"/>
    <w:rsid w:val="005D13E7"/>
    <w:rsid w:val="005D15DF"/>
    <w:rsid w:val="005D1A27"/>
    <w:rsid w:val="005D1A54"/>
    <w:rsid w:val="005D1BFB"/>
    <w:rsid w:val="005D1CC7"/>
    <w:rsid w:val="005D1F54"/>
    <w:rsid w:val="005D21B7"/>
    <w:rsid w:val="005D2568"/>
    <w:rsid w:val="005D28DF"/>
    <w:rsid w:val="005D292A"/>
    <w:rsid w:val="005D2A0A"/>
    <w:rsid w:val="005D2B37"/>
    <w:rsid w:val="005D2C7A"/>
    <w:rsid w:val="005D2EE3"/>
    <w:rsid w:val="005D2F39"/>
    <w:rsid w:val="005D329F"/>
    <w:rsid w:val="005D3489"/>
    <w:rsid w:val="005D35BE"/>
    <w:rsid w:val="005D368A"/>
    <w:rsid w:val="005D36B1"/>
    <w:rsid w:val="005D3B80"/>
    <w:rsid w:val="005D3CA0"/>
    <w:rsid w:val="005D3F2E"/>
    <w:rsid w:val="005D3FE8"/>
    <w:rsid w:val="005D402B"/>
    <w:rsid w:val="005D42AE"/>
    <w:rsid w:val="005D42D0"/>
    <w:rsid w:val="005D448A"/>
    <w:rsid w:val="005D4523"/>
    <w:rsid w:val="005D4819"/>
    <w:rsid w:val="005D4BE4"/>
    <w:rsid w:val="005D4C6E"/>
    <w:rsid w:val="005D50E4"/>
    <w:rsid w:val="005D524D"/>
    <w:rsid w:val="005D52B0"/>
    <w:rsid w:val="005D5356"/>
    <w:rsid w:val="005D53BC"/>
    <w:rsid w:val="005D54DD"/>
    <w:rsid w:val="005D54EF"/>
    <w:rsid w:val="005D56FD"/>
    <w:rsid w:val="005D580E"/>
    <w:rsid w:val="005D5846"/>
    <w:rsid w:val="005D5991"/>
    <w:rsid w:val="005D5C73"/>
    <w:rsid w:val="005D5CE4"/>
    <w:rsid w:val="005D5D8E"/>
    <w:rsid w:val="005D5E18"/>
    <w:rsid w:val="005D5FCC"/>
    <w:rsid w:val="005D5FFE"/>
    <w:rsid w:val="005D601A"/>
    <w:rsid w:val="005D606E"/>
    <w:rsid w:val="005D6190"/>
    <w:rsid w:val="005D64CC"/>
    <w:rsid w:val="005D64E9"/>
    <w:rsid w:val="005D65A7"/>
    <w:rsid w:val="005D66B0"/>
    <w:rsid w:val="005D673D"/>
    <w:rsid w:val="005D6786"/>
    <w:rsid w:val="005D6789"/>
    <w:rsid w:val="005D6CF6"/>
    <w:rsid w:val="005D6D65"/>
    <w:rsid w:val="005D71C2"/>
    <w:rsid w:val="005D746B"/>
    <w:rsid w:val="005D7540"/>
    <w:rsid w:val="005D7601"/>
    <w:rsid w:val="005D77A9"/>
    <w:rsid w:val="005D7951"/>
    <w:rsid w:val="005D79B2"/>
    <w:rsid w:val="005D7A1A"/>
    <w:rsid w:val="005D7AE1"/>
    <w:rsid w:val="005D7B60"/>
    <w:rsid w:val="005E01EC"/>
    <w:rsid w:val="005E02B2"/>
    <w:rsid w:val="005E035A"/>
    <w:rsid w:val="005E0467"/>
    <w:rsid w:val="005E062A"/>
    <w:rsid w:val="005E0677"/>
    <w:rsid w:val="005E07FB"/>
    <w:rsid w:val="005E08A1"/>
    <w:rsid w:val="005E08F4"/>
    <w:rsid w:val="005E09A5"/>
    <w:rsid w:val="005E0A47"/>
    <w:rsid w:val="005E0CD5"/>
    <w:rsid w:val="005E0CF1"/>
    <w:rsid w:val="005E0E81"/>
    <w:rsid w:val="005E12EC"/>
    <w:rsid w:val="005E13C3"/>
    <w:rsid w:val="005E1402"/>
    <w:rsid w:val="005E1416"/>
    <w:rsid w:val="005E16C6"/>
    <w:rsid w:val="005E177A"/>
    <w:rsid w:val="005E1860"/>
    <w:rsid w:val="005E1C33"/>
    <w:rsid w:val="005E1DD4"/>
    <w:rsid w:val="005E1EE4"/>
    <w:rsid w:val="005E2475"/>
    <w:rsid w:val="005E259E"/>
    <w:rsid w:val="005E2648"/>
    <w:rsid w:val="005E26B3"/>
    <w:rsid w:val="005E2909"/>
    <w:rsid w:val="005E2A8E"/>
    <w:rsid w:val="005E2B9B"/>
    <w:rsid w:val="005E2BD9"/>
    <w:rsid w:val="005E2C79"/>
    <w:rsid w:val="005E2D75"/>
    <w:rsid w:val="005E2EBE"/>
    <w:rsid w:val="005E319A"/>
    <w:rsid w:val="005E3386"/>
    <w:rsid w:val="005E33F9"/>
    <w:rsid w:val="005E346E"/>
    <w:rsid w:val="005E3563"/>
    <w:rsid w:val="005E371D"/>
    <w:rsid w:val="005E381D"/>
    <w:rsid w:val="005E3856"/>
    <w:rsid w:val="005E3866"/>
    <w:rsid w:val="005E3913"/>
    <w:rsid w:val="005E3A51"/>
    <w:rsid w:val="005E3C3F"/>
    <w:rsid w:val="005E3E47"/>
    <w:rsid w:val="005E443D"/>
    <w:rsid w:val="005E44BB"/>
    <w:rsid w:val="005E44FA"/>
    <w:rsid w:val="005E4530"/>
    <w:rsid w:val="005E4599"/>
    <w:rsid w:val="005E46E8"/>
    <w:rsid w:val="005E486A"/>
    <w:rsid w:val="005E48DB"/>
    <w:rsid w:val="005E4DCA"/>
    <w:rsid w:val="005E4E82"/>
    <w:rsid w:val="005E4E8F"/>
    <w:rsid w:val="005E502F"/>
    <w:rsid w:val="005E51F9"/>
    <w:rsid w:val="005E540B"/>
    <w:rsid w:val="005E543D"/>
    <w:rsid w:val="005E58F9"/>
    <w:rsid w:val="005E593C"/>
    <w:rsid w:val="005E5BB1"/>
    <w:rsid w:val="005E5C06"/>
    <w:rsid w:val="005E6037"/>
    <w:rsid w:val="005E60A4"/>
    <w:rsid w:val="005E62EB"/>
    <w:rsid w:val="005E63B1"/>
    <w:rsid w:val="005E6521"/>
    <w:rsid w:val="005E65A8"/>
    <w:rsid w:val="005E6706"/>
    <w:rsid w:val="005E68A5"/>
    <w:rsid w:val="005E6AAA"/>
    <w:rsid w:val="005E6BEE"/>
    <w:rsid w:val="005E6C6D"/>
    <w:rsid w:val="005E6CA8"/>
    <w:rsid w:val="005E6CF6"/>
    <w:rsid w:val="005E6F2F"/>
    <w:rsid w:val="005E723E"/>
    <w:rsid w:val="005E7302"/>
    <w:rsid w:val="005E73A9"/>
    <w:rsid w:val="005E75E5"/>
    <w:rsid w:val="005E76D0"/>
    <w:rsid w:val="005E77FF"/>
    <w:rsid w:val="005E7804"/>
    <w:rsid w:val="005E7908"/>
    <w:rsid w:val="005E790B"/>
    <w:rsid w:val="005E79FF"/>
    <w:rsid w:val="005E7A95"/>
    <w:rsid w:val="005E7B89"/>
    <w:rsid w:val="005E7F95"/>
    <w:rsid w:val="005F00F5"/>
    <w:rsid w:val="005F01DD"/>
    <w:rsid w:val="005F01F9"/>
    <w:rsid w:val="005F02D2"/>
    <w:rsid w:val="005F0480"/>
    <w:rsid w:val="005F0607"/>
    <w:rsid w:val="005F08D4"/>
    <w:rsid w:val="005F0941"/>
    <w:rsid w:val="005F095A"/>
    <w:rsid w:val="005F097A"/>
    <w:rsid w:val="005F0A04"/>
    <w:rsid w:val="005F0A46"/>
    <w:rsid w:val="005F0A76"/>
    <w:rsid w:val="005F0A83"/>
    <w:rsid w:val="005F0A86"/>
    <w:rsid w:val="005F0BBA"/>
    <w:rsid w:val="005F0CB4"/>
    <w:rsid w:val="005F0D2E"/>
    <w:rsid w:val="005F0FEE"/>
    <w:rsid w:val="005F1326"/>
    <w:rsid w:val="005F13F7"/>
    <w:rsid w:val="005F14A5"/>
    <w:rsid w:val="005F14E9"/>
    <w:rsid w:val="005F155E"/>
    <w:rsid w:val="005F1714"/>
    <w:rsid w:val="005F18FE"/>
    <w:rsid w:val="005F1C0D"/>
    <w:rsid w:val="005F1C86"/>
    <w:rsid w:val="005F1D0C"/>
    <w:rsid w:val="005F1DD4"/>
    <w:rsid w:val="005F1E3C"/>
    <w:rsid w:val="005F1F7D"/>
    <w:rsid w:val="005F2281"/>
    <w:rsid w:val="005F229C"/>
    <w:rsid w:val="005F258B"/>
    <w:rsid w:val="005F278F"/>
    <w:rsid w:val="005F2C7E"/>
    <w:rsid w:val="005F2F1A"/>
    <w:rsid w:val="005F2F1E"/>
    <w:rsid w:val="005F2F8C"/>
    <w:rsid w:val="005F329C"/>
    <w:rsid w:val="005F38A1"/>
    <w:rsid w:val="005F3A0E"/>
    <w:rsid w:val="005F3F62"/>
    <w:rsid w:val="005F4202"/>
    <w:rsid w:val="005F43F3"/>
    <w:rsid w:val="005F4481"/>
    <w:rsid w:val="005F45B9"/>
    <w:rsid w:val="005F472B"/>
    <w:rsid w:val="005F4C09"/>
    <w:rsid w:val="005F4D0E"/>
    <w:rsid w:val="005F4F0F"/>
    <w:rsid w:val="005F4F25"/>
    <w:rsid w:val="005F4F78"/>
    <w:rsid w:val="005F4FAB"/>
    <w:rsid w:val="005F5003"/>
    <w:rsid w:val="005F5034"/>
    <w:rsid w:val="005F50C1"/>
    <w:rsid w:val="005F5165"/>
    <w:rsid w:val="005F518F"/>
    <w:rsid w:val="005F5211"/>
    <w:rsid w:val="005F53C5"/>
    <w:rsid w:val="005F5491"/>
    <w:rsid w:val="005F551C"/>
    <w:rsid w:val="005F5622"/>
    <w:rsid w:val="005F57BC"/>
    <w:rsid w:val="005F5D87"/>
    <w:rsid w:val="005F5ED3"/>
    <w:rsid w:val="005F600E"/>
    <w:rsid w:val="005F60EA"/>
    <w:rsid w:val="005F6195"/>
    <w:rsid w:val="005F6217"/>
    <w:rsid w:val="005F63E2"/>
    <w:rsid w:val="005F64B3"/>
    <w:rsid w:val="005F671B"/>
    <w:rsid w:val="005F688A"/>
    <w:rsid w:val="005F68B1"/>
    <w:rsid w:val="005F69A7"/>
    <w:rsid w:val="005F6E11"/>
    <w:rsid w:val="005F72A1"/>
    <w:rsid w:val="005F736D"/>
    <w:rsid w:val="005F74DD"/>
    <w:rsid w:val="005F78F8"/>
    <w:rsid w:val="005F793D"/>
    <w:rsid w:val="005F7A41"/>
    <w:rsid w:val="005F7DE5"/>
    <w:rsid w:val="005F7E3F"/>
    <w:rsid w:val="005F7EC0"/>
    <w:rsid w:val="00600067"/>
    <w:rsid w:val="00600152"/>
    <w:rsid w:val="00600285"/>
    <w:rsid w:val="00600326"/>
    <w:rsid w:val="00600347"/>
    <w:rsid w:val="00600395"/>
    <w:rsid w:val="00600405"/>
    <w:rsid w:val="00600462"/>
    <w:rsid w:val="00600643"/>
    <w:rsid w:val="00600737"/>
    <w:rsid w:val="006008A5"/>
    <w:rsid w:val="0060093E"/>
    <w:rsid w:val="00601091"/>
    <w:rsid w:val="006011A2"/>
    <w:rsid w:val="0060136F"/>
    <w:rsid w:val="006014F5"/>
    <w:rsid w:val="006016FB"/>
    <w:rsid w:val="0060174D"/>
    <w:rsid w:val="006017B8"/>
    <w:rsid w:val="006017DE"/>
    <w:rsid w:val="00601A24"/>
    <w:rsid w:val="00601C25"/>
    <w:rsid w:val="00601C36"/>
    <w:rsid w:val="00601D13"/>
    <w:rsid w:val="00601DAB"/>
    <w:rsid w:val="00602045"/>
    <w:rsid w:val="006022CD"/>
    <w:rsid w:val="00602350"/>
    <w:rsid w:val="00602476"/>
    <w:rsid w:val="006025EC"/>
    <w:rsid w:val="00602640"/>
    <w:rsid w:val="006026A9"/>
    <w:rsid w:val="006028ED"/>
    <w:rsid w:val="00602A6B"/>
    <w:rsid w:val="00602E41"/>
    <w:rsid w:val="00602F1B"/>
    <w:rsid w:val="00603019"/>
    <w:rsid w:val="006031FD"/>
    <w:rsid w:val="0060321C"/>
    <w:rsid w:val="006032C4"/>
    <w:rsid w:val="0060340E"/>
    <w:rsid w:val="0060368F"/>
    <w:rsid w:val="0060381A"/>
    <w:rsid w:val="00603856"/>
    <w:rsid w:val="0060387E"/>
    <w:rsid w:val="006039EE"/>
    <w:rsid w:val="00603A73"/>
    <w:rsid w:val="00603B27"/>
    <w:rsid w:val="00603CAF"/>
    <w:rsid w:val="00603CBA"/>
    <w:rsid w:val="00603D15"/>
    <w:rsid w:val="00603D27"/>
    <w:rsid w:val="00603EC1"/>
    <w:rsid w:val="00603FA0"/>
    <w:rsid w:val="00604103"/>
    <w:rsid w:val="00604210"/>
    <w:rsid w:val="0060425A"/>
    <w:rsid w:val="00604351"/>
    <w:rsid w:val="00604419"/>
    <w:rsid w:val="0060441C"/>
    <w:rsid w:val="00604495"/>
    <w:rsid w:val="00604565"/>
    <w:rsid w:val="0060469C"/>
    <w:rsid w:val="0060471A"/>
    <w:rsid w:val="00604736"/>
    <w:rsid w:val="006047AA"/>
    <w:rsid w:val="00604CAB"/>
    <w:rsid w:val="00604CF0"/>
    <w:rsid w:val="00604F72"/>
    <w:rsid w:val="0060543B"/>
    <w:rsid w:val="0060545A"/>
    <w:rsid w:val="006054CC"/>
    <w:rsid w:val="00605669"/>
    <w:rsid w:val="00605794"/>
    <w:rsid w:val="006057B6"/>
    <w:rsid w:val="00605852"/>
    <w:rsid w:val="00605C7C"/>
    <w:rsid w:val="00605D01"/>
    <w:rsid w:val="00605D92"/>
    <w:rsid w:val="00605E4B"/>
    <w:rsid w:val="00605EA6"/>
    <w:rsid w:val="00605FC6"/>
    <w:rsid w:val="00606370"/>
    <w:rsid w:val="006063E1"/>
    <w:rsid w:val="00606429"/>
    <w:rsid w:val="00606478"/>
    <w:rsid w:val="006064D5"/>
    <w:rsid w:val="0060650A"/>
    <w:rsid w:val="006065FD"/>
    <w:rsid w:val="006067AC"/>
    <w:rsid w:val="00606D3C"/>
    <w:rsid w:val="00606FF8"/>
    <w:rsid w:val="006070F7"/>
    <w:rsid w:val="00607168"/>
    <w:rsid w:val="006073FB"/>
    <w:rsid w:val="006074DD"/>
    <w:rsid w:val="0060756D"/>
    <w:rsid w:val="00607624"/>
    <w:rsid w:val="00607639"/>
    <w:rsid w:val="00607657"/>
    <w:rsid w:val="00607A2C"/>
    <w:rsid w:val="00607AAB"/>
    <w:rsid w:val="00607B29"/>
    <w:rsid w:val="00607CAB"/>
    <w:rsid w:val="00607D3C"/>
    <w:rsid w:val="00607DE7"/>
    <w:rsid w:val="0061021F"/>
    <w:rsid w:val="006104FC"/>
    <w:rsid w:val="00610947"/>
    <w:rsid w:val="006109F9"/>
    <w:rsid w:val="00610A78"/>
    <w:rsid w:val="00610DDC"/>
    <w:rsid w:val="00611090"/>
    <w:rsid w:val="006112D5"/>
    <w:rsid w:val="006118B0"/>
    <w:rsid w:val="00611B26"/>
    <w:rsid w:val="00611B6B"/>
    <w:rsid w:val="00611F78"/>
    <w:rsid w:val="006120CB"/>
    <w:rsid w:val="0061215B"/>
    <w:rsid w:val="00612506"/>
    <w:rsid w:val="006125D5"/>
    <w:rsid w:val="00612826"/>
    <w:rsid w:val="006128B4"/>
    <w:rsid w:val="00612A5F"/>
    <w:rsid w:val="00612A93"/>
    <w:rsid w:val="00612C42"/>
    <w:rsid w:val="00612D54"/>
    <w:rsid w:val="00612DC5"/>
    <w:rsid w:val="00612FF8"/>
    <w:rsid w:val="006131B8"/>
    <w:rsid w:val="0061339E"/>
    <w:rsid w:val="00613491"/>
    <w:rsid w:val="00613522"/>
    <w:rsid w:val="00613B1A"/>
    <w:rsid w:val="00613BAD"/>
    <w:rsid w:val="00613D40"/>
    <w:rsid w:val="00613D81"/>
    <w:rsid w:val="006142B9"/>
    <w:rsid w:val="00614440"/>
    <w:rsid w:val="00614A86"/>
    <w:rsid w:val="00614B4C"/>
    <w:rsid w:val="00614DDA"/>
    <w:rsid w:val="00614E8C"/>
    <w:rsid w:val="00614ECE"/>
    <w:rsid w:val="00614FE9"/>
    <w:rsid w:val="00615392"/>
    <w:rsid w:val="0061560A"/>
    <w:rsid w:val="006157CC"/>
    <w:rsid w:val="006158AD"/>
    <w:rsid w:val="00615A8C"/>
    <w:rsid w:val="00615B67"/>
    <w:rsid w:val="00615B96"/>
    <w:rsid w:val="00615BA0"/>
    <w:rsid w:val="00615C89"/>
    <w:rsid w:val="00615C98"/>
    <w:rsid w:val="00615E4E"/>
    <w:rsid w:val="00615F73"/>
    <w:rsid w:val="00616286"/>
    <w:rsid w:val="00616291"/>
    <w:rsid w:val="006164C7"/>
    <w:rsid w:val="006167C2"/>
    <w:rsid w:val="006168BC"/>
    <w:rsid w:val="00616D69"/>
    <w:rsid w:val="00616E6B"/>
    <w:rsid w:val="00616F41"/>
    <w:rsid w:val="00617263"/>
    <w:rsid w:val="0061760C"/>
    <w:rsid w:val="006179C6"/>
    <w:rsid w:val="00617BC3"/>
    <w:rsid w:val="00617C76"/>
    <w:rsid w:val="00617D1A"/>
    <w:rsid w:val="00617D3B"/>
    <w:rsid w:val="00617E46"/>
    <w:rsid w:val="00617FF2"/>
    <w:rsid w:val="0062012F"/>
    <w:rsid w:val="00620193"/>
    <w:rsid w:val="006202BE"/>
    <w:rsid w:val="00620382"/>
    <w:rsid w:val="006204ED"/>
    <w:rsid w:val="0062050E"/>
    <w:rsid w:val="0062053B"/>
    <w:rsid w:val="006205A6"/>
    <w:rsid w:val="0062060A"/>
    <w:rsid w:val="0062070A"/>
    <w:rsid w:val="0062086F"/>
    <w:rsid w:val="006208C5"/>
    <w:rsid w:val="00620B66"/>
    <w:rsid w:val="00620D74"/>
    <w:rsid w:val="00620EEA"/>
    <w:rsid w:val="00620FAD"/>
    <w:rsid w:val="0062103B"/>
    <w:rsid w:val="0062105C"/>
    <w:rsid w:val="006210C3"/>
    <w:rsid w:val="0062110B"/>
    <w:rsid w:val="00621428"/>
    <w:rsid w:val="00621459"/>
    <w:rsid w:val="00621750"/>
    <w:rsid w:val="0062187A"/>
    <w:rsid w:val="006218AD"/>
    <w:rsid w:val="00621968"/>
    <w:rsid w:val="0062196E"/>
    <w:rsid w:val="00621BE6"/>
    <w:rsid w:val="00621E45"/>
    <w:rsid w:val="00621F5B"/>
    <w:rsid w:val="00622231"/>
    <w:rsid w:val="006223CC"/>
    <w:rsid w:val="006223E6"/>
    <w:rsid w:val="0062255F"/>
    <w:rsid w:val="006226BE"/>
    <w:rsid w:val="006229EF"/>
    <w:rsid w:val="00622B1A"/>
    <w:rsid w:val="00622C4F"/>
    <w:rsid w:val="00622D11"/>
    <w:rsid w:val="00622D39"/>
    <w:rsid w:val="0062321C"/>
    <w:rsid w:val="006232DB"/>
    <w:rsid w:val="00623405"/>
    <w:rsid w:val="0062345B"/>
    <w:rsid w:val="0062347A"/>
    <w:rsid w:val="0062373E"/>
    <w:rsid w:val="0062388D"/>
    <w:rsid w:val="006238B0"/>
    <w:rsid w:val="00623A84"/>
    <w:rsid w:val="00623B98"/>
    <w:rsid w:val="006240C6"/>
    <w:rsid w:val="0062423E"/>
    <w:rsid w:val="0062444C"/>
    <w:rsid w:val="0062469D"/>
    <w:rsid w:val="00624710"/>
    <w:rsid w:val="006248DE"/>
    <w:rsid w:val="00624938"/>
    <w:rsid w:val="00624974"/>
    <w:rsid w:val="0062499B"/>
    <w:rsid w:val="00624AE0"/>
    <w:rsid w:val="00624BBF"/>
    <w:rsid w:val="00624C13"/>
    <w:rsid w:val="00624C9B"/>
    <w:rsid w:val="00624E47"/>
    <w:rsid w:val="00625131"/>
    <w:rsid w:val="00625284"/>
    <w:rsid w:val="00625413"/>
    <w:rsid w:val="006256CC"/>
    <w:rsid w:val="00625825"/>
    <w:rsid w:val="00625988"/>
    <w:rsid w:val="00625AD1"/>
    <w:rsid w:val="00625B41"/>
    <w:rsid w:val="00625BE0"/>
    <w:rsid w:val="00625CFB"/>
    <w:rsid w:val="00625E32"/>
    <w:rsid w:val="00625E4B"/>
    <w:rsid w:val="00626002"/>
    <w:rsid w:val="0062616C"/>
    <w:rsid w:val="00626272"/>
    <w:rsid w:val="0062631A"/>
    <w:rsid w:val="006264DA"/>
    <w:rsid w:val="00626575"/>
    <w:rsid w:val="0062661A"/>
    <w:rsid w:val="00626ADA"/>
    <w:rsid w:val="00626C7D"/>
    <w:rsid w:val="00626D32"/>
    <w:rsid w:val="00626D64"/>
    <w:rsid w:val="00626D86"/>
    <w:rsid w:val="00626E2D"/>
    <w:rsid w:val="00626EF4"/>
    <w:rsid w:val="00627414"/>
    <w:rsid w:val="00627571"/>
    <w:rsid w:val="0062763D"/>
    <w:rsid w:val="00627798"/>
    <w:rsid w:val="006279C4"/>
    <w:rsid w:val="00627B22"/>
    <w:rsid w:val="00627F4F"/>
    <w:rsid w:val="006300DA"/>
    <w:rsid w:val="00630368"/>
    <w:rsid w:val="00630467"/>
    <w:rsid w:val="006304B8"/>
    <w:rsid w:val="00630556"/>
    <w:rsid w:val="00630650"/>
    <w:rsid w:val="00630892"/>
    <w:rsid w:val="00630906"/>
    <w:rsid w:val="00630908"/>
    <w:rsid w:val="00630982"/>
    <w:rsid w:val="00630C29"/>
    <w:rsid w:val="00630D31"/>
    <w:rsid w:val="0063124D"/>
    <w:rsid w:val="0063178F"/>
    <w:rsid w:val="00631903"/>
    <w:rsid w:val="00631C0D"/>
    <w:rsid w:val="00631D90"/>
    <w:rsid w:val="00632017"/>
    <w:rsid w:val="00632110"/>
    <w:rsid w:val="006323A5"/>
    <w:rsid w:val="00632590"/>
    <w:rsid w:val="00632648"/>
    <w:rsid w:val="006326CB"/>
    <w:rsid w:val="006326EB"/>
    <w:rsid w:val="00632725"/>
    <w:rsid w:val="006328FC"/>
    <w:rsid w:val="00632B15"/>
    <w:rsid w:val="00632BA0"/>
    <w:rsid w:val="00632BF2"/>
    <w:rsid w:val="00632DAB"/>
    <w:rsid w:val="00632DB7"/>
    <w:rsid w:val="00632E64"/>
    <w:rsid w:val="006330F7"/>
    <w:rsid w:val="0063352A"/>
    <w:rsid w:val="00633533"/>
    <w:rsid w:val="00633624"/>
    <w:rsid w:val="00633709"/>
    <w:rsid w:val="00633826"/>
    <w:rsid w:val="00633985"/>
    <w:rsid w:val="00633DAB"/>
    <w:rsid w:val="00633E8B"/>
    <w:rsid w:val="00633F20"/>
    <w:rsid w:val="00633F35"/>
    <w:rsid w:val="006342BF"/>
    <w:rsid w:val="006344C0"/>
    <w:rsid w:val="0063460B"/>
    <w:rsid w:val="00634639"/>
    <w:rsid w:val="00634693"/>
    <w:rsid w:val="00634782"/>
    <w:rsid w:val="00634955"/>
    <w:rsid w:val="00634A57"/>
    <w:rsid w:val="00634DCB"/>
    <w:rsid w:val="00634EE6"/>
    <w:rsid w:val="006351D6"/>
    <w:rsid w:val="006357FA"/>
    <w:rsid w:val="00635864"/>
    <w:rsid w:val="00635B6D"/>
    <w:rsid w:val="00635B81"/>
    <w:rsid w:val="00635BE0"/>
    <w:rsid w:val="00635BF5"/>
    <w:rsid w:val="00635CA2"/>
    <w:rsid w:val="00635E0E"/>
    <w:rsid w:val="00635E51"/>
    <w:rsid w:val="006361B9"/>
    <w:rsid w:val="006362CE"/>
    <w:rsid w:val="006368AB"/>
    <w:rsid w:val="00636954"/>
    <w:rsid w:val="00636955"/>
    <w:rsid w:val="00636960"/>
    <w:rsid w:val="006369BE"/>
    <w:rsid w:val="00636A4A"/>
    <w:rsid w:val="00636AC1"/>
    <w:rsid w:val="00636AD9"/>
    <w:rsid w:val="00636B01"/>
    <w:rsid w:val="006370AE"/>
    <w:rsid w:val="00637291"/>
    <w:rsid w:val="006374D8"/>
    <w:rsid w:val="0063751F"/>
    <w:rsid w:val="006376FC"/>
    <w:rsid w:val="006378E8"/>
    <w:rsid w:val="00637974"/>
    <w:rsid w:val="00637AC1"/>
    <w:rsid w:val="00637AF9"/>
    <w:rsid w:val="00637D03"/>
    <w:rsid w:val="00637EA7"/>
    <w:rsid w:val="00640079"/>
    <w:rsid w:val="006400D2"/>
    <w:rsid w:val="0064028A"/>
    <w:rsid w:val="0064029E"/>
    <w:rsid w:val="00640334"/>
    <w:rsid w:val="006403D6"/>
    <w:rsid w:val="00640419"/>
    <w:rsid w:val="00640567"/>
    <w:rsid w:val="00640607"/>
    <w:rsid w:val="00640794"/>
    <w:rsid w:val="00640819"/>
    <w:rsid w:val="00640931"/>
    <w:rsid w:val="00640A06"/>
    <w:rsid w:val="00640AE6"/>
    <w:rsid w:val="00640C6B"/>
    <w:rsid w:val="00641195"/>
    <w:rsid w:val="006415AD"/>
    <w:rsid w:val="006416C3"/>
    <w:rsid w:val="0064182E"/>
    <w:rsid w:val="00641B4E"/>
    <w:rsid w:val="00641B6D"/>
    <w:rsid w:val="00641D30"/>
    <w:rsid w:val="00641D70"/>
    <w:rsid w:val="00641F89"/>
    <w:rsid w:val="00642061"/>
    <w:rsid w:val="006423EA"/>
    <w:rsid w:val="006425DB"/>
    <w:rsid w:val="00642BE7"/>
    <w:rsid w:val="00642C9A"/>
    <w:rsid w:val="00642CC6"/>
    <w:rsid w:val="00642D2A"/>
    <w:rsid w:val="00643219"/>
    <w:rsid w:val="0064352B"/>
    <w:rsid w:val="00643762"/>
    <w:rsid w:val="00643A12"/>
    <w:rsid w:val="00643C1B"/>
    <w:rsid w:val="00643C1C"/>
    <w:rsid w:val="00643C3B"/>
    <w:rsid w:val="00643D77"/>
    <w:rsid w:val="00643D89"/>
    <w:rsid w:val="00643DF1"/>
    <w:rsid w:val="00643EE1"/>
    <w:rsid w:val="00643FA4"/>
    <w:rsid w:val="0064408A"/>
    <w:rsid w:val="006441CC"/>
    <w:rsid w:val="0064428E"/>
    <w:rsid w:val="00644802"/>
    <w:rsid w:val="0064496C"/>
    <w:rsid w:val="00644977"/>
    <w:rsid w:val="00644D2C"/>
    <w:rsid w:val="00644DB8"/>
    <w:rsid w:val="0064501F"/>
    <w:rsid w:val="00645221"/>
    <w:rsid w:val="006453FA"/>
    <w:rsid w:val="00645960"/>
    <w:rsid w:val="00645B56"/>
    <w:rsid w:val="00645CE2"/>
    <w:rsid w:val="00645DEE"/>
    <w:rsid w:val="00646054"/>
    <w:rsid w:val="006461E9"/>
    <w:rsid w:val="00646319"/>
    <w:rsid w:val="00646338"/>
    <w:rsid w:val="006464B4"/>
    <w:rsid w:val="006466B6"/>
    <w:rsid w:val="0064670B"/>
    <w:rsid w:val="00646946"/>
    <w:rsid w:val="0064694F"/>
    <w:rsid w:val="00646A15"/>
    <w:rsid w:val="00646B00"/>
    <w:rsid w:val="00646DEB"/>
    <w:rsid w:val="00646DF6"/>
    <w:rsid w:val="00646F56"/>
    <w:rsid w:val="00646F6D"/>
    <w:rsid w:val="00647258"/>
    <w:rsid w:val="00647289"/>
    <w:rsid w:val="006472E6"/>
    <w:rsid w:val="006475C1"/>
    <w:rsid w:val="00647720"/>
    <w:rsid w:val="0064774F"/>
    <w:rsid w:val="00647896"/>
    <w:rsid w:val="006478C0"/>
    <w:rsid w:val="00647A0C"/>
    <w:rsid w:val="00647BA2"/>
    <w:rsid w:val="00647C81"/>
    <w:rsid w:val="0064BEE4"/>
    <w:rsid w:val="0064E08B"/>
    <w:rsid w:val="00650317"/>
    <w:rsid w:val="00650406"/>
    <w:rsid w:val="00650473"/>
    <w:rsid w:val="0065053F"/>
    <w:rsid w:val="006506E7"/>
    <w:rsid w:val="006506FF"/>
    <w:rsid w:val="0065086E"/>
    <w:rsid w:val="00650883"/>
    <w:rsid w:val="00650A00"/>
    <w:rsid w:val="00650BC5"/>
    <w:rsid w:val="00650D6E"/>
    <w:rsid w:val="00650DD6"/>
    <w:rsid w:val="00650EF2"/>
    <w:rsid w:val="00650F05"/>
    <w:rsid w:val="00651087"/>
    <w:rsid w:val="00651586"/>
    <w:rsid w:val="00651C25"/>
    <w:rsid w:val="00651C27"/>
    <w:rsid w:val="00651CF8"/>
    <w:rsid w:val="00651CF9"/>
    <w:rsid w:val="00651E08"/>
    <w:rsid w:val="00651EB7"/>
    <w:rsid w:val="00651F2C"/>
    <w:rsid w:val="00651FC4"/>
    <w:rsid w:val="006522BF"/>
    <w:rsid w:val="00652390"/>
    <w:rsid w:val="0065258C"/>
    <w:rsid w:val="00652721"/>
    <w:rsid w:val="00652763"/>
    <w:rsid w:val="0065279B"/>
    <w:rsid w:val="00652814"/>
    <w:rsid w:val="006528B2"/>
    <w:rsid w:val="00652958"/>
    <w:rsid w:val="00652C77"/>
    <w:rsid w:val="00652CBD"/>
    <w:rsid w:val="00652F1D"/>
    <w:rsid w:val="00653174"/>
    <w:rsid w:val="00653317"/>
    <w:rsid w:val="00653393"/>
    <w:rsid w:val="00653451"/>
    <w:rsid w:val="00653585"/>
    <w:rsid w:val="00653713"/>
    <w:rsid w:val="0065383C"/>
    <w:rsid w:val="006538D5"/>
    <w:rsid w:val="0065394E"/>
    <w:rsid w:val="00653B4D"/>
    <w:rsid w:val="00653B4F"/>
    <w:rsid w:val="00653B9F"/>
    <w:rsid w:val="00653C08"/>
    <w:rsid w:val="00653CB1"/>
    <w:rsid w:val="00653D61"/>
    <w:rsid w:val="00653D7C"/>
    <w:rsid w:val="00654228"/>
    <w:rsid w:val="006542B5"/>
    <w:rsid w:val="00654444"/>
    <w:rsid w:val="006545E4"/>
    <w:rsid w:val="0065460F"/>
    <w:rsid w:val="00654E5F"/>
    <w:rsid w:val="00654EB0"/>
    <w:rsid w:val="00654ED8"/>
    <w:rsid w:val="00654EF2"/>
    <w:rsid w:val="00654FEA"/>
    <w:rsid w:val="00655152"/>
    <w:rsid w:val="006554F1"/>
    <w:rsid w:val="006555A5"/>
    <w:rsid w:val="006555AA"/>
    <w:rsid w:val="00655954"/>
    <w:rsid w:val="00655A2F"/>
    <w:rsid w:val="00655D5B"/>
    <w:rsid w:val="00655D8D"/>
    <w:rsid w:val="00655EA3"/>
    <w:rsid w:val="00655FAF"/>
    <w:rsid w:val="00656023"/>
    <w:rsid w:val="0065621A"/>
    <w:rsid w:val="00656326"/>
    <w:rsid w:val="00656334"/>
    <w:rsid w:val="006566A3"/>
    <w:rsid w:val="00656821"/>
    <w:rsid w:val="006568D7"/>
    <w:rsid w:val="00656975"/>
    <w:rsid w:val="00656C1D"/>
    <w:rsid w:val="00656C5A"/>
    <w:rsid w:val="00656E03"/>
    <w:rsid w:val="00656E27"/>
    <w:rsid w:val="0065701C"/>
    <w:rsid w:val="00657032"/>
    <w:rsid w:val="0065753C"/>
    <w:rsid w:val="00657628"/>
    <w:rsid w:val="00657634"/>
    <w:rsid w:val="006577ED"/>
    <w:rsid w:val="00657BD3"/>
    <w:rsid w:val="0066006E"/>
    <w:rsid w:val="00660423"/>
    <w:rsid w:val="00660604"/>
    <w:rsid w:val="0066065C"/>
    <w:rsid w:val="0066068D"/>
    <w:rsid w:val="0066074A"/>
    <w:rsid w:val="00660B59"/>
    <w:rsid w:val="00660BAC"/>
    <w:rsid w:val="00660D41"/>
    <w:rsid w:val="0066116F"/>
    <w:rsid w:val="006615D0"/>
    <w:rsid w:val="00661726"/>
    <w:rsid w:val="00661772"/>
    <w:rsid w:val="00661779"/>
    <w:rsid w:val="00661B01"/>
    <w:rsid w:val="00661CD3"/>
    <w:rsid w:val="00661D88"/>
    <w:rsid w:val="00662048"/>
    <w:rsid w:val="006620E5"/>
    <w:rsid w:val="00662170"/>
    <w:rsid w:val="0066222C"/>
    <w:rsid w:val="0066232E"/>
    <w:rsid w:val="006623CA"/>
    <w:rsid w:val="006626BC"/>
    <w:rsid w:val="0066270C"/>
    <w:rsid w:val="0066288E"/>
    <w:rsid w:val="00662DA3"/>
    <w:rsid w:val="00662DFC"/>
    <w:rsid w:val="00662EB1"/>
    <w:rsid w:val="006631B5"/>
    <w:rsid w:val="00663210"/>
    <w:rsid w:val="00663460"/>
    <w:rsid w:val="006636A9"/>
    <w:rsid w:val="006638AF"/>
    <w:rsid w:val="006639AF"/>
    <w:rsid w:val="00663BCB"/>
    <w:rsid w:val="00663BEB"/>
    <w:rsid w:val="00663C2A"/>
    <w:rsid w:val="00663E94"/>
    <w:rsid w:val="00663F6D"/>
    <w:rsid w:val="00664024"/>
    <w:rsid w:val="0066404A"/>
    <w:rsid w:val="0066405E"/>
    <w:rsid w:val="006640AA"/>
    <w:rsid w:val="006645CD"/>
    <w:rsid w:val="00664718"/>
    <w:rsid w:val="0066471F"/>
    <w:rsid w:val="00664987"/>
    <w:rsid w:val="006649E4"/>
    <w:rsid w:val="00664AC0"/>
    <w:rsid w:val="00664B64"/>
    <w:rsid w:val="00664E80"/>
    <w:rsid w:val="00664EA0"/>
    <w:rsid w:val="00664F06"/>
    <w:rsid w:val="006650D8"/>
    <w:rsid w:val="00665136"/>
    <w:rsid w:val="0066517B"/>
    <w:rsid w:val="00665191"/>
    <w:rsid w:val="00665196"/>
    <w:rsid w:val="006652C8"/>
    <w:rsid w:val="00665514"/>
    <w:rsid w:val="00665610"/>
    <w:rsid w:val="00665A43"/>
    <w:rsid w:val="00665B72"/>
    <w:rsid w:val="00665BC3"/>
    <w:rsid w:val="00665E95"/>
    <w:rsid w:val="00665F58"/>
    <w:rsid w:val="00666071"/>
    <w:rsid w:val="0066614E"/>
    <w:rsid w:val="00666295"/>
    <w:rsid w:val="006664C9"/>
    <w:rsid w:val="00666670"/>
    <w:rsid w:val="006666EF"/>
    <w:rsid w:val="00666790"/>
    <w:rsid w:val="006667F0"/>
    <w:rsid w:val="00666926"/>
    <w:rsid w:val="00666A2D"/>
    <w:rsid w:val="00666BE7"/>
    <w:rsid w:val="00666E06"/>
    <w:rsid w:val="00666F2F"/>
    <w:rsid w:val="00666F43"/>
    <w:rsid w:val="0066718B"/>
    <w:rsid w:val="0066748C"/>
    <w:rsid w:val="0066787A"/>
    <w:rsid w:val="006678E4"/>
    <w:rsid w:val="006678F4"/>
    <w:rsid w:val="0066793F"/>
    <w:rsid w:val="00667A3D"/>
    <w:rsid w:val="00667A70"/>
    <w:rsid w:val="00667AD8"/>
    <w:rsid w:val="00670151"/>
    <w:rsid w:val="006703E2"/>
    <w:rsid w:val="0067065F"/>
    <w:rsid w:val="00670697"/>
    <w:rsid w:val="006706E4"/>
    <w:rsid w:val="00670B55"/>
    <w:rsid w:val="00670C89"/>
    <w:rsid w:val="00670D87"/>
    <w:rsid w:val="00670F59"/>
    <w:rsid w:val="00670FD2"/>
    <w:rsid w:val="00671043"/>
    <w:rsid w:val="00671188"/>
    <w:rsid w:val="006711A4"/>
    <w:rsid w:val="006711AE"/>
    <w:rsid w:val="006712A7"/>
    <w:rsid w:val="0067145E"/>
    <w:rsid w:val="006715D2"/>
    <w:rsid w:val="006715F8"/>
    <w:rsid w:val="00671626"/>
    <w:rsid w:val="0067175E"/>
    <w:rsid w:val="00671943"/>
    <w:rsid w:val="00671AE2"/>
    <w:rsid w:val="00671BD0"/>
    <w:rsid w:val="00671D50"/>
    <w:rsid w:val="006720C4"/>
    <w:rsid w:val="00672224"/>
    <w:rsid w:val="006725C5"/>
    <w:rsid w:val="00672630"/>
    <w:rsid w:val="00672C9C"/>
    <w:rsid w:val="00672EBC"/>
    <w:rsid w:val="006730B4"/>
    <w:rsid w:val="00673242"/>
    <w:rsid w:val="00673256"/>
    <w:rsid w:val="006732C2"/>
    <w:rsid w:val="0067353B"/>
    <w:rsid w:val="0067354E"/>
    <w:rsid w:val="00673B19"/>
    <w:rsid w:val="00673B3C"/>
    <w:rsid w:val="00673D5B"/>
    <w:rsid w:val="0067405E"/>
    <w:rsid w:val="00674143"/>
    <w:rsid w:val="0067458A"/>
    <w:rsid w:val="00674703"/>
    <w:rsid w:val="006747D8"/>
    <w:rsid w:val="00674865"/>
    <w:rsid w:val="00674A29"/>
    <w:rsid w:val="00674CBA"/>
    <w:rsid w:val="00674CCB"/>
    <w:rsid w:val="00674DB7"/>
    <w:rsid w:val="00674DFF"/>
    <w:rsid w:val="00674ECA"/>
    <w:rsid w:val="00674EEC"/>
    <w:rsid w:val="00674F07"/>
    <w:rsid w:val="00674F57"/>
    <w:rsid w:val="006750C1"/>
    <w:rsid w:val="0067519B"/>
    <w:rsid w:val="00675682"/>
    <w:rsid w:val="0067581D"/>
    <w:rsid w:val="00675839"/>
    <w:rsid w:val="00675892"/>
    <w:rsid w:val="00675AD9"/>
    <w:rsid w:val="00675C80"/>
    <w:rsid w:val="00675CFC"/>
    <w:rsid w:val="00675D1A"/>
    <w:rsid w:val="00675F76"/>
    <w:rsid w:val="006761E4"/>
    <w:rsid w:val="006761F6"/>
    <w:rsid w:val="006766C5"/>
    <w:rsid w:val="006767E3"/>
    <w:rsid w:val="006767FB"/>
    <w:rsid w:val="006768A2"/>
    <w:rsid w:val="00676F6B"/>
    <w:rsid w:val="00676FE8"/>
    <w:rsid w:val="00677001"/>
    <w:rsid w:val="0067700A"/>
    <w:rsid w:val="00677091"/>
    <w:rsid w:val="00677216"/>
    <w:rsid w:val="0067721D"/>
    <w:rsid w:val="0067725D"/>
    <w:rsid w:val="0067738F"/>
    <w:rsid w:val="006774ED"/>
    <w:rsid w:val="00677513"/>
    <w:rsid w:val="0067756F"/>
    <w:rsid w:val="006776A2"/>
    <w:rsid w:val="006776D8"/>
    <w:rsid w:val="006777A8"/>
    <w:rsid w:val="00677885"/>
    <w:rsid w:val="006778A9"/>
    <w:rsid w:val="0067790D"/>
    <w:rsid w:val="00677998"/>
    <w:rsid w:val="00677BFD"/>
    <w:rsid w:val="00677C61"/>
    <w:rsid w:val="00677CB5"/>
    <w:rsid w:val="00677F27"/>
    <w:rsid w:val="00677F36"/>
    <w:rsid w:val="00677FBE"/>
    <w:rsid w:val="00680631"/>
    <w:rsid w:val="0068065B"/>
    <w:rsid w:val="006808FF"/>
    <w:rsid w:val="0068099D"/>
    <w:rsid w:val="00680B47"/>
    <w:rsid w:val="00680D27"/>
    <w:rsid w:val="00680DA7"/>
    <w:rsid w:val="00680E2C"/>
    <w:rsid w:val="00680EE6"/>
    <w:rsid w:val="0068131D"/>
    <w:rsid w:val="00681389"/>
    <w:rsid w:val="006814C6"/>
    <w:rsid w:val="006815E6"/>
    <w:rsid w:val="006815FE"/>
    <w:rsid w:val="0068161E"/>
    <w:rsid w:val="006816E2"/>
    <w:rsid w:val="0068172A"/>
    <w:rsid w:val="00681763"/>
    <w:rsid w:val="00681815"/>
    <w:rsid w:val="00681843"/>
    <w:rsid w:val="00681893"/>
    <w:rsid w:val="0068194B"/>
    <w:rsid w:val="00681A26"/>
    <w:rsid w:val="00681A71"/>
    <w:rsid w:val="00681CFF"/>
    <w:rsid w:val="00681D98"/>
    <w:rsid w:val="00681E25"/>
    <w:rsid w:val="00682288"/>
    <w:rsid w:val="00682416"/>
    <w:rsid w:val="0068241B"/>
    <w:rsid w:val="0068242C"/>
    <w:rsid w:val="006828DA"/>
    <w:rsid w:val="006828E0"/>
    <w:rsid w:val="00682C74"/>
    <w:rsid w:val="00682E4E"/>
    <w:rsid w:val="00682F89"/>
    <w:rsid w:val="00683163"/>
    <w:rsid w:val="006831F4"/>
    <w:rsid w:val="00683227"/>
    <w:rsid w:val="00683660"/>
    <w:rsid w:val="006836C2"/>
    <w:rsid w:val="0068376D"/>
    <w:rsid w:val="006838A5"/>
    <w:rsid w:val="00683B48"/>
    <w:rsid w:val="00683C40"/>
    <w:rsid w:val="00683C4D"/>
    <w:rsid w:val="00683E8D"/>
    <w:rsid w:val="00683F12"/>
    <w:rsid w:val="00683F69"/>
    <w:rsid w:val="006841D0"/>
    <w:rsid w:val="006842F5"/>
    <w:rsid w:val="0068432C"/>
    <w:rsid w:val="006843E1"/>
    <w:rsid w:val="006846D3"/>
    <w:rsid w:val="00684779"/>
    <w:rsid w:val="0068486C"/>
    <w:rsid w:val="006849C8"/>
    <w:rsid w:val="00684D4C"/>
    <w:rsid w:val="00684E27"/>
    <w:rsid w:val="0068503F"/>
    <w:rsid w:val="0068528D"/>
    <w:rsid w:val="0068533F"/>
    <w:rsid w:val="0068548F"/>
    <w:rsid w:val="006854D9"/>
    <w:rsid w:val="006855A3"/>
    <w:rsid w:val="00685622"/>
    <w:rsid w:val="00685738"/>
    <w:rsid w:val="006858D6"/>
    <w:rsid w:val="00685ACA"/>
    <w:rsid w:val="00685F2D"/>
    <w:rsid w:val="0068602D"/>
    <w:rsid w:val="00686073"/>
    <w:rsid w:val="0068619B"/>
    <w:rsid w:val="006864C4"/>
    <w:rsid w:val="0068656E"/>
    <w:rsid w:val="00686689"/>
    <w:rsid w:val="006867DD"/>
    <w:rsid w:val="00686867"/>
    <w:rsid w:val="00686917"/>
    <w:rsid w:val="00686998"/>
    <w:rsid w:val="006869EC"/>
    <w:rsid w:val="00686A13"/>
    <w:rsid w:val="00686B5D"/>
    <w:rsid w:val="00686C33"/>
    <w:rsid w:val="00686D71"/>
    <w:rsid w:val="00686F58"/>
    <w:rsid w:val="00686F84"/>
    <w:rsid w:val="0068729E"/>
    <w:rsid w:val="00687611"/>
    <w:rsid w:val="00687A51"/>
    <w:rsid w:val="00687AC3"/>
    <w:rsid w:val="00687B0F"/>
    <w:rsid w:val="00687CDD"/>
    <w:rsid w:val="00687D1C"/>
    <w:rsid w:val="00687F94"/>
    <w:rsid w:val="00690030"/>
    <w:rsid w:val="0069005D"/>
    <w:rsid w:val="006900B6"/>
    <w:rsid w:val="00690119"/>
    <w:rsid w:val="006902FB"/>
    <w:rsid w:val="0069045D"/>
    <w:rsid w:val="0069047B"/>
    <w:rsid w:val="006904A0"/>
    <w:rsid w:val="006904E6"/>
    <w:rsid w:val="0069060E"/>
    <w:rsid w:val="00690700"/>
    <w:rsid w:val="006909BC"/>
    <w:rsid w:val="00690BD3"/>
    <w:rsid w:val="00690C7B"/>
    <w:rsid w:val="00690D97"/>
    <w:rsid w:val="00690E7A"/>
    <w:rsid w:val="00690EF5"/>
    <w:rsid w:val="00690F49"/>
    <w:rsid w:val="00690FBF"/>
    <w:rsid w:val="0069140E"/>
    <w:rsid w:val="006914E6"/>
    <w:rsid w:val="00691547"/>
    <w:rsid w:val="00691785"/>
    <w:rsid w:val="00691A99"/>
    <w:rsid w:val="00691F65"/>
    <w:rsid w:val="0069215D"/>
    <w:rsid w:val="006921FA"/>
    <w:rsid w:val="006923DF"/>
    <w:rsid w:val="0069277A"/>
    <w:rsid w:val="006927A6"/>
    <w:rsid w:val="006927AC"/>
    <w:rsid w:val="006928F2"/>
    <w:rsid w:val="00692945"/>
    <w:rsid w:val="00692A9C"/>
    <w:rsid w:val="00692BE1"/>
    <w:rsid w:val="00692BF0"/>
    <w:rsid w:val="00692C43"/>
    <w:rsid w:val="00692D91"/>
    <w:rsid w:val="00692E88"/>
    <w:rsid w:val="00692F79"/>
    <w:rsid w:val="006931BA"/>
    <w:rsid w:val="00693242"/>
    <w:rsid w:val="006934EA"/>
    <w:rsid w:val="006935E1"/>
    <w:rsid w:val="006937BE"/>
    <w:rsid w:val="00693CC3"/>
    <w:rsid w:val="00694025"/>
    <w:rsid w:val="00694030"/>
    <w:rsid w:val="0069418F"/>
    <w:rsid w:val="006941B6"/>
    <w:rsid w:val="006942D2"/>
    <w:rsid w:val="0069435F"/>
    <w:rsid w:val="006944CA"/>
    <w:rsid w:val="0069484C"/>
    <w:rsid w:val="00694A4B"/>
    <w:rsid w:val="00694E3E"/>
    <w:rsid w:val="00694EED"/>
    <w:rsid w:val="006950F3"/>
    <w:rsid w:val="006951D3"/>
    <w:rsid w:val="006952A8"/>
    <w:rsid w:val="006952CB"/>
    <w:rsid w:val="00695459"/>
    <w:rsid w:val="0069547B"/>
    <w:rsid w:val="0069554A"/>
    <w:rsid w:val="00695575"/>
    <w:rsid w:val="006955AA"/>
    <w:rsid w:val="00695639"/>
    <w:rsid w:val="00695980"/>
    <w:rsid w:val="006959F9"/>
    <w:rsid w:val="006959FC"/>
    <w:rsid w:val="00695C77"/>
    <w:rsid w:val="00695D08"/>
    <w:rsid w:val="00695D68"/>
    <w:rsid w:val="00695FFB"/>
    <w:rsid w:val="0069621A"/>
    <w:rsid w:val="006962D6"/>
    <w:rsid w:val="00696843"/>
    <w:rsid w:val="00696895"/>
    <w:rsid w:val="00696F38"/>
    <w:rsid w:val="00696FC4"/>
    <w:rsid w:val="00697125"/>
    <w:rsid w:val="006972C8"/>
    <w:rsid w:val="0069734D"/>
    <w:rsid w:val="006974FC"/>
    <w:rsid w:val="0069755A"/>
    <w:rsid w:val="006975D4"/>
    <w:rsid w:val="00697603"/>
    <w:rsid w:val="00697609"/>
    <w:rsid w:val="00697622"/>
    <w:rsid w:val="0069779D"/>
    <w:rsid w:val="006979EF"/>
    <w:rsid w:val="006979FA"/>
    <w:rsid w:val="00697A8B"/>
    <w:rsid w:val="00697BCB"/>
    <w:rsid w:val="00697D7A"/>
    <w:rsid w:val="00697DFF"/>
    <w:rsid w:val="00697F78"/>
    <w:rsid w:val="006A03A4"/>
    <w:rsid w:val="006A0426"/>
    <w:rsid w:val="006A068A"/>
    <w:rsid w:val="006A070E"/>
    <w:rsid w:val="006A0999"/>
    <w:rsid w:val="006A099F"/>
    <w:rsid w:val="006A0A4D"/>
    <w:rsid w:val="006A0B79"/>
    <w:rsid w:val="006A0CDD"/>
    <w:rsid w:val="006A0DB9"/>
    <w:rsid w:val="006A0EE4"/>
    <w:rsid w:val="006A1039"/>
    <w:rsid w:val="006A115C"/>
    <w:rsid w:val="006A148B"/>
    <w:rsid w:val="006A1630"/>
    <w:rsid w:val="006A173F"/>
    <w:rsid w:val="006A1AD9"/>
    <w:rsid w:val="006A1B2F"/>
    <w:rsid w:val="006A1B4E"/>
    <w:rsid w:val="006A1D55"/>
    <w:rsid w:val="006A1EF6"/>
    <w:rsid w:val="006A1F71"/>
    <w:rsid w:val="006A1FA1"/>
    <w:rsid w:val="006A20D0"/>
    <w:rsid w:val="006A21A9"/>
    <w:rsid w:val="006A22CC"/>
    <w:rsid w:val="006A22CE"/>
    <w:rsid w:val="006A2389"/>
    <w:rsid w:val="006A23D8"/>
    <w:rsid w:val="006A262A"/>
    <w:rsid w:val="006A268C"/>
    <w:rsid w:val="006A2A33"/>
    <w:rsid w:val="006A2A76"/>
    <w:rsid w:val="006A2AE7"/>
    <w:rsid w:val="006A2B75"/>
    <w:rsid w:val="006A2B88"/>
    <w:rsid w:val="006A2B93"/>
    <w:rsid w:val="006A2CA3"/>
    <w:rsid w:val="006A30D8"/>
    <w:rsid w:val="006A3103"/>
    <w:rsid w:val="006A361C"/>
    <w:rsid w:val="006A376C"/>
    <w:rsid w:val="006A3A0E"/>
    <w:rsid w:val="006A3BB1"/>
    <w:rsid w:val="006A3C49"/>
    <w:rsid w:val="006A3F0A"/>
    <w:rsid w:val="006A41AF"/>
    <w:rsid w:val="006A4325"/>
    <w:rsid w:val="006A4558"/>
    <w:rsid w:val="006A45C3"/>
    <w:rsid w:val="006A4658"/>
    <w:rsid w:val="006A4760"/>
    <w:rsid w:val="006A477A"/>
    <w:rsid w:val="006A4913"/>
    <w:rsid w:val="006A4999"/>
    <w:rsid w:val="006A49CE"/>
    <w:rsid w:val="006A4AA9"/>
    <w:rsid w:val="006A4DC6"/>
    <w:rsid w:val="006A4F36"/>
    <w:rsid w:val="006A4F44"/>
    <w:rsid w:val="006A5140"/>
    <w:rsid w:val="006A514A"/>
    <w:rsid w:val="006A514B"/>
    <w:rsid w:val="006A5387"/>
    <w:rsid w:val="006A567A"/>
    <w:rsid w:val="006A5727"/>
    <w:rsid w:val="006A5819"/>
    <w:rsid w:val="006A5932"/>
    <w:rsid w:val="006A5B1E"/>
    <w:rsid w:val="006A5BE2"/>
    <w:rsid w:val="006A5D16"/>
    <w:rsid w:val="006A5EA8"/>
    <w:rsid w:val="006A5FE6"/>
    <w:rsid w:val="006A5FF0"/>
    <w:rsid w:val="006A60C1"/>
    <w:rsid w:val="006A644F"/>
    <w:rsid w:val="006A6671"/>
    <w:rsid w:val="006A66A7"/>
    <w:rsid w:val="006A66EC"/>
    <w:rsid w:val="006A6712"/>
    <w:rsid w:val="006A6A01"/>
    <w:rsid w:val="006A6B0F"/>
    <w:rsid w:val="006A6B5C"/>
    <w:rsid w:val="006A6C83"/>
    <w:rsid w:val="006A6D58"/>
    <w:rsid w:val="006A6E05"/>
    <w:rsid w:val="006A6E9F"/>
    <w:rsid w:val="006A6EAB"/>
    <w:rsid w:val="006A6EB1"/>
    <w:rsid w:val="006A6ED2"/>
    <w:rsid w:val="006A700D"/>
    <w:rsid w:val="006A709A"/>
    <w:rsid w:val="006A71B6"/>
    <w:rsid w:val="006A7240"/>
    <w:rsid w:val="006A724F"/>
    <w:rsid w:val="006A7464"/>
    <w:rsid w:val="006A776F"/>
    <w:rsid w:val="006A77B6"/>
    <w:rsid w:val="006A77ED"/>
    <w:rsid w:val="006A78F4"/>
    <w:rsid w:val="006A7AE4"/>
    <w:rsid w:val="006A7CE0"/>
    <w:rsid w:val="006B0006"/>
    <w:rsid w:val="006B01ED"/>
    <w:rsid w:val="006B03A1"/>
    <w:rsid w:val="006B04DD"/>
    <w:rsid w:val="006B0507"/>
    <w:rsid w:val="006B09BA"/>
    <w:rsid w:val="006B0B0B"/>
    <w:rsid w:val="006B133B"/>
    <w:rsid w:val="006B17AD"/>
    <w:rsid w:val="006B17DD"/>
    <w:rsid w:val="006B1AE9"/>
    <w:rsid w:val="006B1B78"/>
    <w:rsid w:val="006B1BB6"/>
    <w:rsid w:val="006B1BEA"/>
    <w:rsid w:val="006B1C22"/>
    <w:rsid w:val="006B1F7E"/>
    <w:rsid w:val="006B212C"/>
    <w:rsid w:val="006B2188"/>
    <w:rsid w:val="006B224B"/>
    <w:rsid w:val="006B22CE"/>
    <w:rsid w:val="006B2709"/>
    <w:rsid w:val="006B283C"/>
    <w:rsid w:val="006B2A5C"/>
    <w:rsid w:val="006B2AD6"/>
    <w:rsid w:val="006B2C6A"/>
    <w:rsid w:val="006B2CB5"/>
    <w:rsid w:val="006B2E00"/>
    <w:rsid w:val="006B2E2A"/>
    <w:rsid w:val="006B3104"/>
    <w:rsid w:val="006B31D4"/>
    <w:rsid w:val="006B32D4"/>
    <w:rsid w:val="006B3317"/>
    <w:rsid w:val="006B35BB"/>
    <w:rsid w:val="006B36CC"/>
    <w:rsid w:val="006B3799"/>
    <w:rsid w:val="006B3B77"/>
    <w:rsid w:val="006B3D53"/>
    <w:rsid w:val="006B3F7F"/>
    <w:rsid w:val="006B4441"/>
    <w:rsid w:val="006B45C3"/>
    <w:rsid w:val="006B46B7"/>
    <w:rsid w:val="006B4926"/>
    <w:rsid w:val="006B4944"/>
    <w:rsid w:val="006B4A58"/>
    <w:rsid w:val="006B4A72"/>
    <w:rsid w:val="006B4A90"/>
    <w:rsid w:val="006B4FF4"/>
    <w:rsid w:val="006B5060"/>
    <w:rsid w:val="006B5122"/>
    <w:rsid w:val="006B51C5"/>
    <w:rsid w:val="006B51DD"/>
    <w:rsid w:val="006B53BD"/>
    <w:rsid w:val="006B5404"/>
    <w:rsid w:val="006B564E"/>
    <w:rsid w:val="006B568F"/>
    <w:rsid w:val="006B578A"/>
    <w:rsid w:val="006B5956"/>
    <w:rsid w:val="006B5DEE"/>
    <w:rsid w:val="006B64C9"/>
    <w:rsid w:val="006B6564"/>
    <w:rsid w:val="006B662A"/>
    <w:rsid w:val="006B666E"/>
    <w:rsid w:val="006B670F"/>
    <w:rsid w:val="006B6B0E"/>
    <w:rsid w:val="006B6CDA"/>
    <w:rsid w:val="006B6D1E"/>
    <w:rsid w:val="006B71D0"/>
    <w:rsid w:val="006B7378"/>
    <w:rsid w:val="006B74CD"/>
    <w:rsid w:val="006B75A4"/>
    <w:rsid w:val="006B7679"/>
    <w:rsid w:val="006B76F5"/>
    <w:rsid w:val="006B76FD"/>
    <w:rsid w:val="006B7A84"/>
    <w:rsid w:val="006B7C04"/>
    <w:rsid w:val="006B7E82"/>
    <w:rsid w:val="006C0032"/>
    <w:rsid w:val="006C00BE"/>
    <w:rsid w:val="006C02F8"/>
    <w:rsid w:val="006C02FC"/>
    <w:rsid w:val="006C075C"/>
    <w:rsid w:val="006C0923"/>
    <w:rsid w:val="006C09C6"/>
    <w:rsid w:val="006C0D1F"/>
    <w:rsid w:val="006C0FAD"/>
    <w:rsid w:val="006C1258"/>
    <w:rsid w:val="006C1841"/>
    <w:rsid w:val="006C186C"/>
    <w:rsid w:val="006C1899"/>
    <w:rsid w:val="006C19E2"/>
    <w:rsid w:val="006C1B77"/>
    <w:rsid w:val="006C1B78"/>
    <w:rsid w:val="006C1BA4"/>
    <w:rsid w:val="006C1C1C"/>
    <w:rsid w:val="006C1D7A"/>
    <w:rsid w:val="006C1DC5"/>
    <w:rsid w:val="006C1E72"/>
    <w:rsid w:val="006C21CE"/>
    <w:rsid w:val="006C2314"/>
    <w:rsid w:val="006C23D1"/>
    <w:rsid w:val="006C2407"/>
    <w:rsid w:val="006C24B9"/>
    <w:rsid w:val="006C2796"/>
    <w:rsid w:val="006C2932"/>
    <w:rsid w:val="006C2A87"/>
    <w:rsid w:val="006C307F"/>
    <w:rsid w:val="006C3087"/>
    <w:rsid w:val="006C324C"/>
    <w:rsid w:val="006C34BF"/>
    <w:rsid w:val="006C3657"/>
    <w:rsid w:val="006C3A4E"/>
    <w:rsid w:val="006C3B21"/>
    <w:rsid w:val="006C3E32"/>
    <w:rsid w:val="006C40A6"/>
    <w:rsid w:val="006C4967"/>
    <w:rsid w:val="006C4A41"/>
    <w:rsid w:val="006C4B40"/>
    <w:rsid w:val="006C4E4B"/>
    <w:rsid w:val="006C4FA7"/>
    <w:rsid w:val="006C50B2"/>
    <w:rsid w:val="006C527C"/>
    <w:rsid w:val="006C5323"/>
    <w:rsid w:val="006C541C"/>
    <w:rsid w:val="006C54FB"/>
    <w:rsid w:val="006C55FA"/>
    <w:rsid w:val="006C583F"/>
    <w:rsid w:val="006C5939"/>
    <w:rsid w:val="006C59FF"/>
    <w:rsid w:val="006C5A70"/>
    <w:rsid w:val="006C5C00"/>
    <w:rsid w:val="006C5C9D"/>
    <w:rsid w:val="006C5EC2"/>
    <w:rsid w:val="006C5FEE"/>
    <w:rsid w:val="006C6055"/>
    <w:rsid w:val="006C638C"/>
    <w:rsid w:val="006C66F2"/>
    <w:rsid w:val="006C6810"/>
    <w:rsid w:val="006C686D"/>
    <w:rsid w:val="006C686F"/>
    <w:rsid w:val="006C68C3"/>
    <w:rsid w:val="006C6D6C"/>
    <w:rsid w:val="006C7312"/>
    <w:rsid w:val="006C7657"/>
    <w:rsid w:val="006C7706"/>
    <w:rsid w:val="006C7879"/>
    <w:rsid w:val="006C7923"/>
    <w:rsid w:val="006C7CD8"/>
    <w:rsid w:val="006C7D90"/>
    <w:rsid w:val="006C7EE8"/>
    <w:rsid w:val="006D0363"/>
    <w:rsid w:val="006D04CC"/>
    <w:rsid w:val="006D0686"/>
    <w:rsid w:val="006D06D3"/>
    <w:rsid w:val="006D07A5"/>
    <w:rsid w:val="006D07C8"/>
    <w:rsid w:val="006D085B"/>
    <w:rsid w:val="006D0897"/>
    <w:rsid w:val="006D0B48"/>
    <w:rsid w:val="006D0CD9"/>
    <w:rsid w:val="006D0D95"/>
    <w:rsid w:val="006D110B"/>
    <w:rsid w:val="006D1140"/>
    <w:rsid w:val="006D11D9"/>
    <w:rsid w:val="006D15F7"/>
    <w:rsid w:val="006D171E"/>
    <w:rsid w:val="006D1A1E"/>
    <w:rsid w:val="006D1AF9"/>
    <w:rsid w:val="006D1B24"/>
    <w:rsid w:val="006D1B6E"/>
    <w:rsid w:val="006D1BBA"/>
    <w:rsid w:val="006D1C78"/>
    <w:rsid w:val="006D1F8C"/>
    <w:rsid w:val="006D22B5"/>
    <w:rsid w:val="006D23AA"/>
    <w:rsid w:val="006D2818"/>
    <w:rsid w:val="006D281B"/>
    <w:rsid w:val="006D2907"/>
    <w:rsid w:val="006D2E6A"/>
    <w:rsid w:val="006D2FD4"/>
    <w:rsid w:val="006D32F5"/>
    <w:rsid w:val="006D330B"/>
    <w:rsid w:val="006D331B"/>
    <w:rsid w:val="006D3324"/>
    <w:rsid w:val="006D33D5"/>
    <w:rsid w:val="006D36F8"/>
    <w:rsid w:val="006D36FD"/>
    <w:rsid w:val="006D376D"/>
    <w:rsid w:val="006D3810"/>
    <w:rsid w:val="006D3815"/>
    <w:rsid w:val="006D3D1E"/>
    <w:rsid w:val="006D3E10"/>
    <w:rsid w:val="006D3EA9"/>
    <w:rsid w:val="006D4102"/>
    <w:rsid w:val="006D41DD"/>
    <w:rsid w:val="006D4269"/>
    <w:rsid w:val="006D42EF"/>
    <w:rsid w:val="006D4301"/>
    <w:rsid w:val="006D4418"/>
    <w:rsid w:val="006D44B7"/>
    <w:rsid w:val="006D44C7"/>
    <w:rsid w:val="006D452F"/>
    <w:rsid w:val="006D456D"/>
    <w:rsid w:val="006D45AC"/>
    <w:rsid w:val="006D469C"/>
    <w:rsid w:val="006D470F"/>
    <w:rsid w:val="006D4710"/>
    <w:rsid w:val="006D47DF"/>
    <w:rsid w:val="006D4976"/>
    <w:rsid w:val="006D4A67"/>
    <w:rsid w:val="006D4AB1"/>
    <w:rsid w:val="006D4BD7"/>
    <w:rsid w:val="006D4C4A"/>
    <w:rsid w:val="006D4F93"/>
    <w:rsid w:val="006D5780"/>
    <w:rsid w:val="006D5848"/>
    <w:rsid w:val="006D5C61"/>
    <w:rsid w:val="006D5C81"/>
    <w:rsid w:val="006D5CC3"/>
    <w:rsid w:val="006D5E2E"/>
    <w:rsid w:val="006D5F02"/>
    <w:rsid w:val="006D6122"/>
    <w:rsid w:val="006D6370"/>
    <w:rsid w:val="006D645D"/>
    <w:rsid w:val="006D64A8"/>
    <w:rsid w:val="006D64DC"/>
    <w:rsid w:val="006D670C"/>
    <w:rsid w:val="006D6F36"/>
    <w:rsid w:val="006D717C"/>
    <w:rsid w:val="006D7243"/>
    <w:rsid w:val="006D7338"/>
    <w:rsid w:val="006D73E8"/>
    <w:rsid w:val="006D7419"/>
    <w:rsid w:val="006D74FF"/>
    <w:rsid w:val="006D75FB"/>
    <w:rsid w:val="006D760B"/>
    <w:rsid w:val="006D7946"/>
    <w:rsid w:val="006D7A3A"/>
    <w:rsid w:val="006D7B9C"/>
    <w:rsid w:val="006D7C47"/>
    <w:rsid w:val="006D7DD8"/>
    <w:rsid w:val="006E00FB"/>
    <w:rsid w:val="006E0103"/>
    <w:rsid w:val="006E019B"/>
    <w:rsid w:val="006E02E5"/>
    <w:rsid w:val="006E0308"/>
    <w:rsid w:val="006E032C"/>
    <w:rsid w:val="006E04E2"/>
    <w:rsid w:val="006E05AD"/>
    <w:rsid w:val="006E07BF"/>
    <w:rsid w:val="006E08B4"/>
    <w:rsid w:val="006E092E"/>
    <w:rsid w:val="006E0B90"/>
    <w:rsid w:val="006E0BBD"/>
    <w:rsid w:val="006E0D6C"/>
    <w:rsid w:val="006E0F11"/>
    <w:rsid w:val="006E10C5"/>
    <w:rsid w:val="006E112E"/>
    <w:rsid w:val="006E12F0"/>
    <w:rsid w:val="006E1875"/>
    <w:rsid w:val="006E1911"/>
    <w:rsid w:val="006E1996"/>
    <w:rsid w:val="006E1AFE"/>
    <w:rsid w:val="006E1B57"/>
    <w:rsid w:val="006E210D"/>
    <w:rsid w:val="006E21EA"/>
    <w:rsid w:val="006E2275"/>
    <w:rsid w:val="006E22C5"/>
    <w:rsid w:val="006E24A1"/>
    <w:rsid w:val="006E24A8"/>
    <w:rsid w:val="006E266A"/>
    <w:rsid w:val="006E2779"/>
    <w:rsid w:val="006E282F"/>
    <w:rsid w:val="006E2A68"/>
    <w:rsid w:val="006E2AC7"/>
    <w:rsid w:val="006E2B26"/>
    <w:rsid w:val="006E2E4B"/>
    <w:rsid w:val="006E340A"/>
    <w:rsid w:val="006E36D3"/>
    <w:rsid w:val="006E3732"/>
    <w:rsid w:val="006E378D"/>
    <w:rsid w:val="006E3BF4"/>
    <w:rsid w:val="006E3D32"/>
    <w:rsid w:val="006E414D"/>
    <w:rsid w:val="006E41B1"/>
    <w:rsid w:val="006E41C5"/>
    <w:rsid w:val="006E428E"/>
    <w:rsid w:val="006E43E7"/>
    <w:rsid w:val="006E45FA"/>
    <w:rsid w:val="006E4646"/>
    <w:rsid w:val="006E4B88"/>
    <w:rsid w:val="006E4C32"/>
    <w:rsid w:val="006E4D12"/>
    <w:rsid w:val="006E4F81"/>
    <w:rsid w:val="006E4FE9"/>
    <w:rsid w:val="006E5070"/>
    <w:rsid w:val="006E51B2"/>
    <w:rsid w:val="006E536E"/>
    <w:rsid w:val="006E5416"/>
    <w:rsid w:val="006E54DC"/>
    <w:rsid w:val="006E57BC"/>
    <w:rsid w:val="006E5901"/>
    <w:rsid w:val="006E5A0D"/>
    <w:rsid w:val="006E5B7D"/>
    <w:rsid w:val="006E5B9A"/>
    <w:rsid w:val="006E5BBF"/>
    <w:rsid w:val="006E5BEE"/>
    <w:rsid w:val="006E5EF0"/>
    <w:rsid w:val="006E6045"/>
    <w:rsid w:val="006E6250"/>
    <w:rsid w:val="006E6299"/>
    <w:rsid w:val="006E65F3"/>
    <w:rsid w:val="006E670B"/>
    <w:rsid w:val="006E6BC8"/>
    <w:rsid w:val="006E6BD5"/>
    <w:rsid w:val="006E6BEF"/>
    <w:rsid w:val="006E6C27"/>
    <w:rsid w:val="006E6F2F"/>
    <w:rsid w:val="006E750F"/>
    <w:rsid w:val="006E76C6"/>
    <w:rsid w:val="006E76DC"/>
    <w:rsid w:val="006E785D"/>
    <w:rsid w:val="006E7ACD"/>
    <w:rsid w:val="006E7B22"/>
    <w:rsid w:val="006E7B36"/>
    <w:rsid w:val="006E7DAC"/>
    <w:rsid w:val="006E7E6E"/>
    <w:rsid w:val="006EF91E"/>
    <w:rsid w:val="006F0076"/>
    <w:rsid w:val="006F043A"/>
    <w:rsid w:val="006F0523"/>
    <w:rsid w:val="006F09D9"/>
    <w:rsid w:val="006F0A2E"/>
    <w:rsid w:val="006F0E2D"/>
    <w:rsid w:val="006F107F"/>
    <w:rsid w:val="006F13F8"/>
    <w:rsid w:val="006F14C2"/>
    <w:rsid w:val="006F15D2"/>
    <w:rsid w:val="006F1A0C"/>
    <w:rsid w:val="006F1A87"/>
    <w:rsid w:val="006F1BB1"/>
    <w:rsid w:val="006F1C58"/>
    <w:rsid w:val="006F1D06"/>
    <w:rsid w:val="006F1D31"/>
    <w:rsid w:val="006F1D7E"/>
    <w:rsid w:val="006F1DEE"/>
    <w:rsid w:val="006F20BF"/>
    <w:rsid w:val="006F2151"/>
    <w:rsid w:val="006F2182"/>
    <w:rsid w:val="006F21D7"/>
    <w:rsid w:val="006F2287"/>
    <w:rsid w:val="006F2340"/>
    <w:rsid w:val="006F24A1"/>
    <w:rsid w:val="006F24DD"/>
    <w:rsid w:val="006F254F"/>
    <w:rsid w:val="006F2856"/>
    <w:rsid w:val="006F2AA0"/>
    <w:rsid w:val="006F2BAD"/>
    <w:rsid w:val="006F2CF6"/>
    <w:rsid w:val="006F2D4C"/>
    <w:rsid w:val="006F2FFD"/>
    <w:rsid w:val="006F30C6"/>
    <w:rsid w:val="006F3133"/>
    <w:rsid w:val="006F33E9"/>
    <w:rsid w:val="006F3698"/>
    <w:rsid w:val="006F36EA"/>
    <w:rsid w:val="006F38C8"/>
    <w:rsid w:val="006F394A"/>
    <w:rsid w:val="006F3967"/>
    <w:rsid w:val="006F3F98"/>
    <w:rsid w:val="006F4231"/>
    <w:rsid w:val="006F4249"/>
    <w:rsid w:val="006F4306"/>
    <w:rsid w:val="006F44D5"/>
    <w:rsid w:val="006F45B7"/>
    <w:rsid w:val="006F45E5"/>
    <w:rsid w:val="006F4840"/>
    <w:rsid w:val="006F4909"/>
    <w:rsid w:val="006F4A8C"/>
    <w:rsid w:val="006F4B72"/>
    <w:rsid w:val="006F4BCA"/>
    <w:rsid w:val="006F4DA3"/>
    <w:rsid w:val="006F5020"/>
    <w:rsid w:val="006F507C"/>
    <w:rsid w:val="006F5398"/>
    <w:rsid w:val="006F539A"/>
    <w:rsid w:val="006F5674"/>
    <w:rsid w:val="006F56CB"/>
    <w:rsid w:val="006F5A66"/>
    <w:rsid w:val="006F5BA6"/>
    <w:rsid w:val="006F5C01"/>
    <w:rsid w:val="006F5CF5"/>
    <w:rsid w:val="006F5D82"/>
    <w:rsid w:val="006F61DD"/>
    <w:rsid w:val="006F632B"/>
    <w:rsid w:val="006F6342"/>
    <w:rsid w:val="006F6344"/>
    <w:rsid w:val="006F6378"/>
    <w:rsid w:val="006F64E8"/>
    <w:rsid w:val="006F66C3"/>
    <w:rsid w:val="006F66E0"/>
    <w:rsid w:val="006F6721"/>
    <w:rsid w:val="006F6867"/>
    <w:rsid w:val="006F68F1"/>
    <w:rsid w:val="006F69CA"/>
    <w:rsid w:val="006F70F7"/>
    <w:rsid w:val="006F7127"/>
    <w:rsid w:val="006F7160"/>
    <w:rsid w:val="006F720E"/>
    <w:rsid w:val="006F7255"/>
    <w:rsid w:val="006F73D3"/>
    <w:rsid w:val="006F7593"/>
    <w:rsid w:val="006F75BC"/>
    <w:rsid w:val="006F76DC"/>
    <w:rsid w:val="006F7824"/>
    <w:rsid w:val="006F7A41"/>
    <w:rsid w:val="006F7A4D"/>
    <w:rsid w:val="006F7A61"/>
    <w:rsid w:val="006F7E71"/>
    <w:rsid w:val="006F7FFB"/>
    <w:rsid w:val="0070006F"/>
    <w:rsid w:val="007002B7"/>
    <w:rsid w:val="007002D6"/>
    <w:rsid w:val="007002F9"/>
    <w:rsid w:val="0070033C"/>
    <w:rsid w:val="00700580"/>
    <w:rsid w:val="007005C0"/>
    <w:rsid w:val="007008A6"/>
    <w:rsid w:val="00700912"/>
    <w:rsid w:val="00700CED"/>
    <w:rsid w:val="00700F8F"/>
    <w:rsid w:val="00701348"/>
    <w:rsid w:val="0070145D"/>
    <w:rsid w:val="00701745"/>
    <w:rsid w:val="00701848"/>
    <w:rsid w:val="0070186C"/>
    <w:rsid w:val="00701C56"/>
    <w:rsid w:val="00702126"/>
    <w:rsid w:val="00702416"/>
    <w:rsid w:val="00702556"/>
    <w:rsid w:val="00702794"/>
    <w:rsid w:val="007029E2"/>
    <w:rsid w:val="00702B4D"/>
    <w:rsid w:val="00702C19"/>
    <w:rsid w:val="00702C93"/>
    <w:rsid w:val="00702E91"/>
    <w:rsid w:val="00702F8C"/>
    <w:rsid w:val="00703149"/>
    <w:rsid w:val="007031F0"/>
    <w:rsid w:val="00703491"/>
    <w:rsid w:val="00703503"/>
    <w:rsid w:val="00703559"/>
    <w:rsid w:val="007035C4"/>
    <w:rsid w:val="0070373A"/>
    <w:rsid w:val="007037A9"/>
    <w:rsid w:val="007038F8"/>
    <w:rsid w:val="00703960"/>
    <w:rsid w:val="00703C98"/>
    <w:rsid w:val="00704088"/>
    <w:rsid w:val="00704465"/>
    <w:rsid w:val="007044F0"/>
    <w:rsid w:val="0070457E"/>
    <w:rsid w:val="00704615"/>
    <w:rsid w:val="0070464A"/>
    <w:rsid w:val="00704751"/>
    <w:rsid w:val="00704854"/>
    <w:rsid w:val="00704993"/>
    <w:rsid w:val="00704C0B"/>
    <w:rsid w:val="00704F14"/>
    <w:rsid w:val="00704FB1"/>
    <w:rsid w:val="0070503B"/>
    <w:rsid w:val="007051E2"/>
    <w:rsid w:val="0070546D"/>
    <w:rsid w:val="0070582B"/>
    <w:rsid w:val="007059A7"/>
    <w:rsid w:val="00705A11"/>
    <w:rsid w:val="00705CE7"/>
    <w:rsid w:val="00705D24"/>
    <w:rsid w:val="00705E40"/>
    <w:rsid w:val="00705F18"/>
    <w:rsid w:val="007060FE"/>
    <w:rsid w:val="00706129"/>
    <w:rsid w:val="00706173"/>
    <w:rsid w:val="007062A9"/>
    <w:rsid w:val="007062AB"/>
    <w:rsid w:val="007062EC"/>
    <w:rsid w:val="0070632E"/>
    <w:rsid w:val="0070647C"/>
    <w:rsid w:val="0070654E"/>
    <w:rsid w:val="00706585"/>
    <w:rsid w:val="00706830"/>
    <w:rsid w:val="0070694E"/>
    <w:rsid w:val="00706D5C"/>
    <w:rsid w:val="00706D85"/>
    <w:rsid w:val="0070721F"/>
    <w:rsid w:val="00707274"/>
    <w:rsid w:val="0070729A"/>
    <w:rsid w:val="007073BC"/>
    <w:rsid w:val="00707503"/>
    <w:rsid w:val="0070755C"/>
    <w:rsid w:val="00707712"/>
    <w:rsid w:val="0070778C"/>
    <w:rsid w:val="00707A3F"/>
    <w:rsid w:val="00707BE1"/>
    <w:rsid w:val="00707BFD"/>
    <w:rsid w:val="007100EC"/>
    <w:rsid w:val="007101C0"/>
    <w:rsid w:val="007101C5"/>
    <w:rsid w:val="00710525"/>
    <w:rsid w:val="0071057F"/>
    <w:rsid w:val="007107AC"/>
    <w:rsid w:val="00710882"/>
    <w:rsid w:val="00710A9D"/>
    <w:rsid w:val="00710B2B"/>
    <w:rsid w:val="00710CE7"/>
    <w:rsid w:val="00710EAD"/>
    <w:rsid w:val="00710F76"/>
    <w:rsid w:val="007110E3"/>
    <w:rsid w:val="0071168E"/>
    <w:rsid w:val="00711976"/>
    <w:rsid w:val="00711E19"/>
    <w:rsid w:val="00711EAA"/>
    <w:rsid w:val="00711F5D"/>
    <w:rsid w:val="007120AC"/>
    <w:rsid w:val="007121FD"/>
    <w:rsid w:val="007123D3"/>
    <w:rsid w:val="00712462"/>
    <w:rsid w:val="007124D0"/>
    <w:rsid w:val="00712514"/>
    <w:rsid w:val="00712580"/>
    <w:rsid w:val="00712724"/>
    <w:rsid w:val="0071281F"/>
    <w:rsid w:val="00712825"/>
    <w:rsid w:val="007129B1"/>
    <w:rsid w:val="007129E9"/>
    <w:rsid w:val="00712A1B"/>
    <w:rsid w:val="00712D43"/>
    <w:rsid w:val="00712ED6"/>
    <w:rsid w:val="00713035"/>
    <w:rsid w:val="00713108"/>
    <w:rsid w:val="007131B6"/>
    <w:rsid w:val="007132E7"/>
    <w:rsid w:val="007135CD"/>
    <w:rsid w:val="00713716"/>
    <w:rsid w:val="0071380E"/>
    <w:rsid w:val="00713CCA"/>
    <w:rsid w:val="00713E28"/>
    <w:rsid w:val="00713EB2"/>
    <w:rsid w:val="0071413E"/>
    <w:rsid w:val="0071442D"/>
    <w:rsid w:val="0071449D"/>
    <w:rsid w:val="00714580"/>
    <w:rsid w:val="0071478D"/>
    <w:rsid w:val="00714B29"/>
    <w:rsid w:val="00714C21"/>
    <w:rsid w:val="00714C28"/>
    <w:rsid w:val="00714D5C"/>
    <w:rsid w:val="0071501E"/>
    <w:rsid w:val="007150B8"/>
    <w:rsid w:val="00715340"/>
    <w:rsid w:val="00715403"/>
    <w:rsid w:val="007155E0"/>
    <w:rsid w:val="007156CC"/>
    <w:rsid w:val="0071590A"/>
    <w:rsid w:val="00715A59"/>
    <w:rsid w:val="00715ABF"/>
    <w:rsid w:val="00715B2C"/>
    <w:rsid w:val="00715C4F"/>
    <w:rsid w:val="00715CEB"/>
    <w:rsid w:val="00715D8B"/>
    <w:rsid w:val="00715DCC"/>
    <w:rsid w:val="00715F15"/>
    <w:rsid w:val="00716108"/>
    <w:rsid w:val="0071638D"/>
    <w:rsid w:val="00716624"/>
    <w:rsid w:val="00716CB4"/>
    <w:rsid w:val="00716CF6"/>
    <w:rsid w:val="00716FE5"/>
    <w:rsid w:val="007172F7"/>
    <w:rsid w:val="00717353"/>
    <w:rsid w:val="007175F1"/>
    <w:rsid w:val="00717744"/>
    <w:rsid w:val="00717751"/>
    <w:rsid w:val="00717993"/>
    <w:rsid w:val="00717A9A"/>
    <w:rsid w:val="00717AEE"/>
    <w:rsid w:val="00717AF4"/>
    <w:rsid w:val="00717BB5"/>
    <w:rsid w:val="00717C13"/>
    <w:rsid w:val="00717D74"/>
    <w:rsid w:val="007203D6"/>
    <w:rsid w:val="007204B1"/>
    <w:rsid w:val="00720702"/>
    <w:rsid w:val="0072074C"/>
    <w:rsid w:val="007207BB"/>
    <w:rsid w:val="007207C6"/>
    <w:rsid w:val="007207DB"/>
    <w:rsid w:val="00720942"/>
    <w:rsid w:val="0072094B"/>
    <w:rsid w:val="00720A1E"/>
    <w:rsid w:val="00720D18"/>
    <w:rsid w:val="00720E60"/>
    <w:rsid w:val="007210E5"/>
    <w:rsid w:val="0072115B"/>
    <w:rsid w:val="0072130C"/>
    <w:rsid w:val="007214FC"/>
    <w:rsid w:val="007219EB"/>
    <w:rsid w:val="00721A9D"/>
    <w:rsid w:val="00721C26"/>
    <w:rsid w:val="00721C2D"/>
    <w:rsid w:val="00721E16"/>
    <w:rsid w:val="00722272"/>
    <w:rsid w:val="007224A9"/>
    <w:rsid w:val="0072250B"/>
    <w:rsid w:val="00722555"/>
    <w:rsid w:val="00722770"/>
    <w:rsid w:val="007229EC"/>
    <w:rsid w:val="00722B92"/>
    <w:rsid w:val="00722F40"/>
    <w:rsid w:val="00723130"/>
    <w:rsid w:val="00723134"/>
    <w:rsid w:val="0072329C"/>
    <w:rsid w:val="007232A1"/>
    <w:rsid w:val="007232CC"/>
    <w:rsid w:val="00723343"/>
    <w:rsid w:val="007233B9"/>
    <w:rsid w:val="007235B9"/>
    <w:rsid w:val="007238C4"/>
    <w:rsid w:val="00723EA3"/>
    <w:rsid w:val="00723FB1"/>
    <w:rsid w:val="007240C2"/>
    <w:rsid w:val="00724317"/>
    <w:rsid w:val="00724383"/>
    <w:rsid w:val="00724499"/>
    <w:rsid w:val="007244DF"/>
    <w:rsid w:val="007245F7"/>
    <w:rsid w:val="00724830"/>
    <w:rsid w:val="00724B2C"/>
    <w:rsid w:val="00724B31"/>
    <w:rsid w:val="00724BFE"/>
    <w:rsid w:val="00724D16"/>
    <w:rsid w:val="00724D33"/>
    <w:rsid w:val="00724DC1"/>
    <w:rsid w:val="0072508F"/>
    <w:rsid w:val="007251C8"/>
    <w:rsid w:val="007252E2"/>
    <w:rsid w:val="0072546B"/>
    <w:rsid w:val="00725501"/>
    <w:rsid w:val="00725A28"/>
    <w:rsid w:val="00725A3D"/>
    <w:rsid w:val="00725BC3"/>
    <w:rsid w:val="00725C2A"/>
    <w:rsid w:val="00725CD5"/>
    <w:rsid w:val="00725E11"/>
    <w:rsid w:val="00725F9B"/>
    <w:rsid w:val="0072601D"/>
    <w:rsid w:val="0072603A"/>
    <w:rsid w:val="0072619D"/>
    <w:rsid w:val="007262A5"/>
    <w:rsid w:val="0072632B"/>
    <w:rsid w:val="00726393"/>
    <w:rsid w:val="007263B1"/>
    <w:rsid w:val="00726409"/>
    <w:rsid w:val="007264C3"/>
    <w:rsid w:val="00726546"/>
    <w:rsid w:val="0072692C"/>
    <w:rsid w:val="007269CC"/>
    <w:rsid w:val="00726BD8"/>
    <w:rsid w:val="00726C69"/>
    <w:rsid w:val="00726E16"/>
    <w:rsid w:val="00726E44"/>
    <w:rsid w:val="00726F12"/>
    <w:rsid w:val="00726F20"/>
    <w:rsid w:val="007270C7"/>
    <w:rsid w:val="007273BF"/>
    <w:rsid w:val="00727548"/>
    <w:rsid w:val="007275F4"/>
    <w:rsid w:val="00727831"/>
    <w:rsid w:val="00727843"/>
    <w:rsid w:val="00727889"/>
    <w:rsid w:val="007279BD"/>
    <w:rsid w:val="00727AB5"/>
    <w:rsid w:val="00727B52"/>
    <w:rsid w:val="00727B54"/>
    <w:rsid w:val="00727CD8"/>
    <w:rsid w:val="00727DB7"/>
    <w:rsid w:val="00727E16"/>
    <w:rsid w:val="00727FED"/>
    <w:rsid w:val="007302B3"/>
    <w:rsid w:val="00730340"/>
    <w:rsid w:val="007303F0"/>
    <w:rsid w:val="00730429"/>
    <w:rsid w:val="0073049A"/>
    <w:rsid w:val="007305AB"/>
    <w:rsid w:val="0073061A"/>
    <w:rsid w:val="007306BE"/>
    <w:rsid w:val="007306DD"/>
    <w:rsid w:val="00730890"/>
    <w:rsid w:val="00730DC1"/>
    <w:rsid w:val="007310A6"/>
    <w:rsid w:val="007310D1"/>
    <w:rsid w:val="0073129C"/>
    <w:rsid w:val="00731A39"/>
    <w:rsid w:val="00731B03"/>
    <w:rsid w:val="00731C0E"/>
    <w:rsid w:val="00731CA5"/>
    <w:rsid w:val="00731E6A"/>
    <w:rsid w:val="00731EBA"/>
    <w:rsid w:val="007320D1"/>
    <w:rsid w:val="00732304"/>
    <w:rsid w:val="0073245D"/>
    <w:rsid w:val="007324A9"/>
    <w:rsid w:val="00732533"/>
    <w:rsid w:val="00732885"/>
    <w:rsid w:val="00732AE9"/>
    <w:rsid w:val="00732B60"/>
    <w:rsid w:val="00732C0A"/>
    <w:rsid w:val="00732CFF"/>
    <w:rsid w:val="00732EE1"/>
    <w:rsid w:val="00733180"/>
    <w:rsid w:val="007331A1"/>
    <w:rsid w:val="00733474"/>
    <w:rsid w:val="00733515"/>
    <w:rsid w:val="007335E4"/>
    <w:rsid w:val="00733643"/>
    <w:rsid w:val="007339A3"/>
    <w:rsid w:val="007339C0"/>
    <w:rsid w:val="00733AB7"/>
    <w:rsid w:val="00733E15"/>
    <w:rsid w:val="00733FA8"/>
    <w:rsid w:val="00734162"/>
    <w:rsid w:val="00734506"/>
    <w:rsid w:val="00734753"/>
    <w:rsid w:val="00734A6D"/>
    <w:rsid w:val="00734C0F"/>
    <w:rsid w:val="00734FA6"/>
    <w:rsid w:val="00734FC9"/>
    <w:rsid w:val="007351BE"/>
    <w:rsid w:val="007353FC"/>
    <w:rsid w:val="007355AE"/>
    <w:rsid w:val="00735A6C"/>
    <w:rsid w:val="00735B00"/>
    <w:rsid w:val="00735C1B"/>
    <w:rsid w:val="00735C50"/>
    <w:rsid w:val="00735C63"/>
    <w:rsid w:val="00735C83"/>
    <w:rsid w:val="007362A6"/>
    <w:rsid w:val="007363A7"/>
    <w:rsid w:val="007363A9"/>
    <w:rsid w:val="007364F8"/>
    <w:rsid w:val="007367E6"/>
    <w:rsid w:val="00736841"/>
    <w:rsid w:val="00736941"/>
    <w:rsid w:val="00736AC9"/>
    <w:rsid w:val="0073725B"/>
    <w:rsid w:val="007374EF"/>
    <w:rsid w:val="00737743"/>
    <w:rsid w:val="007377E8"/>
    <w:rsid w:val="0073795A"/>
    <w:rsid w:val="00737967"/>
    <w:rsid w:val="00737AD5"/>
    <w:rsid w:val="00737B02"/>
    <w:rsid w:val="00737BC2"/>
    <w:rsid w:val="00737C4B"/>
    <w:rsid w:val="0074007A"/>
    <w:rsid w:val="00740294"/>
    <w:rsid w:val="0074029F"/>
    <w:rsid w:val="007404E0"/>
    <w:rsid w:val="0074055A"/>
    <w:rsid w:val="0074056A"/>
    <w:rsid w:val="0074074F"/>
    <w:rsid w:val="00740873"/>
    <w:rsid w:val="007408B3"/>
    <w:rsid w:val="00740940"/>
    <w:rsid w:val="00740C14"/>
    <w:rsid w:val="00741092"/>
    <w:rsid w:val="007411F0"/>
    <w:rsid w:val="0074128B"/>
    <w:rsid w:val="007412ED"/>
    <w:rsid w:val="007413EA"/>
    <w:rsid w:val="007415B8"/>
    <w:rsid w:val="00741638"/>
    <w:rsid w:val="00741651"/>
    <w:rsid w:val="00741853"/>
    <w:rsid w:val="00741A21"/>
    <w:rsid w:val="00741B49"/>
    <w:rsid w:val="00741CD7"/>
    <w:rsid w:val="00741FF9"/>
    <w:rsid w:val="00742315"/>
    <w:rsid w:val="007423C1"/>
    <w:rsid w:val="007423C7"/>
    <w:rsid w:val="00742551"/>
    <w:rsid w:val="00742579"/>
    <w:rsid w:val="00742902"/>
    <w:rsid w:val="00742BA8"/>
    <w:rsid w:val="00742BFA"/>
    <w:rsid w:val="00742D7C"/>
    <w:rsid w:val="0074302C"/>
    <w:rsid w:val="00743398"/>
    <w:rsid w:val="00743422"/>
    <w:rsid w:val="00743544"/>
    <w:rsid w:val="0074384F"/>
    <w:rsid w:val="00743B15"/>
    <w:rsid w:val="00743B2B"/>
    <w:rsid w:val="00743B81"/>
    <w:rsid w:val="00743C09"/>
    <w:rsid w:val="00743E39"/>
    <w:rsid w:val="00743FDC"/>
    <w:rsid w:val="0074422C"/>
    <w:rsid w:val="0074426A"/>
    <w:rsid w:val="007444B6"/>
    <w:rsid w:val="007446D8"/>
    <w:rsid w:val="00744C1B"/>
    <w:rsid w:val="00744CC9"/>
    <w:rsid w:val="0074501E"/>
    <w:rsid w:val="00745164"/>
    <w:rsid w:val="007452FA"/>
    <w:rsid w:val="0074534B"/>
    <w:rsid w:val="00745511"/>
    <w:rsid w:val="00745732"/>
    <w:rsid w:val="007457E2"/>
    <w:rsid w:val="0074586F"/>
    <w:rsid w:val="007458F2"/>
    <w:rsid w:val="00745A4F"/>
    <w:rsid w:val="00745AAF"/>
    <w:rsid w:val="00745BEE"/>
    <w:rsid w:val="00745D61"/>
    <w:rsid w:val="00745D7A"/>
    <w:rsid w:val="00745FDB"/>
    <w:rsid w:val="007462DD"/>
    <w:rsid w:val="00746445"/>
    <w:rsid w:val="0074662D"/>
    <w:rsid w:val="00746677"/>
    <w:rsid w:val="00746685"/>
    <w:rsid w:val="00746812"/>
    <w:rsid w:val="00746C72"/>
    <w:rsid w:val="00746E0E"/>
    <w:rsid w:val="00746ED9"/>
    <w:rsid w:val="00746FB3"/>
    <w:rsid w:val="00747114"/>
    <w:rsid w:val="0074714A"/>
    <w:rsid w:val="0074715B"/>
    <w:rsid w:val="0074725E"/>
    <w:rsid w:val="00747359"/>
    <w:rsid w:val="007473D2"/>
    <w:rsid w:val="0074740D"/>
    <w:rsid w:val="0074761A"/>
    <w:rsid w:val="007476FE"/>
    <w:rsid w:val="00747885"/>
    <w:rsid w:val="00747957"/>
    <w:rsid w:val="00747A25"/>
    <w:rsid w:val="00747C90"/>
    <w:rsid w:val="007500B9"/>
    <w:rsid w:val="007500C8"/>
    <w:rsid w:val="007503C1"/>
    <w:rsid w:val="00750553"/>
    <w:rsid w:val="007505A4"/>
    <w:rsid w:val="007507B6"/>
    <w:rsid w:val="0075093C"/>
    <w:rsid w:val="00750BB7"/>
    <w:rsid w:val="00750EA5"/>
    <w:rsid w:val="00750EE8"/>
    <w:rsid w:val="00750F6A"/>
    <w:rsid w:val="0075117A"/>
    <w:rsid w:val="00751412"/>
    <w:rsid w:val="00751640"/>
    <w:rsid w:val="0075189F"/>
    <w:rsid w:val="00751C4E"/>
    <w:rsid w:val="00751D2E"/>
    <w:rsid w:val="00751D91"/>
    <w:rsid w:val="0075212E"/>
    <w:rsid w:val="00752168"/>
    <w:rsid w:val="007521A1"/>
    <w:rsid w:val="00752289"/>
    <w:rsid w:val="00752333"/>
    <w:rsid w:val="00752435"/>
    <w:rsid w:val="0075251B"/>
    <w:rsid w:val="0075253F"/>
    <w:rsid w:val="00752643"/>
    <w:rsid w:val="007526C1"/>
    <w:rsid w:val="0075276A"/>
    <w:rsid w:val="007528BD"/>
    <w:rsid w:val="0075293A"/>
    <w:rsid w:val="00752965"/>
    <w:rsid w:val="00752B3A"/>
    <w:rsid w:val="00752B78"/>
    <w:rsid w:val="00752BF1"/>
    <w:rsid w:val="00752FD1"/>
    <w:rsid w:val="00753032"/>
    <w:rsid w:val="007530B7"/>
    <w:rsid w:val="007530D1"/>
    <w:rsid w:val="0075324F"/>
    <w:rsid w:val="007532A7"/>
    <w:rsid w:val="0075344E"/>
    <w:rsid w:val="00753492"/>
    <w:rsid w:val="00753741"/>
    <w:rsid w:val="007537DA"/>
    <w:rsid w:val="00753C96"/>
    <w:rsid w:val="00753CC2"/>
    <w:rsid w:val="00753D42"/>
    <w:rsid w:val="00753D79"/>
    <w:rsid w:val="00753E60"/>
    <w:rsid w:val="007542E6"/>
    <w:rsid w:val="007545DC"/>
    <w:rsid w:val="00754671"/>
    <w:rsid w:val="00754672"/>
    <w:rsid w:val="007546AF"/>
    <w:rsid w:val="00754700"/>
    <w:rsid w:val="007547B8"/>
    <w:rsid w:val="00754A23"/>
    <w:rsid w:val="00754AC8"/>
    <w:rsid w:val="00754B6C"/>
    <w:rsid w:val="00754C3B"/>
    <w:rsid w:val="00754C7F"/>
    <w:rsid w:val="00754C83"/>
    <w:rsid w:val="00754CBF"/>
    <w:rsid w:val="00754F41"/>
    <w:rsid w:val="0075501B"/>
    <w:rsid w:val="00755146"/>
    <w:rsid w:val="0075546B"/>
    <w:rsid w:val="007555CF"/>
    <w:rsid w:val="0075575A"/>
    <w:rsid w:val="00755CE4"/>
    <w:rsid w:val="00755E32"/>
    <w:rsid w:val="00756114"/>
    <w:rsid w:val="00756329"/>
    <w:rsid w:val="0075674B"/>
    <w:rsid w:val="00756815"/>
    <w:rsid w:val="00756874"/>
    <w:rsid w:val="00756926"/>
    <w:rsid w:val="0075698D"/>
    <w:rsid w:val="00756CBF"/>
    <w:rsid w:val="00756CE2"/>
    <w:rsid w:val="00756DEA"/>
    <w:rsid w:val="00756FAD"/>
    <w:rsid w:val="00757242"/>
    <w:rsid w:val="00757283"/>
    <w:rsid w:val="0075748E"/>
    <w:rsid w:val="00757AA7"/>
    <w:rsid w:val="00757B11"/>
    <w:rsid w:val="00757B8A"/>
    <w:rsid w:val="00757BF4"/>
    <w:rsid w:val="00757D6C"/>
    <w:rsid w:val="00757E2B"/>
    <w:rsid w:val="00757E74"/>
    <w:rsid w:val="0076025E"/>
    <w:rsid w:val="00760482"/>
    <w:rsid w:val="00760505"/>
    <w:rsid w:val="00760761"/>
    <w:rsid w:val="00760A41"/>
    <w:rsid w:val="00760A6C"/>
    <w:rsid w:val="00760B79"/>
    <w:rsid w:val="00760DE7"/>
    <w:rsid w:val="00760DF7"/>
    <w:rsid w:val="00760E71"/>
    <w:rsid w:val="00760EE2"/>
    <w:rsid w:val="007611B0"/>
    <w:rsid w:val="007612BC"/>
    <w:rsid w:val="00761621"/>
    <w:rsid w:val="00761702"/>
    <w:rsid w:val="00761742"/>
    <w:rsid w:val="007618F2"/>
    <w:rsid w:val="00761A92"/>
    <w:rsid w:val="00761EBF"/>
    <w:rsid w:val="00761F85"/>
    <w:rsid w:val="00762078"/>
    <w:rsid w:val="00762110"/>
    <w:rsid w:val="0076223F"/>
    <w:rsid w:val="007622E1"/>
    <w:rsid w:val="00762324"/>
    <w:rsid w:val="0076236D"/>
    <w:rsid w:val="007623F8"/>
    <w:rsid w:val="00762707"/>
    <w:rsid w:val="0076271D"/>
    <w:rsid w:val="00762766"/>
    <w:rsid w:val="0076280B"/>
    <w:rsid w:val="0076283B"/>
    <w:rsid w:val="00762944"/>
    <w:rsid w:val="007629D3"/>
    <w:rsid w:val="007629D5"/>
    <w:rsid w:val="007629DE"/>
    <w:rsid w:val="00762D60"/>
    <w:rsid w:val="00763004"/>
    <w:rsid w:val="007632AD"/>
    <w:rsid w:val="00763496"/>
    <w:rsid w:val="0076355C"/>
    <w:rsid w:val="007635C1"/>
    <w:rsid w:val="00763677"/>
    <w:rsid w:val="00763729"/>
    <w:rsid w:val="00763745"/>
    <w:rsid w:val="00763BF9"/>
    <w:rsid w:val="00763BFF"/>
    <w:rsid w:val="00763C6B"/>
    <w:rsid w:val="00763D92"/>
    <w:rsid w:val="00763E0F"/>
    <w:rsid w:val="00763FF3"/>
    <w:rsid w:val="007641E9"/>
    <w:rsid w:val="00764294"/>
    <w:rsid w:val="007642BB"/>
    <w:rsid w:val="00764303"/>
    <w:rsid w:val="00764355"/>
    <w:rsid w:val="007644B5"/>
    <w:rsid w:val="0076466C"/>
    <w:rsid w:val="007647C8"/>
    <w:rsid w:val="00764B54"/>
    <w:rsid w:val="00764B5E"/>
    <w:rsid w:val="00764C52"/>
    <w:rsid w:val="00764F44"/>
    <w:rsid w:val="00764F71"/>
    <w:rsid w:val="0076518C"/>
    <w:rsid w:val="0076565A"/>
    <w:rsid w:val="00765700"/>
    <w:rsid w:val="00765799"/>
    <w:rsid w:val="007657F8"/>
    <w:rsid w:val="007659A6"/>
    <w:rsid w:val="00765AB2"/>
    <w:rsid w:val="00765B48"/>
    <w:rsid w:val="00765B78"/>
    <w:rsid w:val="00765C03"/>
    <w:rsid w:val="00765C6B"/>
    <w:rsid w:val="0076608F"/>
    <w:rsid w:val="0076644F"/>
    <w:rsid w:val="00766518"/>
    <w:rsid w:val="007665AA"/>
    <w:rsid w:val="007667C5"/>
    <w:rsid w:val="00766854"/>
    <w:rsid w:val="00766C3C"/>
    <w:rsid w:val="00766D16"/>
    <w:rsid w:val="00766D93"/>
    <w:rsid w:val="00766FAB"/>
    <w:rsid w:val="00767600"/>
    <w:rsid w:val="00767714"/>
    <w:rsid w:val="00767728"/>
    <w:rsid w:val="0076786D"/>
    <w:rsid w:val="00767995"/>
    <w:rsid w:val="00767A83"/>
    <w:rsid w:val="00767A94"/>
    <w:rsid w:val="00767B16"/>
    <w:rsid w:val="00767BA6"/>
    <w:rsid w:val="00767D07"/>
    <w:rsid w:val="00767F4B"/>
    <w:rsid w:val="00767F83"/>
    <w:rsid w:val="00767FAA"/>
    <w:rsid w:val="00770170"/>
    <w:rsid w:val="007702BB"/>
    <w:rsid w:val="00770328"/>
    <w:rsid w:val="00770404"/>
    <w:rsid w:val="00770532"/>
    <w:rsid w:val="00770559"/>
    <w:rsid w:val="00770751"/>
    <w:rsid w:val="00770A3C"/>
    <w:rsid w:val="00770CFB"/>
    <w:rsid w:val="00771047"/>
    <w:rsid w:val="00771498"/>
    <w:rsid w:val="0077170E"/>
    <w:rsid w:val="0077181F"/>
    <w:rsid w:val="007718B3"/>
    <w:rsid w:val="00771DFF"/>
    <w:rsid w:val="00772231"/>
    <w:rsid w:val="0077235A"/>
    <w:rsid w:val="0077246E"/>
    <w:rsid w:val="0077252B"/>
    <w:rsid w:val="0077276C"/>
    <w:rsid w:val="0077292D"/>
    <w:rsid w:val="00772992"/>
    <w:rsid w:val="00772A22"/>
    <w:rsid w:val="00772D6B"/>
    <w:rsid w:val="00772DEA"/>
    <w:rsid w:val="007730F0"/>
    <w:rsid w:val="00773454"/>
    <w:rsid w:val="00773633"/>
    <w:rsid w:val="00773809"/>
    <w:rsid w:val="00773962"/>
    <w:rsid w:val="00773AD9"/>
    <w:rsid w:val="00773C45"/>
    <w:rsid w:val="00773E0F"/>
    <w:rsid w:val="00773F71"/>
    <w:rsid w:val="00774035"/>
    <w:rsid w:val="0077406C"/>
    <w:rsid w:val="00774117"/>
    <w:rsid w:val="00774179"/>
    <w:rsid w:val="0077420C"/>
    <w:rsid w:val="00774361"/>
    <w:rsid w:val="0077436A"/>
    <w:rsid w:val="0077460A"/>
    <w:rsid w:val="007747DC"/>
    <w:rsid w:val="007749AE"/>
    <w:rsid w:val="00774BE5"/>
    <w:rsid w:val="00774D8C"/>
    <w:rsid w:val="00774D8F"/>
    <w:rsid w:val="00774DB6"/>
    <w:rsid w:val="00774ECC"/>
    <w:rsid w:val="00774F2D"/>
    <w:rsid w:val="0077523F"/>
    <w:rsid w:val="00775376"/>
    <w:rsid w:val="007753D8"/>
    <w:rsid w:val="0077554E"/>
    <w:rsid w:val="00775658"/>
    <w:rsid w:val="00775744"/>
    <w:rsid w:val="0077576D"/>
    <w:rsid w:val="007757F6"/>
    <w:rsid w:val="0077594A"/>
    <w:rsid w:val="0077599B"/>
    <w:rsid w:val="00775C78"/>
    <w:rsid w:val="00775C82"/>
    <w:rsid w:val="00775D41"/>
    <w:rsid w:val="00775D9A"/>
    <w:rsid w:val="00775E4B"/>
    <w:rsid w:val="00775F70"/>
    <w:rsid w:val="007761A3"/>
    <w:rsid w:val="00776227"/>
    <w:rsid w:val="00776525"/>
    <w:rsid w:val="00776548"/>
    <w:rsid w:val="00776549"/>
    <w:rsid w:val="00776607"/>
    <w:rsid w:val="007768D2"/>
    <w:rsid w:val="00776964"/>
    <w:rsid w:val="00776FD7"/>
    <w:rsid w:val="007772E8"/>
    <w:rsid w:val="00777309"/>
    <w:rsid w:val="0077741D"/>
    <w:rsid w:val="007776B0"/>
    <w:rsid w:val="007778D7"/>
    <w:rsid w:val="00777969"/>
    <w:rsid w:val="00777A7F"/>
    <w:rsid w:val="00777B9A"/>
    <w:rsid w:val="00780228"/>
    <w:rsid w:val="0078032D"/>
    <w:rsid w:val="0078061E"/>
    <w:rsid w:val="007806EF"/>
    <w:rsid w:val="00780733"/>
    <w:rsid w:val="00780ADF"/>
    <w:rsid w:val="00780EE0"/>
    <w:rsid w:val="007811E6"/>
    <w:rsid w:val="00781347"/>
    <w:rsid w:val="007813AF"/>
    <w:rsid w:val="00781647"/>
    <w:rsid w:val="00781791"/>
    <w:rsid w:val="007818F3"/>
    <w:rsid w:val="00781983"/>
    <w:rsid w:val="00781A47"/>
    <w:rsid w:val="00781C4B"/>
    <w:rsid w:val="00781E81"/>
    <w:rsid w:val="00782242"/>
    <w:rsid w:val="0078228A"/>
    <w:rsid w:val="00782371"/>
    <w:rsid w:val="00782437"/>
    <w:rsid w:val="0078262E"/>
    <w:rsid w:val="00782688"/>
    <w:rsid w:val="007827BC"/>
    <w:rsid w:val="00782D52"/>
    <w:rsid w:val="00782D97"/>
    <w:rsid w:val="007830AF"/>
    <w:rsid w:val="007830FC"/>
    <w:rsid w:val="00783167"/>
    <w:rsid w:val="00783194"/>
    <w:rsid w:val="00783286"/>
    <w:rsid w:val="007833D9"/>
    <w:rsid w:val="007834C9"/>
    <w:rsid w:val="00783730"/>
    <w:rsid w:val="007838BA"/>
    <w:rsid w:val="00783AA5"/>
    <w:rsid w:val="00783AAA"/>
    <w:rsid w:val="00783B03"/>
    <w:rsid w:val="00783B9E"/>
    <w:rsid w:val="00783CA7"/>
    <w:rsid w:val="00783CBB"/>
    <w:rsid w:val="00783E0D"/>
    <w:rsid w:val="00783E82"/>
    <w:rsid w:val="00783F0E"/>
    <w:rsid w:val="007841CB"/>
    <w:rsid w:val="00784225"/>
    <w:rsid w:val="00784286"/>
    <w:rsid w:val="00784494"/>
    <w:rsid w:val="007844BD"/>
    <w:rsid w:val="00784742"/>
    <w:rsid w:val="00784E39"/>
    <w:rsid w:val="0078503F"/>
    <w:rsid w:val="0078527E"/>
    <w:rsid w:val="00785378"/>
    <w:rsid w:val="00785380"/>
    <w:rsid w:val="007853DB"/>
    <w:rsid w:val="007854D2"/>
    <w:rsid w:val="007854FA"/>
    <w:rsid w:val="00785533"/>
    <w:rsid w:val="0078554A"/>
    <w:rsid w:val="007855DF"/>
    <w:rsid w:val="007856A2"/>
    <w:rsid w:val="0078578F"/>
    <w:rsid w:val="00785BC0"/>
    <w:rsid w:val="00785BC9"/>
    <w:rsid w:val="00785CA3"/>
    <w:rsid w:val="00785D40"/>
    <w:rsid w:val="00785DD5"/>
    <w:rsid w:val="0078601C"/>
    <w:rsid w:val="00786029"/>
    <w:rsid w:val="0078602A"/>
    <w:rsid w:val="0078621C"/>
    <w:rsid w:val="0078631F"/>
    <w:rsid w:val="0078639B"/>
    <w:rsid w:val="00786429"/>
    <w:rsid w:val="00786454"/>
    <w:rsid w:val="007865B6"/>
    <w:rsid w:val="007865CE"/>
    <w:rsid w:val="007866D7"/>
    <w:rsid w:val="00786C41"/>
    <w:rsid w:val="00786EFF"/>
    <w:rsid w:val="007874C4"/>
    <w:rsid w:val="00787622"/>
    <w:rsid w:val="0078775D"/>
    <w:rsid w:val="0078783C"/>
    <w:rsid w:val="007878D6"/>
    <w:rsid w:val="007878FC"/>
    <w:rsid w:val="00787998"/>
    <w:rsid w:val="007879BF"/>
    <w:rsid w:val="00787AB6"/>
    <w:rsid w:val="00787B8A"/>
    <w:rsid w:val="00787CEB"/>
    <w:rsid w:val="00787E99"/>
    <w:rsid w:val="00787EB8"/>
    <w:rsid w:val="00787F40"/>
    <w:rsid w:val="00787FFE"/>
    <w:rsid w:val="007904CC"/>
    <w:rsid w:val="00790886"/>
    <w:rsid w:val="00790A96"/>
    <w:rsid w:val="00790BE3"/>
    <w:rsid w:val="00790FC4"/>
    <w:rsid w:val="0079106C"/>
    <w:rsid w:val="007910DC"/>
    <w:rsid w:val="007911A3"/>
    <w:rsid w:val="0079149A"/>
    <w:rsid w:val="007914E2"/>
    <w:rsid w:val="0079165F"/>
    <w:rsid w:val="007918AB"/>
    <w:rsid w:val="0079196F"/>
    <w:rsid w:val="00791AB0"/>
    <w:rsid w:val="00792165"/>
    <w:rsid w:val="007922C0"/>
    <w:rsid w:val="00792432"/>
    <w:rsid w:val="007924DA"/>
    <w:rsid w:val="0079255F"/>
    <w:rsid w:val="007925D6"/>
    <w:rsid w:val="0079261F"/>
    <w:rsid w:val="00792709"/>
    <w:rsid w:val="007927C6"/>
    <w:rsid w:val="00792800"/>
    <w:rsid w:val="00792969"/>
    <w:rsid w:val="007929EB"/>
    <w:rsid w:val="0079300A"/>
    <w:rsid w:val="00793121"/>
    <w:rsid w:val="007932A8"/>
    <w:rsid w:val="007935B5"/>
    <w:rsid w:val="00793828"/>
    <w:rsid w:val="0079396B"/>
    <w:rsid w:val="00793A61"/>
    <w:rsid w:val="00793AF5"/>
    <w:rsid w:val="00793B34"/>
    <w:rsid w:val="00793C18"/>
    <w:rsid w:val="00793CDB"/>
    <w:rsid w:val="00793D38"/>
    <w:rsid w:val="00793D57"/>
    <w:rsid w:val="00793ECD"/>
    <w:rsid w:val="0079400F"/>
    <w:rsid w:val="0079401A"/>
    <w:rsid w:val="0079407D"/>
    <w:rsid w:val="00794090"/>
    <w:rsid w:val="0079413D"/>
    <w:rsid w:val="00794441"/>
    <w:rsid w:val="0079466E"/>
    <w:rsid w:val="007947ED"/>
    <w:rsid w:val="0079480A"/>
    <w:rsid w:val="00794963"/>
    <w:rsid w:val="00794981"/>
    <w:rsid w:val="00794AE4"/>
    <w:rsid w:val="00794B3A"/>
    <w:rsid w:val="00794CC8"/>
    <w:rsid w:val="00794CF9"/>
    <w:rsid w:val="00794D74"/>
    <w:rsid w:val="00794E1D"/>
    <w:rsid w:val="00794E5F"/>
    <w:rsid w:val="00794EB1"/>
    <w:rsid w:val="00795015"/>
    <w:rsid w:val="007952F5"/>
    <w:rsid w:val="00795328"/>
    <w:rsid w:val="00795390"/>
    <w:rsid w:val="0079542D"/>
    <w:rsid w:val="0079582F"/>
    <w:rsid w:val="00795B63"/>
    <w:rsid w:val="00795CB4"/>
    <w:rsid w:val="00795CE1"/>
    <w:rsid w:val="00795D7A"/>
    <w:rsid w:val="00796008"/>
    <w:rsid w:val="00796312"/>
    <w:rsid w:val="00796416"/>
    <w:rsid w:val="0079684E"/>
    <w:rsid w:val="00796941"/>
    <w:rsid w:val="00796BF6"/>
    <w:rsid w:val="00796C1B"/>
    <w:rsid w:val="00796DC1"/>
    <w:rsid w:val="00796DFB"/>
    <w:rsid w:val="00796FEA"/>
    <w:rsid w:val="00797064"/>
    <w:rsid w:val="00797155"/>
    <w:rsid w:val="007974AE"/>
    <w:rsid w:val="0079750E"/>
    <w:rsid w:val="00797773"/>
    <w:rsid w:val="0079784A"/>
    <w:rsid w:val="007979A2"/>
    <w:rsid w:val="007979AB"/>
    <w:rsid w:val="007979C9"/>
    <w:rsid w:val="007979F6"/>
    <w:rsid w:val="00797AD2"/>
    <w:rsid w:val="00797B04"/>
    <w:rsid w:val="00797B26"/>
    <w:rsid w:val="00797CA0"/>
    <w:rsid w:val="00797E6D"/>
    <w:rsid w:val="00797EC5"/>
    <w:rsid w:val="00797F24"/>
    <w:rsid w:val="007A00AF"/>
    <w:rsid w:val="007A03DD"/>
    <w:rsid w:val="007A0422"/>
    <w:rsid w:val="007A0B2E"/>
    <w:rsid w:val="007A0EAB"/>
    <w:rsid w:val="007A10E4"/>
    <w:rsid w:val="007A11D0"/>
    <w:rsid w:val="007A1421"/>
    <w:rsid w:val="007A16C0"/>
    <w:rsid w:val="007A190E"/>
    <w:rsid w:val="007A1A50"/>
    <w:rsid w:val="007A1CD1"/>
    <w:rsid w:val="007A1DBC"/>
    <w:rsid w:val="007A1E3C"/>
    <w:rsid w:val="007A20C5"/>
    <w:rsid w:val="007A2246"/>
    <w:rsid w:val="007A2267"/>
    <w:rsid w:val="007A22C5"/>
    <w:rsid w:val="007A24C0"/>
    <w:rsid w:val="007A26C6"/>
    <w:rsid w:val="007A285F"/>
    <w:rsid w:val="007A2BDF"/>
    <w:rsid w:val="007A2CAA"/>
    <w:rsid w:val="007A2D09"/>
    <w:rsid w:val="007A2E10"/>
    <w:rsid w:val="007A322C"/>
    <w:rsid w:val="007A33FE"/>
    <w:rsid w:val="007A3416"/>
    <w:rsid w:val="007A344F"/>
    <w:rsid w:val="007A34B5"/>
    <w:rsid w:val="007A3556"/>
    <w:rsid w:val="007A356B"/>
    <w:rsid w:val="007A399E"/>
    <w:rsid w:val="007A39FB"/>
    <w:rsid w:val="007A3B7C"/>
    <w:rsid w:val="007A3D01"/>
    <w:rsid w:val="007A3D04"/>
    <w:rsid w:val="007A3D48"/>
    <w:rsid w:val="007A3DA2"/>
    <w:rsid w:val="007A3F3D"/>
    <w:rsid w:val="007A3FDD"/>
    <w:rsid w:val="007A442E"/>
    <w:rsid w:val="007A4579"/>
    <w:rsid w:val="007A45B3"/>
    <w:rsid w:val="007A4691"/>
    <w:rsid w:val="007A4A33"/>
    <w:rsid w:val="007A4DED"/>
    <w:rsid w:val="007A4E19"/>
    <w:rsid w:val="007A4E48"/>
    <w:rsid w:val="007A51A3"/>
    <w:rsid w:val="007A52BF"/>
    <w:rsid w:val="007A54B4"/>
    <w:rsid w:val="007A558A"/>
    <w:rsid w:val="007A566A"/>
    <w:rsid w:val="007A571A"/>
    <w:rsid w:val="007A57A6"/>
    <w:rsid w:val="007A5803"/>
    <w:rsid w:val="007A599C"/>
    <w:rsid w:val="007A5A0E"/>
    <w:rsid w:val="007A5A2B"/>
    <w:rsid w:val="007A5BC9"/>
    <w:rsid w:val="007A5BEC"/>
    <w:rsid w:val="007A5C61"/>
    <w:rsid w:val="007A5CA2"/>
    <w:rsid w:val="007A5EBC"/>
    <w:rsid w:val="007A5FCE"/>
    <w:rsid w:val="007A6340"/>
    <w:rsid w:val="007A65B1"/>
    <w:rsid w:val="007A66C0"/>
    <w:rsid w:val="007A675F"/>
    <w:rsid w:val="007A67CA"/>
    <w:rsid w:val="007A6A44"/>
    <w:rsid w:val="007A6AF4"/>
    <w:rsid w:val="007A6B26"/>
    <w:rsid w:val="007A6D94"/>
    <w:rsid w:val="007A6E30"/>
    <w:rsid w:val="007A7050"/>
    <w:rsid w:val="007A73DF"/>
    <w:rsid w:val="007A780B"/>
    <w:rsid w:val="007A7884"/>
    <w:rsid w:val="007A799B"/>
    <w:rsid w:val="007A7AC9"/>
    <w:rsid w:val="007A7D40"/>
    <w:rsid w:val="007A7D6D"/>
    <w:rsid w:val="007B0007"/>
    <w:rsid w:val="007B0023"/>
    <w:rsid w:val="007B00FC"/>
    <w:rsid w:val="007B0194"/>
    <w:rsid w:val="007B049C"/>
    <w:rsid w:val="007B04DD"/>
    <w:rsid w:val="007B050B"/>
    <w:rsid w:val="007B0741"/>
    <w:rsid w:val="007B0D6A"/>
    <w:rsid w:val="007B0D81"/>
    <w:rsid w:val="007B0D8B"/>
    <w:rsid w:val="007B0E7C"/>
    <w:rsid w:val="007B0F2D"/>
    <w:rsid w:val="007B10B3"/>
    <w:rsid w:val="007B10E0"/>
    <w:rsid w:val="007B118D"/>
    <w:rsid w:val="007B11EF"/>
    <w:rsid w:val="007B1375"/>
    <w:rsid w:val="007B1556"/>
    <w:rsid w:val="007B17D1"/>
    <w:rsid w:val="007B18BC"/>
    <w:rsid w:val="007B1929"/>
    <w:rsid w:val="007B192A"/>
    <w:rsid w:val="007B1955"/>
    <w:rsid w:val="007B1E0F"/>
    <w:rsid w:val="007B1F9C"/>
    <w:rsid w:val="007B20ED"/>
    <w:rsid w:val="007B227A"/>
    <w:rsid w:val="007B22D2"/>
    <w:rsid w:val="007B2317"/>
    <w:rsid w:val="007B23BA"/>
    <w:rsid w:val="007B2575"/>
    <w:rsid w:val="007B2874"/>
    <w:rsid w:val="007B2A19"/>
    <w:rsid w:val="007B2C12"/>
    <w:rsid w:val="007B2DF3"/>
    <w:rsid w:val="007B2F3F"/>
    <w:rsid w:val="007B302E"/>
    <w:rsid w:val="007B30D9"/>
    <w:rsid w:val="007B320D"/>
    <w:rsid w:val="007B3546"/>
    <w:rsid w:val="007B3860"/>
    <w:rsid w:val="007B39B4"/>
    <w:rsid w:val="007B3A56"/>
    <w:rsid w:val="007B3D4A"/>
    <w:rsid w:val="007B3DC7"/>
    <w:rsid w:val="007B3F99"/>
    <w:rsid w:val="007B4025"/>
    <w:rsid w:val="007B4166"/>
    <w:rsid w:val="007B433D"/>
    <w:rsid w:val="007B43B5"/>
    <w:rsid w:val="007B449F"/>
    <w:rsid w:val="007B45FF"/>
    <w:rsid w:val="007B4686"/>
    <w:rsid w:val="007B46CC"/>
    <w:rsid w:val="007B4757"/>
    <w:rsid w:val="007B4851"/>
    <w:rsid w:val="007B48F0"/>
    <w:rsid w:val="007B49BF"/>
    <w:rsid w:val="007B49C0"/>
    <w:rsid w:val="007B4AA5"/>
    <w:rsid w:val="007B4EC9"/>
    <w:rsid w:val="007B5063"/>
    <w:rsid w:val="007B528F"/>
    <w:rsid w:val="007B547B"/>
    <w:rsid w:val="007B5889"/>
    <w:rsid w:val="007B5DBF"/>
    <w:rsid w:val="007B5DCC"/>
    <w:rsid w:val="007B5EB1"/>
    <w:rsid w:val="007B6063"/>
    <w:rsid w:val="007B621B"/>
    <w:rsid w:val="007B62B3"/>
    <w:rsid w:val="007B6337"/>
    <w:rsid w:val="007B634A"/>
    <w:rsid w:val="007B6403"/>
    <w:rsid w:val="007B65FE"/>
    <w:rsid w:val="007B672C"/>
    <w:rsid w:val="007B67EA"/>
    <w:rsid w:val="007B680C"/>
    <w:rsid w:val="007B6875"/>
    <w:rsid w:val="007B6C01"/>
    <w:rsid w:val="007B6CD2"/>
    <w:rsid w:val="007B6ED9"/>
    <w:rsid w:val="007B7035"/>
    <w:rsid w:val="007B718B"/>
    <w:rsid w:val="007B71F4"/>
    <w:rsid w:val="007B74BC"/>
    <w:rsid w:val="007B74DD"/>
    <w:rsid w:val="007B7600"/>
    <w:rsid w:val="007B76DA"/>
    <w:rsid w:val="007B770F"/>
    <w:rsid w:val="007B7781"/>
    <w:rsid w:val="007B77E1"/>
    <w:rsid w:val="007B78F0"/>
    <w:rsid w:val="007B7D1D"/>
    <w:rsid w:val="007B7E8E"/>
    <w:rsid w:val="007B7F60"/>
    <w:rsid w:val="007C0024"/>
    <w:rsid w:val="007C0177"/>
    <w:rsid w:val="007C01ED"/>
    <w:rsid w:val="007C0217"/>
    <w:rsid w:val="007C021F"/>
    <w:rsid w:val="007C0333"/>
    <w:rsid w:val="007C05ED"/>
    <w:rsid w:val="007C065B"/>
    <w:rsid w:val="007C0841"/>
    <w:rsid w:val="007C0A29"/>
    <w:rsid w:val="007C0A8D"/>
    <w:rsid w:val="007C0B88"/>
    <w:rsid w:val="007C109D"/>
    <w:rsid w:val="007C125E"/>
    <w:rsid w:val="007C1349"/>
    <w:rsid w:val="007C134D"/>
    <w:rsid w:val="007C1373"/>
    <w:rsid w:val="007C1653"/>
    <w:rsid w:val="007C167A"/>
    <w:rsid w:val="007C1703"/>
    <w:rsid w:val="007C1760"/>
    <w:rsid w:val="007C18D2"/>
    <w:rsid w:val="007C1A15"/>
    <w:rsid w:val="007C1B1E"/>
    <w:rsid w:val="007C1B9F"/>
    <w:rsid w:val="007C1CCF"/>
    <w:rsid w:val="007C2058"/>
    <w:rsid w:val="007C20C7"/>
    <w:rsid w:val="007C2584"/>
    <w:rsid w:val="007C25CB"/>
    <w:rsid w:val="007C25D7"/>
    <w:rsid w:val="007C261F"/>
    <w:rsid w:val="007C2926"/>
    <w:rsid w:val="007C2982"/>
    <w:rsid w:val="007C2A17"/>
    <w:rsid w:val="007C31A2"/>
    <w:rsid w:val="007C32A5"/>
    <w:rsid w:val="007C333A"/>
    <w:rsid w:val="007C347C"/>
    <w:rsid w:val="007C3484"/>
    <w:rsid w:val="007C3491"/>
    <w:rsid w:val="007C3495"/>
    <w:rsid w:val="007C34C1"/>
    <w:rsid w:val="007C36F8"/>
    <w:rsid w:val="007C3769"/>
    <w:rsid w:val="007C3A09"/>
    <w:rsid w:val="007C3BF3"/>
    <w:rsid w:val="007C3C9F"/>
    <w:rsid w:val="007C3D71"/>
    <w:rsid w:val="007C3E09"/>
    <w:rsid w:val="007C3E5F"/>
    <w:rsid w:val="007C3F76"/>
    <w:rsid w:val="007C3FD6"/>
    <w:rsid w:val="007C4014"/>
    <w:rsid w:val="007C41D1"/>
    <w:rsid w:val="007C429A"/>
    <w:rsid w:val="007C4555"/>
    <w:rsid w:val="007C4707"/>
    <w:rsid w:val="007C47EB"/>
    <w:rsid w:val="007C480E"/>
    <w:rsid w:val="007C497F"/>
    <w:rsid w:val="007C49BF"/>
    <w:rsid w:val="007C4A3F"/>
    <w:rsid w:val="007C4B71"/>
    <w:rsid w:val="007C4DB1"/>
    <w:rsid w:val="007C5207"/>
    <w:rsid w:val="007C5551"/>
    <w:rsid w:val="007C5560"/>
    <w:rsid w:val="007C557F"/>
    <w:rsid w:val="007C55B7"/>
    <w:rsid w:val="007C56BA"/>
    <w:rsid w:val="007C5795"/>
    <w:rsid w:val="007C5849"/>
    <w:rsid w:val="007C5C7B"/>
    <w:rsid w:val="007C5CCC"/>
    <w:rsid w:val="007C5DFC"/>
    <w:rsid w:val="007C6323"/>
    <w:rsid w:val="007C6341"/>
    <w:rsid w:val="007C67DB"/>
    <w:rsid w:val="007C68FF"/>
    <w:rsid w:val="007C6C85"/>
    <w:rsid w:val="007C6DB7"/>
    <w:rsid w:val="007C6FC0"/>
    <w:rsid w:val="007C6FCB"/>
    <w:rsid w:val="007C719D"/>
    <w:rsid w:val="007C72BA"/>
    <w:rsid w:val="007C7302"/>
    <w:rsid w:val="007C733C"/>
    <w:rsid w:val="007C7389"/>
    <w:rsid w:val="007C75B3"/>
    <w:rsid w:val="007C790A"/>
    <w:rsid w:val="007C7914"/>
    <w:rsid w:val="007C7AD3"/>
    <w:rsid w:val="007C7B3C"/>
    <w:rsid w:val="007C7CED"/>
    <w:rsid w:val="007D02CD"/>
    <w:rsid w:val="007D0318"/>
    <w:rsid w:val="007D03FE"/>
    <w:rsid w:val="007D0537"/>
    <w:rsid w:val="007D07C8"/>
    <w:rsid w:val="007D094B"/>
    <w:rsid w:val="007D0AF1"/>
    <w:rsid w:val="007D0C63"/>
    <w:rsid w:val="007D0D21"/>
    <w:rsid w:val="007D0DC1"/>
    <w:rsid w:val="007D0DE1"/>
    <w:rsid w:val="007D0ED9"/>
    <w:rsid w:val="007D0F91"/>
    <w:rsid w:val="007D1129"/>
    <w:rsid w:val="007D12F8"/>
    <w:rsid w:val="007D162A"/>
    <w:rsid w:val="007D16DF"/>
    <w:rsid w:val="007D1945"/>
    <w:rsid w:val="007D1961"/>
    <w:rsid w:val="007D1F38"/>
    <w:rsid w:val="007D1FA7"/>
    <w:rsid w:val="007D1FDA"/>
    <w:rsid w:val="007D2128"/>
    <w:rsid w:val="007D2493"/>
    <w:rsid w:val="007D25A0"/>
    <w:rsid w:val="007D276C"/>
    <w:rsid w:val="007D2791"/>
    <w:rsid w:val="007D2877"/>
    <w:rsid w:val="007D2912"/>
    <w:rsid w:val="007D2AB6"/>
    <w:rsid w:val="007D2B6B"/>
    <w:rsid w:val="007D2C11"/>
    <w:rsid w:val="007D2CE5"/>
    <w:rsid w:val="007D2D3C"/>
    <w:rsid w:val="007D2E95"/>
    <w:rsid w:val="007D2EA1"/>
    <w:rsid w:val="007D2F3A"/>
    <w:rsid w:val="007D2F6E"/>
    <w:rsid w:val="007D2FAC"/>
    <w:rsid w:val="007D32BE"/>
    <w:rsid w:val="007D3696"/>
    <w:rsid w:val="007D3908"/>
    <w:rsid w:val="007D3FBC"/>
    <w:rsid w:val="007D4035"/>
    <w:rsid w:val="007D4298"/>
    <w:rsid w:val="007D4497"/>
    <w:rsid w:val="007D45B2"/>
    <w:rsid w:val="007D46AF"/>
    <w:rsid w:val="007D4808"/>
    <w:rsid w:val="007D49E9"/>
    <w:rsid w:val="007D4A64"/>
    <w:rsid w:val="007D4B9B"/>
    <w:rsid w:val="007D4BE3"/>
    <w:rsid w:val="007D4C97"/>
    <w:rsid w:val="007D4D2B"/>
    <w:rsid w:val="007D50E1"/>
    <w:rsid w:val="007D5213"/>
    <w:rsid w:val="007D540A"/>
    <w:rsid w:val="007D5484"/>
    <w:rsid w:val="007D5513"/>
    <w:rsid w:val="007D55BE"/>
    <w:rsid w:val="007D58C5"/>
    <w:rsid w:val="007D5C69"/>
    <w:rsid w:val="007D5DED"/>
    <w:rsid w:val="007D6075"/>
    <w:rsid w:val="007D615C"/>
    <w:rsid w:val="007D62E8"/>
    <w:rsid w:val="007D642F"/>
    <w:rsid w:val="007D65FD"/>
    <w:rsid w:val="007D6726"/>
    <w:rsid w:val="007D67FE"/>
    <w:rsid w:val="007D69BA"/>
    <w:rsid w:val="007D6BC9"/>
    <w:rsid w:val="007D6CE0"/>
    <w:rsid w:val="007D6CE8"/>
    <w:rsid w:val="007D6F88"/>
    <w:rsid w:val="007D7015"/>
    <w:rsid w:val="007D71C9"/>
    <w:rsid w:val="007D74D4"/>
    <w:rsid w:val="007D7500"/>
    <w:rsid w:val="007D7567"/>
    <w:rsid w:val="007D75A3"/>
    <w:rsid w:val="007D75DB"/>
    <w:rsid w:val="007D76E8"/>
    <w:rsid w:val="007D7920"/>
    <w:rsid w:val="007D7B40"/>
    <w:rsid w:val="007D7D49"/>
    <w:rsid w:val="007D7E3C"/>
    <w:rsid w:val="007D7FD9"/>
    <w:rsid w:val="007E0034"/>
    <w:rsid w:val="007E005B"/>
    <w:rsid w:val="007E018D"/>
    <w:rsid w:val="007E0453"/>
    <w:rsid w:val="007E0523"/>
    <w:rsid w:val="007E0614"/>
    <w:rsid w:val="007E0662"/>
    <w:rsid w:val="007E09A2"/>
    <w:rsid w:val="007E0B52"/>
    <w:rsid w:val="007E0BAD"/>
    <w:rsid w:val="007E0C7C"/>
    <w:rsid w:val="007E0D84"/>
    <w:rsid w:val="007E0F39"/>
    <w:rsid w:val="007E0F53"/>
    <w:rsid w:val="007E1197"/>
    <w:rsid w:val="007E124B"/>
    <w:rsid w:val="007E1336"/>
    <w:rsid w:val="007E138D"/>
    <w:rsid w:val="007E13C1"/>
    <w:rsid w:val="007E1542"/>
    <w:rsid w:val="007E154E"/>
    <w:rsid w:val="007E1554"/>
    <w:rsid w:val="007E1595"/>
    <w:rsid w:val="007E1791"/>
    <w:rsid w:val="007E199C"/>
    <w:rsid w:val="007E19E8"/>
    <w:rsid w:val="007E1A47"/>
    <w:rsid w:val="007E1D77"/>
    <w:rsid w:val="007E1E48"/>
    <w:rsid w:val="007E1F27"/>
    <w:rsid w:val="007E2159"/>
    <w:rsid w:val="007E21C3"/>
    <w:rsid w:val="007E27A3"/>
    <w:rsid w:val="007E28FE"/>
    <w:rsid w:val="007E2942"/>
    <w:rsid w:val="007E2AA9"/>
    <w:rsid w:val="007E2FBE"/>
    <w:rsid w:val="007E2FE1"/>
    <w:rsid w:val="007E2FE9"/>
    <w:rsid w:val="007E31EE"/>
    <w:rsid w:val="007E32FD"/>
    <w:rsid w:val="007E33DF"/>
    <w:rsid w:val="007E3606"/>
    <w:rsid w:val="007E377C"/>
    <w:rsid w:val="007E39AD"/>
    <w:rsid w:val="007E3B99"/>
    <w:rsid w:val="007E3EAF"/>
    <w:rsid w:val="007E41F3"/>
    <w:rsid w:val="007E4293"/>
    <w:rsid w:val="007E42C6"/>
    <w:rsid w:val="007E42E7"/>
    <w:rsid w:val="007E4354"/>
    <w:rsid w:val="007E4538"/>
    <w:rsid w:val="007E47BD"/>
    <w:rsid w:val="007E48B0"/>
    <w:rsid w:val="007E4AB2"/>
    <w:rsid w:val="007E4AC4"/>
    <w:rsid w:val="007E4B32"/>
    <w:rsid w:val="007E4B44"/>
    <w:rsid w:val="007E4BDF"/>
    <w:rsid w:val="007E4E23"/>
    <w:rsid w:val="007E4EAD"/>
    <w:rsid w:val="007E5041"/>
    <w:rsid w:val="007E50DF"/>
    <w:rsid w:val="007E511A"/>
    <w:rsid w:val="007E51F3"/>
    <w:rsid w:val="007E5273"/>
    <w:rsid w:val="007E5419"/>
    <w:rsid w:val="007E5439"/>
    <w:rsid w:val="007E5449"/>
    <w:rsid w:val="007E552B"/>
    <w:rsid w:val="007E56DE"/>
    <w:rsid w:val="007E58D5"/>
    <w:rsid w:val="007E5C8C"/>
    <w:rsid w:val="007E5D4D"/>
    <w:rsid w:val="007E5DE3"/>
    <w:rsid w:val="007E5FDD"/>
    <w:rsid w:val="007E60FC"/>
    <w:rsid w:val="007E61CE"/>
    <w:rsid w:val="007E636E"/>
    <w:rsid w:val="007E6544"/>
    <w:rsid w:val="007E677C"/>
    <w:rsid w:val="007E67AE"/>
    <w:rsid w:val="007E6857"/>
    <w:rsid w:val="007E6912"/>
    <w:rsid w:val="007E693D"/>
    <w:rsid w:val="007E6BB5"/>
    <w:rsid w:val="007E6CB1"/>
    <w:rsid w:val="007E6E14"/>
    <w:rsid w:val="007E701C"/>
    <w:rsid w:val="007E7114"/>
    <w:rsid w:val="007E715C"/>
    <w:rsid w:val="007E721C"/>
    <w:rsid w:val="007E7236"/>
    <w:rsid w:val="007E737C"/>
    <w:rsid w:val="007E75BD"/>
    <w:rsid w:val="007E7A6E"/>
    <w:rsid w:val="007E7E29"/>
    <w:rsid w:val="007F00DA"/>
    <w:rsid w:val="007F013A"/>
    <w:rsid w:val="007F016A"/>
    <w:rsid w:val="007F0190"/>
    <w:rsid w:val="007F01A1"/>
    <w:rsid w:val="007F0777"/>
    <w:rsid w:val="007F0833"/>
    <w:rsid w:val="007F08FF"/>
    <w:rsid w:val="007F09C2"/>
    <w:rsid w:val="007F0E06"/>
    <w:rsid w:val="007F0EBC"/>
    <w:rsid w:val="007F0F5C"/>
    <w:rsid w:val="007F1036"/>
    <w:rsid w:val="007F11FB"/>
    <w:rsid w:val="007F12BE"/>
    <w:rsid w:val="007F13F1"/>
    <w:rsid w:val="007F154B"/>
    <w:rsid w:val="007F1690"/>
    <w:rsid w:val="007F1B76"/>
    <w:rsid w:val="007F1CED"/>
    <w:rsid w:val="007F1FC3"/>
    <w:rsid w:val="007F200C"/>
    <w:rsid w:val="007F2145"/>
    <w:rsid w:val="007F2327"/>
    <w:rsid w:val="007F2356"/>
    <w:rsid w:val="007F236C"/>
    <w:rsid w:val="007F2519"/>
    <w:rsid w:val="007F27D8"/>
    <w:rsid w:val="007F2CCF"/>
    <w:rsid w:val="007F2D5A"/>
    <w:rsid w:val="007F2E6D"/>
    <w:rsid w:val="007F2F5D"/>
    <w:rsid w:val="007F2FB1"/>
    <w:rsid w:val="007F300C"/>
    <w:rsid w:val="007F31EF"/>
    <w:rsid w:val="007F32F8"/>
    <w:rsid w:val="007F3315"/>
    <w:rsid w:val="007F349D"/>
    <w:rsid w:val="007F392F"/>
    <w:rsid w:val="007F3BD6"/>
    <w:rsid w:val="007F3E44"/>
    <w:rsid w:val="007F3E6B"/>
    <w:rsid w:val="007F42A2"/>
    <w:rsid w:val="007F4310"/>
    <w:rsid w:val="007F436C"/>
    <w:rsid w:val="007F4390"/>
    <w:rsid w:val="007F4470"/>
    <w:rsid w:val="007F462A"/>
    <w:rsid w:val="007F48AA"/>
    <w:rsid w:val="007F4A7C"/>
    <w:rsid w:val="007F4C35"/>
    <w:rsid w:val="007F5160"/>
    <w:rsid w:val="007F5379"/>
    <w:rsid w:val="007F5461"/>
    <w:rsid w:val="007F552B"/>
    <w:rsid w:val="007F5783"/>
    <w:rsid w:val="007F5A15"/>
    <w:rsid w:val="007F5A4C"/>
    <w:rsid w:val="007F5BFE"/>
    <w:rsid w:val="007F5E26"/>
    <w:rsid w:val="007F5ED3"/>
    <w:rsid w:val="007F619C"/>
    <w:rsid w:val="007F624F"/>
    <w:rsid w:val="007F6283"/>
    <w:rsid w:val="007F66E7"/>
    <w:rsid w:val="007F699E"/>
    <w:rsid w:val="007F6D27"/>
    <w:rsid w:val="007F6D5F"/>
    <w:rsid w:val="007F6DFD"/>
    <w:rsid w:val="007F6E99"/>
    <w:rsid w:val="007F711E"/>
    <w:rsid w:val="007F7235"/>
    <w:rsid w:val="007F7393"/>
    <w:rsid w:val="007F73D7"/>
    <w:rsid w:val="007F7552"/>
    <w:rsid w:val="007F7585"/>
    <w:rsid w:val="007F788E"/>
    <w:rsid w:val="007F79DB"/>
    <w:rsid w:val="007F79DD"/>
    <w:rsid w:val="007F7D96"/>
    <w:rsid w:val="007F7F2F"/>
    <w:rsid w:val="008002A8"/>
    <w:rsid w:val="008002DF"/>
    <w:rsid w:val="008003CA"/>
    <w:rsid w:val="00800461"/>
    <w:rsid w:val="008007B1"/>
    <w:rsid w:val="008009A2"/>
    <w:rsid w:val="00800AAF"/>
    <w:rsid w:val="00800BD5"/>
    <w:rsid w:val="00800E0B"/>
    <w:rsid w:val="00800E5A"/>
    <w:rsid w:val="0080123B"/>
    <w:rsid w:val="008013F6"/>
    <w:rsid w:val="00801448"/>
    <w:rsid w:val="00801C7F"/>
    <w:rsid w:val="00801C98"/>
    <w:rsid w:val="00801CD9"/>
    <w:rsid w:val="00801DF9"/>
    <w:rsid w:val="00801DFF"/>
    <w:rsid w:val="00801E39"/>
    <w:rsid w:val="00802131"/>
    <w:rsid w:val="00802145"/>
    <w:rsid w:val="00802188"/>
    <w:rsid w:val="0080227C"/>
    <w:rsid w:val="0080246B"/>
    <w:rsid w:val="008024CA"/>
    <w:rsid w:val="008025A5"/>
    <w:rsid w:val="0080274E"/>
    <w:rsid w:val="00802A44"/>
    <w:rsid w:val="00802B4D"/>
    <w:rsid w:val="00802B5B"/>
    <w:rsid w:val="00803102"/>
    <w:rsid w:val="0080325A"/>
    <w:rsid w:val="0080333C"/>
    <w:rsid w:val="00803461"/>
    <w:rsid w:val="008035E5"/>
    <w:rsid w:val="00803622"/>
    <w:rsid w:val="008036EC"/>
    <w:rsid w:val="00803726"/>
    <w:rsid w:val="008038F0"/>
    <w:rsid w:val="00803A55"/>
    <w:rsid w:val="00803A8D"/>
    <w:rsid w:val="00803AB0"/>
    <w:rsid w:val="00803B00"/>
    <w:rsid w:val="00803C05"/>
    <w:rsid w:val="00803ECD"/>
    <w:rsid w:val="008040FA"/>
    <w:rsid w:val="0080424A"/>
    <w:rsid w:val="0080426D"/>
    <w:rsid w:val="0080440D"/>
    <w:rsid w:val="00804643"/>
    <w:rsid w:val="008046A4"/>
    <w:rsid w:val="008047C4"/>
    <w:rsid w:val="00804A38"/>
    <w:rsid w:val="00804D1E"/>
    <w:rsid w:val="00804DFD"/>
    <w:rsid w:val="00804F72"/>
    <w:rsid w:val="0080525C"/>
    <w:rsid w:val="00805407"/>
    <w:rsid w:val="0080560E"/>
    <w:rsid w:val="00805798"/>
    <w:rsid w:val="008058DD"/>
    <w:rsid w:val="0080599B"/>
    <w:rsid w:val="008059DB"/>
    <w:rsid w:val="00805B72"/>
    <w:rsid w:val="00805BB0"/>
    <w:rsid w:val="00805DC1"/>
    <w:rsid w:val="00805E5E"/>
    <w:rsid w:val="0080658F"/>
    <w:rsid w:val="008066B1"/>
    <w:rsid w:val="008066B6"/>
    <w:rsid w:val="00806968"/>
    <w:rsid w:val="008069F2"/>
    <w:rsid w:val="00806A8D"/>
    <w:rsid w:val="00806B32"/>
    <w:rsid w:val="00806D35"/>
    <w:rsid w:val="00806DB6"/>
    <w:rsid w:val="008074A2"/>
    <w:rsid w:val="008075B3"/>
    <w:rsid w:val="008076A1"/>
    <w:rsid w:val="00807822"/>
    <w:rsid w:val="00807A0D"/>
    <w:rsid w:val="00807B56"/>
    <w:rsid w:val="00807E2E"/>
    <w:rsid w:val="008101F5"/>
    <w:rsid w:val="00810206"/>
    <w:rsid w:val="00810615"/>
    <w:rsid w:val="008106A7"/>
    <w:rsid w:val="008109B5"/>
    <w:rsid w:val="00810CBF"/>
    <w:rsid w:val="00810D4B"/>
    <w:rsid w:val="00810E6F"/>
    <w:rsid w:val="00810FF7"/>
    <w:rsid w:val="008111CB"/>
    <w:rsid w:val="00811312"/>
    <w:rsid w:val="008115FE"/>
    <w:rsid w:val="00811873"/>
    <w:rsid w:val="00811B68"/>
    <w:rsid w:val="00811BDD"/>
    <w:rsid w:val="0081207A"/>
    <w:rsid w:val="0081210A"/>
    <w:rsid w:val="0081229E"/>
    <w:rsid w:val="008123B7"/>
    <w:rsid w:val="0081278C"/>
    <w:rsid w:val="00812813"/>
    <w:rsid w:val="00812954"/>
    <w:rsid w:val="0081297D"/>
    <w:rsid w:val="00812AA6"/>
    <w:rsid w:val="00812AD7"/>
    <w:rsid w:val="00812B38"/>
    <w:rsid w:val="00812B43"/>
    <w:rsid w:val="00812BE6"/>
    <w:rsid w:val="00812CCB"/>
    <w:rsid w:val="00812D73"/>
    <w:rsid w:val="00812DB5"/>
    <w:rsid w:val="008130B8"/>
    <w:rsid w:val="0081367A"/>
    <w:rsid w:val="008136E7"/>
    <w:rsid w:val="00813AA0"/>
    <w:rsid w:val="00813AEF"/>
    <w:rsid w:val="00813B46"/>
    <w:rsid w:val="00813C17"/>
    <w:rsid w:val="00813C1F"/>
    <w:rsid w:val="00813E8A"/>
    <w:rsid w:val="00813F3B"/>
    <w:rsid w:val="008140B4"/>
    <w:rsid w:val="008142B6"/>
    <w:rsid w:val="008142EA"/>
    <w:rsid w:val="008145B1"/>
    <w:rsid w:val="008145F8"/>
    <w:rsid w:val="00814668"/>
    <w:rsid w:val="0081478C"/>
    <w:rsid w:val="00814A90"/>
    <w:rsid w:val="00814AA6"/>
    <w:rsid w:val="00814AC7"/>
    <w:rsid w:val="00814B45"/>
    <w:rsid w:val="00814CEA"/>
    <w:rsid w:val="00814FC6"/>
    <w:rsid w:val="008150D7"/>
    <w:rsid w:val="0081563A"/>
    <w:rsid w:val="008156A2"/>
    <w:rsid w:val="008156BE"/>
    <w:rsid w:val="008159FC"/>
    <w:rsid w:val="00815A5C"/>
    <w:rsid w:val="00815C49"/>
    <w:rsid w:val="00815CB5"/>
    <w:rsid w:val="00815CC4"/>
    <w:rsid w:val="00815F8C"/>
    <w:rsid w:val="00816029"/>
    <w:rsid w:val="00816070"/>
    <w:rsid w:val="008160FF"/>
    <w:rsid w:val="008162B7"/>
    <w:rsid w:val="008164DA"/>
    <w:rsid w:val="008165C0"/>
    <w:rsid w:val="00816767"/>
    <w:rsid w:val="008167D0"/>
    <w:rsid w:val="008169CD"/>
    <w:rsid w:val="00816A89"/>
    <w:rsid w:val="00816F4A"/>
    <w:rsid w:val="00816FE3"/>
    <w:rsid w:val="008170A9"/>
    <w:rsid w:val="00817142"/>
    <w:rsid w:val="008173F1"/>
    <w:rsid w:val="0081743C"/>
    <w:rsid w:val="0081745A"/>
    <w:rsid w:val="00817507"/>
    <w:rsid w:val="008175B8"/>
    <w:rsid w:val="008175D9"/>
    <w:rsid w:val="008178D8"/>
    <w:rsid w:val="00817B75"/>
    <w:rsid w:val="00817BEE"/>
    <w:rsid w:val="00817CCC"/>
    <w:rsid w:val="00817D2C"/>
    <w:rsid w:val="00817D83"/>
    <w:rsid w:val="00817DD0"/>
    <w:rsid w:val="00817E78"/>
    <w:rsid w:val="00817F01"/>
    <w:rsid w:val="00817F53"/>
    <w:rsid w:val="00820086"/>
    <w:rsid w:val="00820105"/>
    <w:rsid w:val="00820197"/>
    <w:rsid w:val="00820513"/>
    <w:rsid w:val="00820628"/>
    <w:rsid w:val="008206BB"/>
    <w:rsid w:val="00820707"/>
    <w:rsid w:val="00820AAD"/>
    <w:rsid w:val="00820B3F"/>
    <w:rsid w:val="00820DBC"/>
    <w:rsid w:val="00820EA2"/>
    <w:rsid w:val="00820F84"/>
    <w:rsid w:val="0082103A"/>
    <w:rsid w:val="008210CC"/>
    <w:rsid w:val="008211FC"/>
    <w:rsid w:val="0082135B"/>
    <w:rsid w:val="008213B2"/>
    <w:rsid w:val="008215FC"/>
    <w:rsid w:val="0082166A"/>
    <w:rsid w:val="008216D4"/>
    <w:rsid w:val="008219E1"/>
    <w:rsid w:val="00821C24"/>
    <w:rsid w:val="00821D0F"/>
    <w:rsid w:val="00821EEF"/>
    <w:rsid w:val="00822054"/>
    <w:rsid w:val="008221AF"/>
    <w:rsid w:val="00822202"/>
    <w:rsid w:val="008225AA"/>
    <w:rsid w:val="008225E3"/>
    <w:rsid w:val="00822697"/>
    <w:rsid w:val="00822748"/>
    <w:rsid w:val="00822883"/>
    <w:rsid w:val="00822A84"/>
    <w:rsid w:val="00822E4E"/>
    <w:rsid w:val="00822F02"/>
    <w:rsid w:val="00822F58"/>
    <w:rsid w:val="00822FED"/>
    <w:rsid w:val="0082312E"/>
    <w:rsid w:val="00823173"/>
    <w:rsid w:val="008232F4"/>
    <w:rsid w:val="0082335A"/>
    <w:rsid w:val="00823661"/>
    <w:rsid w:val="00823EA2"/>
    <w:rsid w:val="0082409A"/>
    <w:rsid w:val="008240D0"/>
    <w:rsid w:val="008240FE"/>
    <w:rsid w:val="0082413C"/>
    <w:rsid w:val="00824297"/>
    <w:rsid w:val="0082446F"/>
    <w:rsid w:val="0082458E"/>
    <w:rsid w:val="008249AD"/>
    <w:rsid w:val="00824BA8"/>
    <w:rsid w:val="008253BB"/>
    <w:rsid w:val="0082546A"/>
    <w:rsid w:val="00825860"/>
    <w:rsid w:val="00825865"/>
    <w:rsid w:val="00825956"/>
    <w:rsid w:val="00825B4F"/>
    <w:rsid w:val="00825D08"/>
    <w:rsid w:val="00825D0C"/>
    <w:rsid w:val="00825E5C"/>
    <w:rsid w:val="00825EE7"/>
    <w:rsid w:val="00826013"/>
    <w:rsid w:val="00826064"/>
    <w:rsid w:val="008260FB"/>
    <w:rsid w:val="00826C23"/>
    <w:rsid w:val="00826C82"/>
    <w:rsid w:val="00826D2F"/>
    <w:rsid w:val="00826ED3"/>
    <w:rsid w:val="00826EE7"/>
    <w:rsid w:val="008270AB"/>
    <w:rsid w:val="00827260"/>
    <w:rsid w:val="00827458"/>
    <w:rsid w:val="008275F9"/>
    <w:rsid w:val="008275FC"/>
    <w:rsid w:val="00827829"/>
    <w:rsid w:val="008278BF"/>
    <w:rsid w:val="00827901"/>
    <w:rsid w:val="00827945"/>
    <w:rsid w:val="00827963"/>
    <w:rsid w:val="00827A31"/>
    <w:rsid w:val="00827B1A"/>
    <w:rsid w:val="00827C30"/>
    <w:rsid w:val="00827CD4"/>
    <w:rsid w:val="00827D5A"/>
    <w:rsid w:val="00827F41"/>
    <w:rsid w:val="00827FCA"/>
    <w:rsid w:val="0083009D"/>
    <w:rsid w:val="008302E4"/>
    <w:rsid w:val="00830335"/>
    <w:rsid w:val="00830353"/>
    <w:rsid w:val="008303E4"/>
    <w:rsid w:val="008304FA"/>
    <w:rsid w:val="008305AD"/>
    <w:rsid w:val="008307BF"/>
    <w:rsid w:val="008307C9"/>
    <w:rsid w:val="00830839"/>
    <w:rsid w:val="00830CFB"/>
    <w:rsid w:val="00830E3D"/>
    <w:rsid w:val="008311B7"/>
    <w:rsid w:val="0083129C"/>
    <w:rsid w:val="00831482"/>
    <w:rsid w:val="008314C1"/>
    <w:rsid w:val="00831510"/>
    <w:rsid w:val="00831552"/>
    <w:rsid w:val="008315F8"/>
    <w:rsid w:val="008317FA"/>
    <w:rsid w:val="00831838"/>
    <w:rsid w:val="008319FE"/>
    <w:rsid w:val="00831A02"/>
    <w:rsid w:val="00831BC7"/>
    <w:rsid w:val="00831BF7"/>
    <w:rsid w:val="00831C04"/>
    <w:rsid w:val="00831C51"/>
    <w:rsid w:val="00831C57"/>
    <w:rsid w:val="00831C99"/>
    <w:rsid w:val="00831CDA"/>
    <w:rsid w:val="00831EA8"/>
    <w:rsid w:val="00832162"/>
    <w:rsid w:val="00832258"/>
    <w:rsid w:val="008322B7"/>
    <w:rsid w:val="00832587"/>
    <w:rsid w:val="008325C4"/>
    <w:rsid w:val="0083278E"/>
    <w:rsid w:val="00832926"/>
    <w:rsid w:val="00832A25"/>
    <w:rsid w:val="00832A3A"/>
    <w:rsid w:val="00832B0C"/>
    <w:rsid w:val="00832CD7"/>
    <w:rsid w:val="00832D25"/>
    <w:rsid w:val="00832E99"/>
    <w:rsid w:val="00832F0F"/>
    <w:rsid w:val="008330A3"/>
    <w:rsid w:val="008333FF"/>
    <w:rsid w:val="008335C3"/>
    <w:rsid w:val="0083383F"/>
    <w:rsid w:val="00833898"/>
    <w:rsid w:val="00833954"/>
    <w:rsid w:val="00833ADF"/>
    <w:rsid w:val="00833CE3"/>
    <w:rsid w:val="00833E3D"/>
    <w:rsid w:val="00833E8A"/>
    <w:rsid w:val="0083404B"/>
    <w:rsid w:val="0083411C"/>
    <w:rsid w:val="008342E6"/>
    <w:rsid w:val="00834553"/>
    <w:rsid w:val="00834845"/>
    <w:rsid w:val="00834989"/>
    <w:rsid w:val="00834A02"/>
    <w:rsid w:val="00834E5F"/>
    <w:rsid w:val="0083510A"/>
    <w:rsid w:val="0083541E"/>
    <w:rsid w:val="0083549B"/>
    <w:rsid w:val="00835562"/>
    <w:rsid w:val="00835760"/>
    <w:rsid w:val="008359F5"/>
    <w:rsid w:val="00835D2C"/>
    <w:rsid w:val="00835E8B"/>
    <w:rsid w:val="00836067"/>
    <w:rsid w:val="00836090"/>
    <w:rsid w:val="00836167"/>
    <w:rsid w:val="008364BB"/>
    <w:rsid w:val="008364C5"/>
    <w:rsid w:val="00836591"/>
    <w:rsid w:val="0083689B"/>
    <w:rsid w:val="0083690C"/>
    <w:rsid w:val="00836959"/>
    <w:rsid w:val="00836A7A"/>
    <w:rsid w:val="00836B5B"/>
    <w:rsid w:val="00836BF7"/>
    <w:rsid w:val="00836C99"/>
    <w:rsid w:val="00836CA4"/>
    <w:rsid w:val="00836E13"/>
    <w:rsid w:val="00836F48"/>
    <w:rsid w:val="00836F7F"/>
    <w:rsid w:val="00837115"/>
    <w:rsid w:val="00837512"/>
    <w:rsid w:val="00837D37"/>
    <w:rsid w:val="0083B753"/>
    <w:rsid w:val="008400DF"/>
    <w:rsid w:val="0084022D"/>
    <w:rsid w:val="00840232"/>
    <w:rsid w:val="0084043E"/>
    <w:rsid w:val="00840558"/>
    <w:rsid w:val="00840667"/>
    <w:rsid w:val="00840929"/>
    <w:rsid w:val="00840ABB"/>
    <w:rsid w:val="00840C7A"/>
    <w:rsid w:val="00840CA0"/>
    <w:rsid w:val="00840EA7"/>
    <w:rsid w:val="00840F72"/>
    <w:rsid w:val="008410B2"/>
    <w:rsid w:val="008415C9"/>
    <w:rsid w:val="00841605"/>
    <w:rsid w:val="00841787"/>
    <w:rsid w:val="0084188C"/>
    <w:rsid w:val="00841951"/>
    <w:rsid w:val="00841970"/>
    <w:rsid w:val="00841AE0"/>
    <w:rsid w:val="00841AE4"/>
    <w:rsid w:val="00841B6F"/>
    <w:rsid w:val="0084260B"/>
    <w:rsid w:val="008426A2"/>
    <w:rsid w:val="0084271D"/>
    <w:rsid w:val="0084288D"/>
    <w:rsid w:val="008428BE"/>
    <w:rsid w:val="00842AB5"/>
    <w:rsid w:val="00842AD5"/>
    <w:rsid w:val="00842B32"/>
    <w:rsid w:val="00842C64"/>
    <w:rsid w:val="00842CF4"/>
    <w:rsid w:val="00842F57"/>
    <w:rsid w:val="00843023"/>
    <w:rsid w:val="008432C1"/>
    <w:rsid w:val="00843476"/>
    <w:rsid w:val="0084353C"/>
    <w:rsid w:val="0084361E"/>
    <w:rsid w:val="00843675"/>
    <w:rsid w:val="0084372B"/>
    <w:rsid w:val="008438A9"/>
    <w:rsid w:val="00843AC3"/>
    <w:rsid w:val="008441AB"/>
    <w:rsid w:val="008441D4"/>
    <w:rsid w:val="00844419"/>
    <w:rsid w:val="0084444C"/>
    <w:rsid w:val="00844637"/>
    <w:rsid w:val="00844886"/>
    <w:rsid w:val="008448AF"/>
    <w:rsid w:val="00844A69"/>
    <w:rsid w:val="008451C9"/>
    <w:rsid w:val="0084537D"/>
    <w:rsid w:val="00845803"/>
    <w:rsid w:val="00845A4B"/>
    <w:rsid w:val="00845A9E"/>
    <w:rsid w:val="00845B18"/>
    <w:rsid w:val="00845C72"/>
    <w:rsid w:val="00845CAE"/>
    <w:rsid w:val="008460A9"/>
    <w:rsid w:val="008463D8"/>
    <w:rsid w:val="0084644A"/>
    <w:rsid w:val="008465AC"/>
    <w:rsid w:val="0084672C"/>
    <w:rsid w:val="00846B53"/>
    <w:rsid w:val="00846E3D"/>
    <w:rsid w:val="00846EB3"/>
    <w:rsid w:val="00846F24"/>
    <w:rsid w:val="00846F3C"/>
    <w:rsid w:val="008470C2"/>
    <w:rsid w:val="0084727A"/>
    <w:rsid w:val="00847622"/>
    <w:rsid w:val="0084798F"/>
    <w:rsid w:val="008479DF"/>
    <w:rsid w:val="00847A6F"/>
    <w:rsid w:val="00847D3D"/>
    <w:rsid w:val="00847EC9"/>
    <w:rsid w:val="00847F82"/>
    <w:rsid w:val="0085017A"/>
    <w:rsid w:val="008501DD"/>
    <w:rsid w:val="00850412"/>
    <w:rsid w:val="008504C0"/>
    <w:rsid w:val="00850527"/>
    <w:rsid w:val="0085058D"/>
    <w:rsid w:val="0085077A"/>
    <w:rsid w:val="0085086A"/>
    <w:rsid w:val="0085094E"/>
    <w:rsid w:val="00850D2C"/>
    <w:rsid w:val="00851031"/>
    <w:rsid w:val="008511A7"/>
    <w:rsid w:val="008512F4"/>
    <w:rsid w:val="00851920"/>
    <w:rsid w:val="008519C1"/>
    <w:rsid w:val="00851A01"/>
    <w:rsid w:val="00851DD1"/>
    <w:rsid w:val="00851E4E"/>
    <w:rsid w:val="00852232"/>
    <w:rsid w:val="00852265"/>
    <w:rsid w:val="00852316"/>
    <w:rsid w:val="00852615"/>
    <w:rsid w:val="00852725"/>
    <w:rsid w:val="00852945"/>
    <w:rsid w:val="00852BDE"/>
    <w:rsid w:val="00853192"/>
    <w:rsid w:val="008534CE"/>
    <w:rsid w:val="00853B6D"/>
    <w:rsid w:val="00853BAE"/>
    <w:rsid w:val="00853FDF"/>
    <w:rsid w:val="00854144"/>
    <w:rsid w:val="0085427A"/>
    <w:rsid w:val="008542E1"/>
    <w:rsid w:val="0085484B"/>
    <w:rsid w:val="008548A2"/>
    <w:rsid w:val="0085499C"/>
    <w:rsid w:val="00854BCC"/>
    <w:rsid w:val="00854C22"/>
    <w:rsid w:val="00854C5F"/>
    <w:rsid w:val="00854CD5"/>
    <w:rsid w:val="00854D42"/>
    <w:rsid w:val="00854ECC"/>
    <w:rsid w:val="00854FDE"/>
    <w:rsid w:val="0085516B"/>
    <w:rsid w:val="00855562"/>
    <w:rsid w:val="0085573E"/>
    <w:rsid w:val="0085581B"/>
    <w:rsid w:val="00855A6B"/>
    <w:rsid w:val="00855C2A"/>
    <w:rsid w:val="00855C49"/>
    <w:rsid w:val="00855D16"/>
    <w:rsid w:val="00855E44"/>
    <w:rsid w:val="008562CE"/>
    <w:rsid w:val="0085640E"/>
    <w:rsid w:val="00856428"/>
    <w:rsid w:val="0085643B"/>
    <w:rsid w:val="0085645D"/>
    <w:rsid w:val="00856727"/>
    <w:rsid w:val="008568E8"/>
    <w:rsid w:val="008568F2"/>
    <w:rsid w:val="00856EDE"/>
    <w:rsid w:val="00856F9F"/>
    <w:rsid w:val="00856FD0"/>
    <w:rsid w:val="0085723E"/>
    <w:rsid w:val="00857524"/>
    <w:rsid w:val="00857568"/>
    <w:rsid w:val="0085764A"/>
    <w:rsid w:val="00857883"/>
    <w:rsid w:val="0085798F"/>
    <w:rsid w:val="008579C1"/>
    <w:rsid w:val="00857E9D"/>
    <w:rsid w:val="00860071"/>
    <w:rsid w:val="008603D3"/>
    <w:rsid w:val="00860663"/>
    <w:rsid w:val="0086079C"/>
    <w:rsid w:val="0086083C"/>
    <w:rsid w:val="008609AC"/>
    <w:rsid w:val="00860C99"/>
    <w:rsid w:val="008611BC"/>
    <w:rsid w:val="00861205"/>
    <w:rsid w:val="0086182B"/>
    <w:rsid w:val="00861916"/>
    <w:rsid w:val="00861A49"/>
    <w:rsid w:val="00861AEE"/>
    <w:rsid w:val="00861BFC"/>
    <w:rsid w:val="00861E25"/>
    <w:rsid w:val="00861F09"/>
    <w:rsid w:val="00862006"/>
    <w:rsid w:val="00862098"/>
    <w:rsid w:val="008620E5"/>
    <w:rsid w:val="008623BA"/>
    <w:rsid w:val="0086257F"/>
    <w:rsid w:val="008627A0"/>
    <w:rsid w:val="00862932"/>
    <w:rsid w:val="00862D32"/>
    <w:rsid w:val="00862D77"/>
    <w:rsid w:val="00862DB9"/>
    <w:rsid w:val="00862DC0"/>
    <w:rsid w:val="00863442"/>
    <w:rsid w:val="008634D0"/>
    <w:rsid w:val="008634F4"/>
    <w:rsid w:val="00863634"/>
    <w:rsid w:val="0086369A"/>
    <w:rsid w:val="008637FC"/>
    <w:rsid w:val="00863A97"/>
    <w:rsid w:val="00863D4E"/>
    <w:rsid w:val="00863DB4"/>
    <w:rsid w:val="00863EA6"/>
    <w:rsid w:val="00863F7F"/>
    <w:rsid w:val="008640D7"/>
    <w:rsid w:val="00864101"/>
    <w:rsid w:val="008644AD"/>
    <w:rsid w:val="00864505"/>
    <w:rsid w:val="008646FB"/>
    <w:rsid w:val="00864D1D"/>
    <w:rsid w:val="00864ECE"/>
    <w:rsid w:val="00864F11"/>
    <w:rsid w:val="00864F4C"/>
    <w:rsid w:val="00865035"/>
    <w:rsid w:val="00865300"/>
    <w:rsid w:val="00865304"/>
    <w:rsid w:val="008658E4"/>
    <w:rsid w:val="00865A27"/>
    <w:rsid w:val="00865B77"/>
    <w:rsid w:val="00865BFB"/>
    <w:rsid w:val="00865C61"/>
    <w:rsid w:val="00866041"/>
    <w:rsid w:val="008660B5"/>
    <w:rsid w:val="0086617F"/>
    <w:rsid w:val="00866182"/>
    <w:rsid w:val="008661DA"/>
    <w:rsid w:val="00866388"/>
    <w:rsid w:val="00866493"/>
    <w:rsid w:val="008665B8"/>
    <w:rsid w:val="00866657"/>
    <w:rsid w:val="00866690"/>
    <w:rsid w:val="008668A6"/>
    <w:rsid w:val="008672D4"/>
    <w:rsid w:val="008672EE"/>
    <w:rsid w:val="00867305"/>
    <w:rsid w:val="00867313"/>
    <w:rsid w:val="008673E8"/>
    <w:rsid w:val="0086744F"/>
    <w:rsid w:val="0086746A"/>
    <w:rsid w:val="00867544"/>
    <w:rsid w:val="0086764A"/>
    <w:rsid w:val="00867697"/>
    <w:rsid w:val="0086784D"/>
    <w:rsid w:val="0086797B"/>
    <w:rsid w:val="00867AFA"/>
    <w:rsid w:val="00867B80"/>
    <w:rsid w:val="00870219"/>
    <w:rsid w:val="008703C6"/>
    <w:rsid w:val="0087049F"/>
    <w:rsid w:val="00870505"/>
    <w:rsid w:val="00870630"/>
    <w:rsid w:val="00870770"/>
    <w:rsid w:val="00870901"/>
    <w:rsid w:val="00870A4D"/>
    <w:rsid w:val="00870B24"/>
    <w:rsid w:val="00870BE4"/>
    <w:rsid w:val="00870D31"/>
    <w:rsid w:val="00870E06"/>
    <w:rsid w:val="00870F24"/>
    <w:rsid w:val="00870FE5"/>
    <w:rsid w:val="00871083"/>
    <w:rsid w:val="0087140E"/>
    <w:rsid w:val="00871534"/>
    <w:rsid w:val="008715B4"/>
    <w:rsid w:val="00871AF9"/>
    <w:rsid w:val="00871B0D"/>
    <w:rsid w:val="00871CDE"/>
    <w:rsid w:val="00871CFA"/>
    <w:rsid w:val="00871E57"/>
    <w:rsid w:val="00872086"/>
    <w:rsid w:val="008720CC"/>
    <w:rsid w:val="008720E1"/>
    <w:rsid w:val="008720F8"/>
    <w:rsid w:val="008722B8"/>
    <w:rsid w:val="0087246B"/>
    <w:rsid w:val="008725AC"/>
    <w:rsid w:val="00872963"/>
    <w:rsid w:val="008729BF"/>
    <w:rsid w:val="008729D9"/>
    <w:rsid w:val="00872AEB"/>
    <w:rsid w:val="00872AF1"/>
    <w:rsid w:val="00872F7E"/>
    <w:rsid w:val="00872FCF"/>
    <w:rsid w:val="008730EF"/>
    <w:rsid w:val="00873274"/>
    <w:rsid w:val="0087358D"/>
    <w:rsid w:val="00873758"/>
    <w:rsid w:val="00873873"/>
    <w:rsid w:val="008738EF"/>
    <w:rsid w:val="00873BF5"/>
    <w:rsid w:val="00873C8F"/>
    <w:rsid w:val="00873CAF"/>
    <w:rsid w:val="00873D0D"/>
    <w:rsid w:val="00873D2F"/>
    <w:rsid w:val="00873F26"/>
    <w:rsid w:val="00873F8B"/>
    <w:rsid w:val="008742E8"/>
    <w:rsid w:val="008742FA"/>
    <w:rsid w:val="00874400"/>
    <w:rsid w:val="0087453D"/>
    <w:rsid w:val="008748B5"/>
    <w:rsid w:val="008748C5"/>
    <w:rsid w:val="008748C8"/>
    <w:rsid w:val="00874939"/>
    <w:rsid w:val="0087498B"/>
    <w:rsid w:val="00874AEE"/>
    <w:rsid w:val="00874BD0"/>
    <w:rsid w:val="00874C93"/>
    <w:rsid w:val="00874FB7"/>
    <w:rsid w:val="00875082"/>
    <w:rsid w:val="008750B4"/>
    <w:rsid w:val="0087511E"/>
    <w:rsid w:val="0087538B"/>
    <w:rsid w:val="0087551A"/>
    <w:rsid w:val="008758EB"/>
    <w:rsid w:val="00875C28"/>
    <w:rsid w:val="00875C2A"/>
    <w:rsid w:val="00875D58"/>
    <w:rsid w:val="00875EC4"/>
    <w:rsid w:val="00875F43"/>
    <w:rsid w:val="00875F73"/>
    <w:rsid w:val="00875F76"/>
    <w:rsid w:val="008764FF"/>
    <w:rsid w:val="00876577"/>
    <w:rsid w:val="008766EF"/>
    <w:rsid w:val="0087684F"/>
    <w:rsid w:val="00876A87"/>
    <w:rsid w:val="00876AAD"/>
    <w:rsid w:val="00876C43"/>
    <w:rsid w:val="00876F9F"/>
    <w:rsid w:val="00876FAF"/>
    <w:rsid w:val="008771D0"/>
    <w:rsid w:val="0087729E"/>
    <w:rsid w:val="008772A9"/>
    <w:rsid w:val="008775CB"/>
    <w:rsid w:val="00877626"/>
    <w:rsid w:val="0087769F"/>
    <w:rsid w:val="008777EE"/>
    <w:rsid w:val="00877C50"/>
    <w:rsid w:val="00877C63"/>
    <w:rsid w:val="00877CC4"/>
    <w:rsid w:val="00877EA4"/>
    <w:rsid w:val="00877F3D"/>
    <w:rsid w:val="00880196"/>
    <w:rsid w:val="00880280"/>
    <w:rsid w:val="00880371"/>
    <w:rsid w:val="008806CA"/>
    <w:rsid w:val="008806F2"/>
    <w:rsid w:val="0088072D"/>
    <w:rsid w:val="00880997"/>
    <w:rsid w:val="00880B5A"/>
    <w:rsid w:val="00880C98"/>
    <w:rsid w:val="00880D85"/>
    <w:rsid w:val="00880E62"/>
    <w:rsid w:val="00880ECF"/>
    <w:rsid w:val="00880ED8"/>
    <w:rsid w:val="00881127"/>
    <w:rsid w:val="0088155A"/>
    <w:rsid w:val="00881658"/>
    <w:rsid w:val="008818F9"/>
    <w:rsid w:val="00881B83"/>
    <w:rsid w:val="00881B98"/>
    <w:rsid w:val="00881BAB"/>
    <w:rsid w:val="00881E17"/>
    <w:rsid w:val="0088206B"/>
    <w:rsid w:val="00882A32"/>
    <w:rsid w:val="00882BBB"/>
    <w:rsid w:val="00882BCA"/>
    <w:rsid w:val="00882D0C"/>
    <w:rsid w:val="00882D90"/>
    <w:rsid w:val="00882E56"/>
    <w:rsid w:val="00882EF7"/>
    <w:rsid w:val="00883003"/>
    <w:rsid w:val="00883936"/>
    <w:rsid w:val="00883C72"/>
    <w:rsid w:val="00883DE1"/>
    <w:rsid w:val="00883F62"/>
    <w:rsid w:val="00883F6A"/>
    <w:rsid w:val="0088427A"/>
    <w:rsid w:val="0088446E"/>
    <w:rsid w:val="00884492"/>
    <w:rsid w:val="008847A3"/>
    <w:rsid w:val="0088492B"/>
    <w:rsid w:val="008849DA"/>
    <w:rsid w:val="00884ABD"/>
    <w:rsid w:val="00884BD2"/>
    <w:rsid w:val="00884DD8"/>
    <w:rsid w:val="00884E05"/>
    <w:rsid w:val="00884E81"/>
    <w:rsid w:val="00884EA9"/>
    <w:rsid w:val="00884EDA"/>
    <w:rsid w:val="00884F2B"/>
    <w:rsid w:val="0088520F"/>
    <w:rsid w:val="008853CC"/>
    <w:rsid w:val="008858FF"/>
    <w:rsid w:val="008859C8"/>
    <w:rsid w:val="00885AA7"/>
    <w:rsid w:val="00885B5B"/>
    <w:rsid w:val="00885D68"/>
    <w:rsid w:val="00885E92"/>
    <w:rsid w:val="00885FF9"/>
    <w:rsid w:val="00886044"/>
    <w:rsid w:val="00886135"/>
    <w:rsid w:val="00886145"/>
    <w:rsid w:val="00886276"/>
    <w:rsid w:val="008864F0"/>
    <w:rsid w:val="008865DA"/>
    <w:rsid w:val="008865FD"/>
    <w:rsid w:val="0088661A"/>
    <w:rsid w:val="00886644"/>
    <w:rsid w:val="00886762"/>
    <w:rsid w:val="0088677C"/>
    <w:rsid w:val="008867BE"/>
    <w:rsid w:val="00886A94"/>
    <w:rsid w:val="00886DCA"/>
    <w:rsid w:val="00886FF8"/>
    <w:rsid w:val="00887019"/>
    <w:rsid w:val="00887101"/>
    <w:rsid w:val="00887263"/>
    <w:rsid w:val="00887299"/>
    <w:rsid w:val="008873CB"/>
    <w:rsid w:val="0088779C"/>
    <w:rsid w:val="008877F4"/>
    <w:rsid w:val="00887817"/>
    <w:rsid w:val="0088786A"/>
    <w:rsid w:val="00887883"/>
    <w:rsid w:val="00887A87"/>
    <w:rsid w:val="00887B8A"/>
    <w:rsid w:val="00887D21"/>
    <w:rsid w:val="00887D5F"/>
    <w:rsid w:val="00887D70"/>
    <w:rsid w:val="00887E59"/>
    <w:rsid w:val="00887E7D"/>
    <w:rsid w:val="00887EDD"/>
    <w:rsid w:val="00890197"/>
    <w:rsid w:val="008902D6"/>
    <w:rsid w:val="008903E9"/>
    <w:rsid w:val="00890551"/>
    <w:rsid w:val="00890672"/>
    <w:rsid w:val="00890735"/>
    <w:rsid w:val="00890823"/>
    <w:rsid w:val="008908E7"/>
    <w:rsid w:val="00890A7B"/>
    <w:rsid w:val="00890B24"/>
    <w:rsid w:val="00890C49"/>
    <w:rsid w:val="00890F87"/>
    <w:rsid w:val="00891104"/>
    <w:rsid w:val="0089113A"/>
    <w:rsid w:val="0089122A"/>
    <w:rsid w:val="0089172E"/>
    <w:rsid w:val="00891A15"/>
    <w:rsid w:val="00891A92"/>
    <w:rsid w:val="00891C8C"/>
    <w:rsid w:val="00891F35"/>
    <w:rsid w:val="0089202E"/>
    <w:rsid w:val="00892095"/>
    <w:rsid w:val="008921FA"/>
    <w:rsid w:val="00892216"/>
    <w:rsid w:val="0089239B"/>
    <w:rsid w:val="008924C1"/>
    <w:rsid w:val="00892619"/>
    <w:rsid w:val="00892672"/>
    <w:rsid w:val="008926EB"/>
    <w:rsid w:val="0089270A"/>
    <w:rsid w:val="00892823"/>
    <w:rsid w:val="008928CB"/>
    <w:rsid w:val="00892C70"/>
    <w:rsid w:val="00892C7C"/>
    <w:rsid w:val="00892E65"/>
    <w:rsid w:val="00892FF9"/>
    <w:rsid w:val="00892FFF"/>
    <w:rsid w:val="008933A3"/>
    <w:rsid w:val="0089347B"/>
    <w:rsid w:val="00893762"/>
    <w:rsid w:val="00893955"/>
    <w:rsid w:val="008939A9"/>
    <w:rsid w:val="00893AD6"/>
    <w:rsid w:val="00893B37"/>
    <w:rsid w:val="00893C33"/>
    <w:rsid w:val="00893C78"/>
    <w:rsid w:val="00893F0B"/>
    <w:rsid w:val="0089414B"/>
    <w:rsid w:val="00894579"/>
    <w:rsid w:val="008945F5"/>
    <w:rsid w:val="008946CE"/>
    <w:rsid w:val="008948D4"/>
    <w:rsid w:val="00894B67"/>
    <w:rsid w:val="00894B6F"/>
    <w:rsid w:val="00894B7C"/>
    <w:rsid w:val="00894E63"/>
    <w:rsid w:val="00895032"/>
    <w:rsid w:val="00895136"/>
    <w:rsid w:val="008952E0"/>
    <w:rsid w:val="00895546"/>
    <w:rsid w:val="008955A5"/>
    <w:rsid w:val="0089570C"/>
    <w:rsid w:val="00895B42"/>
    <w:rsid w:val="00895BA4"/>
    <w:rsid w:val="00895C3F"/>
    <w:rsid w:val="00895F54"/>
    <w:rsid w:val="008960E9"/>
    <w:rsid w:val="008961D9"/>
    <w:rsid w:val="00896311"/>
    <w:rsid w:val="00896436"/>
    <w:rsid w:val="008964B1"/>
    <w:rsid w:val="008966CA"/>
    <w:rsid w:val="0089672D"/>
    <w:rsid w:val="00896ABA"/>
    <w:rsid w:val="00896B15"/>
    <w:rsid w:val="00896B25"/>
    <w:rsid w:val="00896B6E"/>
    <w:rsid w:val="00896E09"/>
    <w:rsid w:val="008972B4"/>
    <w:rsid w:val="008978C0"/>
    <w:rsid w:val="00897975"/>
    <w:rsid w:val="00897ABF"/>
    <w:rsid w:val="00897B51"/>
    <w:rsid w:val="00897CFF"/>
    <w:rsid w:val="00897EC1"/>
    <w:rsid w:val="00897F4D"/>
    <w:rsid w:val="008A0170"/>
    <w:rsid w:val="008A05F9"/>
    <w:rsid w:val="008A0668"/>
    <w:rsid w:val="008A0833"/>
    <w:rsid w:val="008A091D"/>
    <w:rsid w:val="008A0AB3"/>
    <w:rsid w:val="008A0DD1"/>
    <w:rsid w:val="008A0FB6"/>
    <w:rsid w:val="008A0FFD"/>
    <w:rsid w:val="008A1196"/>
    <w:rsid w:val="008A1408"/>
    <w:rsid w:val="008A1518"/>
    <w:rsid w:val="008A18DA"/>
    <w:rsid w:val="008A1985"/>
    <w:rsid w:val="008A19D4"/>
    <w:rsid w:val="008A1C7E"/>
    <w:rsid w:val="008A1C8F"/>
    <w:rsid w:val="008A1D5B"/>
    <w:rsid w:val="008A2375"/>
    <w:rsid w:val="008A23B4"/>
    <w:rsid w:val="008A2498"/>
    <w:rsid w:val="008A25D3"/>
    <w:rsid w:val="008A29C3"/>
    <w:rsid w:val="008A2AD5"/>
    <w:rsid w:val="008A2B90"/>
    <w:rsid w:val="008A2E4D"/>
    <w:rsid w:val="008A2E61"/>
    <w:rsid w:val="008A2EA3"/>
    <w:rsid w:val="008A2EED"/>
    <w:rsid w:val="008A304F"/>
    <w:rsid w:val="008A310B"/>
    <w:rsid w:val="008A371F"/>
    <w:rsid w:val="008A378F"/>
    <w:rsid w:val="008A37FE"/>
    <w:rsid w:val="008A3851"/>
    <w:rsid w:val="008A3B02"/>
    <w:rsid w:val="008A3DC6"/>
    <w:rsid w:val="008A436B"/>
    <w:rsid w:val="008A4500"/>
    <w:rsid w:val="008A4589"/>
    <w:rsid w:val="008A4611"/>
    <w:rsid w:val="008A4619"/>
    <w:rsid w:val="008A488E"/>
    <w:rsid w:val="008A48CE"/>
    <w:rsid w:val="008A49E4"/>
    <w:rsid w:val="008A4ABB"/>
    <w:rsid w:val="008A4B22"/>
    <w:rsid w:val="008A4B6F"/>
    <w:rsid w:val="008A5095"/>
    <w:rsid w:val="008A514B"/>
    <w:rsid w:val="008A53A5"/>
    <w:rsid w:val="008A540F"/>
    <w:rsid w:val="008A5429"/>
    <w:rsid w:val="008A553D"/>
    <w:rsid w:val="008A5635"/>
    <w:rsid w:val="008A5669"/>
    <w:rsid w:val="008A5727"/>
    <w:rsid w:val="008A59B0"/>
    <w:rsid w:val="008A5AB0"/>
    <w:rsid w:val="008A5B1A"/>
    <w:rsid w:val="008A5C75"/>
    <w:rsid w:val="008A5CA4"/>
    <w:rsid w:val="008A5D84"/>
    <w:rsid w:val="008A5E5C"/>
    <w:rsid w:val="008A5F56"/>
    <w:rsid w:val="008A6190"/>
    <w:rsid w:val="008A61C0"/>
    <w:rsid w:val="008A6231"/>
    <w:rsid w:val="008A623D"/>
    <w:rsid w:val="008A62AD"/>
    <w:rsid w:val="008A663B"/>
    <w:rsid w:val="008A6685"/>
    <w:rsid w:val="008A6884"/>
    <w:rsid w:val="008A6885"/>
    <w:rsid w:val="008A695B"/>
    <w:rsid w:val="008A6962"/>
    <w:rsid w:val="008A6983"/>
    <w:rsid w:val="008A6A4A"/>
    <w:rsid w:val="008A6CD6"/>
    <w:rsid w:val="008A6DFD"/>
    <w:rsid w:val="008A6E1C"/>
    <w:rsid w:val="008A6E66"/>
    <w:rsid w:val="008A7123"/>
    <w:rsid w:val="008A7A0E"/>
    <w:rsid w:val="008A7ACC"/>
    <w:rsid w:val="008A7C28"/>
    <w:rsid w:val="008A7D39"/>
    <w:rsid w:val="008A7D40"/>
    <w:rsid w:val="008A7E34"/>
    <w:rsid w:val="008B00F4"/>
    <w:rsid w:val="008B03D9"/>
    <w:rsid w:val="008B0644"/>
    <w:rsid w:val="008B06A6"/>
    <w:rsid w:val="008B07E4"/>
    <w:rsid w:val="008B07FC"/>
    <w:rsid w:val="008B0967"/>
    <w:rsid w:val="008B0C67"/>
    <w:rsid w:val="008B0C84"/>
    <w:rsid w:val="008B0D69"/>
    <w:rsid w:val="008B0EB6"/>
    <w:rsid w:val="008B0F9F"/>
    <w:rsid w:val="008B11CB"/>
    <w:rsid w:val="008B1525"/>
    <w:rsid w:val="008B1686"/>
    <w:rsid w:val="008B177A"/>
    <w:rsid w:val="008B178C"/>
    <w:rsid w:val="008B1A90"/>
    <w:rsid w:val="008B1FBA"/>
    <w:rsid w:val="008B21F5"/>
    <w:rsid w:val="008B2415"/>
    <w:rsid w:val="008B28A8"/>
    <w:rsid w:val="008B2953"/>
    <w:rsid w:val="008B2D3D"/>
    <w:rsid w:val="008B30EC"/>
    <w:rsid w:val="008B30F2"/>
    <w:rsid w:val="008B31B4"/>
    <w:rsid w:val="008B32F3"/>
    <w:rsid w:val="008B35C8"/>
    <w:rsid w:val="008B3B1F"/>
    <w:rsid w:val="008B3B2C"/>
    <w:rsid w:val="008B3BD3"/>
    <w:rsid w:val="008B3D4A"/>
    <w:rsid w:val="008B3DEF"/>
    <w:rsid w:val="008B4105"/>
    <w:rsid w:val="008B41C0"/>
    <w:rsid w:val="008B4203"/>
    <w:rsid w:val="008B437A"/>
    <w:rsid w:val="008B43A6"/>
    <w:rsid w:val="008B4591"/>
    <w:rsid w:val="008B45EE"/>
    <w:rsid w:val="008B470B"/>
    <w:rsid w:val="008B498B"/>
    <w:rsid w:val="008B4B18"/>
    <w:rsid w:val="008B4B45"/>
    <w:rsid w:val="008B4E20"/>
    <w:rsid w:val="008B4E5D"/>
    <w:rsid w:val="008B4ECB"/>
    <w:rsid w:val="008B5254"/>
    <w:rsid w:val="008B5266"/>
    <w:rsid w:val="008B56CC"/>
    <w:rsid w:val="008B57B8"/>
    <w:rsid w:val="008B587A"/>
    <w:rsid w:val="008B59BA"/>
    <w:rsid w:val="008B5A75"/>
    <w:rsid w:val="008B5AD6"/>
    <w:rsid w:val="008B5C86"/>
    <w:rsid w:val="008B5E8A"/>
    <w:rsid w:val="008B5E9F"/>
    <w:rsid w:val="008B5F2A"/>
    <w:rsid w:val="008B5F72"/>
    <w:rsid w:val="008B60AA"/>
    <w:rsid w:val="008B60D5"/>
    <w:rsid w:val="008B6104"/>
    <w:rsid w:val="008B6169"/>
    <w:rsid w:val="008B622F"/>
    <w:rsid w:val="008B62D0"/>
    <w:rsid w:val="008B64F4"/>
    <w:rsid w:val="008B6516"/>
    <w:rsid w:val="008B6574"/>
    <w:rsid w:val="008B668D"/>
    <w:rsid w:val="008B66B2"/>
    <w:rsid w:val="008B67AA"/>
    <w:rsid w:val="008B67BB"/>
    <w:rsid w:val="008B6800"/>
    <w:rsid w:val="008B6821"/>
    <w:rsid w:val="008B6AC0"/>
    <w:rsid w:val="008B6AED"/>
    <w:rsid w:val="008B6BFE"/>
    <w:rsid w:val="008B6F5D"/>
    <w:rsid w:val="008B6FDE"/>
    <w:rsid w:val="008B70DA"/>
    <w:rsid w:val="008B7102"/>
    <w:rsid w:val="008B71E6"/>
    <w:rsid w:val="008B71F8"/>
    <w:rsid w:val="008B7245"/>
    <w:rsid w:val="008B72E3"/>
    <w:rsid w:val="008B7315"/>
    <w:rsid w:val="008B745C"/>
    <w:rsid w:val="008B7725"/>
    <w:rsid w:val="008B7826"/>
    <w:rsid w:val="008B7898"/>
    <w:rsid w:val="008B7AE2"/>
    <w:rsid w:val="008B7DE2"/>
    <w:rsid w:val="008B7E85"/>
    <w:rsid w:val="008B7EDE"/>
    <w:rsid w:val="008C0684"/>
    <w:rsid w:val="008C0872"/>
    <w:rsid w:val="008C0A7B"/>
    <w:rsid w:val="008C0BA9"/>
    <w:rsid w:val="008C0EAF"/>
    <w:rsid w:val="008C0F0C"/>
    <w:rsid w:val="008C122D"/>
    <w:rsid w:val="008C13EF"/>
    <w:rsid w:val="008C156C"/>
    <w:rsid w:val="008C1590"/>
    <w:rsid w:val="008C1599"/>
    <w:rsid w:val="008C159B"/>
    <w:rsid w:val="008C1767"/>
    <w:rsid w:val="008C17A3"/>
    <w:rsid w:val="008C17A8"/>
    <w:rsid w:val="008C18CA"/>
    <w:rsid w:val="008C1A4D"/>
    <w:rsid w:val="008C1BEF"/>
    <w:rsid w:val="008C1C21"/>
    <w:rsid w:val="008C1CA3"/>
    <w:rsid w:val="008C1DDF"/>
    <w:rsid w:val="008C2194"/>
    <w:rsid w:val="008C21D8"/>
    <w:rsid w:val="008C2218"/>
    <w:rsid w:val="008C2356"/>
    <w:rsid w:val="008C2682"/>
    <w:rsid w:val="008C2817"/>
    <w:rsid w:val="008C2822"/>
    <w:rsid w:val="008C2B63"/>
    <w:rsid w:val="008C2DAA"/>
    <w:rsid w:val="008C2DEC"/>
    <w:rsid w:val="008C2E23"/>
    <w:rsid w:val="008C2ED1"/>
    <w:rsid w:val="008C2F48"/>
    <w:rsid w:val="008C3100"/>
    <w:rsid w:val="008C319D"/>
    <w:rsid w:val="008C334B"/>
    <w:rsid w:val="008C3386"/>
    <w:rsid w:val="008C3449"/>
    <w:rsid w:val="008C36C6"/>
    <w:rsid w:val="008C3B26"/>
    <w:rsid w:val="008C4088"/>
    <w:rsid w:val="008C409D"/>
    <w:rsid w:val="008C4128"/>
    <w:rsid w:val="008C45A3"/>
    <w:rsid w:val="008C4707"/>
    <w:rsid w:val="008C48CE"/>
    <w:rsid w:val="008C493A"/>
    <w:rsid w:val="008C498B"/>
    <w:rsid w:val="008C4B30"/>
    <w:rsid w:val="008C4DD8"/>
    <w:rsid w:val="008C5101"/>
    <w:rsid w:val="008C55F3"/>
    <w:rsid w:val="008C5633"/>
    <w:rsid w:val="008C567B"/>
    <w:rsid w:val="008C570A"/>
    <w:rsid w:val="008C5A8F"/>
    <w:rsid w:val="008C5AC5"/>
    <w:rsid w:val="008C5C24"/>
    <w:rsid w:val="008C5C2B"/>
    <w:rsid w:val="008C5D6C"/>
    <w:rsid w:val="008C60D7"/>
    <w:rsid w:val="008C6284"/>
    <w:rsid w:val="008C6476"/>
    <w:rsid w:val="008C64B9"/>
    <w:rsid w:val="008C6560"/>
    <w:rsid w:val="008C656E"/>
    <w:rsid w:val="008C6614"/>
    <w:rsid w:val="008C6618"/>
    <w:rsid w:val="008C6659"/>
    <w:rsid w:val="008C6713"/>
    <w:rsid w:val="008C6A42"/>
    <w:rsid w:val="008C6ACB"/>
    <w:rsid w:val="008C6AD4"/>
    <w:rsid w:val="008C6B9E"/>
    <w:rsid w:val="008C6C55"/>
    <w:rsid w:val="008C6C84"/>
    <w:rsid w:val="008C6E07"/>
    <w:rsid w:val="008C702E"/>
    <w:rsid w:val="008C7110"/>
    <w:rsid w:val="008C7271"/>
    <w:rsid w:val="008C730F"/>
    <w:rsid w:val="008C737F"/>
    <w:rsid w:val="008C7698"/>
    <w:rsid w:val="008C76D8"/>
    <w:rsid w:val="008C7715"/>
    <w:rsid w:val="008C7781"/>
    <w:rsid w:val="008C78D2"/>
    <w:rsid w:val="008C78DD"/>
    <w:rsid w:val="008C7CDD"/>
    <w:rsid w:val="008C7D38"/>
    <w:rsid w:val="008C7DEE"/>
    <w:rsid w:val="008C7F7E"/>
    <w:rsid w:val="008D040B"/>
    <w:rsid w:val="008D05EF"/>
    <w:rsid w:val="008D0650"/>
    <w:rsid w:val="008D0773"/>
    <w:rsid w:val="008D07B0"/>
    <w:rsid w:val="008D0A54"/>
    <w:rsid w:val="008D0A6D"/>
    <w:rsid w:val="008D0AC6"/>
    <w:rsid w:val="008D0AD4"/>
    <w:rsid w:val="008D0B80"/>
    <w:rsid w:val="008D0B9B"/>
    <w:rsid w:val="008D0D35"/>
    <w:rsid w:val="008D0D55"/>
    <w:rsid w:val="008D0DA5"/>
    <w:rsid w:val="008D0DD7"/>
    <w:rsid w:val="008D1151"/>
    <w:rsid w:val="008D123C"/>
    <w:rsid w:val="008D1756"/>
    <w:rsid w:val="008D1807"/>
    <w:rsid w:val="008D1975"/>
    <w:rsid w:val="008D1A86"/>
    <w:rsid w:val="008D1E31"/>
    <w:rsid w:val="008D22DB"/>
    <w:rsid w:val="008D2393"/>
    <w:rsid w:val="008D240F"/>
    <w:rsid w:val="008D267F"/>
    <w:rsid w:val="008D268F"/>
    <w:rsid w:val="008D2836"/>
    <w:rsid w:val="008D2A1F"/>
    <w:rsid w:val="008D2A22"/>
    <w:rsid w:val="008D2BFC"/>
    <w:rsid w:val="008D2EBA"/>
    <w:rsid w:val="008D2F25"/>
    <w:rsid w:val="008D2F8D"/>
    <w:rsid w:val="008D3242"/>
    <w:rsid w:val="008D3267"/>
    <w:rsid w:val="008D334A"/>
    <w:rsid w:val="008D334C"/>
    <w:rsid w:val="008D361D"/>
    <w:rsid w:val="008D3633"/>
    <w:rsid w:val="008D36C5"/>
    <w:rsid w:val="008D3AB3"/>
    <w:rsid w:val="008D3BC0"/>
    <w:rsid w:val="008D3C01"/>
    <w:rsid w:val="008D3F0E"/>
    <w:rsid w:val="008D403A"/>
    <w:rsid w:val="008D41AE"/>
    <w:rsid w:val="008D45FF"/>
    <w:rsid w:val="008D47BB"/>
    <w:rsid w:val="008D47E3"/>
    <w:rsid w:val="008D488B"/>
    <w:rsid w:val="008D49B6"/>
    <w:rsid w:val="008D4C7D"/>
    <w:rsid w:val="008D4CC5"/>
    <w:rsid w:val="008D4DEC"/>
    <w:rsid w:val="008D52FE"/>
    <w:rsid w:val="008D5391"/>
    <w:rsid w:val="008D5510"/>
    <w:rsid w:val="008D576B"/>
    <w:rsid w:val="008D5779"/>
    <w:rsid w:val="008D5A74"/>
    <w:rsid w:val="008D5B64"/>
    <w:rsid w:val="008D5BB4"/>
    <w:rsid w:val="008D5CD7"/>
    <w:rsid w:val="008D5D2E"/>
    <w:rsid w:val="008D6098"/>
    <w:rsid w:val="008D6102"/>
    <w:rsid w:val="008D615A"/>
    <w:rsid w:val="008D6180"/>
    <w:rsid w:val="008D62A9"/>
    <w:rsid w:val="008D6377"/>
    <w:rsid w:val="008D65EE"/>
    <w:rsid w:val="008D6818"/>
    <w:rsid w:val="008D6853"/>
    <w:rsid w:val="008D6A20"/>
    <w:rsid w:val="008D6C05"/>
    <w:rsid w:val="008D6C7A"/>
    <w:rsid w:val="008D6DA3"/>
    <w:rsid w:val="008D6EF7"/>
    <w:rsid w:val="008D705A"/>
    <w:rsid w:val="008D709F"/>
    <w:rsid w:val="008D70A4"/>
    <w:rsid w:val="008D70F6"/>
    <w:rsid w:val="008D7178"/>
    <w:rsid w:val="008D717D"/>
    <w:rsid w:val="008D7195"/>
    <w:rsid w:val="008D7197"/>
    <w:rsid w:val="008D7309"/>
    <w:rsid w:val="008D73EE"/>
    <w:rsid w:val="008D75F9"/>
    <w:rsid w:val="008D7679"/>
    <w:rsid w:val="008D76DF"/>
    <w:rsid w:val="008D7973"/>
    <w:rsid w:val="008D79C2"/>
    <w:rsid w:val="008D79C3"/>
    <w:rsid w:val="008D7ACA"/>
    <w:rsid w:val="008D7C37"/>
    <w:rsid w:val="008D7E08"/>
    <w:rsid w:val="008E00D4"/>
    <w:rsid w:val="008E0232"/>
    <w:rsid w:val="008E02AD"/>
    <w:rsid w:val="008E0566"/>
    <w:rsid w:val="008E05C9"/>
    <w:rsid w:val="008E07C6"/>
    <w:rsid w:val="008E07F5"/>
    <w:rsid w:val="008E08BB"/>
    <w:rsid w:val="008E08EB"/>
    <w:rsid w:val="008E0A20"/>
    <w:rsid w:val="008E0C81"/>
    <w:rsid w:val="008E0EE8"/>
    <w:rsid w:val="008E1075"/>
    <w:rsid w:val="008E12DF"/>
    <w:rsid w:val="008E13CB"/>
    <w:rsid w:val="008E13E3"/>
    <w:rsid w:val="008E160D"/>
    <w:rsid w:val="008E183D"/>
    <w:rsid w:val="008E1912"/>
    <w:rsid w:val="008E195B"/>
    <w:rsid w:val="008E19A7"/>
    <w:rsid w:val="008E1C74"/>
    <w:rsid w:val="008E1F00"/>
    <w:rsid w:val="008E1F8E"/>
    <w:rsid w:val="008E2054"/>
    <w:rsid w:val="008E2286"/>
    <w:rsid w:val="008E26DB"/>
    <w:rsid w:val="008E26EA"/>
    <w:rsid w:val="008E2799"/>
    <w:rsid w:val="008E27E4"/>
    <w:rsid w:val="008E2D58"/>
    <w:rsid w:val="008E2F59"/>
    <w:rsid w:val="008E3028"/>
    <w:rsid w:val="008E30C0"/>
    <w:rsid w:val="008E314D"/>
    <w:rsid w:val="008E3151"/>
    <w:rsid w:val="008E3277"/>
    <w:rsid w:val="008E36F1"/>
    <w:rsid w:val="008E37A6"/>
    <w:rsid w:val="008E3AC4"/>
    <w:rsid w:val="008E3BDC"/>
    <w:rsid w:val="008E3D17"/>
    <w:rsid w:val="008E3E0F"/>
    <w:rsid w:val="008E3F73"/>
    <w:rsid w:val="008E4120"/>
    <w:rsid w:val="008E43B8"/>
    <w:rsid w:val="008E46A9"/>
    <w:rsid w:val="008E46C7"/>
    <w:rsid w:val="008E4799"/>
    <w:rsid w:val="008E482E"/>
    <w:rsid w:val="008E4A37"/>
    <w:rsid w:val="008E4BB5"/>
    <w:rsid w:val="008E4CFE"/>
    <w:rsid w:val="008E4F24"/>
    <w:rsid w:val="008E54E2"/>
    <w:rsid w:val="008E55E5"/>
    <w:rsid w:val="008E57DD"/>
    <w:rsid w:val="008E5B4F"/>
    <w:rsid w:val="008E5C85"/>
    <w:rsid w:val="008E5FC6"/>
    <w:rsid w:val="008E6051"/>
    <w:rsid w:val="008E6082"/>
    <w:rsid w:val="008E6666"/>
    <w:rsid w:val="008E66F9"/>
    <w:rsid w:val="008E68A1"/>
    <w:rsid w:val="008E6A18"/>
    <w:rsid w:val="008E6B20"/>
    <w:rsid w:val="008E6D6E"/>
    <w:rsid w:val="008E6E79"/>
    <w:rsid w:val="008E71F6"/>
    <w:rsid w:val="008E72FB"/>
    <w:rsid w:val="008E7386"/>
    <w:rsid w:val="008E73AF"/>
    <w:rsid w:val="008E7473"/>
    <w:rsid w:val="008E7478"/>
    <w:rsid w:val="008E748C"/>
    <w:rsid w:val="008E7633"/>
    <w:rsid w:val="008E7846"/>
    <w:rsid w:val="008E7864"/>
    <w:rsid w:val="008E78FB"/>
    <w:rsid w:val="008E7A3B"/>
    <w:rsid w:val="008E7C4B"/>
    <w:rsid w:val="008E7D0A"/>
    <w:rsid w:val="008F00FE"/>
    <w:rsid w:val="008F02B4"/>
    <w:rsid w:val="008F04C3"/>
    <w:rsid w:val="008F057C"/>
    <w:rsid w:val="008F0C76"/>
    <w:rsid w:val="008F0DF5"/>
    <w:rsid w:val="008F0E02"/>
    <w:rsid w:val="008F0EF5"/>
    <w:rsid w:val="008F171A"/>
    <w:rsid w:val="008F17FC"/>
    <w:rsid w:val="008F1803"/>
    <w:rsid w:val="008F1856"/>
    <w:rsid w:val="008F197D"/>
    <w:rsid w:val="008F1B6A"/>
    <w:rsid w:val="008F1BD9"/>
    <w:rsid w:val="008F1D7A"/>
    <w:rsid w:val="008F2268"/>
    <w:rsid w:val="008F228C"/>
    <w:rsid w:val="008F24A4"/>
    <w:rsid w:val="008F29E4"/>
    <w:rsid w:val="008F2A76"/>
    <w:rsid w:val="008F2B08"/>
    <w:rsid w:val="008F2D5E"/>
    <w:rsid w:val="008F2DD0"/>
    <w:rsid w:val="008F2ED8"/>
    <w:rsid w:val="008F3179"/>
    <w:rsid w:val="008F32DF"/>
    <w:rsid w:val="008F3629"/>
    <w:rsid w:val="008F36D2"/>
    <w:rsid w:val="008F3884"/>
    <w:rsid w:val="008F3B4F"/>
    <w:rsid w:val="008F3B8A"/>
    <w:rsid w:val="008F3BE5"/>
    <w:rsid w:val="008F3C46"/>
    <w:rsid w:val="008F3D44"/>
    <w:rsid w:val="008F3D89"/>
    <w:rsid w:val="008F3ECE"/>
    <w:rsid w:val="008F4041"/>
    <w:rsid w:val="008F429E"/>
    <w:rsid w:val="008F42FC"/>
    <w:rsid w:val="008F43A1"/>
    <w:rsid w:val="008F45C4"/>
    <w:rsid w:val="008F466E"/>
    <w:rsid w:val="008F4690"/>
    <w:rsid w:val="008F46AF"/>
    <w:rsid w:val="008F46E3"/>
    <w:rsid w:val="008F46F2"/>
    <w:rsid w:val="008F4707"/>
    <w:rsid w:val="008F47D6"/>
    <w:rsid w:val="008F4807"/>
    <w:rsid w:val="008F49F3"/>
    <w:rsid w:val="008F4A42"/>
    <w:rsid w:val="008F4A46"/>
    <w:rsid w:val="008F4AC4"/>
    <w:rsid w:val="008F4E07"/>
    <w:rsid w:val="008F50BD"/>
    <w:rsid w:val="008F5128"/>
    <w:rsid w:val="008F51CB"/>
    <w:rsid w:val="008F5339"/>
    <w:rsid w:val="008F55D9"/>
    <w:rsid w:val="008F59F2"/>
    <w:rsid w:val="008F5DD7"/>
    <w:rsid w:val="008F60B2"/>
    <w:rsid w:val="008F6116"/>
    <w:rsid w:val="008F625F"/>
    <w:rsid w:val="008F63CC"/>
    <w:rsid w:val="008F6423"/>
    <w:rsid w:val="008F6502"/>
    <w:rsid w:val="008F66B4"/>
    <w:rsid w:val="008F68A1"/>
    <w:rsid w:val="008F690C"/>
    <w:rsid w:val="008F6974"/>
    <w:rsid w:val="008F6BFD"/>
    <w:rsid w:val="008F6E15"/>
    <w:rsid w:val="008F6FD5"/>
    <w:rsid w:val="008F716B"/>
    <w:rsid w:val="008F72B8"/>
    <w:rsid w:val="008F762F"/>
    <w:rsid w:val="008F76E5"/>
    <w:rsid w:val="008F7BAA"/>
    <w:rsid w:val="008F7EB3"/>
    <w:rsid w:val="008F7F03"/>
    <w:rsid w:val="008F7F66"/>
    <w:rsid w:val="008F7F8B"/>
    <w:rsid w:val="008F7FAC"/>
    <w:rsid w:val="009001FC"/>
    <w:rsid w:val="00900331"/>
    <w:rsid w:val="00900391"/>
    <w:rsid w:val="009003B2"/>
    <w:rsid w:val="0090064E"/>
    <w:rsid w:val="009006BD"/>
    <w:rsid w:val="009006BF"/>
    <w:rsid w:val="00900719"/>
    <w:rsid w:val="00900A0E"/>
    <w:rsid w:val="00900A3A"/>
    <w:rsid w:val="00900B8F"/>
    <w:rsid w:val="00900DCE"/>
    <w:rsid w:val="00901109"/>
    <w:rsid w:val="009011F0"/>
    <w:rsid w:val="009011FE"/>
    <w:rsid w:val="00901237"/>
    <w:rsid w:val="0090145A"/>
    <w:rsid w:val="00901560"/>
    <w:rsid w:val="0090166C"/>
    <w:rsid w:val="00901683"/>
    <w:rsid w:val="00901826"/>
    <w:rsid w:val="00901B18"/>
    <w:rsid w:val="00901EDF"/>
    <w:rsid w:val="0090232C"/>
    <w:rsid w:val="009023BF"/>
    <w:rsid w:val="009025A4"/>
    <w:rsid w:val="0090278A"/>
    <w:rsid w:val="00902825"/>
    <w:rsid w:val="0090283B"/>
    <w:rsid w:val="009028DD"/>
    <w:rsid w:val="00902BFE"/>
    <w:rsid w:val="00902C1D"/>
    <w:rsid w:val="00902CFA"/>
    <w:rsid w:val="00902D09"/>
    <w:rsid w:val="00902D0E"/>
    <w:rsid w:val="00903133"/>
    <w:rsid w:val="0090363C"/>
    <w:rsid w:val="009036AA"/>
    <w:rsid w:val="009036AF"/>
    <w:rsid w:val="00903951"/>
    <w:rsid w:val="0090397B"/>
    <w:rsid w:val="00903A65"/>
    <w:rsid w:val="00903B11"/>
    <w:rsid w:val="00903C46"/>
    <w:rsid w:val="00903DAA"/>
    <w:rsid w:val="00904095"/>
    <w:rsid w:val="009040A4"/>
    <w:rsid w:val="009043ED"/>
    <w:rsid w:val="009045B8"/>
    <w:rsid w:val="009045D0"/>
    <w:rsid w:val="009046EC"/>
    <w:rsid w:val="00904EAF"/>
    <w:rsid w:val="0090516D"/>
    <w:rsid w:val="0090517F"/>
    <w:rsid w:val="00905299"/>
    <w:rsid w:val="009052A9"/>
    <w:rsid w:val="0090540A"/>
    <w:rsid w:val="00905555"/>
    <w:rsid w:val="009056D4"/>
    <w:rsid w:val="009059AB"/>
    <w:rsid w:val="00905B0E"/>
    <w:rsid w:val="00905BB5"/>
    <w:rsid w:val="00905E6B"/>
    <w:rsid w:val="00905F08"/>
    <w:rsid w:val="00905FC4"/>
    <w:rsid w:val="0090604D"/>
    <w:rsid w:val="009062ED"/>
    <w:rsid w:val="00906388"/>
    <w:rsid w:val="00906635"/>
    <w:rsid w:val="0090673B"/>
    <w:rsid w:val="00906AB6"/>
    <w:rsid w:val="00906AF0"/>
    <w:rsid w:val="00906BF6"/>
    <w:rsid w:val="00906CC2"/>
    <w:rsid w:val="00906EEB"/>
    <w:rsid w:val="00906FD0"/>
    <w:rsid w:val="009070A1"/>
    <w:rsid w:val="00907272"/>
    <w:rsid w:val="00907817"/>
    <w:rsid w:val="00907829"/>
    <w:rsid w:val="0090791A"/>
    <w:rsid w:val="00907AEE"/>
    <w:rsid w:val="00907B8D"/>
    <w:rsid w:val="00907D1E"/>
    <w:rsid w:val="00907F9D"/>
    <w:rsid w:val="009100F9"/>
    <w:rsid w:val="00910429"/>
    <w:rsid w:val="00910603"/>
    <w:rsid w:val="00910655"/>
    <w:rsid w:val="009106BF"/>
    <w:rsid w:val="009106F5"/>
    <w:rsid w:val="00910771"/>
    <w:rsid w:val="00910C01"/>
    <w:rsid w:val="00910C18"/>
    <w:rsid w:val="00910C31"/>
    <w:rsid w:val="00910CE1"/>
    <w:rsid w:val="00910F99"/>
    <w:rsid w:val="00911011"/>
    <w:rsid w:val="00911175"/>
    <w:rsid w:val="009113D1"/>
    <w:rsid w:val="009113E0"/>
    <w:rsid w:val="00911453"/>
    <w:rsid w:val="00911571"/>
    <w:rsid w:val="009118E8"/>
    <w:rsid w:val="00911A0C"/>
    <w:rsid w:val="00911D1E"/>
    <w:rsid w:val="00911D37"/>
    <w:rsid w:val="00911DE6"/>
    <w:rsid w:val="00911DEB"/>
    <w:rsid w:val="00912025"/>
    <w:rsid w:val="009120B2"/>
    <w:rsid w:val="0091215B"/>
    <w:rsid w:val="00912189"/>
    <w:rsid w:val="00912215"/>
    <w:rsid w:val="009125D0"/>
    <w:rsid w:val="00912615"/>
    <w:rsid w:val="0091294D"/>
    <w:rsid w:val="00912A0D"/>
    <w:rsid w:val="00912C27"/>
    <w:rsid w:val="00912D62"/>
    <w:rsid w:val="00913037"/>
    <w:rsid w:val="00913145"/>
    <w:rsid w:val="009135A1"/>
    <w:rsid w:val="00913619"/>
    <w:rsid w:val="00913777"/>
    <w:rsid w:val="0091396D"/>
    <w:rsid w:val="009139E8"/>
    <w:rsid w:val="00913AD6"/>
    <w:rsid w:val="00913BE0"/>
    <w:rsid w:val="00913E36"/>
    <w:rsid w:val="0091410B"/>
    <w:rsid w:val="009141C8"/>
    <w:rsid w:val="00914257"/>
    <w:rsid w:val="00914351"/>
    <w:rsid w:val="00914608"/>
    <w:rsid w:val="00914844"/>
    <w:rsid w:val="00914A69"/>
    <w:rsid w:val="00914B71"/>
    <w:rsid w:val="00914C58"/>
    <w:rsid w:val="00914C93"/>
    <w:rsid w:val="00914D83"/>
    <w:rsid w:val="00914F27"/>
    <w:rsid w:val="00915067"/>
    <w:rsid w:val="0091540A"/>
    <w:rsid w:val="009158B6"/>
    <w:rsid w:val="00915AE3"/>
    <w:rsid w:val="00915C7B"/>
    <w:rsid w:val="00915CCB"/>
    <w:rsid w:val="00915FD1"/>
    <w:rsid w:val="009161A4"/>
    <w:rsid w:val="009161F0"/>
    <w:rsid w:val="009163E0"/>
    <w:rsid w:val="0091659A"/>
    <w:rsid w:val="009165FF"/>
    <w:rsid w:val="009166EA"/>
    <w:rsid w:val="009167CB"/>
    <w:rsid w:val="009167E7"/>
    <w:rsid w:val="00916852"/>
    <w:rsid w:val="00916881"/>
    <w:rsid w:val="00916956"/>
    <w:rsid w:val="009169BB"/>
    <w:rsid w:val="009169E3"/>
    <w:rsid w:val="00916A15"/>
    <w:rsid w:val="00916B67"/>
    <w:rsid w:val="00916DD3"/>
    <w:rsid w:val="00916ED5"/>
    <w:rsid w:val="00916F02"/>
    <w:rsid w:val="00916FB3"/>
    <w:rsid w:val="0091714C"/>
    <w:rsid w:val="00917177"/>
    <w:rsid w:val="009171A8"/>
    <w:rsid w:val="00917597"/>
    <w:rsid w:val="00917CF5"/>
    <w:rsid w:val="00917F26"/>
    <w:rsid w:val="00920025"/>
    <w:rsid w:val="0092040E"/>
    <w:rsid w:val="00920519"/>
    <w:rsid w:val="00920770"/>
    <w:rsid w:val="00920BA4"/>
    <w:rsid w:val="00920D1D"/>
    <w:rsid w:val="00920EA7"/>
    <w:rsid w:val="009210D1"/>
    <w:rsid w:val="0092122E"/>
    <w:rsid w:val="009215B6"/>
    <w:rsid w:val="00921843"/>
    <w:rsid w:val="0092197E"/>
    <w:rsid w:val="00921A55"/>
    <w:rsid w:val="00921ACA"/>
    <w:rsid w:val="00921AFD"/>
    <w:rsid w:val="00921C08"/>
    <w:rsid w:val="00921D04"/>
    <w:rsid w:val="00922010"/>
    <w:rsid w:val="00922170"/>
    <w:rsid w:val="009225D4"/>
    <w:rsid w:val="0092279F"/>
    <w:rsid w:val="00922A86"/>
    <w:rsid w:val="00922B21"/>
    <w:rsid w:val="00922C58"/>
    <w:rsid w:val="00922C75"/>
    <w:rsid w:val="0092306E"/>
    <w:rsid w:val="00923070"/>
    <w:rsid w:val="009230B6"/>
    <w:rsid w:val="0092314A"/>
    <w:rsid w:val="0092320A"/>
    <w:rsid w:val="00923384"/>
    <w:rsid w:val="009234BF"/>
    <w:rsid w:val="0092372C"/>
    <w:rsid w:val="0092381D"/>
    <w:rsid w:val="00923C12"/>
    <w:rsid w:val="00923C4F"/>
    <w:rsid w:val="00923D02"/>
    <w:rsid w:val="00923D10"/>
    <w:rsid w:val="00923E96"/>
    <w:rsid w:val="00923FAE"/>
    <w:rsid w:val="00924217"/>
    <w:rsid w:val="00924566"/>
    <w:rsid w:val="0092461F"/>
    <w:rsid w:val="0092469A"/>
    <w:rsid w:val="0092481A"/>
    <w:rsid w:val="00924902"/>
    <w:rsid w:val="009249EE"/>
    <w:rsid w:val="00924B4D"/>
    <w:rsid w:val="00924BC3"/>
    <w:rsid w:val="00924C89"/>
    <w:rsid w:val="00924D76"/>
    <w:rsid w:val="00924E9C"/>
    <w:rsid w:val="00925374"/>
    <w:rsid w:val="00925381"/>
    <w:rsid w:val="009253DA"/>
    <w:rsid w:val="0092542F"/>
    <w:rsid w:val="00925463"/>
    <w:rsid w:val="00925624"/>
    <w:rsid w:val="00925696"/>
    <w:rsid w:val="009257C5"/>
    <w:rsid w:val="00925EEA"/>
    <w:rsid w:val="00926433"/>
    <w:rsid w:val="009267BA"/>
    <w:rsid w:val="009268A0"/>
    <w:rsid w:val="00926972"/>
    <w:rsid w:val="009269B2"/>
    <w:rsid w:val="00926A47"/>
    <w:rsid w:val="00926FED"/>
    <w:rsid w:val="0092707A"/>
    <w:rsid w:val="009270E3"/>
    <w:rsid w:val="00927146"/>
    <w:rsid w:val="009271F9"/>
    <w:rsid w:val="00927546"/>
    <w:rsid w:val="009278E6"/>
    <w:rsid w:val="00927916"/>
    <w:rsid w:val="009279BB"/>
    <w:rsid w:val="00927C34"/>
    <w:rsid w:val="00927DD0"/>
    <w:rsid w:val="009301E7"/>
    <w:rsid w:val="00930302"/>
    <w:rsid w:val="009306D0"/>
    <w:rsid w:val="00930726"/>
    <w:rsid w:val="009307B3"/>
    <w:rsid w:val="00930C6F"/>
    <w:rsid w:val="00930CEC"/>
    <w:rsid w:val="00930E02"/>
    <w:rsid w:val="0093122E"/>
    <w:rsid w:val="00931301"/>
    <w:rsid w:val="00931429"/>
    <w:rsid w:val="00931441"/>
    <w:rsid w:val="00931469"/>
    <w:rsid w:val="009317B6"/>
    <w:rsid w:val="009317F9"/>
    <w:rsid w:val="00931830"/>
    <w:rsid w:val="009318AF"/>
    <w:rsid w:val="00931979"/>
    <w:rsid w:val="00931A68"/>
    <w:rsid w:val="00931AF4"/>
    <w:rsid w:val="00931B79"/>
    <w:rsid w:val="00931D22"/>
    <w:rsid w:val="00931D75"/>
    <w:rsid w:val="00931D84"/>
    <w:rsid w:val="00931F95"/>
    <w:rsid w:val="009320A0"/>
    <w:rsid w:val="009321CA"/>
    <w:rsid w:val="0093225F"/>
    <w:rsid w:val="00932284"/>
    <w:rsid w:val="009323EC"/>
    <w:rsid w:val="0093282D"/>
    <w:rsid w:val="00932A3A"/>
    <w:rsid w:val="00932ED8"/>
    <w:rsid w:val="0093302E"/>
    <w:rsid w:val="0093307B"/>
    <w:rsid w:val="00933225"/>
    <w:rsid w:val="00933428"/>
    <w:rsid w:val="00933580"/>
    <w:rsid w:val="009337B8"/>
    <w:rsid w:val="00933874"/>
    <w:rsid w:val="00933988"/>
    <w:rsid w:val="00933A60"/>
    <w:rsid w:val="00933B75"/>
    <w:rsid w:val="00933BC2"/>
    <w:rsid w:val="00933BE4"/>
    <w:rsid w:val="00933D2A"/>
    <w:rsid w:val="00933D2B"/>
    <w:rsid w:val="00933DC1"/>
    <w:rsid w:val="00934061"/>
    <w:rsid w:val="00934079"/>
    <w:rsid w:val="0093409F"/>
    <w:rsid w:val="00934197"/>
    <w:rsid w:val="009342F8"/>
    <w:rsid w:val="00934403"/>
    <w:rsid w:val="0093446D"/>
    <w:rsid w:val="00934701"/>
    <w:rsid w:val="00934772"/>
    <w:rsid w:val="00934BAC"/>
    <w:rsid w:val="00934D0B"/>
    <w:rsid w:val="00934D59"/>
    <w:rsid w:val="00934F82"/>
    <w:rsid w:val="00935223"/>
    <w:rsid w:val="00935AEB"/>
    <w:rsid w:val="00935B10"/>
    <w:rsid w:val="00935B65"/>
    <w:rsid w:val="00935BC9"/>
    <w:rsid w:val="00935D27"/>
    <w:rsid w:val="00936106"/>
    <w:rsid w:val="00936131"/>
    <w:rsid w:val="0093634E"/>
    <w:rsid w:val="0093638F"/>
    <w:rsid w:val="00936750"/>
    <w:rsid w:val="00936944"/>
    <w:rsid w:val="00936BAC"/>
    <w:rsid w:val="00937416"/>
    <w:rsid w:val="00937423"/>
    <w:rsid w:val="0093758C"/>
    <w:rsid w:val="0093764D"/>
    <w:rsid w:val="00937799"/>
    <w:rsid w:val="00937AE9"/>
    <w:rsid w:val="00937EC9"/>
    <w:rsid w:val="00940709"/>
    <w:rsid w:val="00940759"/>
    <w:rsid w:val="00940994"/>
    <w:rsid w:val="00940B6F"/>
    <w:rsid w:val="00940CFB"/>
    <w:rsid w:val="00940D81"/>
    <w:rsid w:val="00940ECB"/>
    <w:rsid w:val="00941201"/>
    <w:rsid w:val="00941221"/>
    <w:rsid w:val="00941274"/>
    <w:rsid w:val="00941289"/>
    <w:rsid w:val="009415E0"/>
    <w:rsid w:val="0094177F"/>
    <w:rsid w:val="00941B92"/>
    <w:rsid w:val="00941C7E"/>
    <w:rsid w:val="00941CA7"/>
    <w:rsid w:val="00941D63"/>
    <w:rsid w:val="00941D6F"/>
    <w:rsid w:val="00941E86"/>
    <w:rsid w:val="00941ED5"/>
    <w:rsid w:val="00941F37"/>
    <w:rsid w:val="00941FC2"/>
    <w:rsid w:val="00942053"/>
    <w:rsid w:val="0094213E"/>
    <w:rsid w:val="0094224D"/>
    <w:rsid w:val="00942419"/>
    <w:rsid w:val="009427C5"/>
    <w:rsid w:val="009428DE"/>
    <w:rsid w:val="0094297A"/>
    <w:rsid w:val="00942B64"/>
    <w:rsid w:val="00942BF4"/>
    <w:rsid w:val="00942C98"/>
    <w:rsid w:val="00942D7D"/>
    <w:rsid w:val="00942FB9"/>
    <w:rsid w:val="0094325C"/>
    <w:rsid w:val="00943431"/>
    <w:rsid w:val="00943437"/>
    <w:rsid w:val="009434D6"/>
    <w:rsid w:val="00943524"/>
    <w:rsid w:val="0094360C"/>
    <w:rsid w:val="009437AE"/>
    <w:rsid w:val="0094380C"/>
    <w:rsid w:val="009438D4"/>
    <w:rsid w:val="009439E4"/>
    <w:rsid w:val="00943B0C"/>
    <w:rsid w:val="00943D89"/>
    <w:rsid w:val="00943E81"/>
    <w:rsid w:val="00944194"/>
    <w:rsid w:val="0094425D"/>
    <w:rsid w:val="009442C6"/>
    <w:rsid w:val="00944506"/>
    <w:rsid w:val="0094457E"/>
    <w:rsid w:val="00944672"/>
    <w:rsid w:val="009446A5"/>
    <w:rsid w:val="009446F5"/>
    <w:rsid w:val="009447E6"/>
    <w:rsid w:val="00944BD9"/>
    <w:rsid w:val="00944BF0"/>
    <w:rsid w:val="00944D9E"/>
    <w:rsid w:val="0094518A"/>
    <w:rsid w:val="009451DB"/>
    <w:rsid w:val="00945207"/>
    <w:rsid w:val="00945235"/>
    <w:rsid w:val="00945300"/>
    <w:rsid w:val="00945641"/>
    <w:rsid w:val="009456B0"/>
    <w:rsid w:val="009456D8"/>
    <w:rsid w:val="00945868"/>
    <w:rsid w:val="009458E7"/>
    <w:rsid w:val="00945A00"/>
    <w:rsid w:val="00945BC0"/>
    <w:rsid w:val="00946393"/>
    <w:rsid w:val="0094670A"/>
    <w:rsid w:val="00946758"/>
    <w:rsid w:val="00946862"/>
    <w:rsid w:val="009468C0"/>
    <w:rsid w:val="009468C2"/>
    <w:rsid w:val="00946ADC"/>
    <w:rsid w:val="00946DD3"/>
    <w:rsid w:val="0094700E"/>
    <w:rsid w:val="0094716B"/>
    <w:rsid w:val="00947341"/>
    <w:rsid w:val="009476D4"/>
    <w:rsid w:val="0094778A"/>
    <w:rsid w:val="009478E9"/>
    <w:rsid w:val="00947A33"/>
    <w:rsid w:val="00947DCA"/>
    <w:rsid w:val="00947E32"/>
    <w:rsid w:val="00950015"/>
    <w:rsid w:val="00950068"/>
    <w:rsid w:val="009500CD"/>
    <w:rsid w:val="00950148"/>
    <w:rsid w:val="0095016A"/>
    <w:rsid w:val="0095021B"/>
    <w:rsid w:val="0095043B"/>
    <w:rsid w:val="009506B6"/>
    <w:rsid w:val="009509BE"/>
    <w:rsid w:val="00950B33"/>
    <w:rsid w:val="00950C3D"/>
    <w:rsid w:val="00950CD6"/>
    <w:rsid w:val="00950DAC"/>
    <w:rsid w:val="00950EB6"/>
    <w:rsid w:val="00951745"/>
    <w:rsid w:val="0095180F"/>
    <w:rsid w:val="00951971"/>
    <w:rsid w:val="009519E0"/>
    <w:rsid w:val="009519FB"/>
    <w:rsid w:val="00951A65"/>
    <w:rsid w:val="00951BA0"/>
    <w:rsid w:val="00951C91"/>
    <w:rsid w:val="00951D57"/>
    <w:rsid w:val="00951F4B"/>
    <w:rsid w:val="00951F72"/>
    <w:rsid w:val="0095227E"/>
    <w:rsid w:val="00952405"/>
    <w:rsid w:val="00952559"/>
    <w:rsid w:val="00952628"/>
    <w:rsid w:val="00952795"/>
    <w:rsid w:val="00952982"/>
    <w:rsid w:val="009529A9"/>
    <w:rsid w:val="00952E9C"/>
    <w:rsid w:val="00953014"/>
    <w:rsid w:val="0095304A"/>
    <w:rsid w:val="009530B0"/>
    <w:rsid w:val="009530B7"/>
    <w:rsid w:val="009532A2"/>
    <w:rsid w:val="00953338"/>
    <w:rsid w:val="00953678"/>
    <w:rsid w:val="009539E9"/>
    <w:rsid w:val="00953C24"/>
    <w:rsid w:val="00953C3F"/>
    <w:rsid w:val="009540FF"/>
    <w:rsid w:val="00954247"/>
    <w:rsid w:val="00954294"/>
    <w:rsid w:val="00954554"/>
    <w:rsid w:val="009545D0"/>
    <w:rsid w:val="009545E2"/>
    <w:rsid w:val="009545E3"/>
    <w:rsid w:val="009546E7"/>
    <w:rsid w:val="009547D3"/>
    <w:rsid w:val="00954C13"/>
    <w:rsid w:val="00954F39"/>
    <w:rsid w:val="00955141"/>
    <w:rsid w:val="009551AA"/>
    <w:rsid w:val="009551BB"/>
    <w:rsid w:val="009552E4"/>
    <w:rsid w:val="00955324"/>
    <w:rsid w:val="00955592"/>
    <w:rsid w:val="0095564A"/>
    <w:rsid w:val="009557D7"/>
    <w:rsid w:val="009557F9"/>
    <w:rsid w:val="00955924"/>
    <w:rsid w:val="00955E87"/>
    <w:rsid w:val="00956013"/>
    <w:rsid w:val="0095660F"/>
    <w:rsid w:val="0095672E"/>
    <w:rsid w:val="0095676E"/>
    <w:rsid w:val="009567D7"/>
    <w:rsid w:val="00956897"/>
    <w:rsid w:val="00956979"/>
    <w:rsid w:val="009569FF"/>
    <w:rsid w:val="00956BC8"/>
    <w:rsid w:val="00956E09"/>
    <w:rsid w:val="00956EBA"/>
    <w:rsid w:val="00956F40"/>
    <w:rsid w:val="0095706E"/>
    <w:rsid w:val="009570DB"/>
    <w:rsid w:val="00957386"/>
    <w:rsid w:val="0095749A"/>
    <w:rsid w:val="00957592"/>
    <w:rsid w:val="0095762F"/>
    <w:rsid w:val="00957775"/>
    <w:rsid w:val="009577A1"/>
    <w:rsid w:val="009577F9"/>
    <w:rsid w:val="0095782C"/>
    <w:rsid w:val="00957A6A"/>
    <w:rsid w:val="00957C81"/>
    <w:rsid w:val="00957D21"/>
    <w:rsid w:val="00957E2C"/>
    <w:rsid w:val="00957F1D"/>
    <w:rsid w:val="00957F35"/>
    <w:rsid w:val="00957F72"/>
    <w:rsid w:val="009602A4"/>
    <w:rsid w:val="009602DE"/>
    <w:rsid w:val="00960545"/>
    <w:rsid w:val="009605CD"/>
    <w:rsid w:val="0096061F"/>
    <w:rsid w:val="00960B2E"/>
    <w:rsid w:val="00960E1F"/>
    <w:rsid w:val="009610CA"/>
    <w:rsid w:val="009610EA"/>
    <w:rsid w:val="009611BE"/>
    <w:rsid w:val="0096135B"/>
    <w:rsid w:val="0096137B"/>
    <w:rsid w:val="009617EF"/>
    <w:rsid w:val="00961801"/>
    <w:rsid w:val="00961961"/>
    <w:rsid w:val="00961D73"/>
    <w:rsid w:val="009621BB"/>
    <w:rsid w:val="009621E4"/>
    <w:rsid w:val="009622CF"/>
    <w:rsid w:val="00962324"/>
    <w:rsid w:val="0096236A"/>
    <w:rsid w:val="009623BD"/>
    <w:rsid w:val="009624FE"/>
    <w:rsid w:val="00962894"/>
    <w:rsid w:val="00962928"/>
    <w:rsid w:val="00962CA2"/>
    <w:rsid w:val="00962DA8"/>
    <w:rsid w:val="00962F09"/>
    <w:rsid w:val="00962F67"/>
    <w:rsid w:val="00962FE4"/>
    <w:rsid w:val="00962FE8"/>
    <w:rsid w:val="00962FED"/>
    <w:rsid w:val="00963004"/>
    <w:rsid w:val="00963237"/>
    <w:rsid w:val="00963331"/>
    <w:rsid w:val="0096357E"/>
    <w:rsid w:val="0096374B"/>
    <w:rsid w:val="00963865"/>
    <w:rsid w:val="00963A3D"/>
    <w:rsid w:val="00963ABE"/>
    <w:rsid w:val="00963CD4"/>
    <w:rsid w:val="00963D55"/>
    <w:rsid w:val="00964024"/>
    <w:rsid w:val="009642FA"/>
    <w:rsid w:val="009645A5"/>
    <w:rsid w:val="00964699"/>
    <w:rsid w:val="009647EE"/>
    <w:rsid w:val="0096494B"/>
    <w:rsid w:val="00964DC4"/>
    <w:rsid w:val="00964DE6"/>
    <w:rsid w:val="00964E0C"/>
    <w:rsid w:val="009650E0"/>
    <w:rsid w:val="009654EB"/>
    <w:rsid w:val="009656F1"/>
    <w:rsid w:val="00965A7C"/>
    <w:rsid w:val="00965BD6"/>
    <w:rsid w:val="00966086"/>
    <w:rsid w:val="0096609C"/>
    <w:rsid w:val="00966782"/>
    <w:rsid w:val="00966A00"/>
    <w:rsid w:val="00966B6B"/>
    <w:rsid w:val="00966C3A"/>
    <w:rsid w:val="00966C9B"/>
    <w:rsid w:val="00966E04"/>
    <w:rsid w:val="00966EFF"/>
    <w:rsid w:val="009670BA"/>
    <w:rsid w:val="0096713D"/>
    <w:rsid w:val="00967195"/>
    <w:rsid w:val="009675D7"/>
    <w:rsid w:val="0096768E"/>
    <w:rsid w:val="009676AF"/>
    <w:rsid w:val="009678F8"/>
    <w:rsid w:val="00967974"/>
    <w:rsid w:val="009679FE"/>
    <w:rsid w:val="00967C4F"/>
    <w:rsid w:val="00967C58"/>
    <w:rsid w:val="00967D64"/>
    <w:rsid w:val="00967D9D"/>
    <w:rsid w:val="00967FAE"/>
    <w:rsid w:val="00967FE1"/>
    <w:rsid w:val="009700F6"/>
    <w:rsid w:val="009705A6"/>
    <w:rsid w:val="0097090F"/>
    <w:rsid w:val="00970A76"/>
    <w:rsid w:val="00970B11"/>
    <w:rsid w:val="00970B7B"/>
    <w:rsid w:val="00970B91"/>
    <w:rsid w:val="00970C46"/>
    <w:rsid w:val="00970ED2"/>
    <w:rsid w:val="00971036"/>
    <w:rsid w:val="00971083"/>
    <w:rsid w:val="009710AC"/>
    <w:rsid w:val="009710EF"/>
    <w:rsid w:val="009712D0"/>
    <w:rsid w:val="00971304"/>
    <w:rsid w:val="00971394"/>
    <w:rsid w:val="00971754"/>
    <w:rsid w:val="0097180C"/>
    <w:rsid w:val="00971B17"/>
    <w:rsid w:val="00971BDF"/>
    <w:rsid w:val="00971BEA"/>
    <w:rsid w:val="00971C81"/>
    <w:rsid w:val="00971E66"/>
    <w:rsid w:val="00971ED7"/>
    <w:rsid w:val="0097221A"/>
    <w:rsid w:val="00972446"/>
    <w:rsid w:val="0097245A"/>
    <w:rsid w:val="009725F1"/>
    <w:rsid w:val="009726AA"/>
    <w:rsid w:val="00972929"/>
    <w:rsid w:val="00972A73"/>
    <w:rsid w:val="00972B0F"/>
    <w:rsid w:val="00972C42"/>
    <w:rsid w:val="00972C93"/>
    <w:rsid w:val="00972F7D"/>
    <w:rsid w:val="009735E4"/>
    <w:rsid w:val="009736F6"/>
    <w:rsid w:val="0097398B"/>
    <w:rsid w:val="00973A4E"/>
    <w:rsid w:val="00973C93"/>
    <w:rsid w:val="00973F2C"/>
    <w:rsid w:val="00973FD5"/>
    <w:rsid w:val="009741C8"/>
    <w:rsid w:val="00974237"/>
    <w:rsid w:val="00974BE9"/>
    <w:rsid w:val="00974C41"/>
    <w:rsid w:val="00974C43"/>
    <w:rsid w:val="00974E50"/>
    <w:rsid w:val="00975200"/>
    <w:rsid w:val="0097529D"/>
    <w:rsid w:val="009752CD"/>
    <w:rsid w:val="00975344"/>
    <w:rsid w:val="0097579A"/>
    <w:rsid w:val="009757E3"/>
    <w:rsid w:val="00975829"/>
    <w:rsid w:val="009764AC"/>
    <w:rsid w:val="00976759"/>
    <w:rsid w:val="00976914"/>
    <w:rsid w:val="0097698C"/>
    <w:rsid w:val="00976C21"/>
    <w:rsid w:val="00976EAB"/>
    <w:rsid w:val="009770B2"/>
    <w:rsid w:val="009770DA"/>
    <w:rsid w:val="0097751F"/>
    <w:rsid w:val="009776D0"/>
    <w:rsid w:val="00977729"/>
    <w:rsid w:val="009778BF"/>
    <w:rsid w:val="00977A55"/>
    <w:rsid w:val="00977E2F"/>
    <w:rsid w:val="00977EC0"/>
    <w:rsid w:val="00977F2D"/>
    <w:rsid w:val="00977FA1"/>
    <w:rsid w:val="009802E9"/>
    <w:rsid w:val="0098054A"/>
    <w:rsid w:val="009805CB"/>
    <w:rsid w:val="009805E4"/>
    <w:rsid w:val="009806BD"/>
    <w:rsid w:val="00980B21"/>
    <w:rsid w:val="00980B53"/>
    <w:rsid w:val="00980BBC"/>
    <w:rsid w:val="00980CB0"/>
    <w:rsid w:val="009810C3"/>
    <w:rsid w:val="00981193"/>
    <w:rsid w:val="0098140B"/>
    <w:rsid w:val="00981655"/>
    <w:rsid w:val="00981675"/>
    <w:rsid w:val="00981714"/>
    <w:rsid w:val="009817DA"/>
    <w:rsid w:val="0098189B"/>
    <w:rsid w:val="0098192E"/>
    <w:rsid w:val="00981AE0"/>
    <w:rsid w:val="00981B79"/>
    <w:rsid w:val="00981E25"/>
    <w:rsid w:val="0098204F"/>
    <w:rsid w:val="00982B1F"/>
    <w:rsid w:val="00982B39"/>
    <w:rsid w:val="00983000"/>
    <w:rsid w:val="00983075"/>
    <w:rsid w:val="0098325F"/>
    <w:rsid w:val="00983470"/>
    <w:rsid w:val="00983688"/>
    <w:rsid w:val="009837A3"/>
    <w:rsid w:val="009837FD"/>
    <w:rsid w:val="009838CA"/>
    <w:rsid w:val="00983BAD"/>
    <w:rsid w:val="00983CC2"/>
    <w:rsid w:val="00983D61"/>
    <w:rsid w:val="00984168"/>
    <w:rsid w:val="00984208"/>
    <w:rsid w:val="00984249"/>
    <w:rsid w:val="009842E6"/>
    <w:rsid w:val="00984752"/>
    <w:rsid w:val="0098485A"/>
    <w:rsid w:val="00984878"/>
    <w:rsid w:val="00984A26"/>
    <w:rsid w:val="00984CF0"/>
    <w:rsid w:val="00985123"/>
    <w:rsid w:val="00985187"/>
    <w:rsid w:val="00985408"/>
    <w:rsid w:val="0098561C"/>
    <w:rsid w:val="00985630"/>
    <w:rsid w:val="009859B7"/>
    <w:rsid w:val="00985A34"/>
    <w:rsid w:val="00985AE1"/>
    <w:rsid w:val="00985B99"/>
    <w:rsid w:val="00985BA3"/>
    <w:rsid w:val="00985BB3"/>
    <w:rsid w:val="00985DAE"/>
    <w:rsid w:val="0098621A"/>
    <w:rsid w:val="009863A2"/>
    <w:rsid w:val="009863B1"/>
    <w:rsid w:val="009866B8"/>
    <w:rsid w:val="009866D2"/>
    <w:rsid w:val="00986713"/>
    <w:rsid w:val="009868BD"/>
    <w:rsid w:val="009869BA"/>
    <w:rsid w:val="00986BEB"/>
    <w:rsid w:val="00986C88"/>
    <w:rsid w:val="00986F2A"/>
    <w:rsid w:val="00986F61"/>
    <w:rsid w:val="009871A7"/>
    <w:rsid w:val="009872F7"/>
    <w:rsid w:val="0098730E"/>
    <w:rsid w:val="0098743A"/>
    <w:rsid w:val="00987678"/>
    <w:rsid w:val="009879B0"/>
    <w:rsid w:val="00987A5A"/>
    <w:rsid w:val="00987ADF"/>
    <w:rsid w:val="00987BD7"/>
    <w:rsid w:val="00987D11"/>
    <w:rsid w:val="00987D92"/>
    <w:rsid w:val="00987DB0"/>
    <w:rsid w:val="00987E2D"/>
    <w:rsid w:val="00987E5F"/>
    <w:rsid w:val="00987EF1"/>
    <w:rsid w:val="00987F48"/>
    <w:rsid w:val="00990239"/>
    <w:rsid w:val="009903E8"/>
    <w:rsid w:val="0099048E"/>
    <w:rsid w:val="009906A6"/>
    <w:rsid w:val="00990769"/>
    <w:rsid w:val="0099087D"/>
    <w:rsid w:val="00990981"/>
    <w:rsid w:val="00990AE4"/>
    <w:rsid w:val="00990C3E"/>
    <w:rsid w:val="00991020"/>
    <w:rsid w:val="009912D3"/>
    <w:rsid w:val="009913B2"/>
    <w:rsid w:val="00991510"/>
    <w:rsid w:val="0099152A"/>
    <w:rsid w:val="009915E0"/>
    <w:rsid w:val="00991803"/>
    <w:rsid w:val="00991963"/>
    <w:rsid w:val="00991BF6"/>
    <w:rsid w:val="00991D63"/>
    <w:rsid w:val="00991EC8"/>
    <w:rsid w:val="00991FF9"/>
    <w:rsid w:val="009922FE"/>
    <w:rsid w:val="0099236B"/>
    <w:rsid w:val="00992486"/>
    <w:rsid w:val="009925D2"/>
    <w:rsid w:val="0099279F"/>
    <w:rsid w:val="00992A18"/>
    <w:rsid w:val="00992BA3"/>
    <w:rsid w:val="00992C87"/>
    <w:rsid w:val="00992CFA"/>
    <w:rsid w:val="00992D4B"/>
    <w:rsid w:val="00992F50"/>
    <w:rsid w:val="00992F90"/>
    <w:rsid w:val="00993102"/>
    <w:rsid w:val="009932BA"/>
    <w:rsid w:val="0099338B"/>
    <w:rsid w:val="00993390"/>
    <w:rsid w:val="0099381F"/>
    <w:rsid w:val="00993924"/>
    <w:rsid w:val="00993955"/>
    <w:rsid w:val="00993AF5"/>
    <w:rsid w:val="00993B0E"/>
    <w:rsid w:val="00993B90"/>
    <w:rsid w:val="00993C7E"/>
    <w:rsid w:val="00993C9D"/>
    <w:rsid w:val="00993F36"/>
    <w:rsid w:val="00993F96"/>
    <w:rsid w:val="00994053"/>
    <w:rsid w:val="0099437A"/>
    <w:rsid w:val="009943D4"/>
    <w:rsid w:val="0099469A"/>
    <w:rsid w:val="009948AC"/>
    <w:rsid w:val="00994D3A"/>
    <w:rsid w:val="00994F78"/>
    <w:rsid w:val="00994F8D"/>
    <w:rsid w:val="00994FEA"/>
    <w:rsid w:val="009950ED"/>
    <w:rsid w:val="0099524D"/>
    <w:rsid w:val="0099528E"/>
    <w:rsid w:val="0099560B"/>
    <w:rsid w:val="0099571F"/>
    <w:rsid w:val="0099578F"/>
    <w:rsid w:val="009957C9"/>
    <w:rsid w:val="009959D5"/>
    <w:rsid w:val="00995CC2"/>
    <w:rsid w:val="00995E59"/>
    <w:rsid w:val="00995E88"/>
    <w:rsid w:val="00996185"/>
    <w:rsid w:val="0099669F"/>
    <w:rsid w:val="009966AB"/>
    <w:rsid w:val="009968E9"/>
    <w:rsid w:val="009969AF"/>
    <w:rsid w:val="00996A44"/>
    <w:rsid w:val="00996AE7"/>
    <w:rsid w:val="00996D15"/>
    <w:rsid w:val="00996DF8"/>
    <w:rsid w:val="009971A6"/>
    <w:rsid w:val="009973DB"/>
    <w:rsid w:val="009973FB"/>
    <w:rsid w:val="009974B9"/>
    <w:rsid w:val="00997899"/>
    <w:rsid w:val="00997A84"/>
    <w:rsid w:val="00997B26"/>
    <w:rsid w:val="00997B71"/>
    <w:rsid w:val="00997DEB"/>
    <w:rsid w:val="009A000D"/>
    <w:rsid w:val="009A0147"/>
    <w:rsid w:val="009A0326"/>
    <w:rsid w:val="009A03F0"/>
    <w:rsid w:val="009A0589"/>
    <w:rsid w:val="009A05F7"/>
    <w:rsid w:val="009A0603"/>
    <w:rsid w:val="009A0610"/>
    <w:rsid w:val="009A06A1"/>
    <w:rsid w:val="009A077C"/>
    <w:rsid w:val="009A0987"/>
    <w:rsid w:val="009A0AC6"/>
    <w:rsid w:val="009A0C4A"/>
    <w:rsid w:val="009A0E78"/>
    <w:rsid w:val="009A0F8B"/>
    <w:rsid w:val="009A101A"/>
    <w:rsid w:val="009A1064"/>
    <w:rsid w:val="009A1091"/>
    <w:rsid w:val="009A10A5"/>
    <w:rsid w:val="009A1122"/>
    <w:rsid w:val="009A1205"/>
    <w:rsid w:val="009A137E"/>
    <w:rsid w:val="009A1541"/>
    <w:rsid w:val="009A1554"/>
    <w:rsid w:val="009A1670"/>
    <w:rsid w:val="009A16FF"/>
    <w:rsid w:val="009A1AC2"/>
    <w:rsid w:val="009A1B5B"/>
    <w:rsid w:val="009A1B7F"/>
    <w:rsid w:val="009A1DA0"/>
    <w:rsid w:val="009A1EF4"/>
    <w:rsid w:val="009A214D"/>
    <w:rsid w:val="009A21B9"/>
    <w:rsid w:val="009A2233"/>
    <w:rsid w:val="009A2465"/>
    <w:rsid w:val="009A250F"/>
    <w:rsid w:val="009A27F6"/>
    <w:rsid w:val="009A284D"/>
    <w:rsid w:val="009A2BC2"/>
    <w:rsid w:val="009A2DBB"/>
    <w:rsid w:val="009A2E56"/>
    <w:rsid w:val="009A2EE8"/>
    <w:rsid w:val="009A2FDC"/>
    <w:rsid w:val="009A3214"/>
    <w:rsid w:val="009A3221"/>
    <w:rsid w:val="009A3252"/>
    <w:rsid w:val="009A367B"/>
    <w:rsid w:val="009A39D7"/>
    <w:rsid w:val="009A3AB3"/>
    <w:rsid w:val="009A3BDE"/>
    <w:rsid w:val="009A3C13"/>
    <w:rsid w:val="009A3CEB"/>
    <w:rsid w:val="009A3ECA"/>
    <w:rsid w:val="009A3F95"/>
    <w:rsid w:val="009A4234"/>
    <w:rsid w:val="009A42F3"/>
    <w:rsid w:val="009A43E4"/>
    <w:rsid w:val="009A44A1"/>
    <w:rsid w:val="009A4521"/>
    <w:rsid w:val="009A456C"/>
    <w:rsid w:val="009A469D"/>
    <w:rsid w:val="009A46BB"/>
    <w:rsid w:val="009A46CA"/>
    <w:rsid w:val="009A47FC"/>
    <w:rsid w:val="009A4A36"/>
    <w:rsid w:val="009A4B44"/>
    <w:rsid w:val="009A4F4B"/>
    <w:rsid w:val="009A4F5E"/>
    <w:rsid w:val="009A4F7C"/>
    <w:rsid w:val="009A4FDD"/>
    <w:rsid w:val="009A505D"/>
    <w:rsid w:val="009A518C"/>
    <w:rsid w:val="009A52FE"/>
    <w:rsid w:val="009A5595"/>
    <w:rsid w:val="009A55C0"/>
    <w:rsid w:val="009A574E"/>
    <w:rsid w:val="009A59A6"/>
    <w:rsid w:val="009A5A2C"/>
    <w:rsid w:val="009A5A97"/>
    <w:rsid w:val="009A5AA1"/>
    <w:rsid w:val="009A5ACF"/>
    <w:rsid w:val="009A5B28"/>
    <w:rsid w:val="009A5BEF"/>
    <w:rsid w:val="009A5C15"/>
    <w:rsid w:val="009A5CE8"/>
    <w:rsid w:val="009A5D43"/>
    <w:rsid w:val="009A5D4E"/>
    <w:rsid w:val="009A6105"/>
    <w:rsid w:val="009A623B"/>
    <w:rsid w:val="009A628D"/>
    <w:rsid w:val="009A63F6"/>
    <w:rsid w:val="009A64AD"/>
    <w:rsid w:val="009A67C3"/>
    <w:rsid w:val="009A68BF"/>
    <w:rsid w:val="009A68C4"/>
    <w:rsid w:val="009A6982"/>
    <w:rsid w:val="009A72A4"/>
    <w:rsid w:val="009A736E"/>
    <w:rsid w:val="009A7A53"/>
    <w:rsid w:val="009A7B17"/>
    <w:rsid w:val="009A7F8F"/>
    <w:rsid w:val="009B0002"/>
    <w:rsid w:val="009B0084"/>
    <w:rsid w:val="009B018E"/>
    <w:rsid w:val="009B0354"/>
    <w:rsid w:val="009B03DB"/>
    <w:rsid w:val="009B0439"/>
    <w:rsid w:val="009B0503"/>
    <w:rsid w:val="009B051F"/>
    <w:rsid w:val="009B071D"/>
    <w:rsid w:val="009B0B3E"/>
    <w:rsid w:val="009B0B60"/>
    <w:rsid w:val="009B1683"/>
    <w:rsid w:val="009B1A76"/>
    <w:rsid w:val="009B1B8C"/>
    <w:rsid w:val="009B1BEB"/>
    <w:rsid w:val="009B1E1D"/>
    <w:rsid w:val="009B1F75"/>
    <w:rsid w:val="009B1FAA"/>
    <w:rsid w:val="009B23F7"/>
    <w:rsid w:val="009B2679"/>
    <w:rsid w:val="009B28FD"/>
    <w:rsid w:val="009B2A0F"/>
    <w:rsid w:val="009B2BE3"/>
    <w:rsid w:val="009B2CCA"/>
    <w:rsid w:val="009B2FD8"/>
    <w:rsid w:val="009B303E"/>
    <w:rsid w:val="009B3183"/>
    <w:rsid w:val="009B3346"/>
    <w:rsid w:val="009B35F5"/>
    <w:rsid w:val="009B3608"/>
    <w:rsid w:val="009B36E2"/>
    <w:rsid w:val="009B374A"/>
    <w:rsid w:val="009B37DF"/>
    <w:rsid w:val="009B3942"/>
    <w:rsid w:val="009B395F"/>
    <w:rsid w:val="009B3A2A"/>
    <w:rsid w:val="009B3A79"/>
    <w:rsid w:val="009B3A86"/>
    <w:rsid w:val="009B3B04"/>
    <w:rsid w:val="009B3CC1"/>
    <w:rsid w:val="009B3D10"/>
    <w:rsid w:val="009B3DD4"/>
    <w:rsid w:val="009B3E23"/>
    <w:rsid w:val="009B3E77"/>
    <w:rsid w:val="009B3F3A"/>
    <w:rsid w:val="009B3FFE"/>
    <w:rsid w:val="009B4028"/>
    <w:rsid w:val="009B40A6"/>
    <w:rsid w:val="009B410E"/>
    <w:rsid w:val="009B4198"/>
    <w:rsid w:val="009B42A1"/>
    <w:rsid w:val="009B4616"/>
    <w:rsid w:val="009B462A"/>
    <w:rsid w:val="009B4643"/>
    <w:rsid w:val="009B46D5"/>
    <w:rsid w:val="009B471E"/>
    <w:rsid w:val="009B4756"/>
    <w:rsid w:val="009B4902"/>
    <w:rsid w:val="009B4944"/>
    <w:rsid w:val="009B494C"/>
    <w:rsid w:val="009B4B42"/>
    <w:rsid w:val="009B4E05"/>
    <w:rsid w:val="009B4EDC"/>
    <w:rsid w:val="009B4EDF"/>
    <w:rsid w:val="009B4FF7"/>
    <w:rsid w:val="009B515E"/>
    <w:rsid w:val="009B5190"/>
    <w:rsid w:val="009B51AA"/>
    <w:rsid w:val="009B546D"/>
    <w:rsid w:val="009B55F1"/>
    <w:rsid w:val="009B5615"/>
    <w:rsid w:val="009B56AF"/>
    <w:rsid w:val="009B574C"/>
    <w:rsid w:val="009B59D2"/>
    <w:rsid w:val="009B5A16"/>
    <w:rsid w:val="009B5CFC"/>
    <w:rsid w:val="009B5D18"/>
    <w:rsid w:val="009B5DC6"/>
    <w:rsid w:val="009B5DF3"/>
    <w:rsid w:val="009B60A1"/>
    <w:rsid w:val="009B61E1"/>
    <w:rsid w:val="009B61F8"/>
    <w:rsid w:val="009B6286"/>
    <w:rsid w:val="009B62BC"/>
    <w:rsid w:val="009B631F"/>
    <w:rsid w:val="009B6398"/>
    <w:rsid w:val="009B652D"/>
    <w:rsid w:val="009B660F"/>
    <w:rsid w:val="009B6919"/>
    <w:rsid w:val="009B6995"/>
    <w:rsid w:val="009B69C7"/>
    <w:rsid w:val="009B69F2"/>
    <w:rsid w:val="009B6B05"/>
    <w:rsid w:val="009B6CAE"/>
    <w:rsid w:val="009B71BA"/>
    <w:rsid w:val="009B746B"/>
    <w:rsid w:val="009B7471"/>
    <w:rsid w:val="009B7614"/>
    <w:rsid w:val="009B7AD1"/>
    <w:rsid w:val="009B7B65"/>
    <w:rsid w:val="009B7ED5"/>
    <w:rsid w:val="009C02E7"/>
    <w:rsid w:val="009C0781"/>
    <w:rsid w:val="009C0986"/>
    <w:rsid w:val="009C0992"/>
    <w:rsid w:val="009C0A41"/>
    <w:rsid w:val="009C0A66"/>
    <w:rsid w:val="009C0C82"/>
    <w:rsid w:val="009C0D42"/>
    <w:rsid w:val="009C0F46"/>
    <w:rsid w:val="009C1088"/>
    <w:rsid w:val="009C12B4"/>
    <w:rsid w:val="009C1373"/>
    <w:rsid w:val="009C1394"/>
    <w:rsid w:val="009C150F"/>
    <w:rsid w:val="009C18A7"/>
    <w:rsid w:val="009C19C2"/>
    <w:rsid w:val="009C1A58"/>
    <w:rsid w:val="009C1B34"/>
    <w:rsid w:val="009C1CEB"/>
    <w:rsid w:val="009C1EB9"/>
    <w:rsid w:val="009C1FD3"/>
    <w:rsid w:val="009C1FF1"/>
    <w:rsid w:val="009C2008"/>
    <w:rsid w:val="009C22D8"/>
    <w:rsid w:val="009C22E1"/>
    <w:rsid w:val="009C234C"/>
    <w:rsid w:val="009C251E"/>
    <w:rsid w:val="009C2545"/>
    <w:rsid w:val="009C2573"/>
    <w:rsid w:val="009C2835"/>
    <w:rsid w:val="009C2870"/>
    <w:rsid w:val="009C2A68"/>
    <w:rsid w:val="009C2C77"/>
    <w:rsid w:val="009C2E40"/>
    <w:rsid w:val="009C2E73"/>
    <w:rsid w:val="009C3110"/>
    <w:rsid w:val="009C315C"/>
    <w:rsid w:val="009C3170"/>
    <w:rsid w:val="009C3288"/>
    <w:rsid w:val="009C33FC"/>
    <w:rsid w:val="009C357F"/>
    <w:rsid w:val="009C385D"/>
    <w:rsid w:val="009C3AC7"/>
    <w:rsid w:val="009C3B4A"/>
    <w:rsid w:val="009C3C16"/>
    <w:rsid w:val="009C3C93"/>
    <w:rsid w:val="009C3DF6"/>
    <w:rsid w:val="009C4088"/>
    <w:rsid w:val="009C40F8"/>
    <w:rsid w:val="009C449D"/>
    <w:rsid w:val="009C4550"/>
    <w:rsid w:val="009C48D4"/>
    <w:rsid w:val="009C4E83"/>
    <w:rsid w:val="009C4EFB"/>
    <w:rsid w:val="009C4F5C"/>
    <w:rsid w:val="009C525F"/>
    <w:rsid w:val="009C5275"/>
    <w:rsid w:val="009C52A6"/>
    <w:rsid w:val="009C54A8"/>
    <w:rsid w:val="009C55F8"/>
    <w:rsid w:val="009C56A4"/>
    <w:rsid w:val="009C5794"/>
    <w:rsid w:val="009C5893"/>
    <w:rsid w:val="009C590A"/>
    <w:rsid w:val="009C5995"/>
    <w:rsid w:val="009C5DD6"/>
    <w:rsid w:val="009C5EFE"/>
    <w:rsid w:val="009C60D3"/>
    <w:rsid w:val="009C61AB"/>
    <w:rsid w:val="009C63CD"/>
    <w:rsid w:val="009C64C4"/>
    <w:rsid w:val="009C6847"/>
    <w:rsid w:val="009C696F"/>
    <w:rsid w:val="009C69CE"/>
    <w:rsid w:val="009C6A52"/>
    <w:rsid w:val="009C6B25"/>
    <w:rsid w:val="009C6B26"/>
    <w:rsid w:val="009C6BB0"/>
    <w:rsid w:val="009C6E10"/>
    <w:rsid w:val="009C71A0"/>
    <w:rsid w:val="009C74C9"/>
    <w:rsid w:val="009C75AA"/>
    <w:rsid w:val="009C76E8"/>
    <w:rsid w:val="009C798E"/>
    <w:rsid w:val="009C7B18"/>
    <w:rsid w:val="009C7C72"/>
    <w:rsid w:val="009C7E40"/>
    <w:rsid w:val="009D0249"/>
    <w:rsid w:val="009D0554"/>
    <w:rsid w:val="009D0B0B"/>
    <w:rsid w:val="009D0B4F"/>
    <w:rsid w:val="009D0C0E"/>
    <w:rsid w:val="009D0DF4"/>
    <w:rsid w:val="009D102A"/>
    <w:rsid w:val="009D116F"/>
    <w:rsid w:val="009D141F"/>
    <w:rsid w:val="009D15AF"/>
    <w:rsid w:val="009D1798"/>
    <w:rsid w:val="009D18A6"/>
    <w:rsid w:val="009D18BB"/>
    <w:rsid w:val="009D1906"/>
    <w:rsid w:val="009D1AF3"/>
    <w:rsid w:val="009D1B31"/>
    <w:rsid w:val="009D1D37"/>
    <w:rsid w:val="009D1DBB"/>
    <w:rsid w:val="009D1DD6"/>
    <w:rsid w:val="009D1FDB"/>
    <w:rsid w:val="009D214C"/>
    <w:rsid w:val="009D2277"/>
    <w:rsid w:val="009D2332"/>
    <w:rsid w:val="009D2672"/>
    <w:rsid w:val="009D26BA"/>
    <w:rsid w:val="009D270D"/>
    <w:rsid w:val="009D27B9"/>
    <w:rsid w:val="009D27BF"/>
    <w:rsid w:val="009D29EE"/>
    <w:rsid w:val="009D2A70"/>
    <w:rsid w:val="009D2B03"/>
    <w:rsid w:val="009D2DBC"/>
    <w:rsid w:val="009D2DEF"/>
    <w:rsid w:val="009D30BE"/>
    <w:rsid w:val="009D315A"/>
    <w:rsid w:val="009D320C"/>
    <w:rsid w:val="009D34FD"/>
    <w:rsid w:val="009D3569"/>
    <w:rsid w:val="009D38F8"/>
    <w:rsid w:val="009D3A5A"/>
    <w:rsid w:val="009D3BE7"/>
    <w:rsid w:val="009D3E70"/>
    <w:rsid w:val="009D3EFF"/>
    <w:rsid w:val="009D406A"/>
    <w:rsid w:val="009D41F8"/>
    <w:rsid w:val="009D4228"/>
    <w:rsid w:val="009D45AA"/>
    <w:rsid w:val="009D4711"/>
    <w:rsid w:val="009D49F3"/>
    <w:rsid w:val="009D4A61"/>
    <w:rsid w:val="009D4FFD"/>
    <w:rsid w:val="009D506A"/>
    <w:rsid w:val="009D53E2"/>
    <w:rsid w:val="009D5856"/>
    <w:rsid w:val="009D59D5"/>
    <w:rsid w:val="009D5A4F"/>
    <w:rsid w:val="009D5B57"/>
    <w:rsid w:val="009D5D7B"/>
    <w:rsid w:val="009D5DF5"/>
    <w:rsid w:val="009D5E6F"/>
    <w:rsid w:val="009D5EF4"/>
    <w:rsid w:val="009D5FB3"/>
    <w:rsid w:val="009D6099"/>
    <w:rsid w:val="009D60A7"/>
    <w:rsid w:val="009D61C1"/>
    <w:rsid w:val="009D644F"/>
    <w:rsid w:val="009D64B2"/>
    <w:rsid w:val="009D64BD"/>
    <w:rsid w:val="009D6642"/>
    <w:rsid w:val="009D68A3"/>
    <w:rsid w:val="009D6D14"/>
    <w:rsid w:val="009D6F0E"/>
    <w:rsid w:val="009D71FE"/>
    <w:rsid w:val="009D7207"/>
    <w:rsid w:val="009D72E0"/>
    <w:rsid w:val="009D74D3"/>
    <w:rsid w:val="009D7521"/>
    <w:rsid w:val="009D7662"/>
    <w:rsid w:val="009D777B"/>
    <w:rsid w:val="009D7871"/>
    <w:rsid w:val="009D7902"/>
    <w:rsid w:val="009D7D8C"/>
    <w:rsid w:val="009D7E4A"/>
    <w:rsid w:val="009D7E8E"/>
    <w:rsid w:val="009D7F38"/>
    <w:rsid w:val="009D7F8A"/>
    <w:rsid w:val="009E0529"/>
    <w:rsid w:val="009E0602"/>
    <w:rsid w:val="009E065D"/>
    <w:rsid w:val="009E0A3E"/>
    <w:rsid w:val="009E0B6F"/>
    <w:rsid w:val="009E0C7F"/>
    <w:rsid w:val="009E0D61"/>
    <w:rsid w:val="009E0F3C"/>
    <w:rsid w:val="009E101F"/>
    <w:rsid w:val="009E10BC"/>
    <w:rsid w:val="009E116F"/>
    <w:rsid w:val="009E11A0"/>
    <w:rsid w:val="009E11E7"/>
    <w:rsid w:val="009E1200"/>
    <w:rsid w:val="009E1270"/>
    <w:rsid w:val="009E1512"/>
    <w:rsid w:val="009E1569"/>
    <w:rsid w:val="009E159D"/>
    <w:rsid w:val="009E18C6"/>
    <w:rsid w:val="009E19BA"/>
    <w:rsid w:val="009E1A62"/>
    <w:rsid w:val="009E1D06"/>
    <w:rsid w:val="009E1D0F"/>
    <w:rsid w:val="009E1DEF"/>
    <w:rsid w:val="009E2203"/>
    <w:rsid w:val="009E23E8"/>
    <w:rsid w:val="009E2534"/>
    <w:rsid w:val="009E27B3"/>
    <w:rsid w:val="009E2BED"/>
    <w:rsid w:val="009E2C95"/>
    <w:rsid w:val="009E2E27"/>
    <w:rsid w:val="009E2F4A"/>
    <w:rsid w:val="009E30AD"/>
    <w:rsid w:val="009E31ED"/>
    <w:rsid w:val="009E33B7"/>
    <w:rsid w:val="009E34B4"/>
    <w:rsid w:val="009E37AF"/>
    <w:rsid w:val="009E398C"/>
    <w:rsid w:val="009E39D5"/>
    <w:rsid w:val="009E3B2F"/>
    <w:rsid w:val="009E3B35"/>
    <w:rsid w:val="009E3BEC"/>
    <w:rsid w:val="009E3CC5"/>
    <w:rsid w:val="009E3D4C"/>
    <w:rsid w:val="009E4191"/>
    <w:rsid w:val="009E4CF7"/>
    <w:rsid w:val="009E4FD2"/>
    <w:rsid w:val="009E502C"/>
    <w:rsid w:val="009E5040"/>
    <w:rsid w:val="009E508F"/>
    <w:rsid w:val="009E5096"/>
    <w:rsid w:val="009E50EB"/>
    <w:rsid w:val="009E5373"/>
    <w:rsid w:val="009E56C2"/>
    <w:rsid w:val="009E56F1"/>
    <w:rsid w:val="009E578A"/>
    <w:rsid w:val="009E5977"/>
    <w:rsid w:val="009E5CB2"/>
    <w:rsid w:val="009E5EA5"/>
    <w:rsid w:val="009E5F51"/>
    <w:rsid w:val="009E606E"/>
    <w:rsid w:val="009E6280"/>
    <w:rsid w:val="009E66CC"/>
    <w:rsid w:val="009E6859"/>
    <w:rsid w:val="009E6C87"/>
    <w:rsid w:val="009E6D2A"/>
    <w:rsid w:val="009E6DCF"/>
    <w:rsid w:val="009E6EF0"/>
    <w:rsid w:val="009E7048"/>
    <w:rsid w:val="009E7143"/>
    <w:rsid w:val="009E71FE"/>
    <w:rsid w:val="009E723D"/>
    <w:rsid w:val="009E724C"/>
    <w:rsid w:val="009E7731"/>
    <w:rsid w:val="009E7969"/>
    <w:rsid w:val="009E7D74"/>
    <w:rsid w:val="009E7E49"/>
    <w:rsid w:val="009E7E4E"/>
    <w:rsid w:val="009E7F6F"/>
    <w:rsid w:val="009ECC2C"/>
    <w:rsid w:val="009F003C"/>
    <w:rsid w:val="009F005E"/>
    <w:rsid w:val="009F018A"/>
    <w:rsid w:val="009F03CD"/>
    <w:rsid w:val="009F0502"/>
    <w:rsid w:val="009F05D3"/>
    <w:rsid w:val="009F05EC"/>
    <w:rsid w:val="009F0978"/>
    <w:rsid w:val="009F0A54"/>
    <w:rsid w:val="009F0B17"/>
    <w:rsid w:val="009F0D72"/>
    <w:rsid w:val="009F0E16"/>
    <w:rsid w:val="009F0EF7"/>
    <w:rsid w:val="009F10B8"/>
    <w:rsid w:val="009F10CF"/>
    <w:rsid w:val="009F1495"/>
    <w:rsid w:val="009F1500"/>
    <w:rsid w:val="009F15AF"/>
    <w:rsid w:val="009F1837"/>
    <w:rsid w:val="009F1A6D"/>
    <w:rsid w:val="009F1D7C"/>
    <w:rsid w:val="009F1E68"/>
    <w:rsid w:val="009F1E74"/>
    <w:rsid w:val="009F235D"/>
    <w:rsid w:val="009F24B9"/>
    <w:rsid w:val="009F2561"/>
    <w:rsid w:val="009F2608"/>
    <w:rsid w:val="009F2654"/>
    <w:rsid w:val="009F29BF"/>
    <w:rsid w:val="009F29E8"/>
    <w:rsid w:val="009F2BD6"/>
    <w:rsid w:val="009F2CF5"/>
    <w:rsid w:val="009F2D0E"/>
    <w:rsid w:val="009F31FC"/>
    <w:rsid w:val="009F3397"/>
    <w:rsid w:val="009F3427"/>
    <w:rsid w:val="009F35CD"/>
    <w:rsid w:val="009F3733"/>
    <w:rsid w:val="009F378D"/>
    <w:rsid w:val="009F3945"/>
    <w:rsid w:val="009F3A6C"/>
    <w:rsid w:val="009F3B27"/>
    <w:rsid w:val="009F3BEF"/>
    <w:rsid w:val="009F3C70"/>
    <w:rsid w:val="009F3C9E"/>
    <w:rsid w:val="009F3F32"/>
    <w:rsid w:val="009F3F83"/>
    <w:rsid w:val="009F4021"/>
    <w:rsid w:val="009F40E1"/>
    <w:rsid w:val="009F44A6"/>
    <w:rsid w:val="009F456C"/>
    <w:rsid w:val="009F4591"/>
    <w:rsid w:val="009F4814"/>
    <w:rsid w:val="009F4A0A"/>
    <w:rsid w:val="009F4C03"/>
    <w:rsid w:val="009F4C87"/>
    <w:rsid w:val="009F4C9E"/>
    <w:rsid w:val="009F4D43"/>
    <w:rsid w:val="009F5222"/>
    <w:rsid w:val="009F556F"/>
    <w:rsid w:val="009F5892"/>
    <w:rsid w:val="009F5D71"/>
    <w:rsid w:val="009F5D97"/>
    <w:rsid w:val="009F61DF"/>
    <w:rsid w:val="009F66D6"/>
    <w:rsid w:val="009F66F5"/>
    <w:rsid w:val="009F6788"/>
    <w:rsid w:val="009F68C1"/>
    <w:rsid w:val="009F68E4"/>
    <w:rsid w:val="009F6924"/>
    <w:rsid w:val="009F6A73"/>
    <w:rsid w:val="009F6BD8"/>
    <w:rsid w:val="009F6BF6"/>
    <w:rsid w:val="009F6C27"/>
    <w:rsid w:val="009F6C85"/>
    <w:rsid w:val="009F7070"/>
    <w:rsid w:val="009F724F"/>
    <w:rsid w:val="009F7261"/>
    <w:rsid w:val="009F776D"/>
    <w:rsid w:val="009F781D"/>
    <w:rsid w:val="009F782D"/>
    <w:rsid w:val="009F794E"/>
    <w:rsid w:val="009F7965"/>
    <w:rsid w:val="009F7A4E"/>
    <w:rsid w:val="009F7DDE"/>
    <w:rsid w:val="009F7E4E"/>
    <w:rsid w:val="009F7FCF"/>
    <w:rsid w:val="00A0005B"/>
    <w:rsid w:val="00A000A1"/>
    <w:rsid w:val="00A000CA"/>
    <w:rsid w:val="00A00142"/>
    <w:rsid w:val="00A002DA"/>
    <w:rsid w:val="00A0032F"/>
    <w:rsid w:val="00A00358"/>
    <w:rsid w:val="00A0041C"/>
    <w:rsid w:val="00A00425"/>
    <w:rsid w:val="00A005F8"/>
    <w:rsid w:val="00A006B0"/>
    <w:rsid w:val="00A0073B"/>
    <w:rsid w:val="00A00AC4"/>
    <w:rsid w:val="00A00AF2"/>
    <w:rsid w:val="00A00B10"/>
    <w:rsid w:val="00A00B26"/>
    <w:rsid w:val="00A00ED0"/>
    <w:rsid w:val="00A00FFA"/>
    <w:rsid w:val="00A01099"/>
    <w:rsid w:val="00A0110F"/>
    <w:rsid w:val="00A01243"/>
    <w:rsid w:val="00A012E8"/>
    <w:rsid w:val="00A0149E"/>
    <w:rsid w:val="00A01665"/>
    <w:rsid w:val="00A016E0"/>
    <w:rsid w:val="00A016F7"/>
    <w:rsid w:val="00A017B8"/>
    <w:rsid w:val="00A017CF"/>
    <w:rsid w:val="00A0184C"/>
    <w:rsid w:val="00A019DA"/>
    <w:rsid w:val="00A02034"/>
    <w:rsid w:val="00A020BB"/>
    <w:rsid w:val="00A0214D"/>
    <w:rsid w:val="00A0222C"/>
    <w:rsid w:val="00A023DC"/>
    <w:rsid w:val="00A023E5"/>
    <w:rsid w:val="00A024DC"/>
    <w:rsid w:val="00A02605"/>
    <w:rsid w:val="00A028B4"/>
    <w:rsid w:val="00A028C5"/>
    <w:rsid w:val="00A028E4"/>
    <w:rsid w:val="00A02C73"/>
    <w:rsid w:val="00A02DAB"/>
    <w:rsid w:val="00A02E1B"/>
    <w:rsid w:val="00A02FF4"/>
    <w:rsid w:val="00A03017"/>
    <w:rsid w:val="00A03158"/>
    <w:rsid w:val="00A0375C"/>
    <w:rsid w:val="00A03772"/>
    <w:rsid w:val="00A038DB"/>
    <w:rsid w:val="00A038FE"/>
    <w:rsid w:val="00A03BA4"/>
    <w:rsid w:val="00A03F30"/>
    <w:rsid w:val="00A040DA"/>
    <w:rsid w:val="00A041F7"/>
    <w:rsid w:val="00A04234"/>
    <w:rsid w:val="00A0426A"/>
    <w:rsid w:val="00A0426C"/>
    <w:rsid w:val="00A043C6"/>
    <w:rsid w:val="00A04434"/>
    <w:rsid w:val="00A04552"/>
    <w:rsid w:val="00A04677"/>
    <w:rsid w:val="00A048A1"/>
    <w:rsid w:val="00A04B34"/>
    <w:rsid w:val="00A0540E"/>
    <w:rsid w:val="00A0574D"/>
    <w:rsid w:val="00A05AD3"/>
    <w:rsid w:val="00A05B5A"/>
    <w:rsid w:val="00A05B5E"/>
    <w:rsid w:val="00A05B8A"/>
    <w:rsid w:val="00A05CF3"/>
    <w:rsid w:val="00A060D8"/>
    <w:rsid w:val="00A0613C"/>
    <w:rsid w:val="00A0632E"/>
    <w:rsid w:val="00A0634F"/>
    <w:rsid w:val="00A06387"/>
    <w:rsid w:val="00A063F5"/>
    <w:rsid w:val="00A0669A"/>
    <w:rsid w:val="00A0678C"/>
    <w:rsid w:val="00A06983"/>
    <w:rsid w:val="00A06BD7"/>
    <w:rsid w:val="00A06F86"/>
    <w:rsid w:val="00A0707A"/>
    <w:rsid w:val="00A07089"/>
    <w:rsid w:val="00A07172"/>
    <w:rsid w:val="00A0729F"/>
    <w:rsid w:val="00A074EE"/>
    <w:rsid w:val="00A075C0"/>
    <w:rsid w:val="00A07794"/>
    <w:rsid w:val="00A07843"/>
    <w:rsid w:val="00A07BF4"/>
    <w:rsid w:val="00A07E3F"/>
    <w:rsid w:val="00A07FEE"/>
    <w:rsid w:val="00A102E5"/>
    <w:rsid w:val="00A10346"/>
    <w:rsid w:val="00A103AF"/>
    <w:rsid w:val="00A103F0"/>
    <w:rsid w:val="00A10615"/>
    <w:rsid w:val="00A1072D"/>
    <w:rsid w:val="00A10790"/>
    <w:rsid w:val="00A107B9"/>
    <w:rsid w:val="00A107BB"/>
    <w:rsid w:val="00A10A21"/>
    <w:rsid w:val="00A10BFD"/>
    <w:rsid w:val="00A10D69"/>
    <w:rsid w:val="00A10DB8"/>
    <w:rsid w:val="00A10E6B"/>
    <w:rsid w:val="00A110E9"/>
    <w:rsid w:val="00A11632"/>
    <w:rsid w:val="00A11701"/>
    <w:rsid w:val="00A1183E"/>
    <w:rsid w:val="00A1190B"/>
    <w:rsid w:val="00A11C99"/>
    <w:rsid w:val="00A11CD6"/>
    <w:rsid w:val="00A11EA1"/>
    <w:rsid w:val="00A11F45"/>
    <w:rsid w:val="00A11F9A"/>
    <w:rsid w:val="00A11FE9"/>
    <w:rsid w:val="00A12002"/>
    <w:rsid w:val="00A12036"/>
    <w:rsid w:val="00A1213D"/>
    <w:rsid w:val="00A123FF"/>
    <w:rsid w:val="00A125B0"/>
    <w:rsid w:val="00A125E8"/>
    <w:rsid w:val="00A12683"/>
    <w:rsid w:val="00A126B5"/>
    <w:rsid w:val="00A127CC"/>
    <w:rsid w:val="00A12B06"/>
    <w:rsid w:val="00A12DB9"/>
    <w:rsid w:val="00A12F28"/>
    <w:rsid w:val="00A130FF"/>
    <w:rsid w:val="00A13204"/>
    <w:rsid w:val="00A13292"/>
    <w:rsid w:val="00A134DB"/>
    <w:rsid w:val="00A13505"/>
    <w:rsid w:val="00A1362F"/>
    <w:rsid w:val="00A137C5"/>
    <w:rsid w:val="00A13CC8"/>
    <w:rsid w:val="00A13DC2"/>
    <w:rsid w:val="00A13F71"/>
    <w:rsid w:val="00A13F8B"/>
    <w:rsid w:val="00A142C3"/>
    <w:rsid w:val="00A143C5"/>
    <w:rsid w:val="00A14412"/>
    <w:rsid w:val="00A14529"/>
    <w:rsid w:val="00A14592"/>
    <w:rsid w:val="00A145FD"/>
    <w:rsid w:val="00A14AD4"/>
    <w:rsid w:val="00A14CB9"/>
    <w:rsid w:val="00A1521C"/>
    <w:rsid w:val="00A15233"/>
    <w:rsid w:val="00A152AF"/>
    <w:rsid w:val="00A15460"/>
    <w:rsid w:val="00A154D6"/>
    <w:rsid w:val="00A155A9"/>
    <w:rsid w:val="00A15892"/>
    <w:rsid w:val="00A158F5"/>
    <w:rsid w:val="00A15931"/>
    <w:rsid w:val="00A16121"/>
    <w:rsid w:val="00A16154"/>
    <w:rsid w:val="00A1634E"/>
    <w:rsid w:val="00A16541"/>
    <w:rsid w:val="00A1662C"/>
    <w:rsid w:val="00A168F8"/>
    <w:rsid w:val="00A169F8"/>
    <w:rsid w:val="00A16B02"/>
    <w:rsid w:val="00A16CB4"/>
    <w:rsid w:val="00A16CD3"/>
    <w:rsid w:val="00A16D50"/>
    <w:rsid w:val="00A1701B"/>
    <w:rsid w:val="00A17304"/>
    <w:rsid w:val="00A17357"/>
    <w:rsid w:val="00A176C6"/>
    <w:rsid w:val="00A177F3"/>
    <w:rsid w:val="00A17C02"/>
    <w:rsid w:val="00A17DD2"/>
    <w:rsid w:val="00A17DF8"/>
    <w:rsid w:val="00A17DFD"/>
    <w:rsid w:val="00A201D2"/>
    <w:rsid w:val="00A202B9"/>
    <w:rsid w:val="00A2031C"/>
    <w:rsid w:val="00A20325"/>
    <w:rsid w:val="00A20392"/>
    <w:rsid w:val="00A2041B"/>
    <w:rsid w:val="00A204D1"/>
    <w:rsid w:val="00A2058A"/>
    <w:rsid w:val="00A206F7"/>
    <w:rsid w:val="00A2081F"/>
    <w:rsid w:val="00A20AAF"/>
    <w:rsid w:val="00A20F27"/>
    <w:rsid w:val="00A211EE"/>
    <w:rsid w:val="00A2123F"/>
    <w:rsid w:val="00A218AE"/>
    <w:rsid w:val="00A21AE4"/>
    <w:rsid w:val="00A21B42"/>
    <w:rsid w:val="00A21B8E"/>
    <w:rsid w:val="00A21D31"/>
    <w:rsid w:val="00A21DE8"/>
    <w:rsid w:val="00A21DEC"/>
    <w:rsid w:val="00A21F0A"/>
    <w:rsid w:val="00A22074"/>
    <w:rsid w:val="00A22276"/>
    <w:rsid w:val="00A222B4"/>
    <w:rsid w:val="00A2230D"/>
    <w:rsid w:val="00A223CE"/>
    <w:rsid w:val="00A2267B"/>
    <w:rsid w:val="00A226A1"/>
    <w:rsid w:val="00A22894"/>
    <w:rsid w:val="00A2298C"/>
    <w:rsid w:val="00A22A2B"/>
    <w:rsid w:val="00A22B1A"/>
    <w:rsid w:val="00A22B70"/>
    <w:rsid w:val="00A22BFE"/>
    <w:rsid w:val="00A22F2E"/>
    <w:rsid w:val="00A230CB"/>
    <w:rsid w:val="00A23305"/>
    <w:rsid w:val="00A23808"/>
    <w:rsid w:val="00A23957"/>
    <w:rsid w:val="00A2395E"/>
    <w:rsid w:val="00A23964"/>
    <w:rsid w:val="00A23B6D"/>
    <w:rsid w:val="00A23BEB"/>
    <w:rsid w:val="00A23D94"/>
    <w:rsid w:val="00A23DD1"/>
    <w:rsid w:val="00A23F9F"/>
    <w:rsid w:val="00A241AE"/>
    <w:rsid w:val="00A24455"/>
    <w:rsid w:val="00A2467E"/>
    <w:rsid w:val="00A24B74"/>
    <w:rsid w:val="00A24BFB"/>
    <w:rsid w:val="00A24D0C"/>
    <w:rsid w:val="00A25130"/>
    <w:rsid w:val="00A25188"/>
    <w:rsid w:val="00A2532D"/>
    <w:rsid w:val="00A254C7"/>
    <w:rsid w:val="00A25799"/>
    <w:rsid w:val="00A259A6"/>
    <w:rsid w:val="00A25A11"/>
    <w:rsid w:val="00A25A5A"/>
    <w:rsid w:val="00A25D37"/>
    <w:rsid w:val="00A25E03"/>
    <w:rsid w:val="00A25F35"/>
    <w:rsid w:val="00A265AB"/>
    <w:rsid w:val="00A2662D"/>
    <w:rsid w:val="00A26918"/>
    <w:rsid w:val="00A26BA9"/>
    <w:rsid w:val="00A26BF5"/>
    <w:rsid w:val="00A27150"/>
    <w:rsid w:val="00A27203"/>
    <w:rsid w:val="00A2729D"/>
    <w:rsid w:val="00A272AE"/>
    <w:rsid w:val="00A273D2"/>
    <w:rsid w:val="00A273E0"/>
    <w:rsid w:val="00A27489"/>
    <w:rsid w:val="00A276E3"/>
    <w:rsid w:val="00A278E8"/>
    <w:rsid w:val="00A278FD"/>
    <w:rsid w:val="00A279BA"/>
    <w:rsid w:val="00A27D6D"/>
    <w:rsid w:val="00A27D6F"/>
    <w:rsid w:val="00A27DB2"/>
    <w:rsid w:val="00A3031B"/>
    <w:rsid w:val="00A307B6"/>
    <w:rsid w:val="00A30816"/>
    <w:rsid w:val="00A30823"/>
    <w:rsid w:val="00A30970"/>
    <w:rsid w:val="00A30E01"/>
    <w:rsid w:val="00A3111C"/>
    <w:rsid w:val="00A3115B"/>
    <w:rsid w:val="00A31296"/>
    <w:rsid w:val="00A314C6"/>
    <w:rsid w:val="00A314FC"/>
    <w:rsid w:val="00A3162C"/>
    <w:rsid w:val="00A3193A"/>
    <w:rsid w:val="00A319A4"/>
    <w:rsid w:val="00A31A39"/>
    <w:rsid w:val="00A31ABD"/>
    <w:rsid w:val="00A31B36"/>
    <w:rsid w:val="00A31BCD"/>
    <w:rsid w:val="00A32216"/>
    <w:rsid w:val="00A3226A"/>
    <w:rsid w:val="00A3229C"/>
    <w:rsid w:val="00A32372"/>
    <w:rsid w:val="00A3249D"/>
    <w:rsid w:val="00A326F2"/>
    <w:rsid w:val="00A3274F"/>
    <w:rsid w:val="00A327E0"/>
    <w:rsid w:val="00A3286D"/>
    <w:rsid w:val="00A32CAC"/>
    <w:rsid w:val="00A32D68"/>
    <w:rsid w:val="00A32EB9"/>
    <w:rsid w:val="00A330AA"/>
    <w:rsid w:val="00A3313C"/>
    <w:rsid w:val="00A33340"/>
    <w:rsid w:val="00A33B78"/>
    <w:rsid w:val="00A33CD0"/>
    <w:rsid w:val="00A33EE1"/>
    <w:rsid w:val="00A33EEE"/>
    <w:rsid w:val="00A3402E"/>
    <w:rsid w:val="00A3415D"/>
    <w:rsid w:val="00A341F9"/>
    <w:rsid w:val="00A343EB"/>
    <w:rsid w:val="00A34691"/>
    <w:rsid w:val="00A3488C"/>
    <w:rsid w:val="00A34A19"/>
    <w:rsid w:val="00A34DF4"/>
    <w:rsid w:val="00A350D8"/>
    <w:rsid w:val="00A3539F"/>
    <w:rsid w:val="00A3561F"/>
    <w:rsid w:val="00A3581E"/>
    <w:rsid w:val="00A3591A"/>
    <w:rsid w:val="00A35B5D"/>
    <w:rsid w:val="00A361EB"/>
    <w:rsid w:val="00A3622D"/>
    <w:rsid w:val="00A3634A"/>
    <w:rsid w:val="00A364D2"/>
    <w:rsid w:val="00A36554"/>
    <w:rsid w:val="00A36574"/>
    <w:rsid w:val="00A36687"/>
    <w:rsid w:val="00A366CB"/>
    <w:rsid w:val="00A36994"/>
    <w:rsid w:val="00A36B8F"/>
    <w:rsid w:val="00A36BF1"/>
    <w:rsid w:val="00A36E2F"/>
    <w:rsid w:val="00A36F77"/>
    <w:rsid w:val="00A371A1"/>
    <w:rsid w:val="00A371FD"/>
    <w:rsid w:val="00A372C1"/>
    <w:rsid w:val="00A375A2"/>
    <w:rsid w:val="00A376B9"/>
    <w:rsid w:val="00A37716"/>
    <w:rsid w:val="00A37893"/>
    <w:rsid w:val="00A379EF"/>
    <w:rsid w:val="00A37B0A"/>
    <w:rsid w:val="00A37C7E"/>
    <w:rsid w:val="00A37CF6"/>
    <w:rsid w:val="00A400DB"/>
    <w:rsid w:val="00A4024E"/>
    <w:rsid w:val="00A403F7"/>
    <w:rsid w:val="00A4057E"/>
    <w:rsid w:val="00A405D6"/>
    <w:rsid w:val="00A407D8"/>
    <w:rsid w:val="00A409EC"/>
    <w:rsid w:val="00A40B07"/>
    <w:rsid w:val="00A40F0D"/>
    <w:rsid w:val="00A40F57"/>
    <w:rsid w:val="00A41084"/>
    <w:rsid w:val="00A410DF"/>
    <w:rsid w:val="00A412C0"/>
    <w:rsid w:val="00A41706"/>
    <w:rsid w:val="00A4174A"/>
    <w:rsid w:val="00A41802"/>
    <w:rsid w:val="00A41C28"/>
    <w:rsid w:val="00A41D14"/>
    <w:rsid w:val="00A41DCA"/>
    <w:rsid w:val="00A41E77"/>
    <w:rsid w:val="00A42103"/>
    <w:rsid w:val="00A421A5"/>
    <w:rsid w:val="00A42341"/>
    <w:rsid w:val="00A42597"/>
    <w:rsid w:val="00A429C5"/>
    <w:rsid w:val="00A42B1B"/>
    <w:rsid w:val="00A42CC9"/>
    <w:rsid w:val="00A42DAD"/>
    <w:rsid w:val="00A42EF2"/>
    <w:rsid w:val="00A430D0"/>
    <w:rsid w:val="00A432DA"/>
    <w:rsid w:val="00A432E4"/>
    <w:rsid w:val="00A437DD"/>
    <w:rsid w:val="00A43C1E"/>
    <w:rsid w:val="00A43C72"/>
    <w:rsid w:val="00A43E1D"/>
    <w:rsid w:val="00A43FE2"/>
    <w:rsid w:val="00A43FE9"/>
    <w:rsid w:val="00A44010"/>
    <w:rsid w:val="00A44078"/>
    <w:rsid w:val="00A44219"/>
    <w:rsid w:val="00A443AD"/>
    <w:rsid w:val="00A443CE"/>
    <w:rsid w:val="00A44690"/>
    <w:rsid w:val="00A4470B"/>
    <w:rsid w:val="00A4491E"/>
    <w:rsid w:val="00A44968"/>
    <w:rsid w:val="00A44BAF"/>
    <w:rsid w:val="00A44C37"/>
    <w:rsid w:val="00A44C84"/>
    <w:rsid w:val="00A44CD3"/>
    <w:rsid w:val="00A44D24"/>
    <w:rsid w:val="00A44D70"/>
    <w:rsid w:val="00A45021"/>
    <w:rsid w:val="00A45115"/>
    <w:rsid w:val="00A45585"/>
    <w:rsid w:val="00A456F0"/>
    <w:rsid w:val="00A45A08"/>
    <w:rsid w:val="00A45AC1"/>
    <w:rsid w:val="00A45B96"/>
    <w:rsid w:val="00A45D3B"/>
    <w:rsid w:val="00A45E11"/>
    <w:rsid w:val="00A45F1E"/>
    <w:rsid w:val="00A4600A"/>
    <w:rsid w:val="00A46139"/>
    <w:rsid w:val="00A46771"/>
    <w:rsid w:val="00A46ADB"/>
    <w:rsid w:val="00A46DCB"/>
    <w:rsid w:val="00A4722D"/>
    <w:rsid w:val="00A47296"/>
    <w:rsid w:val="00A473C4"/>
    <w:rsid w:val="00A47773"/>
    <w:rsid w:val="00A478F9"/>
    <w:rsid w:val="00A47B50"/>
    <w:rsid w:val="00A47C2A"/>
    <w:rsid w:val="00A47C45"/>
    <w:rsid w:val="00A47CAD"/>
    <w:rsid w:val="00A47D0F"/>
    <w:rsid w:val="00A47ECF"/>
    <w:rsid w:val="00A501D2"/>
    <w:rsid w:val="00A50269"/>
    <w:rsid w:val="00A507BC"/>
    <w:rsid w:val="00A50B9B"/>
    <w:rsid w:val="00A50B9E"/>
    <w:rsid w:val="00A50BB6"/>
    <w:rsid w:val="00A51097"/>
    <w:rsid w:val="00A510A0"/>
    <w:rsid w:val="00A510A3"/>
    <w:rsid w:val="00A510D5"/>
    <w:rsid w:val="00A51154"/>
    <w:rsid w:val="00A5123A"/>
    <w:rsid w:val="00A512C2"/>
    <w:rsid w:val="00A5138D"/>
    <w:rsid w:val="00A513D2"/>
    <w:rsid w:val="00A515D5"/>
    <w:rsid w:val="00A515DB"/>
    <w:rsid w:val="00A51890"/>
    <w:rsid w:val="00A518E6"/>
    <w:rsid w:val="00A5194F"/>
    <w:rsid w:val="00A519F2"/>
    <w:rsid w:val="00A51A09"/>
    <w:rsid w:val="00A51D07"/>
    <w:rsid w:val="00A51D9F"/>
    <w:rsid w:val="00A51DAA"/>
    <w:rsid w:val="00A51E19"/>
    <w:rsid w:val="00A51EA1"/>
    <w:rsid w:val="00A52181"/>
    <w:rsid w:val="00A52340"/>
    <w:rsid w:val="00A525BA"/>
    <w:rsid w:val="00A52A53"/>
    <w:rsid w:val="00A52AFE"/>
    <w:rsid w:val="00A52B05"/>
    <w:rsid w:val="00A52CD1"/>
    <w:rsid w:val="00A52CD9"/>
    <w:rsid w:val="00A52D33"/>
    <w:rsid w:val="00A52D45"/>
    <w:rsid w:val="00A53095"/>
    <w:rsid w:val="00A53217"/>
    <w:rsid w:val="00A5324F"/>
    <w:rsid w:val="00A5354F"/>
    <w:rsid w:val="00A535CD"/>
    <w:rsid w:val="00A535E5"/>
    <w:rsid w:val="00A53707"/>
    <w:rsid w:val="00A539FA"/>
    <w:rsid w:val="00A53B3C"/>
    <w:rsid w:val="00A53BB9"/>
    <w:rsid w:val="00A53BF2"/>
    <w:rsid w:val="00A53D4B"/>
    <w:rsid w:val="00A53DFE"/>
    <w:rsid w:val="00A53E6D"/>
    <w:rsid w:val="00A53F55"/>
    <w:rsid w:val="00A540A6"/>
    <w:rsid w:val="00A5421E"/>
    <w:rsid w:val="00A54223"/>
    <w:rsid w:val="00A54310"/>
    <w:rsid w:val="00A54410"/>
    <w:rsid w:val="00A54430"/>
    <w:rsid w:val="00A54636"/>
    <w:rsid w:val="00A54669"/>
    <w:rsid w:val="00A5491D"/>
    <w:rsid w:val="00A54F73"/>
    <w:rsid w:val="00A54FA3"/>
    <w:rsid w:val="00A5516E"/>
    <w:rsid w:val="00A553E9"/>
    <w:rsid w:val="00A5547E"/>
    <w:rsid w:val="00A5570D"/>
    <w:rsid w:val="00A55716"/>
    <w:rsid w:val="00A557B6"/>
    <w:rsid w:val="00A55B12"/>
    <w:rsid w:val="00A55C1D"/>
    <w:rsid w:val="00A55DCF"/>
    <w:rsid w:val="00A55E0A"/>
    <w:rsid w:val="00A55E4A"/>
    <w:rsid w:val="00A55E50"/>
    <w:rsid w:val="00A55E72"/>
    <w:rsid w:val="00A55F07"/>
    <w:rsid w:val="00A55F62"/>
    <w:rsid w:val="00A55FBE"/>
    <w:rsid w:val="00A55FC7"/>
    <w:rsid w:val="00A56069"/>
    <w:rsid w:val="00A565EC"/>
    <w:rsid w:val="00A56888"/>
    <w:rsid w:val="00A56B73"/>
    <w:rsid w:val="00A56C7E"/>
    <w:rsid w:val="00A56CA0"/>
    <w:rsid w:val="00A56DAD"/>
    <w:rsid w:val="00A56E47"/>
    <w:rsid w:val="00A56FF0"/>
    <w:rsid w:val="00A57259"/>
    <w:rsid w:val="00A57494"/>
    <w:rsid w:val="00A57587"/>
    <w:rsid w:val="00A57A0F"/>
    <w:rsid w:val="00A57D41"/>
    <w:rsid w:val="00A57E3F"/>
    <w:rsid w:val="00A60697"/>
    <w:rsid w:val="00A606B1"/>
    <w:rsid w:val="00A60AA7"/>
    <w:rsid w:val="00A60AC7"/>
    <w:rsid w:val="00A60B46"/>
    <w:rsid w:val="00A60E5A"/>
    <w:rsid w:val="00A60E67"/>
    <w:rsid w:val="00A60EE7"/>
    <w:rsid w:val="00A60FEE"/>
    <w:rsid w:val="00A6109D"/>
    <w:rsid w:val="00A610FE"/>
    <w:rsid w:val="00A612C8"/>
    <w:rsid w:val="00A613A1"/>
    <w:rsid w:val="00A61437"/>
    <w:rsid w:val="00A614A4"/>
    <w:rsid w:val="00A615C3"/>
    <w:rsid w:val="00A6167F"/>
    <w:rsid w:val="00A6191B"/>
    <w:rsid w:val="00A61930"/>
    <w:rsid w:val="00A61968"/>
    <w:rsid w:val="00A61A4C"/>
    <w:rsid w:val="00A61B36"/>
    <w:rsid w:val="00A61DA7"/>
    <w:rsid w:val="00A61E92"/>
    <w:rsid w:val="00A6205B"/>
    <w:rsid w:val="00A622E1"/>
    <w:rsid w:val="00A623E1"/>
    <w:rsid w:val="00A62479"/>
    <w:rsid w:val="00A62615"/>
    <w:rsid w:val="00A62ACF"/>
    <w:rsid w:val="00A62C37"/>
    <w:rsid w:val="00A62D4B"/>
    <w:rsid w:val="00A62DFD"/>
    <w:rsid w:val="00A62DFE"/>
    <w:rsid w:val="00A63006"/>
    <w:rsid w:val="00A63098"/>
    <w:rsid w:val="00A630E4"/>
    <w:rsid w:val="00A631D6"/>
    <w:rsid w:val="00A6337D"/>
    <w:rsid w:val="00A63B56"/>
    <w:rsid w:val="00A63B9A"/>
    <w:rsid w:val="00A63C97"/>
    <w:rsid w:val="00A63D00"/>
    <w:rsid w:val="00A64031"/>
    <w:rsid w:val="00A640C2"/>
    <w:rsid w:val="00A64112"/>
    <w:rsid w:val="00A642B3"/>
    <w:rsid w:val="00A644FA"/>
    <w:rsid w:val="00A645A4"/>
    <w:rsid w:val="00A64879"/>
    <w:rsid w:val="00A6500D"/>
    <w:rsid w:val="00A654B3"/>
    <w:rsid w:val="00A65514"/>
    <w:rsid w:val="00A656C8"/>
    <w:rsid w:val="00A657D4"/>
    <w:rsid w:val="00A658D1"/>
    <w:rsid w:val="00A65B49"/>
    <w:rsid w:val="00A65CA2"/>
    <w:rsid w:val="00A65E09"/>
    <w:rsid w:val="00A65E95"/>
    <w:rsid w:val="00A65F73"/>
    <w:rsid w:val="00A66322"/>
    <w:rsid w:val="00A664A2"/>
    <w:rsid w:val="00A66535"/>
    <w:rsid w:val="00A665DE"/>
    <w:rsid w:val="00A6668F"/>
    <w:rsid w:val="00A667F8"/>
    <w:rsid w:val="00A6681D"/>
    <w:rsid w:val="00A66A28"/>
    <w:rsid w:val="00A66A40"/>
    <w:rsid w:val="00A66AEE"/>
    <w:rsid w:val="00A66C80"/>
    <w:rsid w:val="00A6744A"/>
    <w:rsid w:val="00A678A1"/>
    <w:rsid w:val="00A679D0"/>
    <w:rsid w:val="00A67C17"/>
    <w:rsid w:val="00A67C7F"/>
    <w:rsid w:val="00A67CC8"/>
    <w:rsid w:val="00A67D60"/>
    <w:rsid w:val="00A67E18"/>
    <w:rsid w:val="00A67F8D"/>
    <w:rsid w:val="00A70002"/>
    <w:rsid w:val="00A700AA"/>
    <w:rsid w:val="00A70132"/>
    <w:rsid w:val="00A70185"/>
    <w:rsid w:val="00A701CA"/>
    <w:rsid w:val="00A7047D"/>
    <w:rsid w:val="00A704BB"/>
    <w:rsid w:val="00A70631"/>
    <w:rsid w:val="00A706CE"/>
    <w:rsid w:val="00A70874"/>
    <w:rsid w:val="00A70946"/>
    <w:rsid w:val="00A70C4B"/>
    <w:rsid w:val="00A70C9B"/>
    <w:rsid w:val="00A70E49"/>
    <w:rsid w:val="00A70F90"/>
    <w:rsid w:val="00A70FD4"/>
    <w:rsid w:val="00A71235"/>
    <w:rsid w:val="00A71930"/>
    <w:rsid w:val="00A71979"/>
    <w:rsid w:val="00A71AE8"/>
    <w:rsid w:val="00A71C1A"/>
    <w:rsid w:val="00A724F8"/>
    <w:rsid w:val="00A725DE"/>
    <w:rsid w:val="00A72639"/>
    <w:rsid w:val="00A72BBB"/>
    <w:rsid w:val="00A72C7D"/>
    <w:rsid w:val="00A72DFE"/>
    <w:rsid w:val="00A72EBC"/>
    <w:rsid w:val="00A73070"/>
    <w:rsid w:val="00A7319E"/>
    <w:rsid w:val="00A738EC"/>
    <w:rsid w:val="00A738FC"/>
    <w:rsid w:val="00A73C59"/>
    <w:rsid w:val="00A73E64"/>
    <w:rsid w:val="00A73F77"/>
    <w:rsid w:val="00A7445A"/>
    <w:rsid w:val="00A744DF"/>
    <w:rsid w:val="00A745B7"/>
    <w:rsid w:val="00A746AB"/>
    <w:rsid w:val="00A746E9"/>
    <w:rsid w:val="00A74728"/>
    <w:rsid w:val="00A747ED"/>
    <w:rsid w:val="00A7487D"/>
    <w:rsid w:val="00A74948"/>
    <w:rsid w:val="00A74BB5"/>
    <w:rsid w:val="00A74D05"/>
    <w:rsid w:val="00A751E6"/>
    <w:rsid w:val="00A75247"/>
    <w:rsid w:val="00A7531D"/>
    <w:rsid w:val="00A7540C"/>
    <w:rsid w:val="00A756F5"/>
    <w:rsid w:val="00A75957"/>
    <w:rsid w:val="00A7596A"/>
    <w:rsid w:val="00A75A22"/>
    <w:rsid w:val="00A75BAE"/>
    <w:rsid w:val="00A75D38"/>
    <w:rsid w:val="00A75E1E"/>
    <w:rsid w:val="00A75F83"/>
    <w:rsid w:val="00A76340"/>
    <w:rsid w:val="00A76402"/>
    <w:rsid w:val="00A76459"/>
    <w:rsid w:val="00A7649C"/>
    <w:rsid w:val="00A764BF"/>
    <w:rsid w:val="00A76539"/>
    <w:rsid w:val="00A765BA"/>
    <w:rsid w:val="00A765DB"/>
    <w:rsid w:val="00A769F0"/>
    <w:rsid w:val="00A76B6F"/>
    <w:rsid w:val="00A76C93"/>
    <w:rsid w:val="00A76F0F"/>
    <w:rsid w:val="00A7718B"/>
    <w:rsid w:val="00A77203"/>
    <w:rsid w:val="00A77467"/>
    <w:rsid w:val="00A77476"/>
    <w:rsid w:val="00A774F4"/>
    <w:rsid w:val="00A774F9"/>
    <w:rsid w:val="00A7775B"/>
    <w:rsid w:val="00A77761"/>
    <w:rsid w:val="00A7777E"/>
    <w:rsid w:val="00A777AE"/>
    <w:rsid w:val="00A77EAE"/>
    <w:rsid w:val="00A803ED"/>
    <w:rsid w:val="00A8060F"/>
    <w:rsid w:val="00A80636"/>
    <w:rsid w:val="00A8075B"/>
    <w:rsid w:val="00A807AF"/>
    <w:rsid w:val="00A808AB"/>
    <w:rsid w:val="00A80980"/>
    <w:rsid w:val="00A80A09"/>
    <w:rsid w:val="00A80AE1"/>
    <w:rsid w:val="00A80C5A"/>
    <w:rsid w:val="00A80CD5"/>
    <w:rsid w:val="00A80F98"/>
    <w:rsid w:val="00A80FE5"/>
    <w:rsid w:val="00A81076"/>
    <w:rsid w:val="00A81087"/>
    <w:rsid w:val="00A8122D"/>
    <w:rsid w:val="00A815C8"/>
    <w:rsid w:val="00A8170B"/>
    <w:rsid w:val="00A81726"/>
    <w:rsid w:val="00A81824"/>
    <w:rsid w:val="00A8189C"/>
    <w:rsid w:val="00A819F1"/>
    <w:rsid w:val="00A81A4E"/>
    <w:rsid w:val="00A81A72"/>
    <w:rsid w:val="00A81C06"/>
    <w:rsid w:val="00A81D80"/>
    <w:rsid w:val="00A81DA3"/>
    <w:rsid w:val="00A81EF2"/>
    <w:rsid w:val="00A8202B"/>
    <w:rsid w:val="00A821E0"/>
    <w:rsid w:val="00A8242A"/>
    <w:rsid w:val="00A82434"/>
    <w:rsid w:val="00A825BC"/>
    <w:rsid w:val="00A82821"/>
    <w:rsid w:val="00A8289E"/>
    <w:rsid w:val="00A82918"/>
    <w:rsid w:val="00A8291D"/>
    <w:rsid w:val="00A82D45"/>
    <w:rsid w:val="00A82DC1"/>
    <w:rsid w:val="00A8311E"/>
    <w:rsid w:val="00A8321A"/>
    <w:rsid w:val="00A833A1"/>
    <w:rsid w:val="00A834FA"/>
    <w:rsid w:val="00A83559"/>
    <w:rsid w:val="00A838E2"/>
    <w:rsid w:val="00A83ACD"/>
    <w:rsid w:val="00A83D6C"/>
    <w:rsid w:val="00A83E63"/>
    <w:rsid w:val="00A8415F"/>
    <w:rsid w:val="00A84322"/>
    <w:rsid w:val="00A8432D"/>
    <w:rsid w:val="00A843F7"/>
    <w:rsid w:val="00A8462C"/>
    <w:rsid w:val="00A846A2"/>
    <w:rsid w:val="00A8478A"/>
    <w:rsid w:val="00A847A1"/>
    <w:rsid w:val="00A84A45"/>
    <w:rsid w:val="00A84A98"/>
    <w:rsid w:val="00A84AC1"/>
    <w:rsid w:val="00A84B0F"/>
    <w:rsid w:val="00A85202"/>
    <w:rsid w:val="00A8523E"/>
    <w:rsid w:val="00A856F6"/>
    <w:rsid w:val="00A858CF"/>
    <w:rsid w:val="00A8594B"/>
    <w:rsid w:val="00A859F6"/>
    <w:rsid w:val="00A85E51"/>
    <w:rsid w:val="00A85F7A"/>
    <w:rsid w:val="00A85F98"/>
    <w:rsid w:val="00A860C8"/>
    <w:rsid w:val="00A861F5"/>
    <w:rsid w:val="00A86314"/>
    <w:rsid w:val="00A863A5"/>
    <w:rsid w:val="00A86542"/>
    <w:rsid w:val="00A866A7"/>
    <w:rsid w:val="00A867EA"/>
    <w:rsid w:val="00A86943"/>
    <w:rsid w:val="00A86BBA"/>
    <w:rsid w:val="00A86BFF"/>
    <w:rsid w:val="00A86F31"/>
    <w:rsid w:val="00A86F51"/>
    <w:rsid w:val="00A8725F"/>
    <w:rsid w:val="00A872C8"/>
    <w:rsid w:val="00A87309"/>
    <w:rsid w:val="00A87436"/>
    <w:rsid w:val="00A8743F"/>
    <w:rsid w:val="00A874B8"/>
    <w:rsid w:val="00A8750F"/>
    <w:rsid w:val="00A87906"/>
    <w:rsid w:val="00A87B94"/>
    <w:rsid w:val="00A87BAE"/>
    <w:rsid w:val="00A87C87"/>
    <w:rsid w:val="00A87D21"/>
    <w:rsid w:val="00A87E94"/>
    <w:rsid w:val="00A9085D"/>
    <w:rsid w:val="00A90B45"/>
    <w:rsid w:val="00A90C41"/>
    <w:rsid w:val="00A90F50"/>
    <w:rsid w:val="00A910A0"/>
    <w:rsid w:val="00A9116F"/>
    <w:rsid w:val="00A9122A"/>
    <w:rsid w:val="00A9127A"/>
    <w:rsid w:val="00A91317"/>
    <w:rsid w:val="00A913AC"/>
    <w:rsid w:val="00A91570"/>
    <w:rsid w:val="00A91572"/>
    <w:rsid w:val="00A91984"/>
    <w:rsid w:val="00A91FDA"/>
    <w:rsid w:val="00A92014"/>
    <w:rsid w:val="00A9219C"/>
    <w:rsid w:val="00A9288A"/>
    <w:rsid w:val="00A92986"/>
    <w:rsid w:val="00A9299A"/>
    <w:rsid w:val="00A929F4"/>
    <w:rsid w:val="00A92FC8"/>
    <w:rsid w:val="00A93130"/>
    <w:rsid w:val="00A93172"/>
    <w:rsid w:val="00A9318E"/>
    <w:rsid w:val="00A93345"/>
    <w:rsid w:val="00A933B1"/>
    <w:rsid w:val="00A9380C"/>
    <w:rsid w:val="00A93A32"/>
    <w:rsid w:val="00A93A50"/>
    <w:rsid w:val="00A93ACF"/>
    <w:rsid w:val="00A93C59"/>
    <w:rsid w:val="00A93C9F"/>
    <w:rsid w:val="00A93E31"/>
    <w:rsid w:val="00A93EB7"/>
    <w:rsid w:val="00A942D3"/>
    <w:rsid w:val="00A94341"/>
    <w:rsid w:val="00A94386"/>
    <w:rsid w:val="00A9452B"/>
    <w:rsid w:val="00A9499A"/>
    <w:rsid w:val="00A949D5"/>
    <w:rsid w:val="00A94B6F"/>
    <w:rsid w:val="00A94B75"/>
    <w:rsid w:val="00A94CE7"/>
    <w:rsid w:val="00A94ED6"/>
    <w:rsid w:val="00A9509A"/>
    <w:rsid w:val="00A9510D"/>
    <w:rsid w:val="00A9517C"/>
    <w:rsid w:val="00A95185"/>
    <w:rsid w:val="00A95401"/>
    <w:rsid w:val="00A95563"/>
    <w:rsid w:val="00A95642"/>
    <w:rsid w:val="00A95A55"/>
    <w:rsid w:val="00A95BAB"/>
    <w:rsid w:val="00A95C71"/>
    <w:rsid w:val="00A95D4E"/>
    <w:rsid w:val="00A95DFB"/>
    <w:rsid w:val="00A95F74"/>
    <w:rsid w:val="00A95FC9"/>
    <w:rsid w:val="00A960A7"/>
    <w:rsid w:val="00A96390"/>
    <w:rsid w:val="00A96494"/>
    <w:rsid w:val="00A96532"/>
    <w:rsid w:val="00A96695"/>
    <w:rsid w:val="00A967C8"/>
    <w:rsid w:val="00A9692D"/>
    <w:rsid w:val="00A96E69"/>
    <w:rsid w:val="00A96EF8"/>
    <w:rsid w:val="00A96FA1"/>
    <w:rsid w:val="00A970D4"/>
    <w:rsid w:val="00A97166"/>
    <w:rsid w:val="00A977DD"/>
    <w:rsid w:val="00A97860"/>
    <w:rsid w:val="00A9789B"/>
    <w:rsid w:val="00A97B3A"/>
    <w:rsid w:val="00A97B51"/>
    <w:rsid w:val="00A97E35"/>
    <w:rsid w:val="00AA03BB"/>
    <w:rsid w:val="00AA0486"/>
    <w:rsid w:val="00AA050E"/>
    <w:rsid w:val="00AA051C"/>
    <w:rsid w:val="00AA0528"/>
    <w:rsid w:val="00AA058F"/>
    <w:rsid w:val="00AA072B"/>
    <w:rsid w:val="00AA0C37"/>
    <w:rsid w:val="00AA0EE9"/>
    <w:rsid w:val="00AA0F44"/>
    <w:rsid w:val="00AA102A"/>
    <w:rsid w:val="00AA12F7"/>
    <w:rsid w:val="00AA1549"/>
    <w:rsid w:val="00AA169B"/>
    <w:rsid w:val="00AA1910"/>
    <w:rsid w:val="00AA1CFF"/>
    <w:rsid w:val="00AA1D82"/>
    <w:rsid w:val="00AA1F61"/>
    <w:rsid w:val="00AA20C7"/>
    <w:rsid w:val="00AA20FB"/>
    <w:rsid w:val="00AA22A4"/>
    <w:rsid w:val="00AA2372"/>
    <w:rsid w:val="00AA277C"/>
    <w:rsid w:val="00AA2B2D"/>
    <w:rsid w:val="00AA2B37"/>
    <w:rsid w:val="00AA2E97"/>
    <w:rsid w:val="00AA2E9C"/>
    <w:rsid w:val="00AA2EFE"/>
    <w:rsid w:val="00AA2FAB"/>
    <w:rsid w:val="00AA3138"/>
    <w:rsid w:val="00AA3277"/>
    <w:rsid w:val="00AA3309"/>
    <w:rsid w:val="00AA341B"/>
    <w:rsid w:val="00AA35D3"/>
    <w:rsid w:val="00AA35F1"/>
    <w:rsid w:val="00AA3832"/>
    <w:rsid w:val="00AA39A5"/>
    <w:rsid w:val="00AA3AD5"/>
    <w:rsid w:val="00AA3BE0"/>
    <w:rsid w:val="00AA3CEE"/>
    <w:rsid w:val="00AA3D69"/>
    <w:rsid w:val="00AA3D71"/>
    <w:rsid w:val="00AA3EB3"/>
    <w:rsid w:val="00AA456D"/>
    <w:rsid w:val="00AA45AB"/>
    <w:rsid w:val="00AA45B9"/>
    <w:rsid w:val="00AA4998"/>
    <w:rsid w:val="00AA4BCF"/>
    <w:rsid w:val="00AA4CA8"/>
    <w:rsid w:val="00AA4D56"/>
    <w:rsid w:val="00AA4D57"/>
    <w:rsid w:val="00AA4DA8"/>
    <w:rsid w:val="00AA4EAB"/>
    <w:rsid w:val="00AA5243"/>
    <w:rsid w:val="00AA52E3"/>
    <w:rsid w:val="00AA554A"/>
    <w:rsid w:val="00AA580C"/>
    <w:rsid w:val="00AA5977"/>
    <w:rsid w:val="00AA5B65"/>
    <w:rsid w:val="00AA5C74"/>
    <w:rsid w:val="00AA606E"/>
    <w:rsid w:val="00AA63C7"/>
    <w:rsid w:val="00AA6661"/>
    <w:rsid w:val="00AA68B0"/>
    <w:rsid w:val="00AA6CF7"/>
    <w:rsid w:val="00AA71ED"/>
    <w:rsid w:val="00AA7281"/>
    <w:rsid w:val="00AA735D"/>
    <w:rsid w:val="00AA73D3"/>
    <w:rsid w:val="00AA7495"/>
    <w:rsid w:val="00AA7946"/>
    <w:rsid w:val="00AA7A42"/>
    <w:rsid w:val="00AA7ACA"/>
    <w:rsid w:val="00AA7DBB"/>
    <w:rsid w:val="00AA7F3C"/>
    <w:rsid w:val="00AA7F4E"/>
    <w:rsid w:val="00AA7FA4"/>
    <w:rsid w:val="00AA7FF5"/>
    <w:rsid w:val="00AB041D"/>
    <w:rsid w:val="00AB08A8"/>
    <w:rsid w:val="00AB08C3"/>
    <w:rsid w:val="00AB0A0A"/>
    <w:rsid w:val="00AB0A76"/>
    <w:rsid w:val="00AB0AD9"/>
    <w:rsid w:val="00AB0AFE"/>
    <w:rsid w:val="00AB0F77"/>
    <w:rsid w:val="00AB114C"/>
    <w:rsid w:val="00AB11AA"/>
    <w:rsid w:val="00AB1306"/>
    <w:rsid w:val="00AB13E4"/>
    <w:rsid w:val="00AB14FB"/>
    <w:rsid w:val="00AB1862"/>
    <w:rsid w:val="00AB1874"/>
    <w:rsid w:val="00AB1B3B"/>
    <w:rsid w:val="00AB1DB8"/>
    <w:rsid w:val="00AB1DBA"/>
    <w:rsid w:val="00AB20AF"/>
    <w:rsid w:val="00AB264B"/>
    <w:rsid w:val="00AB2656"/>
    <w:rsid w:val="00AB297C"/>
    <w:rsid w:val="00AB2B39"/>
    <w:rsid w:val="00AB2B72"/>
    <w:rsid w:val="00AB2CBB"/>
    <w:rsid w:val="00AB2DAC"/>
    <w:rsid w:val="00AB33A4"/>
    <w:rsid w:val="00AB345A"/>
    <w:rsid w:val="00AB34E3"/>
    <w:rsid w:val="00AB3607"/>
    <w:rsid w:val="00AB361D"/>
    <w:rsid w:val="00AB3623"/>
    <w:rsid w:val="00AB3735"/>
    <w:rsid w:val="00AB37A3"/>
    <w:rsid w:val="00AB3ACB"/>
    <w:rsid w:val="00AB3BDB"/>
    <w:rsid w:val="00AB3D7B"/>
    <w:rsid w:val="00AB3E28"/>
    <w:rsid w:val="00AB4295"/>
    <w:rsid w:val="00AB469F"/>
    <w:rsid w:val="00AB49A2"/>
    <w:rsid w:val="00AB4A0F"/>
    <w:rsid w:val="00AB4A30"/>
    <w:rsid w:val="00AB4AC2"/>
    <w:rsid w:val="00AB4B01"/>
    <w:rsid w:val="00AB4B31"/>
    <w:rsid w:val="00AB4D2E"/>
    <w:rsid w:val="00AB4F6A"/>
    <w:rsid w:val="00AB5173"/>
    <w:rsid w:val="00AB5219"/>
    <w:rsid w:val="00AB557B"/>
    <w:rsid w:val="00AB57C5"/>
    <w:rsid w:val="00AB594C"/>
    <w:rsid w:val="00AB5D3A"/>
    <w:rsid w:val="00AB5DD5"/>
    <w:rsid w:val="00AB5F56"/>
    <w:rsid w:val="00AB5FC6"/>
    <w:rsid w:val="00AB61CC"/>
    <w:rsid w:val="00AB62BA"/>
    <w:rsid w:val="00AB64AA"/>
    <w:rsid w:val="00AB654B"/>
    <w:rsid w:val="00AB6714"/>
    <w:rsid w:val="00AB6752"/>
    <w:rsid w:val="00AB69C1"/>
    <w:rsid w:val="00AB6CED"/>
    <w:rsid w:val="00AB6CFC"/>
    <w:rsid w:val="00AB6DB8"/>
    <w:rsid w:val="00AB6DFD"/>
    <w:rsid w:val="00AB700D"/>
    <w:rsid w:val="00AB709B"/>
    <w:rsid w:val="00AB79DD"/>
    <w:rsid w:val="00AB7DA1"/>
    <w:rsid w:val="00AC0017"/>
    <w:rsid w:val="00AC013E"/>
    <w:rsid w:val="00AC0305"/>
    <w:rsid w:val="00AC05A8"/>
    <w:rsid w:val="00AC0867"/>
    <w:rsid w:val="00AC0951"/>
    <w:rsid w:val="00AC0A06"/>
    <w:rsid w:val="00AC0A3E"/>
    <w:rsid w:val="00AC0AFE"/>
    <w:rsid w:val="00AC0C1B"/>
    <w:rsid w:val="00AC0FD7"/>
    <w:rsid w:val="00AC107E"/>
    <w:rsid w:val="00AC12E9"/>
    <w:rsid w:val="00AC13FA"/>
    <w:rsid w:val="00AC1494"/>
    <w:rsid w:val="00AC15AA"/>
    <w:rsid w:val="00AC1630"/>
    <w:rsid w:val="00AC17C8"/>
    <w:rsid w:val="00AC1956"/>
    <w:rsid w:val="00AC1A5F"/>
    <w:rsid w:val="00AC1B45"/>
    <w:rsid w:val="00AC1ECE"/>
    <w:rsid w:val="00AC1F51"/>
    <w:rsid w:val="00AC1F9D"/>
    <w:rsid w:val="00AC20BA"/>
    <w:rsid w:val="00AC23FF"/>
    <w:rsid w:val="00AC255D"/>
    <w:rsid w:val="00AC2631"/>
    <w:rsid w:val="00AC2697"/>
    <w:rsid w:val="00AC2944"/>
    <w:rsid w:val="00AC2B2E"/>
    <w:rsid w:val="00AC2ECF"/>
    <w:rsid w:val="00AC32B0"/>
    <w:rsid w:val="00AC340B"/>
    <w:rsid w:val="00AC3448"/>
    <w:rsid w:val="00AC353D"/>
    <w:rsid w:val="00AC36BB"/>
    <w:rsid w:val="00AC37EC"/>
    <w:rsid w:val="00AC386A"/>
    <w:rsid w:val="00AC3A54"/>
    <w:rsid w:val="00AC3BD4"/>
    <w:rsid w:val="00AC3C71"/>
    <w:rsid w:val="00AC3EC9"/>
    <w:rsid w:val="00AC4134"/>
    <w:rsid w:val="00AC4285"/>
    <w:rsid w:val="00AC4420"/>
    <w:rsid w:val="00AC45A5"/>
    <w:rsid w:val="00AC474E"/>
    <w:rsid w:val="00AC48A2"/>
    <w:rsid w:val="00AC4A7A"/>
    <w:rsid w:val="00AC4CE2"/>
    <w:rsid w:val="00AC4F33"/>
    <w:rsid w:val="00AC4FDC"/>
    <w:rsid w:val="00AC56B6"/>
    <w:rsid w:val="00AC5740"/>
    <w:rsid w:val="00AC581D"/>
    <w:rsid w:val="00AC5920"/>
    <w:rsid w:val="00AC5AAE"/>
    <w:rsid w:val="00AC5AB7"/>
    <w:rsid w:val="00AC5B09"/>
    <w:rsid w:val="00AC5B17"/>
    <w:rsid w:val="00AC5BA7"/>
    <w:rsid w:val="00AC5CF2"/>
    <w:rsid w:val="00AC5E19"/>
    <w:rsid w:val="00AC5FF2"/>
    <w:rsid w:val="00AC618F"/>
    <w:rsid w:val="00AC6250"/>
    <w:rsid w:val="00AC647E"/>
    <w:rsid w:val="00AC67BE"/>
    <w:rsid w:val="00AC685C"/>
    <w:rsid w:val="00AC6B56"/>
    <w:rsid w:val="00AC6E55"/>
    <w:rsid w:val="00AC6F08"/>
    <w:rsid w:val="00AC6FB4"/>
    <w:rsid w:val="00AC71D8"/>
    <w:rsid w:val="00AC7205"/>
    <w:rsid w:val="00AC7339"/>
    <w:rsid w:val="00AC7395"/>
    <w:rsid w:val="00AC7511"/>
    <w:rsid w:val="00AC75E2"/>
    <w:rsid w:val="00AC7652"/>
    <w:rsid w:val="00AC780F"/>
    <w:rsid w:val="00AC7D5F"/>
    <w:rsid w:val="00AC7DA2"/>
    <w:rsid w:val="00AC7DAD"/>
    <w:rsid w:val="00AC7DAF"/>
    <w:rsid w:val="00AC7FF3"/>
    <w:rsid w:val="00AD0095"/>
    <w:rsid w:val="00AD02D4"/>
    <w:rsid w:val="00AD0424"/>
    <w:rsid w:val="00AD0433"/>
    <w:rsid w:val="00AD05F4"/>
    <w:rsid w:val="00AD06C9"/>
    <w:rsid w:val="00AD082E"/>
    <w:rsid w:val="00AD08B4"/>
    <w:rsid w:val="00AD0B48"/>
    <w:rsid w:val="00AD0C33"/>
    <w:rsid w:val="00AD0F64"/>
    <w:rsid w:val="00AD1001"/>
    <w:rsid w:val="00AD10D9"/>
    <w:rsid w:val="00AD113A"/>
    <w:rsid w:val="00AD12C9"/>
    <w:rsid w:val="00AD20CD"/>
    <w:rsid w:val="00AD20D0"/>
    <w:rsid w:val="00AD2143"/>
    <w:rsid w:val="00AD228D"/>
    <w:rsid w:val="00AD22A8"/>
    <w:rsid w:val="00AD23DF"/>
    <w:rsid w:val="00AD2492"/>
    <w:rsid w:val="00AD24C7"/>
    <w:rsid w:val="00AD2713"/>
    <w:rsid w:val="00AD2795"/>
    <w:rsid w:val="00AD29CD"/>
    <w:rsid w:val="00AD2A3F"/>
    <w:rsid w:val="00AD2CE5"/>
    <w:rsid w:val="00AD2D4E"/>
    <w:rsid w:val="00AD2D88"/>
    <w:rsid w:val="00AD3291"/>
    <w:rsid w:val="00AD3340"/>
    <w:rsid w:val="00AD34ED"/>
    <w:rsid w:val="00AD3579"/>
    <w:rsid w:val="00AD358F"/>
    <w:rsid w:val="00AD3783"/>
    <w:rsid w:val="00AD37FB"/>
    <w:rsid w:val="00AD39C0"/>
    <w:rsid w:val="00AD3BAD"/>
    <w:rsid w:val="00AD3C7C"/>
    <w:rsid w:val="00AD3CC4"/>
    <w:rsid w:val="00AD3F87"/>
    <w:rsid w:val="00AD3F94"/>
    <w:rsid w:val="00AD40C4"/>
    <w:rsid w:val="00AD41DD"/>
    <w:rsid w:val="00AD41FF"/>
    <w:rsid w:val="00AD439A"/>
    <w:rsid w:val="00AD4439"/>
    <w:rsid w:val="00AD45D0"/>
    <w:rsid w:val="00AD46C7"/>
    <w:rsid w:val="00AD4744"/>
    <w:rsid w:val="00AD4771"/>
    <w:rsid w:val="00AD48E2"/>
    <w:rsid w:val="00AD4AFD"/>
    <w:rsid w:val="00AD4C0C"/>
    <w:rsid w:val="00AD4C10"/>
    <w:rsid w:val="00AD4C7E"/>
    <w:rsid w:val="00AD4CAF"/>
    <w:rsid w:val="00AD4CDB"/>
    <w:rsid w:val="00AD50D5"/>
    <w:rsid w:val="00AD50E1"/>
    <w:rsid w:val="00AD5983"/>
    <w:rsid w:val="00AD5C8B"/>
    <w:rsid w:val="00AD5CC1"/>
    <w:rsid w:val="00AD5D0E"/>
    <w:rsid w:val="00AD5EB1"/>
    <w:rsid w:val="00AD607A"/>
    <w:rsid w:val="00AD60D5"/>
    <w:rsid w:val="00AD6147"/>
    <w:rsid w:val="00AD6171"/>
    <w:rsid w:val="00AD61C4"/>
    <w:rsid w:val="00AD62C0"/>
    <w:rsid w:val="00AD6329"/>
    <w:rsid w:val="00AD6330"/>
    <w:rsid w:val="00AD6454"/>
    <w:rsid w:val="00AD652A"/>
    <w:rsid w:val="00AD6636"/>
    <w:rsid w:val="00AD6B39"/>
    <w:rsid w:val="00AD6BB1"/>
    <w:rsid w:val="00AD6CFF"/>
    <w:rsid w:val="00AD74DE"/>
    <w:rsid w:val="00AD778D"/>
    <w:rsid w:val="00AD77FB"/>
    <w:rsid w:val="00AD7951"/>
    <w:rsid w:val="00AD7AAD"/>
    <w:rsid w:val="00AD7BF6"/>
    <w:rsid w:val="00AE0081"/>
    <w:rsid w:val="00AE01B9"/>
    <w:rsid w:val="00AE0283"/>
    <w:rsid w:val="00AE035C"/>
    <w:rsid w:val="00AE0817"/>
    <w:rsid w:val="00AE08D0"/>
    <w:rsid w:val="00AE0958"/>
    <w:rsid w:val="00AE0A38"/>
    <w:rsid w:val="00AE0B94"/>
    <w:rsid w:val="00AE0CE2"/>
    <w:rsid w:val="00AE0DAF"/>
    <w:rsid w:val="00AE0E2A"/>
    <w:rsid w:val="00AE0F43"/>
    <w:rsid w:val="00AE1048"/>
    <w:rsid w:val="00AE10B4"/>
    <w:rsid w:val="00AE11AD"/>
    <w:rsid w:val="00AE11D0"/>
    <w:rsid w:val="00AE155F"/>
    <w:rsid w:val="00AE15A5"/>
    <w:rsid w:val="00AE15E6"/>
    <w:rsid w:val="00AE17CC"/>
    <w:rsid w:val="00AE1829"/>
    <w:rsid w:val="00AE196D"/>
    <w:rsid w:val="00AE199B"/>
    <w:rsid w:val="00AE1C59"/>
    <w:rsid w:val="00AE1D17"/>
    <w:rsid w:val="00AE1DCD"/>
    <w:rsid w:val="00AE1E06"/>
    <w:rsid w:val="00AE1E55"/>
    <w:rsid w:val="00AE1F48"/>
    <w:rsid w:val="00AE2105"/>
    <w:rsid w:val="00AE22FE"/>
    <w:rsid w:val="00AE23AD"/>
    <w:rsid w:val="00AE262B"/>
    <w:rsid w:val="00AE27E1"/>
    <w:rsid w:val="00AE2A69"/>
    <w:rsid w:val="00AE2B57"/>
    <w:rsid w:val="00AE2BA2"/>
    <w:rsid w:val="00AE31AB"/>
    <w:rsid w:val="00AE3307"/>
    <w:rsid w:val="00AE3313"/>
    <w:rsid w:val="00AE338D"/>
    <w:rsid w:val="00AE3559"/>
    <w:rsid w:val="00AE35CC"/>
    <w:rsid w:val="00AE3657"/>
    <w:rsid w:val="00AE3FDE"/>
    <w:rsid w:val="00AE40BA"/>
    <w:rsid w:val="00AE4122"/>
    <w:rsid w:val="00AE4265"/>
    <w:rsid w:val="00AE45FE"/>
    <w:rsid w:val="00AE467F"/>
    <w:rsid w:val="00AE480E"/>
    <w:rsid w:val="00AE4B7A"/>
    <w:rsid w:val="00AE4CD9"/>
    <w:rsid w:val="00AE4CFB"/>
    <w:rsid w:val="00AE4E18"/>
    <w:rsid w:val="00AE4F1B"/>
    <w:rsid w:val="00AE4FF4"/>
    <w:rsid w:val="00AE52F6"/>
    <w:rsid w:val="00AE5331"/>
    <w:rsid w:val="00AE5348"/>
    <w:rsid w:val="00AE5401"/>
    <w:rsid w:val="00AE54F0"/>
    <w:rsid w:val="00AE54FB"/>
    <w:rsid w:val="00AE56BF"/>
    <w:rsid w:val="00AE56C1"/>
    <w:rsid w:val="00AE5A32"/>
    <w:rsid w:val="00AE5A43"/>
    <w:rsid w:val="00AE5BBA"/>
    <w:rsid w:val="00AE6286"/>
    <w:rsid w:val="00AE62A7"/>
    <w:rsid w:val="00AE632C"/>
    <w:rsid w:val="00AE65F9"/>
    <w:rsid w:val="00AE6B19"/>
    <w:rsid w:val="00AE6C02"/>
    <w:rsid w:val="00AE6F23"/>
    <w:rsid w:val="00AE7124"/>
    <w:rsid w:val="00AE7139"/>
    <w:rsid w:val="00AE713A"/>
    <w:rsid w:val="00AE727F"/>
    <w:rsid w:val="00AE731B"/>
    <w:rsid w:val="00AE7536"/>
    <w:rsid w:val="00AE766D"/>
    <w:rsid w:val="00AE770A"/>
    <w:rsid w:val="00AE7784"/>
    <w:rsid w:val="00AE7834"/>
    <w:rsid w:val="00AE78AE"/>
    <w:rsid w:val="00AE7D5E"/>
    <w:rsid w:val="00AE7F4C"/>
    <w:rsid w:val="00AE7F66"/>
    <w:rsid w:val="00AE7F6B"/>
    <w:rsid w:val="00AE7FA4"/>
    <w:rsid w:val="00AE7FB7"/>
    <w:rsid w:val="00AE7FE1"/>
    <w:rsid w:val="00AF001C"/>
    <w:rsid w:val="00AF0052"/>
    <w:rsid w:val="00AF007B"/>
    <w:rsid w:val="00AF018F"/>
    <w:rsid w:val="00AF0308"/>
    <w:rsid w:val="00AF0377"/>
    <w:rsid w:val="00AF039E"/>
    <w:rsid w:val="00AF05EA"/>
    <w:rsid w:val="00AF0684"/>
    <w:rsid w:val="00AF0769"/>
    <w:rsid w:val="00AF0779"/>
    <w:rsid w:val="00AF099D"/>
    <w:rsid w:val="00AF10B0"/>
    <w:rsid w:val="00AF1178"/>
    <w:rsid w:val="00AF11A3"/>
    <w:rsid w:val="00AF11BC"/>
    <w:rsid w:val="00AF1289"/>
    <w:rsid w:val="00AF1411"/>
    <w:rsid w:val="00AF143D"/>
    <w:rsid w:val="00AF1A47"/>
    <w:rsid w:val="00AF1B84"/>
    <w:rsid w:val="00AF1BAE"/>
    <w:rsid w:val="00AF1BEE"/>
    <w:rsid w:val="00AF1C7F"/>
    <w:rsid w:val="00AF1F53"/>
    <w:rsid w:val="00AF2041"/>
    <w:rsid w:val="00AF21DF"/>
    <w:rsid w:val="00AF2284"/>
    <w:rsid w:val="00AF22BC"/>
    <w:rsid w:val="00AF26AD"/>
    <w:rsid w:val="00AF2959"/>
    <w:rsid w:val="00AF2A32"/>
    <w:rsid w:val="00AF2B6E"/>
    <w:rsid w:val="00AF3348"/>
    <w:rsid w:val="00AF35D2"/>
    <w:rsid w:val="00AF36C6"/>
    <w:rsid w:val="00AF3968"/>
    <w:rsid w:val="00AF39F6"/>
    <w:rsid w:val="00AF3D75"/>
    <w:rsid w:val="00AF3E61"/>
    <w:rsid w:val="00AF3FE6"/>
    <w:rsid w:val="00AF400A"/>
    <w:rsid w:val="00AF414C"/>
    <w:rsid w:val="00AF422B"/>
    <w:rsid w:val="00AF4244"/>
    <w:rsid w:val="00AF4264"/>
    <w:rsid w:val="00AF427F"/>
    <w:rsid w:val="00AF43E1"/>
    <w:rsid w:val="00AF45C7"/>
    <w:rsid w:val="00AF49A7"/>
    <w:rsid w:val="00AF4AC1"/>
    <w:rsid w:val="00AF4ACE"/>
    <w:rsid w:val="00AF4C2E"/>
    <w:rsid w:val="00AF4C3B"/>
    <w:rsid w:val="00AF4E46"/>
    <w:rsid w:val="00AF5097"/>
    <w:rsid w:val="00AF52EE"/>
    <w:rsid w:val="00AF53BA"/>
    <w:rsid w:val="00AF5748"/>
    <w:rsid w:val="00AF5803"/>
    <w:rsid w:val="00AF58D2"/>
    <w:rsid w:val="00AF58EF"/>
    <w:rsid w:val="00AF5E87"/>
    <w:rsid w:val="00AF5FBD"/>
    <w:rsid w:val="00AF6229"/>
    <w:rsid w:val="00AF62FF"/>
    <w:rsid w:val="00AF65DA"/>
    <w:rsid w:val="00AF685D"/>
    <w:rsid w:val="00AF68BC"/>
    <w:rsid w:val="00AF6988"/>
    <w:rsid w:val="00AF69E3"/>
    <w:rsid w:val="00AF6AE1"/>
    <w:rsid w:val="00AF6B78"/>
    <w:rsid w:val="00AF6E24"/>
    <w:rsid w:val="00AF7085"/>
    <w:rsid w:val="00AF70A7"/>
    <w:rsid w:val="00AF71F2"/>
    <w:rsid w:val="00AF7212"/>
    <w:rsid w:val="00AF721E"/>
    <w:rsid w:val="00AF7263"/>
    <w:rsid w:val="00AF73ED"/>
    <w:rsid w:val="00AF755F"/>
    <w:rsid w:val="00AF7B77"/>
    <w:rsid w:val="00AF7C04"/>
    <w:rsid w:val="00AF7CD1"/>
    <w:rsid w:val="00AF7D36"/>
    <w:rsid w:val="00AF7E28"/>
    <w:rsid w:val="00AF7F32"/>
    <w:rsid w:val="00B00246"/>
    <w:rsid w:val="00B00275"/>
    <w:rsid w:val="00B009F0"/>
    <w:rsid w:val="00B00A96"/>
    <w:rsid w:val="00B00CBB"/>
    <w:rsid w:val="00B00CC0"/>
    <w:rsid w:val="00B00CC5"/>
    <w:rsid w:val="00B00CE9"/>
    <w:rsid w:val="00B00EB2"/>
    <w:rsid w:val="00B00FD4"/>
    <w:rsid w:val="00B00FD9"/>
    <w:rsid w:val="00B01048"/>
    <w:rsid w:val="00B01069"/>
    <w:rsid w:val="00B010F0"/>
    <w:rsid w:val="00B0126E"/>
    <w:rsid w:val="00B01295"/>
    <w:rsid w:val="00B01541"/>
    <w:rsid w:val="00B016D5"/>
    <w:rsid w:val="00B01A32"/>
    <w:rsid w:val="00B02204"/>
    <w:rsid w:val="00B0231A"/>
    <w:rsid w:val="00B025B0"/>
    <w:rsid w:val="00B02639"/>
    <w:rsid w:val="00B02819"/>
    <w:rsid w:val="00B02B00"/>
    <w:rsid w:val="00B02CBF"/>
    <w:rsid w:val="00B02D02"/>
    <w:rsid w:val="00B02D88"/>
    <w:rsid w:val="00B02EA8"/>
    <w:rsid w:val="00B033EB"/>
    <w:rsid w:val="00B03435"/>
    <w:rsid w:val="00B0343D"/>
    <w:rsid w:val="00B035C5"/>
    <w:rsid w:val="00B037AB"/>
    <w:rsid w:val="00B0391E"/>
    <w:rsid w:val="00B03A1B"/>
    <w:rsid w:val="00B03A6A"/>
    <w:rsid w:val="00B041AA"/>
    <w:rsid w:val="00B0422D"/>
    <w:rsid w:val="00B04405"/>
    <w:rsid w:val="00B046CD"/>
    <w:rsid w:val="00B047C0"/>
    <w:rsid w:val="00B048BD"/>
    <w:rsid w:val="00B04AB4"/>
    <w:rsid w:val="00B04AF1"/>
    <w:rsid w:val="00B04E61"/>
    <w:rsid w:val="00B04F63"/>
    <w:rsid w:val="00B04F6F"/>
    <w:rsid w:val="00B05173"/>
    <w:rsid w:val="00B051CF"/>
    <w:rsid w:val="00B05281"/>
    <w:rsid w:val="00B05322"/>
    <w:rsid w:val="00B05336"/>
    <w:rsid w:val="00B0555B"/>
    <w:rsid w:val="00B058A8"/>
    <w:rsid w:val="00B05BBD"/>
    <w:rsid w:val="00B06029"/>
    <w:rsid w:val="00B060B4"/>
    <w:rsid w:val="00B06100"/>
    <w:rsid w:val="00B061EC"/>
    <w:rsid w:val="00B0620B"/>
    <w:rsid w:val="00B0629B"/>
    <w:rsid w:val="00B06453"/>
    <w:rsid w:val="00B06457"/>
    <w:rsid w:val="00B06546"/>
    <w:rsid w:val="00B06642"/>
    <w:rsid w:val="00B0684F"/>
    <w:rsid w:val="00B06982"/>
    <w:rsid w:val="00B06A06"/>
    <w:rsid w:val="00B06B19"/>
    <w:rsid w:val="00B06BCC"/>
    <w:rsid w:val="00B06FA1"/>
    <w:rsid w:val="00B06FAA"/>
    <w:rsid w:val="00B07137"/>
    <w:rsid w:val="00B07432"/>
    <w:rsid w:val="00B074E4"/>
    <w:rsid w:val="00B0756E"/>
    <w:rsid w:val="00B07577"/>
    <w:rsid w:val="00B0769D"/>
    <w:rsid w:val="00B076E8"/>
    <w:rsid w:val="00B07794"/>
    <w:rsid w:val="00B07AB4"/>
    <w:rsid w:val="00B07CF7"/>
    <w:rsid w:val="00B07DC8"/>
    <w:rsid w:val="00B07DDB"/>
    <w:rsid w:val="00B07E99"/>
    <w:rsid w:val="00B0FF64"/>
    <w:rsid w:val="00B10104"/>
    <w:rsid w:val="00B102F2"/>
    <w:rsid w:val="00B10438"/>
    <w:rsid w:val="00B1058A"/>
    <w:rsid w:val="00B1064D"/>
    <w:rsid w:val="00B106CD"/>
    <w:rsid w:val="00B106D2"/>
    <w:rsid w:val="00B10827"/>
    <w:rsid w:val="00B10AF1"/>
    <w:rsid w:val="00B10B1A"/>
    <w:rsid w:val="00B10E5A"/>
    <w:rsid w:val="00B10F3E"/>
    <w:rsid w:val="00B10FB2"/>
    <w:rsid w:val="00B11186"/>
    <w:rsid w:val="00B11250"/>
    <w:rsid w:val="00B11335"/>
    <w:rsid w:val="00B11378"/>
    <w:rsid w:val="00B114DF"/>
    <w:rsid w:val="00B11666"/>
    <w:rsid w:val="00B119AE"/>
    <w:rsid w:val="00B119F1"/>
    <w:rsid w:val="00B11CB2"/>
    <w:rsid w:val="00B11CC3"/>
    <w:rsid w:val="00B11FEC"/>
    <w:rsid w:val="00B12009"/>
    <w:rsid w:val="00B12752"/>
    <w:rsid w:val="00B12AC3"/>
    <w:rsid w:val="00B12DE5"/>
    <w:rsid w:val="00B12DF6"/>
    <w:rsid w:val="00B13077"/>
    <w:rsid w:val="00B13096"/>
    <w:rsid w:val="00B1327F"/>
    <w:rsid w:val="00B13390"/>
    <w:rsid w:val="00B13513"/>
    <w:rsid w:val="00B13698"/>
    <w:rsid w:val="00B137BE"/>
    <w:rsid w:val="00B1387D"/>
    <w:rsid w:val="00B139D1"/>
    <w:rsid w:val="00B13CC6"/>
    <w:rsid w:val="00B13FDE"/>
    <w:rsid w:val="00B1412C"/>
    <w:rsid w:val="00B141ED"/>
    <w:rsid w:val="00B14480"/>
    <w:rsid w:val="00B14557"/>
    <w:rsid w:val="00B146EE"/>
    <w:rsid w:val="00B147E7"/>
    <w:rsid w:val="00B14B4F"/>
    <w:rsid w:val="00B14E9D"/>
    <w:rsid w:val="00B1500A"/>
    <w:rsid w:val="00B151C0"/>
    <w:rsid w:val="00B152B8"/>
    <w:rsid w:val="00B15350"/>
    <w:rsid w:val="00B153B6"/>
    <w:rsid w:val="00B15541"/>
    <w:rsid w:val="00B155F1"/>
    <w:rsid w:val="00B157F9"/>
    <w:rsid w:val="00B15884"/>
    <w:rsid w:val="00B15A6E"/>
    <w:rsid w:val="00B15ADA"/>
    <w:rsid w:val="00B15CC8"/>
    <w:rsid w:val="00B15ECC"/>
    <w:rsid w:val="00B16621"/>
    <w:rsid w:val="00B1664A"/>
    <w:rsid w:val="00B167CE"/>
    <w:rsid w:val="00B167FE"/>
    <w:rsid w:val="00B168B9"/>
    <w:rsid w:val="00B16B44"/>
    <w:rsid w:val="00B16C3A"/>
    <w:rsid w:val="00B16CFC"/>
    <w:rsid w:val="00B16D11"/>
    <w:rsid w:val="00B16FFC"/>
    <w:rsid w:val="00B17128"/>
    <w:rsid w:val="00B171EE"/>
    <w:rsid w:val="00B172D1"/>
    <w:rsid w:val="00B173FC"/>
    <w:rsid w:val="00B174F4"/>
    <w:rsid w:val="00B17706"/>
    <w:rsid w:val="00B17B33"/>
    <w:rsid w:val="00B17B4C"/>
    <w:rsid w:val="00B17B7B"/>
    <w:rsid w:val="00B17ED1"/>
    <w:rsid w:val="00B17F99"/>
    <w:rsid w:val="00B2038E"/>
    <w:rsid w:val="00B20397"/>
    <w:rsid w:val="00B20850"/>
    <w:rsid w:val="00B208EE"/>
    <w:rsid w:val="00B20DA6"/>
    <w:rsid w:val="00B20E56"/>
    <w:rsid w:val="00B20ED1"/>
    <w:rsid w:val="00B20F74"/>
    <w:rsid w:val="00B2107C"/>
    <w:rsid w:val="00B2108E"/>
    <w:rsid w:val="00B21314"/>
    <w:rsid w:val="00B21392"/>
    <w:rsid w:val="00B215B2"/>
    <w:rsid w:val="00B21610"/>
    <w:rsid w:val="00B21975"/>
    <w:rsid w:val="00B21BE9"/>
    <w:rsid w:val="00B21C67"/>
    <w:rsid w:val="00B21D0F"/>
    <w:rsid w:val="00B21E37"/>
    <w:rsid w:val="00B21EC8"/>
    <w:rsid w:val="00B2227E"/>
    <w:rsid w:val="00B22417"/>
    <w:rsid w:val="00B225C5"/>
    <w:rsid w:val="00B226B1"/>
    <w:rsid w:val="00B22A4A"/>
    <w:rsid w:val="00B22F45"/>
    <w:rsid w:val="00B22FC3"/>
    <w:rsid w:val="00B23033"/>
    <w:rsid w:val="00B230BC"/>
    <w:rsid w:val="00B23319"/>
    <w:rsid w:val="00B233FD"/>
    <w:rsid w:val="00B237AB"/>
    <w:rsid w:val="00B23A7F"/>
    <w:rsid w:val="00B23C6E"/>
    <w:rsid w:val="00B23DA9"/>
    <w:rsid w:val="00B23ECA"/>
    <w:rsid w:val="00B23FD4"/>
    <w:rsid w:val="00B24223"/>
    <w:rsid w:val="00B246CE"/>
    <w:rsid w:val="00B24842"/>
    <w:rsid w:val="00B24935"/>
    <w:rsid w:val="00B249FD"/>
    <w:rsid w:val="00B24A7E"/>
    <w:rsid w:val="00B24B4A"/>
    <w:rsid w:val="00B24C35"/>
    <w:rsid w:val="00B24C43"/>
    <w:rsid w:val="00B2520A"/>
    <w:rsid w:val="00B25211"/>
    <w:rsid w:val="00B25240"/>
    <w:rsid w:val="00B2532E"/>
    <w:rsid w:val="00B25805"/>
    <w:rsid w:val="00B259E1"/>
    <w:rsid w:val="00B25E97"/>
    <w:rsid w:val="00B25EC9"/>
    <w:rsid w:val="00B2603F"/>
    <w:rsid w:val="00B26369"/>
    <w:rsid w:val="00B26388"/>
    <w:rsid w:val="00B26390"/>
    <w:rsid w:val="00B263FD"/>
    <w:rsid w:val="00B26699"/>
    <w:rsid w:val="00B269BE"/>
    <w:rsid w:val="00B26B57"/>
    <w:rsid w:val="00B26BE1"/>
    <w:rsid w:val="00B26D93"/>
    <w:rsid w:val="00B26F0A"/>
    <w:rsid w:val="00B27058"/>
    <w:rsid w:val="00B27179"/>
    <w:rsid w:val="00B2727F"/>
    <w:rsid w:val="00B27338"/>
    <w:rsid w:val="00B273E7"/>
    <w:rsid w:val="00B274D9"/>
    <w:rsid w:val="00B27757"/>
    <w:rsid w:val="00B27812"/>
    <w:rsid w:val="00B27953"/>
    <w:rsid w:val="00B27B92"/>
    <w:rsid w:val="00B27BB3"/>
    <w:rsid w:val="00B27BE9"/>
    <w:rsid w:val="00B27CD0"/>
    <w:rsid w:val="00B27F2E"/>
    <w:rsid w:val="00B27F6E"/>
    <w:rsid w:val="00B27FD0"/>
    <w:rsid w:val="00B3022A"/>
    <w:rsid w:val="00B3034C"/>
    <w:rsid w:val="00B30385"/>
    <w:rsid w:val="00B30614"/>
    <w:rsid w:val="00B30651"/>
    <w:rsid w:val="00B30676"/>
    <w:rsid w:val="00B306E7"/>
    <w:rsid w:val="00B3070F"/>
    <w:rsid w:val="00B30838"/>
    <w:rsid w:val="00B30842"/>
    <w:rsid w:val="00B30A55"/>
    <w:rsid w:val="00B30AAB"/>
    <w:rsid w:val="00B30C52"/>
    <w:rsid w:val="00B30D5B"/>
    <w:rsid w:val="00B30DB6"/>
    <w:rsid w:val="00B312EE"/>
    <w:rsid w:val="00B31355"/>
    <w:rsid w:val="00B31533"/>
    <w:rsid w:val="00B31597"/>
    <w:rsid w:val="00B31A90"/>
    <w:rsid w:val="00B31AA7"/>
    <w:rsid w:val="00B31C0A"/>
    <w:rsid w:val="00B31EE5"/>
    <w:rsid w:val="00B32051"/>
    <w:rsid w:val="00B321F3"/>
    <w:rsid w:val="00B3228B"/>
    <w:rsid w:val="00B32514"/>
    <w:rsid w:val="00B3253A"/>
    <w:rsid w:val="00B32553"/>
    <w:rsid w:val="00B32850"/>
    <w:rsid w:val="00B32A2D"/>
    <w:rsid w:val="00B32C36"/>
    <w:rsid w:val="00B32D56"/>
    <w:rsid w:val="00B33152"/>
    <w:rsid w:val="00B333F7"/>
    <w:rsid w:val="00B33741"/>
    <w:rsid w:val="00B3382B"/>
    <w:rsid w:val="00B33ADE"/>
    <w:rsid w:val="00B33B56"/>
    <w:rsid w:val="00B33BF1"/>
    <w:rsid w:val="00B33D27"/>
    <w:rsid w:val="00B33FC6"/>
    <w:rsid w:val="00B34079"/>
    <w:rsid w:val="00B342F6"/>
    <w:rsid w:val="00B34387"/>
    <w:rsid w:val="00B34667"/>
    <w:rsid w:val="00B3471C"/>
    <w:rsid w:val="00B347B9"/>
    <w:rsid w:val="00B34844"/>
    <w:rsid w:val="00B348DC"/>
    <w:rsid w:val="00B349E9"/>
    <w:rsid w:val="00B349F2"/>
    <w:rsid w:val="00B34C6B"/>
    <w:rsid w:val="00B34C77"/>
    <w:rsid w:val="00B34D91"/>
    <w:rsid w:val="00B35349"/>
    <w:rsid w:val="00B356E8"/>
    <w:rsid w:val="00B3573C"/>
    <w:rsid w:val="00B3574F"/>
    <w:rsid w:val="00B35A79"/>
    <w:rsid w:val="00B35E88"/>
    <w:rsid w:val="00B35E91"/>
    <w:rsid w:val="00B360AD"/>
    <w:rsid w:val="00B36108"/>
    <w:rsid w:val="00B36226"/>
    <w:rsid w:val="00B3622A"/>
    <w:rsid w:val="00B36416"/>
    <w:rsid w:val="00B3679E"/>
    <w:rsid w:val="00B369C0"/>
    <w:rsid w:val="00B36E7A"/>
    <w:rsid w:val="00B37084"/>
    <w:rsid w:val="00B370D8"/>
    <w:rsid w:val="00B370E6"/>
    <w:rsid w:val="00B370FB"/>
    <w:rsid w:val="00B373A3"/>
    <w:rsid w:val="00B37438"/>
    <w:rsid w:val="00B374B6"/>
    <w:rsid w:val="00B3765B"/>
    <w:rsid w:val="00B377A7"/>
    <w:rsid w:val="00B3792C"/>
    <w:rsid w:val="00B37964"/>
    <w:rsid w:val="00B379A8"/>
    <w:rsid w:val="00B379CF"/>
    <w:rsid w:val="00B37A08"/>
    <w:rsid w:val="00B37A25"/>
    <w:rsid w:val="00B37B90"/>
    <w:rsid w:val="00B37D53"/>
    <w:rsid w:val="00B37EEC"/>
    <w:rsid w:val="00B37EFC"/>
    <w:rsid w:val="00B400F9"/>
    <w:rsid w:val="00B40275"/>
    <w:rsid w:val="00B40638"/>
    <w:rsid w:val="00B406E0"/>
    <w:rsid w:val="00B406F7"/>
    <w:rsid w:val="00B40777"/>
    <w:rsid w:val="00B4092D"/>
    <w:rsid w:val="00B40CF0"/>
    <w:rsid w:val="00B40D3B"/>
    <w:rsid w:val="00B40E54"/>
    <w:rsid w:val="00B40F2D"/>
    <w:rsid w:val="00B41825"/>
    <w:rsid w:val="00B419A4"/>
    <w:rsid w:val="00B41A0F"/>
    <w:rsid w:val="00B41CE3"/>
    <w:rsid w:val="00B41D5C"/>
    <w:rsid w:val="00B41E5D"/>
    <w:rsid w:val="00B41E9B"/>
    <w:rsid w:val="00B4232A"/>
    <w:rsid w:val="00B42402"/>
    <w:rsid w:val="00B4251B"/>
    <w:rsid w:val="00B42A25"/>
    <w:rsid w:val="00B42A2B"/>
    <w:rsid w:val="00B42B77"/>
    <w:rsid w:val="00B42BE3"/>
    <w:rsid w:val="00B42C15"/>
    <w:rsid w:val="00B42D14"/>
    <w:rsid w:val="00B42FCD"/>
    <w:rsid w:val="00B42FFC"/>
    <w:rsid w:val="00B43007"/>
    <w:rsid w:val="00B43103"/>
    <w:rsid w:val="00B432D9"/>
    <w:rsid w:val="00B433F0"/>
    <w:rsid w:val="00B437B9"/>
    <w:rsid w:val="00B439E0"/>
    <w:rsid w:val="00B43C81"/>
    <w:rsid w:val="00B444D7"/>
    <w:rsid w:val="00B4458C"/>
    <w:rsid w:val="00B44686"/>
    <w:rsid w:val="00B44769"/>
    <w:rsid w:val="00B447B3"/>
    <w:rsid w:val="00B44E21"/>
    <w:rsid w:val="00B44F22"/>
    <w:rsid w:val="00B455BC"/>
    <w:rsid w:val="00B45822"/>
    <w:rsid w:val="00B45896"/>
    <w:rsid w:val="00B45B22"/>
    <w:rsid w:val="00B46631"/>
    <w:rsid w:val="00B46688"/>
    <w:rsid w:val="00B4675D"/>
    <w:rsid w:val="00B46820"/>
    <w:rsid w:val="00B46848"/>
    <w:rsid w:val="00B46914"/>
    <w:rsid w:val="00B46996"/>
    <w:rsid w:val="00B469CF"/>
    <w:rsid w:val="00B469EB"/>
    <w:rsid w:val="00B46B4A"/>
    <w:rsid w:val="00B470A9"/>
    <w:rsid w:val="00B47195"/>
    <w:rsid w:val="00B471D8"/>
    <w:rsid w:val="00B472F0"/>
    <w:rsid w:val="00B474F3"/>
    <w:rsid w:val="00B475B7"/>
    <w:rsid w:val="00B47683"/>
    <w:rsid w:val="00B477E4"/>
    <w:rsid w:val="00B47983"/>
    <w:rsid w:val="00B47B03"/>
    <w:rsid w:val="00B47B69"/>
    <w:rsid w:val="00B47BA2"/>
    <w:rsid w:val="00B47C79"/>
    <w:rsid w:val="00B47CAA"/>
    <w:rsid w:val="00B47CF8"/>
    <w:rsid w:val="00B47DBC"/>
    <w:rsid w:val="00B47DD9"/>
    <w:rsid w:val="00B47F03"/>
    <w:rsid w:val="00B50102"/>
    <w:rsid w:val="00B5042D"/>
    <w:rsid w:val="00B50445"/>
    <w:rsid w:val="00B5045C"/>
    <w:rsid w:val="00B507B6"/>
    <w:rsid w:val="00B50A9C"/>
    <w:rsid w:val="00B50B84"/>
    <w:rsid w:val="00B50DC1"/>
    <w:rsid w:val="00B50F98"/>
    <w:rsid w:val="00B50FFD"/>
    <w:rsid w:val="00B51021"/>
    <w:rsid w:val="00B511B1"/>
    <w:rsid w:val="00B512C0"/>
    <w:rsid w:val="00B513C1"/>
    <w:rsid w:val="00B51514"/>
    <w:rsid w:val="00B515B4"/>
    <w:rsid w:val="00B517CD"/>
    <w:rsid w:val="00B5194A"/>
    <w:rsid w:val="00B519C6"/>
    <w:rsid w:val="00B51A00"/>
    <w:rsid w:val="00B51AF9"/>
    <w:rsid w:val="00B51C5A"/>
    <w:rsid w:val="00B51D93"/>
    <w:rsid w:val="00B51DCF"/>
    <w:rsid w:val="00B52504"/>
    <w:rsid w:val="00B5255E"/>
    <w:rsid w:val="00B52627"/>
    <w:rsid w:val="00B5279D"/>
    <w:rsid w:val="00B5279F"/>
    <w:rsid w:val="00B527CE"/>
    <w:rsid w:val="00B528C7"/>
    <w:rsid w:val="00B529EF"/>
    <w:rsid w:val="00B52A7E"/>
    <w:rsid w:val="00B52D82"/>
    <w:rsid w:val="00B52E2B"/>
    <w:rsid w:val="00B52EC6"/>
    <w:rsid w:val="00B52F53"/>
    <w:rsid w:val="00B5328D"/>
    <w:rsid w:val="00B53334"/>
    <w:rsid w:val="00B53454"/>
    <w:rsid w:val="00B53517"/>
    <w:rsid w:val="00B539B5"/>
    <w:rsid w:val="00B53A95"/>
    <w:rsid w:val="00B53B23"/>
    <w:rsid w:val="00B53D54"/>
    <w:rsid w:val="00B53F1B"/>
    <w:rsid w:val="00B53F86"/>
    <w:rsid w:val="00B54369"/>
    <w:rsid w:val="00B54550"/>
    <w:rsid w:val="00B54784"/>
    <w:rsid w:val="00B54880"/>
    <w:rsid w:val="00B54967"/>
    <w:rsid w:val="00B54BFF"/>
    <w:rsid w:val="00B55085"/>
    <w:rsid w:val="00B5528C"/>
    <w:rsid w:val="00B55478"/>
    <w:rsid w:val="00B555F8"/>
    <w:rsid w:val="00B5562A"/>
    <w:rsid w:val="00B5562C"/>
    <w:rsid w:val="00B55702"/>
    <w:rsid w:val="00B558E3"/>
    <w:rsid w:val="00B55A00"/>
    <w:rsid w:val="00B55AE1"/>
    <w:rsid w:val="00B55F6C"/>
    <w:rsid w:val="00B56015"/>
    <w:rsid w:val="00B560CD"/>
    <w:rsid w:val="00B561CA"/>
    <w:rsid w:val="00B56231"/>
    <w:rsid w:val="00B562A3"/>
    <w:rsid w:val="00B564B9"/>
    <w:rsid w:val="00B565C1"/>
    <w:rsid w:val="00B56726"/>
    <w:rsid w:val="00B56B16"/>
    <w:rsid w:val="00B56BD3"/>
    <w:rsid w:val="00B5709E"/>
    <w:rsid w:val="00B5766F"/>
    <w:rsid w:val="00B57702"/>
    <w:rsid w:val="00B578DC"/>
    <w:rsid w:val="00B57985"/>
    <w:rsid w:val="00B57A6D"/>
    <w:rsid w:val="00B57DBB"/>
    <w:rsid w:val="00B601F5"/>
    <w:rsid w:val="00B6032B"/>
    <w:rsid w:val="00B609BD"/>
    <w:rsid w:val="00B609E7"/>
    <w:rsid w:val="00B60B72"/>
    <w:rsid w:val="00B60E86"/>
    <w:rsid w:val="00B61197"/>
    <w:rsid w:val="00B6128B"/>
    <w:rsid w:val="00B612DF"/>
    <w:rsid w:val="00B6163F"/>
    <w:rsid w:val="00B6179E"/>
    <w:rsid w:val="00B617AB"/>
    <w:rsid w:val="00B6181E"/>
    <w:rsid w:val="00B61CEA"/>
    <w:rsid w:val="00B61D86"/>
    <w:rsid w:val="00B6213E"/>
    <w:rsid w:val="00B6223E"/>
    <w:rsid w:val="00B6229F"/>
    <w:rsid w:val="00B624FB"/>
    <w:rsid w:val="00B62504"/>
    <w:rsid w:val="00B625DF"/>
    <w:rsid w:val="00B62696"/>
    <w:rsid w:val="00B62823"/>
    <w:rsid w:val="00B62836"/>
    <w:rsid w:val="00B628AC"/>
    <w:rsid w:val="00B62A85"/>
    <w:rsid w:val="00B62C5E"/>
    <w:rsid w:val="00B62CA1"/>
    <w:rsid w:val="00B62D8D"/>
    <w:rsid w:val="00B62E52"/>
    <w:rsid w:val="00B62F41"/>
    <w:rsid w:val="00B6302F"/>
    <w:rsid w:val="00B63139"/>
    <w:rsid w:val="00B632E4"/>
    <w:rsid w:val="00B636D2"/>
    <w:rsid w:val="00B63734"/>
    <w:rsid w:val="00B63751"/>
    <w:rsid w:val="00B6382C"/>
    <w:rsid w:val="00B639B5"/>
    <w:rsid w:val="00B63AB0"/>
    <w:rsid w:val="00B63C5E"/>
    <w:rsid w:val="00B63FC3"/>
    <w:rsid w:val="00B6414C"/>
    <w:rsid w:val="00B641AD"/>
    <w:rsid w:val="00B642D6"/>
    <w:rsid w:val="00B64470"/>
    <w:rsid w:val="00B64471"/>
    <w:rsid w:val="00B646F1"/>
    <w:rsid w:val="00B6472E"/>
    <w:rsid w:val="00B64FB4"/>
    <w:rsid w:val="00B650EC"/>
    <w:rsid w:val="00B6519F"/>
    <w:rsid w:val="00B65419"/>
    <w:rsid w:val="00B65456"/>
    <w:rsid w:val="00B655DB"/>
    <w:rsid w:val="00B65629"/>
    <w:rsid w:val="00B65A21"/>
    <w:rsid w:val="00B65BC3"/>
    <w:rsid w:val="00B65C17"/>
    <w:rsid w:val="00B65C78"/>
    <w:rsid w:val="00B65CF3"/>
    <w:rsid w:val="00B65D5D"/>
    <w:rsid w:val="00B65DBB"/>
    <w:rsid w:val="00B65ED7"/>
    <w:rsid w:val="00B66012"/>
    <w:rsid w:val="00B660A8"/>
    <w:rsid w:val="00B66249"/>
    <w:rsid w:val="00B6645D"/>
    <w:rsid w:val="00B666AE"/>
    <w:rsid w:val="00B66827"/>
    <w:rsid w:val="00B6683F"/>
    <w:rsid w:val="00B66917"/>
    <w:rsid w:val="00B66B87"/>
    <w:rsid w:val="00B66DBA"/>
    <w:rsid w:val="00B66F35"/>
    <w:rsid w:val="00B66F8A"/>
    <w:rsid w:val="00B673EC"/>
    <w:rsid w:val="00B674AA"/>
    <w:rsid w:val="00B67DEC"/>
    <w:rsid w:val="00B67EC8"/>
    <w:rsid w:val="00B70115"/>
    <w:rsid w:val="00B7046D"/>
    <w:rsid w:val="00B704BA"/>
    <w:rsid w:val="00B7068A"/>
    <w:rsid w:val="00B706C7"/>
    <w:rsid w:val="00B707DA"/>
    <w:rsid w:val="00B70926"/>
    <w:rsid w:val="00B70A7B"/>
    <w:rsid w:val="00B70B16"/>
    <w:rsid w:val="00B70D9C"/>
    <w:rsid w:val="00B70FE2"/>
    <w:rsid w:val="00B7123F"/>
    <w:rsid w:val="00B712C5"/>
    <w:rsid w:val="00B714A1"/>
    <w:rsid w:val="00B71517"/>
    <w:rsid w:val="00B71634"/>
    <w:rsid w:val="00B7175A"/>
    <w:rsid w:val="00B71B14"/>
    <w:rsid w:val="00B71D53"/>
    <w:rsid w:val="00B71DBB"/>
    <w:rsid w:val="00B72229"/>
    <w:rsid w:val="00B722F8"/>
    <w:rsid w:val="00B72349"/>
    <w:rsid w:val="00B729F2"/>
    <w:rsid w:val="00B72A17"/>
    <w:rsid w:val="00B72A56"/>
    <w:rsid w:val="00B72C59"/>
    <w:rsid w:val="00B72C88"/>
    <w:rsid w:val="00B72CDA"/>
    <w:rsid w:val="00B72D05"/>
    <w:rsid w:val="00B72D0C"/>
    <w:rsid w:val="00B72D15"/>
    <w:rsid w:val="00B72DC9"/>
    <w:rsid w:val="00B72EEE"/>
    <w:rsid w:val="00B7316E"/>
    <w:rsid w:val="00B73205"/>
    <w:rsid w:val="00B73503"/>
    <w:rsid w:val="00B73541"/>
    <w:rsid w:val="00B735B3"/>
    <w:rsid w:val="00B739D0"/>
    <w:rsid w:val="00B742A4"/>
    <w:rsid w:val="00B744E8"/>
    <w:rsid w:val="00B74654"/>
    <w:rsid w:val="00B747C8"/>
    <w:rsid w:val="00B747E0"/>
    <w:rsid w:val="00B747F1"/>
    <w:rsid w:val="00B7496C"/>
    <w:rsid w:val="00B74A23"/>
    <w:rsid w:val="00B74B20"/>
    <w:rsid w:val="00B74C1F"/>
    <w:rsid w:val="00B74F93"/>
    <w:rsid w:val="00B74FFF"/>
    <w:rsid w:val="00B7500F"/>
    <w:rsid w:val="00B7501E"/>
    <w:rsid w:val="00B75038"/>
    <w:rsid w:val="00B75044"/>
    <w:rsid w:val="00B75271"/>
    <w:rsid w:val="00B752A9"/>
    <w:rsid w:val="00B75361"/>
    <w:rsid w:val="00B75588"/>
    <w:rsid w:val="00B755B3"/>
    <w:rsid w:val="00B75657"/>
    <w:rsid w:val="00B756CA"/>
    <w:rsid w:val="00B75869"/>
    <w:rsid w:val="00B758AC"/>
    <w:rsid w:val="00B75C71"/>
    <w:rsid w:val="00B75DB6"/>
    <w:rsid w:val="00B75DF8"/>
    <w:rsid w:val="00B75E9D"/>
    <w:rsid w:val="00B75EF1"/>
    <w:rsid w:val="00B76051"/>
    <w:rsid w:val="00B760D8"/>
    <w:rsid w:val="00B76427"/>
    <w:rsid w:val="00B76450"/>
    <w:rsid w:val="00B766BE"/>
    <w:rsid w:val="00B76746"/>
    <w:rsid w:val="00B76756"/>
    <w:rsid w:val="00B7675E"/>
    <w:rsid w:val="00B7676C"/>
    <w:rsid w:val="00B76A89"/>
    <w:rsid w:val="00B76EFC"/>
    <w:rsid w:val="00B76F7C"/>
    <w:rsid w:val="00B770A3"/>
    <w:rsid w:val="00B77172"/>
    <w:rsid w:val="00B77653"/>
    <w:rsid w:val="00B77660"/>
    <w:rsid w:val="00B77702"/>
    <w:rsid w:val="00B77728"/>
    <w:rsid w:val="00B77A99"/>
    <w:rsid w:val="00B77C09"/>
    <w:rsid w:val="00B77DC0"/>
    <w:rsid w:val="00B77E67"/>
    <w:rsid w:val="00B77F2F"/>
    <w:rsid w:val="00B77FBD"/>
    <w:rsid w:val="00B800F6"/>
    <w:rsid w:val="00B80354"/>
    <w:rsid w:val="00B80365"/>
    <w:rsid w:val="00B803D4"/>
    <w:rsid w:val="00B805E3"/>
    <w:rsid w:val="00B80769"/>
    <w:rsid w:val="00B80985"/>
    <w:rsid w:val="00B809F9"/>
    <w:rsid w:val="00B80A64"/>
    <w:rsid w:val="00B80AC5"/>
    <w:rsid w:val="00B80DB2"/>
    <w:rsid w:val="00B80DB5"/>
    <w:rsid w:val="00B80EC2"/>
    <w:rsid w:val="00B80EE7"/>
    <w:rsid w:val="00B811E3"/>
    <w:rsid w:val="00B81339"/>
    <w:rsid w:val="00B81666"/>
    <w:rsid w:val="00B81917"/>
    <w:rsid w:val="00B819EA"/>
    <w:rsid w:val="00B81A38"/>
    <w:rsid w:val="00B81AA2"/>
    <w:rsid w:val="00B81AAE"/>
    <w:rsid w:val="00B81D99"/>
    <w:rsid w:val="00B822E9"/>
    <w:rsid w:val="00B82414"/>
    <w:rsid w:val="00B8259E"/>
    <w:rsid w:val="00B827DE"/>
    <w:rsid w:val="00B829C6"/>
    <w:rsid w:val="00B82A67"/>
    <w:rsid w:val="00B82C16"/>
    <w:rsid w:val="00B82D09"/>
    <w:rsid w:val="00B82F56"/>
    <w:rsid w:val="00B82FEE"/>
    <w:rsid w:val="00B8346F"/>
    <w:rsid w:val="00B837DF"/>
    <w:rsid w:val="00B83813"/>
    <w:rsid w:val="00B8389D"/>
    <w:rsid w:val="00B83986"/>
    <w:rsid w:val="00B83A0E"/>
    <w:rsid w:val="00B83A79"/>
    <w:rsid w:val="00B83C18"/>
    <w:rsid w:val="00B83E9D"/>
    <w:rsid w:val="00B84042"/>
    <w:rsid w:val="00B841E3"/>
    <w:rsid w:val="00B84202"/>
    <w:rsid w:val="00B84220"/>
    <w:rsid w:val="00B8427A"/>
    <w:rsid w:val="00B8452B"/>
    <w:rsid w:val="00B845B6"/>
    <w:rsid w:val="00B84785"/>
    <w:rsid w:val="00B847A2"/>
    <w:rsid w:val="00B847F4"/>
    <w:rsid w:val="00B84A99"/>
    <w:rsid w:val="00B84B04"/>
    <w:rsid w:val="00B84BE1"/>
    <w:rsid w:val="00B84F06"/>
    <w:rsid w:val="00B85168"/>
    <w:rsid w:val="00B85207"/>
    <w:rsid w:val="00B8541E"/>
    <w:rsid w:val="00B854E3"/>
    <w:rsid w:val="00B855BF"/>
    <w:rsid w:val="00B855FE"/>
    <w:rsid w:val="00B85633"/>
    <w:rsid w:val="00B856EF"/>
    <w:rsid w:val="00B857D2"/>
    <w:rsid w:val="00B85AB2"/>
    <w:rsid w:val="00B85DBD"/>
    <w:rsid w:val="00B85E2D"/>
    <w:rsid w:val="00B85E4D"/>
    <w:rsid w:val="00B860D0"/>
    <w:rsid w:val="00B86370"/>
    <w:rsid w:val="00B86A28"/>
    <w:rsid w:val="00B86A9F"/>
    <w:rsid w:val="00B86B2E"/>
    <w:rsid w:val="00B86BA4"/>
    <w:rsid w:val="00B86C60"/>
    <w:rsid w:val="00B86DA3"/>
    <w:rsid w:val="00B86E08"/>
    <w:rsid w:val="00B86E4B"/>
    <w:rsid w:val="00B8710A"/>
    <w:rsid w:val="00B8725B"/>
    <w:rsid w:val="00B8744E"/>
    <w:rsid w:val="00B8749B"/>
    <w:rsid w:val="00B87509"/>
    <w:rsid w:val="00B87605"/>
    <w:rsid w:val="00B876FB"/>
    <w:rsid w:val="00B8775F"/>
    <w:rsid w:val="00B877D3"/>
    <w:rsid w:val="00B87866"/>
    <w:rsid w:val="00B87C93"/>
    <w:rsid w:val="00B87FFC"/>
    <w:rsid w:val="00B900BB"/>
    <w:rsid w:val="00B90120"/>
    <w:rsid w:val="00B901BF"/>
    <w:rsid w:val="00B90279"/>
    <w:rsid w:val="00B902CE"/>
    <w:rsid w:val="00B90719"/>
    <w:rsid w:val="00B9085F"/>
    <w:rsid w:val="00B90941"/>
    <w:rsid w:val="00B90AFC"/>
    <w:rsid w:val="00B90D08"/>
    <w:rsid w:val="00B90D0F"/>
    <w:rsid w:val="00B90D85"/>
    <w:rsid w:val="00B90D88"/>
    <w:rsid w:val="00B90EFE"/>
    <w:rsid w:val="00B90F21"/>
    <w:rsid w:val="00B90F63"/>
    <w:rsid w:val="00B911FF"/>
    <w:rsid w:val="00B91493"/>
    <w:rsid w:val="00B9186B"/>
    <w:rsid w:val="00B918CD"/>
    <w:rsid w:val="00B91F6A"/>
    <w:rsid w:val="00B9216A"/>
    <w:rsid w:val="00B92413"/>
    <w:rsid w:val="00B924F0"/>
    <w:rsid w:val="00B92530"/>
    <w:rsid w:val="00B928AF"/>
    <w:rsid w:val="00B92BDD"/>
    <w:rsid w:val="00B92BDF"/>
    <w:rsid w:val="00B93273"/>
    <w:rsid w:val="00B93733"/>
    <w:rsid w:val="00B938D2"/>
    <w:rsid w:val="00B93ECA"/>
    <w:rsid w:val="00B942D0"/>
    <w:rsid w:val="00B9436C"/>
    <w:rsid w:val="00B9439E"/>
    <w:rsid w:val="00B9461E"/>
    <w:rsid w:val="00B94756"/>
    <w:rsid w:val="00B9483B"/>
    <w:rsid w:val="00B94870"/>
    <w:rsid w:val="00B94B00"/>
    <w:rsid w:val="00B94CAE"/>
    <w:rsid w:val="00B94CDD"/>
    <w:rsid w:val="00B94F21"/>
    <w:rsid w:val="00B9502B"/>
    <w:rsid w:val="00B950A3"/>
    <w:rsid w:val="00B9514E"/>
    <w:rsid w:val="00B951C5"/>
    <w:rsid w:val="00B954F0"/>
    <w:rsid w:val="00B9553B"/>
    <w:rsid w:val="00B95656"/>
    <w:rsid w:val="00B9570D"/>
    <w:rsid w:val="00B9579C"/>
    <w:rsid w:val="00B95BD1"/>
    <w:rsid w:val="00B95E18"/>
    <w:rsid w:val="00B95EBF"/>
    <w:rsid w:val="00B95FAA"/>
    <w:rsid w:val="00B96176"/>
    <w:rsid w:val="00B96183"/>
    <w:rsid w:val="00B961B1"/>
    <w:rsid w:val="00B96657"/>
    <w:rsid w:val="00B9668D"/>
    <w:rsid w:val="00B9669F"/>
    <w:rsid w:val="00B966EF"/>
    <w:rsid w:val="00B96AA2"/>
    <w:rsid w:val="00B96B18"/>
    <w:rsid w:val="00B96BC8"/>
    <w:rsid w:val="00B97050"/>
    <w:rsid w:val="00B97207"/>
    <w:rsid w:val="00B97246"/>
    <w:rsid w:val="00B9767E"/>
    <w:rsid w:val="00B976DC"/>
    <w:rsid w:val="00B97742"/>
    <w:rsid w:val="00B97753"/>
    <w:rsid w:val="00B97870"/>
    <w:rsid w:val="00B979A4"/>
    <w:rsid w:val="00B97CA5"/>
    <w:rsid w:val="00B97D80"/>
    <w:rsid w:val="00B97FB4"/>
    <w:rsid w:val="00B97FF1"/>
    <w:rsid w:val="00BA01FF"/>
    <w:rsid w:val="00BA046E"/>
    <w:rsid w:val="00BA0777"/>
    <w:rsid w:val="00BA0864"/>
    <w:rsid w:val="00BA1011"/>
    <w:rsid w:val="00BA1136"/>
    <w:rsid w:val="00BA1225"/>
    <w:rsid w:val="00BA127C"/>
    <w:rsid w:val="00BA12E3"/>
    <w:rsid w:val="00BA1424"/>
    <w:rsid w:val="00BA182F"/>
    <w:rsid w:val="00BA186D"/>
    <w:rsid w:val="00BA1933"/>
    <w:rsid w:val="00BA1CA4"/>
    <w:rsid w:val="00BA1E60"/>
    <w:rsid w:val="00BA1E99"/>
    <w:rsid w:val="00BA1F1F"/>
    <w:rsid w:val="00BA1F2D"/>
    <w:rsid w:val="00BA1FA6"/>
    <w:rsid w:val="00BA20D9"/>
    <w:rsid w:val="00BA213A"/>
    <w:rsid w:val="00BA2341"/>
    <w:rsid w:val="00BA239F"/>
    <w:rsid w:val="00BA26FF"/>
    <w:rsid w:val="00BA2710"/>
    <w:rsid w:val="00BA27BA"/>
    <w:rsid w:val="00BA27CD"/>
    <w:rsid w:val="00BA2924"/>
    <w:rsid w:val="00BA2A66"/>
    <w:rsid w:val="00BA2A96"/>
    <w:rsid w:val="00BA2BC4"/>
    <w:rsid w:val="00BA2C74"/>
    <w:rsid w:val="00BA2D05"/>
    <w:rsid w:val="00BA2E7A"/>
    <w:rsid w:val="00BA2FB8"/>
    <w:rsid w:val="00BA2FFD"/>
    <w:rsid w:val="00BA3458"/>
    <w:rsid w:val="00BA359A"/>
    <w:rsid w:val="00BA3E5B"/>
    <w:rsid w:val="00BA3F6C"/>
    <w:rsid w:val="00BA40D3"/>
    <w:rsid w:val="00BA42ED"/>
    <w:rsid w:val="00BA44E5"/>
    <w:rsid w:val="00BA452F"/>
    <w:rsid w:val="00BA4579"/>
    <w:rsid w:val="00BA45F3"/>
    <w:rsid w:val="00BA4A10"/>
    <w:rsid w:val="00BA4B3B"/>
    <w:rsid w:val="00BA4B78"/>
    <w:rsid w:val="00BA4CFF"/>
    <w:rsid w:val="00BA4EAB"/>
    <w:rsid w:val="00BA4F7F"/>
    <w:rsid w:val="00BA5077"/>
    <w:rsid w:val="00BA50AB"/>
    <w:rsid w:val="00BA50ED"/>
    <w:rsid w:val="00BA52AF"/>
    <w:rsid w:val="00BA53D6"/>
    <w:rsid w:val="00BA548C"/>
    <w:rsid w:val="00BA568F"/>
    <w:rsid w:val="00BA5877"/>
    <w:rsid w:val="00BA5BAE"/>
    <w:rsid w:val="00BA5BD3"/>
    <w:rsid w:val="00BA5DEB"/>
    <w:rsid w:val="00BA5FD3"/>
    <w:rsid w:val="00BA60ED"/>
    <w:rsid w:val="00BA6602"/>
    <w:rsid w:val="00BA664D"/>
    <w:rsid w:val="00BA691D"/>
    <w:rsid w:val="00BA6A34"/>
    <w:rsid w:val="00BA6CF5"/>
    <w:rsid w:val="00BA7118"/>
    <w:rsid w:val="00BA7259"/>
    <w:rsid w:val="00BA7269"/>
    <w:rsid w:val="00BA7384"/>
    <w:rsid w:val="00BA745B"/>
    <w:rsid w:val="00BA75D4"/>
    <w:rsid w:val="00BA7787"/>
    <w:rsid w:val="00BA7907"/>
    <w:rsid w:val="00BA7C7A"/>
    <w:rsid w:val="00BA7E93"/>
    <w:rsid w:val="00BA7E9B"/>
    <w:rsid w:val="00BA7F6E"/>
    <w:rsid w:val="00BA7FBE"/>
    <w:rsid w:val="00BA7FEE"/>
    <w:rsid w:val="00BA8E51"/>
    <w:rsid w:val="00BAB652"/>
    <w:rsid w:val="00BAF463"/>
    <w:rsid w:val="00BB0099"/>
    <w:rsid w:val="00BB022E"/>
    <w:rsid w:val="00BB0282"/>
    <w:rsid w:val="00BB0339"/>
    <w:rsid w:val="00BB03CA"/>
    <w:rsid w:val="00BB04EE"/>
    <w:rsid w:val="00BB0591"/>
    <w:rsid w:val="00BB05FB"/>
    <w:rsid w:val="00BB08A7"/>
    <w:rsid w:val="00BB08FE"/>
    <w:rsid w:val="00BB0979"/>
    <w:rsid w:val="00BB0AEE"/>
    <w:rsid w:val="00BB0BBA"/>
    <w:rsid w:val="00BB0C48"/>
    <w:rsid w:val="00BB0C55"/>
    <w:rsid w:val="00BB0C9C"/>
    <w:rsid w:val="00BB0CC3"/>
    <w:rsid w:val="00BB0D9E"/>
    <w:rsid w:val="00BB1152"/>
    <w:rsid w:val="00BB120F"/>
    <w:rsid w:val="00BB13DC"/>
    <w:rsid w:val="00BB1421"/>
    <w:rsid w:val="00BB14D1"/>
    <w:rsid w:val="00BB17EC"/>
    <w:rsid w:val="00BB183D"/>
    <w:rsid w:val="00BB18F0"/>
    <w:rsid w:val="00BB19FC"/>
    <w:rsid w:val="00BB1A3B"/>
    <w:rsid w:val="00BB1A80"/>
    <w:rsid w:val="00BB1B6A"/>
    <w:rsid w:val="00BB1B97"/>
    <w:rsid w:val="00BB1E56"/>
    <w:rsid w:val="00BB1F39"/>
    <w:rsid w:val="00BB20D4"/>
    <w:rsid w:val="00BB2539"/>
    <w:rsid w:val="00BB261B"/>
    <w:rsid w:val="00BB2902"/>
    <w:rsid w:val="00BB2A13"/>
    <w:rsid w:val="00BB2A6D"/>
    <w:rsid w:val="00BB2D44"/>
    <w:rsid w:val="00BB2E3A"/>
    <w:rsid w:val="00BB303A"/>
    <w:rsid w:val="00BB3410"/>
    <w:rsid w:val="00BB3790"/>
    <w:rsid w:val="00BB38FE"/>
    <w:rsid w:val="00BB3A16"/>
    <w:rsid w:val="00BB3B27"/>
    <w:rsid w:val="00BB3BA9"/>
    <w:rsid w:val="00BB3E1A"/>
    <w:rsid w:val="00BB41FD"/>
    <w:rsid w:val="00BB4394"/>
    <w:rsid w:val="00BB476D"/>
    <w:rsid w:val="00BB4DE1"/>
    <w:rsid w:val="00BB5098"/>
    <w:rsid w:val="00BB527E"/>
    <w:rsid w:val="00BB585B"/>
    <w:rsid w:val="00BB5911"/>
    <w:rsid w:val="00BB5A0E"/>
    <w:rsid w:val="00BB5A3E"/>
    <w:rsid w:val="00BB5BE9"/>
    <w:rsid w:val="00BB5D4B"/>
    <w:rsid w:val="00BB5E8D"/>
    <w:rsid w:val="00BB5EE7"/>
    <w:rsid w:val="00BB5F00"/>
    <w:rsid w:val="00BB5F04"/>
    <w:rsid w:val="00BB6315"/>
    <w:rsid w:val="00BB63B8"/>
    <w:rsid w:val="00BB68FE"/>
    <w:rsid w:val="00BB697A"/>
    <w:rsid w:val="00BB6A6A"/>
    <w:rsid w:val="00BB6B79"/>
    <w:rsid w:val="00BB6D32"/>
    <w:rsid w:val="00BB6F6F"/>
    <w:rsid w:val="00BB6F99"/>
    <w:rsid w:val="00BB709A"/>
    <w:rsid w:val="00BB71FB"/>
    <w:rsid w:val="00BB72FD"/>
    <w:rsid w:val="00BB75CA"/>
    <w:rsid w:val="00BB7624"/>
    <w:rsid w:val="00BB776A"/>
    <w:rsid w:val="00BB7CDB"/>
    <w:rsid w:val="00BB7ED7"/>
    <w:rsid w:val="00BC0410"/>
    <w:rsid w:val="00BC042B"/>
    <w:rsid w:val="00BC0443"/>
    <w:rsid w:val="00BC0593"/>
    <w:rsid w:val="00BC05EB"/>
    <w:rsid w:val="00BC06FC"/>
    <w:rsid w:val="00BC074D"/>
    <w:rsid w:val="00BC0773"/>
    <w:rsid w:val="00BC0833"/>
    <w:rsid w:val="00BC0905"/>
    <w:rsid w:val="00BC0A9F"/>
    <w:rsid w:val="00BC0BA9"/>
    <w:rsid w:val="00BC0C18"/>
    <w:rsid w:val="00BC0D51"/>
    <w:rsid w:val="00BC0DA2"/>
    <w:rsid w:val="00BC0F36"/>
    <w:rsid w:val="00BC1079"/>
    <w:rsid w:val="00BC1137"/>
    <w:rsid w:val="00BC1306"/>
    <w:rsid w:val="00BC13AB"/>
    <w:rsid w:val="00BC19F9"/>
    <w:rsid w:val="00BC1DB1"/>
    <w:rsid w:val="00BC1F74"/>
    <w:rsid w:val="00BC1FFB"/>
    <w:rsid w:val="00BC21C1"/>
    <w:rsid w:val="00BC22A5"/>
    <w:rsid w:val="00BC22E0"/>
    <w:rsid w:val="00BC2474"/>
    <w:rsid w:val="00BC2533"/>
    <w:rsid w:val="00BC2932"/>
    <w:rsid w:val="00BC2DDC"/>
    <w:rsid w:val="00BC2E4A"/>
    <w:rsid w:val="00BC2F9D"/>
    <w:rsid w:val="00BC30BD"/>
    <w:rsid w:val="00BC34C1"/>
    <w:rsid w:val="00BC350B"/>
    <w:rsid w:val="00BC35C9"/>
    <w:rsid w:val="00BC3808"/>
    <w:rsid w:val="00BC384E"/>
    <w:rsid w:val="00BC3878"/>
    <w:rsid w:val="00BC3D42"/>
    <w:rsid w:val="00BC3DE4"/>
    <w:rsid w:val="00BC3DFA"/>
    <w:rsid w:val="00BC3F77"/>
    <w:rsid w:val="00BC40F0"/>
    <w:rsid w:val="00BC4303"/>
    <w:rsid w:val="00BC4562"/>
    <w:rsid w:val="00BC45F5"/>
    <w:rsid w:val="00BC4BAF"/>
    <w:rsid w:val="00BC4BC9"/>
    <w:rsid w:val="00BC4DFE"/>
    <w:rsid w:val="00BC4ECA"/>
    <w:rsid w:val="00BC4EED"/>
    <w:rsid w:val="00BC5235"/>
    <w:rsid w:val="00BC52C1"/>
    <w:rsid w:val="00BC5331"/>
    <w:rsid w:val="00BC5613"/>
    <w:rsid w:val="00BC5A08"/>
    <w:rsid w:val="00BC5AE0"/>
    <w:rsid w:val="00BC5EBD"/>
    <w:rsid w:val="00BC6009"/>
    <w:rsid w:val="00BC6290"/>
    <w:rsid w:val="00BC645B"/>
    <w:rsid w:val="00BC648F"/>
    <w:rsid w:val="00BC6555"/>
    <w:rsid w:val="00BC6EAD"/>
    <w:rsid w:val="00BC6FDB"/>
    <w:rsid w:val="00BC7015"/>
    <w:rsid w:val="00BC707D"/>
    <w:rsid w:val="00BC70B4"/>
    <w:rsid w:val="00BC734A"/>
    <w:rsid w:val="00BC741E"/>
    <w:rsid w:val="00BC74AB"/>
    <w:rsid w:val="00BC7526"/>
    <w:rsid w:val="00BC7554"/>
    <w:rsid w:val="00BC78A6"/>
    <w:rsid w:val="00BC7E64"/>
    <w:rsid w:val="00BC7F8B"/>
    <w:rsid w:val="00BCA269"/>
    <w:rsid w:val="00BD0050"/>
    <w:rsid w:val="00BD0438"/>
    <w:rsid w:val="00BD043E"/>
    <w:rsid w:val="00BD049B"/>
    <w:rsid w:val="00BD054D"/>
    <w:rsid w:val="00BD05F6"/>
    <w:rsid w:val="00BD070C"/>
    <w:rsid w:val="00BD08D7"/>
    <w:rsid w:val="00BD0A11"/>
    <w:rsid w:val="00BD0B1A"/>
    <w:rsid w:val="00BD0BD2"/>
    <w:rsid w:val="00BD0C34"/>
    <w:rsid w:val="00BD0F41"/>
    <w:rsid w:val="00BD14D4"/>
    <w:rsid w:val="00BD14FE"/>
    <w:rsid w:val="00BD156A"/>
    <w:rsid w:val="00BD16BF"/>
    <w:rsid w:val="00BD17F1"/>
    <w:rsid w:val="00BD1961"/>
    <w:rsid w:val="00BD1976"/>
    <w:rsid w:val="00BD197E"/>
    <w:rsid w:val="00BD1E5E"/>
    <w:rsid w:val="00BD1E8D"/>
    <w:rsid w:val="00BD20D8"/>
    <w:rsid w:val="00BD2121"/>
    <w:rsid w:val="00BD2183"/>
    <w:rsid w:val="00BD235B"/>
    <w:rsid w:val="00BD2749"/>
    <w:rsid w:val="00BD2796"/>
    <w:rsid w:val="00BD27D6"/>
    <w:rsid w:val="00BD27F3"/>
    <w:rsid w:val="00BD2881"/>
    <w:rsid w:val="00BD2E49"/>
    <w:rsid w:val="00BD2FD8"/>
    <w:rsid w:val="00BD304D"/>
    <w:rsid w:val="00BD3130"/>
    <w:rsid w:val="00BD34DC"/>
    <w:rsid w:val="00BD3571"/>
    <w:rsid w:val="00BD3620"/>
    <w:rsid w:val="00BD3ADA"/>
    <w:rsid w:val="00BD3DCD"/>
    <w:rsid w:val="00BD3DE9"/>
    <w:rsid w:val="00BD3EEB"/>
    <w:rsid w:val="00BD4118"/>
    <w:rsid w:val="00BD41FB"/>
    <w:rsid w:val="00BD4247"/>
    <w:rsid w:val="00BD43AD"/>
    <w:rsid w:val="00BD45FB"/>
    <w:rsid w:val="00BD4792"/>
    <w:rsid w:val="00BD501A"/>
    <w:rsid w:val="00BD51BE"/>
    <w:rsid w:val="00BD52AD"/>
    <w:rsid w:val="00BD5394"/>
    <w:rsid w:val="00BD5434"/>
    <w:rsid w:val="00BD5435"/>
    <w:rsid w:val="00BD55B8"/>
    <w:rsid w:val="00BD57CE"/>
    <w:rsid w:val="00BD5A19"/>
    <w:rsid w:val="00BD5D85"/>
    <w:rsid w:val="00BD60FB"/>
    <w:rsid w:val="00BD6508"/>
    <w:rsid w:val="00BD65F0"/>
    <w:rsid w:val="00BD6884"/>
    <w:rsid w:val="00BD6A25"/>
    <w:rsid w:val="00BD6CD9"/>
    <w:rsid w:val="00BD6D36"/>
    <w:rsid w:val="00BD6D6B"/>
    <w:rsid w:val="00BD6E82"/>
    <w:rsid w:val="00BD7041"/>
    <w:rsid w:val="00BD704E"/>
    <w:rsid w:val="00BD709E"/>
    <w:rsid w:val="00BD70CA"/>
    <w:rsid w:val="00BD7393"/>
    <w:rsid w:val="00BD73C6"/>
    <w:rsid w:val="00BD743E"/>
    <w:rsid w:val="00BD7563"/>
    <w:rsid w:val="00BD7599"/>
    <w:rsid w:val="00BD75EB"/>
    <w:rsid w:val="00BD7612"/>
    <w:rsid w:val="00BD76AB"/>
    <w:rsid w:val="00BD7774"/>
    <w:rsid w:val="00BD79FA"/>
    <w:rsid w:val="00BD7DA4"/>
    <w:rsid w:val="00BD7E9C"/>
    <w:rsid w:val="00BD7F06"/>
    <w:rsid w:val="00BDE5C3"/>
    <w:rsid w:val="00BE024E"/>
    <w:rsid w:val="00BE0259"/>
    <w:rsid w:val="00BE03EB"/>
    <w:rsid w:val="00BE0607"/>
    <w:rsid w:val="00BE0652"/>
    <w:rsid w:val="00BE0A40"/>
    <w:rsid w:val="00BE0D8F"/>
    <w:rsid w:val="00BE0FEC"/>
    <w:rsid w:val="00BE198E"/>
    <w:rsid w:val="00BE1A63"/>
    <w:rsid w:val="00BE1ACA"/>
    <w:rsid w:val="00BE1EB0"/>
    <w:rsid w:val="00BE1F3A"/>
    <w:rsid w:val="00BE1F55"/>
    <w:rsid w:val="00BE20DA"/>
    <w:rsid w:val="00BE2296"/>
    <w:rsid w:val="00BE2344"/>
    <w:rsid w:val="00BE24B5"/>
    <w:rsid w:val="00BE24E5"/>
    <w:rsid w:val="00BE259C"/>
    <w:rsid w:val="00BE2883"/>
    <w:rsid w:val="00BE2B69"/>
    <w:rsid w:val="00BE2D6A"/>
    <w:rsid w:val="00BE2FF1"/>
    <w:rsid w:val="00BE30D6"/>
    <w:rsid w:val="00BE3493"/>
    <w:rsid w:val="00BE36CA"/>
    <w:rsid w:val="00BE36FF"/>
    <w:rsid w:val="00BE3899"/>
    <w:rsid w:val="00BE3AD3"/>
    <w:rsid w:val="00BE3B94"/>
    <w:rsid w:val="00BE3C19"/>
    <w:rsid w:val="00BE3D83"/>
    <w:rsid w:val="00BE3E59"/>
    <w:rsid w:val="00BE44C5"/>
    <w:rsid w:val="00BE4664"/>
    <w:rsid w:val="00BE468E"/>
    <w:rsid w:val="00BE49F8"/>
    <w:rsid w:val="00BE4CE1"/>
    <w:rsid w:val="00BE4D59"/>
    <w:rsid w:val="00BE4DFC"/>
    <w:rsid w:val="00BE4E78"/>
    <w:rsid w:val="00BE4F96"/>
    <w:rsid w:val="00BE5101"/>
    <w:rsid w:val="00BE5132"/>
    <w:rsid w:val="00BE530E"/>
    <w:rsid w:val="00BE53B1"/>
    <w:rsid w:val="00BE53B7"/>
    <w:rsid w:val="00BE53C4"/>
    <w:rsid w:val="00BE5563"/>
    <w:rsid w:val="00BE566D"/>
    <w:rsid w:val="00BE56FD"/>
    <w:rsid w:val="00BE5705"/>
    <w:rsid w:val="00BE59B3"/>
    <w:rsid w:val="00BE5E7B"/>
    <w:rsid w:val="00BE62DE"/>
    <w:rsid w:val="00BE63AB"/>
    <w:rsid w:val="00BE6519"/>
    <w:rsid w:val="00BE66F8"/>
    <w:rsid w:val="00BE67A1"/>
    <w:rsid w:val="00BE67FC"/>
    <w:rsid w:val="00BE690E"/>
    <w:rsid w:val="00BE6A4E"/>
    <w:rsid w:val="00BE6AFE"/>
    <w:rsid w:val="00BE6B00"/>
    <w:rsid w:val="00BE6B5F"/>
    <w:rsid w:val="00BE6DB3"/>
    <w:rsid w:val="00BE6FE7"/>
    <w:rsid w:val="00BE6FEA"/>
    <w:rsid w:val="00BE7164"/>
    <w:rsid w:val="00BE71A5"/>
    <w:rsid w:val="00BE7273"/>
    <w:rsid w:val="00BE7380"/>
    <w:rsid w:val="00BE742A"/>
    <w:rsid w:val="00BE76FD"/>
    <w:rsid w:val="00BE78BB"/>
    <w:rsid w:val="00BE798E"/>
    <w:rsid w:val="00BE7A77"/>
    <w:rsid w:val="00BE7C5C"/>
    <w:rsid w:val="00BF05C9"/>
    <w:rsid w:val="00BF05DC"/>
    <w:rsid w:val="00BF0829"/>
    <w:rsid w:val="00BF0A32"/>
    <w:rsid w:val="00BF0AB0"/>
    <w:rsid w:val="00BF0ABE"/>
    <w:rsid w:val="00BF0AF1"/>
    <w:rsid w:val="00BF0B5C"/>
    <w:rsid w:val="00BF0C15"/>
    <w:rsid w:val="00BF0CAE"/>
    <w:rsid w:val="00BF0D6F"/>
    <w:rsid w:val="00BF0D78"/>
    <w:rsid w:val="00BF1011"/>
    <w:rsid w:val="00BF106B"/>
    <w:rsid w:val="00BF1127"/>
    <w:rsid w:val="00BF125C"/>
    <w:rsid w:val="00BF1378"/>
    <w:rsid w:val="00BF1391"/>
    <w:rsid w:val="00BF14BE"/>
    <w:rsid w:val="00BF170A"/>
    <w:rsid w:val="00BF1753"/>
    <w:rsid w:val="00BF17DF"/>
    <w:rsid w:val="00BF19E9"/>
    <w:rsid w:val="00BF1CA7"/>
    <w:rsid w:val="00BF1FFD"/>
    <w:rsid w:val="00BF222E"/>
    <w:rsid w:val="00BF2291"/>
    <w:rsid w:val="00BF231F"/>
    <w:rsid w:val="00BF2708"/>
    <w:rsid w:val="00BF286D"/>
    <w:rsid w:val="00BF2C24"/>
    <w:rsid w:val="00BF2D28"/>
    <w:rsid w:val="00BF2D61"/>
    <w:rsid w:val="00BF2E2D"/>
    <w:rsid w:val="00BF2E4C"/>
    <w:rsid w:val="00BF30F9"/>
    <w:rsid w:val="00BF3197"/>
    <w:rsid w:val="00BF3269"/>
    <w:rsid w:val="00BF330F"/>
    <w:rsid w:val="00BF33A4"/>
    <w:rsid w:val="00BF33AA"/>
    <w:rsid w:val="00BF3504"/>
    <w:rsid w:val="00BF352F"/>
    <w:rsid w:val="00BF36F6"/>
    <w:rsid w:val="00BF37CF"/>
    <w:rsid w:val="00BF37E0"/>
    <w:rsid w:val="00BF3A83"/>
    <w:rsid w:val="00BF3AFC"/>
    <w:rsid w:val="00BF3BE7"/>
    <w:rsid w:val="00BF3C50"/>
    <w:rsid w:val="00BF3E71"/>
    <w:rsid w:val="00BF4681"/>
    <w:rsid w:val="00BF46C2"/>
    <w:rsid w:val="00BF46F3"/>
    <w:rsid w:val="00BF4834"/>
    <w:rsid w:val="00BF48F2"/>
    <w:rsid w:val="00BF492F"/>
    <w:rsid w:val="00BF4C55"/>
    <w:rsid w:val="00BF4DCF"/>
    <w:rsid w:val="00BF4E52"/>
    <w:rsid w:val="00BF4EA8"/>
    <w:rsid w:val="00BF517A"/>
    <w:rsid w:val="00BF52CD"/>
    <w:rsid w:val="00BF541B"/>
    <w:rsid w:val="00BF5507"/>
    <w:rsid w:val="00BF5629"/>
    <w:rsid w:val="00BF56E6"/>
    <w:rsid w:val="00BF56F6"/>
    <w:rsid w:val="00BF575E"/>
    <w:rsid w:val="00BF5946"/>
    <w:rsid w:val="00BF5A65"/>
    <w:rsid w:val="00BF5D3B"/>
    <w:rsid w:val="00BF5D9D"/>
    <w:rsid w:val="00BF5DD8"/>
    <w:rsid w:val="00BF5F5F"/>
    <w:rsid w:val="00BF603B"/>
    <w:rsid w:val="00BF6070"/>
    <w:rsid w:val="00BF6236"/>
    <w:rsid w:val="00BF63B7"/>
    <w:rsid w:val="00BF63E1"/>
    <w:rsid w:val="00BF66D6"/>
    <w:rsid w:val="00BF6D18"/>
    <w:rsid w:val="00BF6DE1"/>
    <w:rsid w:val="00BF6F7D"/>
    <w:rsid w:val="00BF7189"/>
    <w:rsid w:val="00BF742E"/>
    <w:rsid w:val="00BF7570"/>
    <w:rsid w:val="00BF76E8"/>
    <w:rsid w:val="00BF78BA"/>
    <w:rsid w:val="00BF78DE"/>
    <w:rsid w:val="00BF7A04"/>
    <w:rsid w:val="00BF7A59"/>
    <w:rsid w:val="00BF7C8D"/>
    <w:rsid w:val="00BF7CC0"/>
    <w:rsid w:val="00BF7D1A"/>
    <w:rsid w:val="00BF7EED"/>
    <w:rsid w:val="00C0009C"/>
    <w:rsid w:val="00C000C7"/>
    <w:rsid w:val="00C0012B"/>
    <w:rsid w:val="00C00171"/>
    <w:rsid w:val="00C005F5"/>
    <w:rsid w:val="00C0063C"/>
    <w:rsid w:val="00C007BD"/>
    <w:rsid w:val="00C00A61"/>
    <w:rsid w:val="00C00B08"/>
    <w:rsid w:val="00C00B83"/>
    <w:rsid w:val="00C00CEC"/>
    <w:rsid w:val="00C016A6"/>
    <w:rsid w:val="00C016C4"/>
    <w:rsid w:val="00C0174F"/>
    <w:rsid w:val="00C01750"/>
    <w:rsid w:val="00C01799"/>
    <w:rsid w:val="00C017FF"/>
    <w:rsid w:val="00C018E8"/>
    <w:rsid w:val="00C01A94"/>
    <w:rsid w:val="00C01CEC"/>
    <w:rsid w:val="00C01EEA"/>
    <w:rsid w:val="00C0209C"/>
    <w:rsid w:val="00C021EF"/>
    <w:rsid w:val="00C024EE"/>
    <w:rsid w:val="00C02521"/>
    <w:rsid w:val="00C025DC"/>
    <w:rsid w:val="00C027C7"/>
    <w:rsid w:val="00C02B03"/>
    <w:rsid w:val="00C02B40"/>
    <w:rsid w:val="00C02CB9"/>
    <w:rsid w:val="00C02F0C"/>
    <w:rsid w:val="00C0316E"/>
    <w:rsid w:val="00C0338B"/>
    <w:rsid w:val="00C033C7"/>
    <w:rsid w:val="00C03693"/>
    <w:rsid w:val="00C037CB"/>
    <w:rsid w:val="00C03867"/>
    <w:rsid w:val="00C03AD5"/>
    <w:rsid w:val="00C03B8F"/>
    <w:rsid w:val="00C03ED6"/>
    <w:rsid w:val="00C03F46"/>
    <w:rsid w:val="00C03F70"/>
    <w:rsid w:val="00C03F98"/>
    <w:rsid w:val="00C03FC8"/>
    <w:rsid w:val="00C040A6"/>
    <w:rsid w:val="00C04159"/>
    <w:rsid w:val="00C042D8"/>
    <w:rsid w:val="00C0435B"/>
    <w:rsid w:val="00C043E5"/>
    <w:rsid w:val="00C04505"/>
    <w:rsid w:val="00C04531"/>
    <w:rsid w:val="00C04901"/>
    <w:rsid w:val="00C04A75"/>
    <w:rsid w:val="00C04A80"/>
    <w:rsid w:val="00C04CA6"/>
    <w:rsid w:val="00C04EED"/>
    <w:rsid w:val="00C05059"/>
    <w:rsid w:val="00C050F1"/>
    <w:rsid w:val="00C052C3"/>
    <w:rsid w:val="00C054EC"/>
    <w:rsid w:val="00C0555D"/>
    <w:rsid w:val="00C0559D"/>
    <w:rsid w:val="00C05673"/>
    <w:rsid w:val="00C0575E"/>
    <w:rsid w:val="00C05AFE"/>
    <w:rsid w:val="00C05BC8"/>
    <w:rsid w:val="00C05CAD"/>
    <w:rsid w:val="00C05DD2"/>
    <w:rsid w:val="00C061F2"/>
    <w:rsid w:val="00C06786"/>
    <w:rsid w:val="00C07182"/>
    <w:rsid w:val="00C073DA"/>
    <w:rsid w:val="00C0749C"/>
    <w:rsid w:val="00C0755D"/>
    <w:rsid w:val="00C075C0"/>
    <w:rsid w:val="00C0766E"/>
    <w:rsid w:val="00C077E8"/>
    <w:rsid w:val="00C077FB"/>
    <w:rsid w:val="00C07A6E"/>
    <w:rsid w:val="00C07AAE"/>
    <w:rsid w:val="00C07AFE"/>
    <w:rsid w:val="00C07B5B"/>
    <w:rsid w:val="00C07B76"/>
    <w:rsid w:val="00C07DEF"/>
    <w:rsid w:val="00C100CB"/>
    <w:rsid w:val="00C10152"/>
    <w:rsid w:val="00C102CC"/>
    <w:rsid w:val="00C10469"/>
    <w:rsid w:val="00C10600"/>
    <w:rsid w:val="00C1066A"/>
    <w:rsid w:val="00C10708"/>
    <w:rsid w:val="00C10742"/>
    <w:rsid w:val="00C1084C"/>
    <w:rsid w:val="00C10B4D"/>
    <w:rsid w:val="00C10BEB"/>
    <w:rsid w:val="00C10D1E"/>
    <w:rsid w:val="00C11381"/>
    <w:rsid w:val="00C11383"/>
    <w:rsid w:val="00C11A35"/>
    <w:rsid w:val="00C11A91"/>
    <w:rsid w:val="00C11B41"/>
    <w:rsid w:val="00C11BDE"/>
    <w:rsid w:val="00C11DE0"/>
    <w:rsid w:val="00C11F45"/>
    <w:rsid w:val="00C121E5"/>
    <w:rsid w:val="00C12256"/>
    <w:rsid w:val="00C1236B"/>
    <w:rsid w:val="00C1238A"/>
    <w:rsid w:val="00C1252D"/>
    <w:rsid w:val="00C125C1"/>
    <w:rsid w:val="00C1261D"/>
    <w:rsid w:val="00C1267D"/>
    <w:rsid w:val="00C12712"/>
    <w:rsid w:val="00C12874"/>
    <w:rsid w:val="00C12ACF"/>
    <w:rsid w:val="00C12DF3"/>
    <w:rsid w:val="00C12FC9"/>
    <w:rsid w:val="00C1340F"/>
    <w:rsid w:val="00C13633"/>
    <w:rsid w:val="00C13709"/>
    <w:rsid w:val="00C13832"/>
    <w:rsid w:val="00C13940"/>
    <w:rsid w:val="00C139BE"/>
    <w:rsid w:val="00C142A1"/>
    <w:rsid w:val="00C143A4"/>
    <w:rsid w:val="00C145FE"/>
    <w:rsid w:val="00C1490D"/>
    <w:rsid w:val="00C1492D"/>
    <w:rsid w:val="00C14B32"/>
    <w:rsid w:val="00C14B4D"/>
    <w:rsid w:val="00C14C87"/>
    <w:rsid w:val="00C14EE9"/>
    <w:rsid w:val="00C152C4"/>
    <w:rsid w:val="00C15669"/>
    <w:rsid w:val="00C1577A"/>
    <w:rsid w:val="00C158C7"/>
    <w:rsid w:val="00C15939"/>
    <w:rsid w:val="00C15A71"/>
    <w:rsid w:val="00C15BCB"/>
    <w:rsid w:val="00C15BD8"/>
    <w:rsid w:val="00C15BEA"/>
    <w:rsid w:val="00C15D2F"/>
    <w:rsid w:val="00C1617E"/>
    <w:rsid w:val="00C16200"/>
    <w:rsid w:val="00C165B3"/>
    <w:rsid w:val="00C165CD"/>
    <w:rsid w:val="00C1671D"/>
    <w:rsid w:val="00C16729"/>
    <w:rsid w:val="00C1673A"/>
    <w:rsid w:val="00C167A4"/>
    <w:rsid w:val="00C167F6"/>
    <w:rsid w:val="00C16803"/>
    <w:rsid w:val="00C169F0"/>
    <w:rsid w:val="00C16A61"/>
    <w:rsid w:val="00C16F34"/>
    <w:rsid w:val="00C17325"/>
    <w:rsid w:val="00C17811"/>
    <w:rsid w:val="00C1787A"/>
    <w:rsid w:val="00C178FB"/>
    <w:rsid w:val="00C17979"/>
    <w:rsid w:val="00C17B4C"/>
    <w:rsid w:val="00C17C46"/>
    <w:rsid w:val="00C17D00"/>
    <w:rsid w:val="00C17EBF"/>
    <w:rsid w:val="00C17FAC"/>
    <w:rsid w:val="00C19AEC"/>
    <w:rsid w:val="00C20095"/>
    <w:rsid w:val="00C200A3"/>
    <w:rsid w:val="00C201C0"/>
    <w:rsid w:val="00C2031D"/>
    <w:rsid w:val="00C208D4"/>
    <w:rsid w:val="00C20C1A"/>
    <w:rsid w:val="00C20CB0"/>
    <w:rsid w:val="00C20D2E"/>
    <w:rsid w:val="00C20FB9"/>
    <w:rsid w:val="00C21183"/>
    <w:rsid w:val="00C213C5"/>
    <w:rsid w:val="00C214BB"/>
    <w:rsid w:val="00C215BC"/>
    <w:rsid w:val="00C21797"/>
    <w:rsid w:val="00C2188F"/>
    <w:rsid w:val="00C21965"/>
    <w:rsid w:val="00C2196D"/>
    <w:rsid w:val="00C21CAE"/>
    <w:rsid w:val="00C21CEA"/>
    <w:rsid w:val="00C21D50"/>
    <w:rsid w:val="00C21DF2"/>
    <w:rsid w:val="00C22191"/>
    <w:rsid w:val="00C2222B"/>
    <w:rsid w:val="00C22251"/>
    <w:rsid w:val="00C22257"/>
    <w:rsid w:val="00C227A3"/>
    <w:rsid w:val="00C229AF"/>
    <w:rsid w:val="00C22A36"/>
    <w:rsid w:val="00C22B85"/>
    <w:rsid w:val="00C22CAC"/>
    <w:rsid w:val="00C22D46"/>
    <w:rsid w:val="00C22DC2"/>
    <w:rsid w:val="00C22F0C"/>
    <w:rsid w:val="00C230BE"/>
    <w:rsid w:val="00C232B9"/>
    <w:rsid w:val="00C2331B"/>
    <w:rsid w:val="00C233F2"/>
    <w:rsid w:val="00C2345E"/>
    <w:rsid w:val="00C23491"/>
    <w:rsid w:val="00C234A9"/>
    <w:rsid w:val="00C23758"/>
    <w:rsid w:val="00C23995"/>
    <w:rsid w:val="00C23A26"/>
    <w:rsid w:val="00C23BEA"/>
    <w:rsid w:val="00C23C65"/>
    <w:rsid w:val="00C23CD2"/>
    <w:rsid w:val="00C23FAA"/>
    <w:rsid w:val="00C24702"/>
    <w:rsid w:val="00C24920"/>
    <w:rsid w:val="00C24947"/>
    <w:rsid w:val="00C249DA"/>
    <w:rsid w:val="00C249EE"/>
    <w:rsid w:val="00C24A3B"/>
    <w:rsid w:val="00C24A8C"/>
    <w:rsid w:val="00C24E25"/>
    <w:rsid w:val="00C24EC1"/>
    <w:rsid w:val="00C25081"/>
    <w:rsid w:val="00C250C5"/>
    <w:rsid w:val="00C2569C"/>
    <w:rsid w:val="00C25B8F"/>
    <w:rsid w:val="00C25D54"/>
    <w:rsid w:val="00C25D9B"/>
    <w:rsid w:val="00C25EAA"/>
    <w:rsid w:val="00C25F11"/>
    <w:rsid w:val="00C26238"/>
    <w:rsid w:val="00C264FE"/>
    <w:rsid w:val="00C265BF"/>
    <w:rsid w:val="00C268E3"/>
    <w:rsid w:val="00C268FD"/>
    <w:rsid w:val="00C26960"/>
    <w:rsid w:val="00C26AC7"/>
    <w:rsid w:val="00C26C95"/>
    <w:rsid w:val="00C26D82"/>
    <w:rsid w:val="00C273FF"/>
    <w:rsid w:val="00C27459"/>
    <w:rsid w:val="00C27725"/>
    <w:rsid w:val="00C278BC"/>
    <w:rsid w:val="00C279CB"/>
    <w:rsid w:val="00C27B8E"/>
    <w:rsid w:val="00C27BAB"/>
    <w:rsid w:val="00C27DD5"/>
    <w:rsid w:val="00C27DDA"/>
    <w:rsid w:val="00C27E02"/>
    <w:rsid w:val="00C27E27"/>
    <w:rsid w:val="00C27F1C"/>
    <w:rsid w:val="00C30077"/>
    <w:rsid w:val="00C30164"/>
    <w:rsid w:val="00C30325"/>
    <w:rsid w:val="00C3093A"/>
    <w:rsid w:val="00C30B5B"/>
    <w:rsid w:val="00C30BF2"/>
    <w:rsid w:val="00C30C43"/>
    <w:rsid w:val="00C30EE3"/>
    <w:rsid w:val="00C31010"/>
    <w:rsid w:val="00C31125"/>
    <w:rsid w:val="00C31179"/>
    <w:rsid w:val="00C3121F"/>
    <w:rsid w:val="00C31267"/>
    <w:rsid w:val="00C31272"/>
    <w:rsid w:val="00C31798"/>
    <w:rsid w:val="00C317D5"/>
    <w:rsid w:val="00C3188D"/>
    <w:rsid w:val="00C31985"/>
    <w:rsid w:val="00C319C7"/>
    <w:rsid w:val="00C31E81"/>
    <w:rsid w:val="00C321F5"/>
    <w:rsid w:val="00C32278"/>
    <w:rsid w:val="00C3268B"/>
    <w:rsid w:val="00C329EA"/>
    <w:rsid w:val="00C32CC1"/>
    <w:rsid w:val="00C32DE7"/>
    <w:rsid w:val="00C32FEB"/>
    <w:rsid w:val="00C330AF"/>
    <w:rsid w:val="00C3316A"/>
    <w:rsid w:val="00C33208"/>
    <w:rsid w:val="00C33245"/>
    <w:rsid w:val="00C335F0"/>
    <w:rsid w:val="00C3397B"/>
    <w:rsid w:val="00C33A19"/>
    <w:rsid w:val="00C33BD7"/>
    <w:rsid w:val="00C33FE5"/>
    <w:rsid w:val="00C340D3"/>
    <w:rsid w:val="00C34106"/>
    <w:rsid w:val="00C34164"/>
    <w:rsid w:val="00C34223"/>
    <w:rsid w:val="00C3426F"/>
    <w:rsid w:val="00C3448F"/>
    <w:rsid w:val="00C3457F"/>
    <w:rsid w:val="00C34670"/>
    <w:rsid w:val="00C348B0"/>
    <w:rsid w:val="00C34A02"/>
    <w:rsid w:val="00C34A06"/>
    <w:rsid w:val="00C34A8A"/>
    <w:rsid w:val="00C34B19"/>
    <w:rsid w:val="00C34E7C"/>
    <w:rsid w:val="00C35021"/>
    <w:rsid w:val="00C350B9"/>
    <w:rsid w:val="00C351B0"/>
    <w:rsid w:val="00C351C9"/>
    <w:rsid w:val="00C3530A"/>
    <w:rsid w:val="00C3542C"/>
    <w:rsid w:val="00C354BD"/>
    <w:rsid w:val="00C3556D"/>
    <w:rsid w:val="00C355E1"/>
    <w:rsid w:val="00C355E6"/>
    <w:rsid w:val="00C355EF"/>
    <w:rsid w:val="00C356B5"/>
    <w:rsid w:val="00C358E2"/>
    <w:rsid w:val="00C35F33"/>
    <w:rsid w:val="00C35FA2"/>
    <w:rsid w:val="00C364DF"/>
    <w:rsid w:val="00C367A9"/>
    <w:rsid w:val="00C367FB"/>
    <w:rsid w:val="00C36810"/>
    <w:rsid w:val="00C36C73"/>
    <w:rsid w:val="00C36D76"/>
    <w:rsid w:val="00C36D83"/>
    <w:rsid w:val="00C36E72"/>
    <w:rsid w:val="00C37033"/>
    <w:rsid w:val="00C37035"/>
    <w:rsid w:val="00C37642"/>
    <w:rsid w:val="00C3781A"/>
    <w:rsid w:val="00C3785A"/>
    <w:rsid w:val="00C37868"/>
    <w:rsid w:val="00C3796E"/>
    <w:rsid w:val="00C37997"/>
    <w:rsid w:val="00C3799B"/>
    <w:rsid w:val="00C379FE"/>
    <w:rsid w:val="00C37A93"/>
    <w:rsid w:val="00C37B4C"/>
    <w:rsid w:val="00C37B6F"/>
    <w:rsid w:val="00C37BC5"/>
    <w:rsid w:val="00C37D13"/>
    <w:rsid w:val="00C37D83"/>
    <w:rsid w:val="00C37E31"/>
    <w:rsid w:val="00C37EAC"/>
    <w:rsid w:val="00C37EDF"/>
    <w:rsid w:val="00C37F46"/>
    <w:rsid w:val="00C37FBA"/>
    <w:rsid w:val="00C400B0"/>
    <w:rsid w:val="00C4017B"/>
    <w:rsid w:val="00C4025B"/>
    <w:rsid w:val="00C40336"/>
    <w:rsid w:val="00C40373"/>
    <w:rsid w:val="00C4045B"/>
    <w:rsid w:val="00C4090A"/>
    <w:rsid w:val="00C40A81"/>
    <w:rsid w:val="00C40BB9"/>
    <w:rsid w:val="00C40D49"/>
    <w:rsid w:val="00C40D63"/>
    <w:rsid w:val="00C40EC1"/>
    <w:rsid w:val="00C40FAD"/>
    <w:rsid w:val="00C4126D"/>
    <w:rsid w:val="00C412C4"/>
    <w:rsid w:val="00C41513"/>
    <w:rsid w:val="00C41566"/>
    <w:rsid w:val="00C416CF"/>
    <w:rsid w:val="00C41742"/>
    <w:rsid w:val="00C41870"/>
    <w:rsid w:val="00C418F9"/>
    <w:rsid w:val="00C41951"/>
    <w:rsid w:val="00C41B9B"/>
    <w:rsid w:val="00C41C41"/>
    <w:rsid w:val="00C41D9B"/>
    <w:rsid w:val="00C41E63"/>
    <w:rsid w:val="00C4201D"/>
    <w:rsid w:val="00C424F0"/>
    <w:rsid w:val="00C426C6"/>
    <w:rsid w:val="00C427B7"/>
    <w:rsid w:val="00C427FF"/>
    <w:rsid w:val="00C4298C"/>
    <w:rsid w:val="00C429E3"/>
    <w:rsid w:val="00C429F6"/>
    <w:rsid w:val="00C42A30"/>
    <w:rsid w:val="00C42AAE"/>
    <w:rsid w:val="00C42B04"/>
    <w:rsid w:val="00C42B6A"/>
    <w:rsid w:val="00C42CA3"/>
    <w:rsid w:val="00C42F63"/>
    <w:rsid w:val="00C43519"/>
    <w:rsid w:val="00C4359A"/>
    <w:rsid w:val="00C43791"/>
    <w:rsid w:val="00C43858"/>
    <w:rsid w:val="00C4385F"/>
    <w:rsid w:val="00C4399F"/>
    <w:rsid w:val="00C439CA"/>
    <w:rsid w:val="00C439FE"/>
    <w:rsid w:val="00C43AA8"/>
    <w:rsid w:val="00C43B8E"/>
    <w:rsid w:val="00C43BA4"/>
    <w:rsid w:val="00C43C0B"/>
    <w:rsid w:val="00C43FC3"/>
    <w:rsid w:val="00C4433F"/>
    <w:rsid w:val="00C445B0"/>
    <w:rsid w:val="00C445CF"/>
    <w:rsid w:val="00C44777"/>
    <w:rsid w:val="00C44954"/>
    <w:rsid w:val="00C44A0D"/>
    <w:rsid w:val="00C44D45"/>
    <w:rsid w:val="00C44D7F"/>
    <w:rsid w:val="00C44FDF"/>
    <w:rsid w:val="00C45440"/>
    <w:rsid w:val="00C45463"/>
    <w:rsid w:val="00C457C8"/>
    <w:rsid w:val="00C45A34"/>
    <w:rsid w:val="00C45A64"/>
    <w:rsid w:val="00C45A90"/>
    <w:rsid w:val="00C45B6E"/>
    <w:rsid w:val="00C45D2C"/>
    <w:rsid w:val="00C45E16"/>
    <w:rsid w:val="00C45F86"/>
    <w:rsid w:val="00C4606A"/>
    <w:rsid w:val="00C46137"/>
    <w:rsid w:val="00C461F1"/>
    <w:rsid w:val="00C462F5"/>
    <w:rsid w:val="00C4647C"/>
    <w:rsid w:val="00C464C7"/>
    <w:rsid w:val="00C464E0"/>
    <w:rsid w:val="00C465E7"/>
    <w:rsid w:val="00C46974"/>
    <w:rsid w:val="00C4698E"/>
    <w:rsid w:val="00C46A53"/>
    <w:rsid w:val="00C46AFE"/>
    <w:rsid w:val="00C46CD2"/>
    <w:rsid w:val="00C47011"/>
    <w:rsid w:val="00C4728B"/>
    <w:rsid w:val="00C473B4"/>
    <w:rsid w:val="00C4741B"/>
    <w:rsid w:val="00C47469"/>
    <w:rsid w:val="00C47847"/>
    <w:rsid w:val="00C47858"/>
    <w:rsid w:val="00C47A98"/>
    <w:rsid w:val="00C47D57"/>
    <w:rsid w:val="00C47E8F"/>
    <w:rsid w:val="00C47EE4"/>
    <w:rsid w:val="00C47F03"/>
    <w:rsid w:val="00C47F75"/>
    <w:rsid w:val="00C47FC7"/>
    <w:rsid w:val="00C501A2"/>
    <w:rsid w:val="00C5070B"/>
    <w:rsid w:val="00C50884"/>
    <w:rsid w:val="00C508A4"/>
    <w:rsid w:val="00C508C9"/>
    <w:rsid w:val="00C5098B"/>
    <w:rsid w:val="00C50EB3"/>
    <w:rsid w:val="00C51005"/>
    <w:rsid w:val="00C5108D"/>
    <w:rsid w:val="00C511B9"/>
    <w:rsid w:val="00C51278"/>
    <w:rsid w:val="00C512F7"/>
    <w:rsid w:val="00C514BD"/>
    <w:rsid w:val="00C514D3"/>
    <w:rsid w:val="00C517F2"/>
    <w:rsid w:val="00C519C9"/>
    <w:rsid w:val="00C51C4F"/>
    <w:rsid w:val="00C51C5A"/>
    <w:rsid w:val="00C51CC5"/>
    <w:rsid w:val="00C51CD8"/>
    <w:rsid w:val="00C51D0B"/>
    <w:rsid w:val="00C51D3E"/>
    <w:rsid w:val="00C51EB8"/>
    <w:rsid w:val="00C51F69"/>
    <w:rsid w:val="00C52011"/>
    <w:rsid w:val="00C522BF"/>
    <w:rsid w:val="00C52411"/>
    <w:rsid w:val="00C52616"/>
    <w:rsid w:val="00C52628"/>
    <w:rsid w:val="00C526A0"/>
    <w:rsid w:val="00C5273E"/>
    <w:rsid w:val="00C52894"/>
    <w:rsid w:val="00C528B2"/>
    <w:rsid w:val="00C52958"/>
    <w:rsid w:val="00C529DD"/>
    <w:rsid w:val="00C52AC2"/>
    <w:rsid w:val="00C52B5F"/>
    <w:rsid w:val="00C52B9A"/>
    <w:rsid w:val="00C52C65"/>
    <w:rsid w:val="00C533D4"/>
    <w:rsid w:val="00C5349C"/>
    <w:rsid w:val="00C539D0"/>
    <w:rsid w:val="00C53A2C"/>
    <w:rsid w:val="00C53C04"/>
    <w:rsid w:val="00C53E75"/>
    <w:rsid w:val="00C53E97"/>
    <w:rsid w:val="00C53ED0"/>
    <w:rsid w:val="00C54071"/>
    <w:rsid w:val="00C5442E"/>
    <w:rsid w:val="00C54440"/>
    <w:rsid w:val="00C54471"/>
    <w:rsid w:val="00C54548"/>
    <w:rsid w:val="00C54568"/>
    <w:rsid w:val="00C546B6"/>
    <w:rsid w:val="00C5475C"/>
    <w:rsid w:val="00C54841"/>
    <w:rsid w:val="00C5485C"/>
    <w:rsid w:val="00C54DAA"/>
    <w:rsid w:val="00C54E53"/>
    <w:rsid w:val="00C54E70"/>
    <w:rsid w:val="00C54E74"/>
    <w:rsid w:val="00C54E8F"/>
    <w:rsid w:val="00C54F3E"/>
    <w:rsid w:val="00C54FAD"/>
    <w:rsid w:val="00C55032"/>
    <w:rsid w:val="00C550D1"/>
    <w:rsid w:val="00C5510B"/>
    <w:rsid w:val="00C55149"/>
    <w:rsid w:val="00C5524C"/>
    <w:rsid w:val="00C555A7"/>
    <w:rsid w:val="00C5564B"/>
    <w:rsid w:val="00C5570C"/>
    <w:rsid w:val="00C55847"/>
    <w:rsid w:val="00C55888"/>
    <w:rsid w:val="00C558AE"/>
    <w:rsid w:val="00C55903"/>
    <w:rsid w:val="00C55ADC"/>
    <w:rsid w:val="00C55BA8"/>
    <w:rsid w:val="00C55C38"/>
    <w:rsid w:val="00C55E0E"/>
    <w:rsid w:val="00C562BC"/>
    <w:rsid w:val="00C565AA"/>
    <w:rsid w:val="00C569AB"/>
    <w:rsid w:val="00C569F1"/>
    <w:rsid w:val="00C56E51"/>
    <w:rsid w:val="00C56F14"/>
    <w:rsid w:val="00C56F73"/>
    <w:rsid w:val="00C56FC8"/>
    <w:rsid w:val="00C574A6"/>
    <w:rsid w:val="00C5752C"/>
    <w:rsid w:val="00C575A1"/>
    <w:rsid w:val="00C575CF"/>
    <w:rsid w:val="00C575FE"/>
    <w:rsid w:val="00C577AD"/>
    <w:rsid w:val="00C57BE9"/>
    <w:rsid w:val="00C57EAB"/>
    <w:rsid w:val="00C600B4"/>
    <w:rsid w:val="00C6010C"/>
    <w:rsid w:val="00C601E9"/>
    <w:rsid w:val="00C601ED"/>
    <w:rsid w:val="00C6033F"/>
    <w:rsid w:val="00C604A3"/>
    <w:rsid w:val="00C6061D"/>
    <w:rsid w:val="00C60885"/>
    <w:rsid w:val="00C60999"/>
    <w:rsid w:val="00C60C14"/>
    <w:rsid w:val="00C60D5D"/>
    <w:rsid w:val="00C6101B"/>
    <w:rsid w:val="00C61134"/>
    <w:rsid w:val="00C612B4"/>
    <w:rsid w:val="00C614A8"/>
    <w:rsid w:val="00C61577"/>
    <w:rsid w:val="00C61621"/>
    <w:rsid w:val="00C6163A"/>
    <w:rsid w:val="00C61651"/>
    <w:rsid w:val="00C616B7"/>
    <w:rsid w:val="00C616B8"/>
    <w:rsid w:val="00C617B6"/>
    <w:rsid w:val="00C61B07"/>
    <w:rsid w:val="00C61DC6"/>
    <w:rsid w:val="00C61EB1"/>
    <w:rsid w:val="00C6212F"/>
    <w:rsid w:val="00C62271"/>
    <w:rsid w:val="00C62551"/>
    <w:rsid w:val="00C6276D"/>
    <w:rsid w:val="00C6277C"/>
    <w:rsid w:val="00C628BF"/>
    <w:rsid w:val="00C629B0"/>
    <w:rsid w:val="00C629EC"/>
    <w:rsid w:val="00C62A04"/>
    <w:rsid w:val="00C62B00"/>
    <w:rsid w:val="00C62E32"/>
    <w:rsid w:val="00C62F16"/>
    <w:rsid w:val="00C6321D"/>
    <w:rsid w:val="00C632C0"/>
    <w:rsid w:val="00C6354F"/>
    <w:rsid w:val="00C6366F"/>
    <w:rsid w:val="00C636C8"/>
    <w:rsid w:val="00C636DA"/>
    <w:rsid w:val="00C6373D"/>
    <w:rsid w:val="00C6375F"/>
    <w:rsid w:val="00C638B7"/>
    <w:rsid w:val="00C638C0"/>
    <w:rsid w:val="00C63A32"/>
    <w:rsid w:val="00C63A54"/>
    <w:rsid w:val="00C63A85"/>
    <w:rsid w:val="00C63B05"/>
    <w:rsid w:val="00C63B7C"/>
    <w:rsid w:val="00C63B81"/>
    <w:rsid w:val="00C63D7E"/>
    <w:rsid w:val="00C63EA4"/>
    <w:rsid w:val="00C63EBE"/>
    <w:rsid w:val="00C63F63"/>
    <w:rsid w:val="00C6413D"/>
    <w:rsid w:val="00C64172"/>
    <w:rsid w:val="00C642D2"/>
    <w:rsid w:val="00C64310"/>
    <w:rsid w:val="00C64320"/>
    <w:rsid w:val="00C643B0"/>
    <w:rsid w:val="00C64427"/>
    <w:rsid w:val="00C64453"/>
    <w:rsid w:val="00C64536"/>
    <w:rsid w:val="00C64663"/>
    <w:rsid w:val="00C646CA"/>
    <w:rsid w:val="00C649E2"/>
    <w:rsid w:val="00C64BA7"/>
    <w:rsid w:val="00C64E14"/>
    <w:rsid w:val="00C64F08"/>
    <w:rsid w:val="00C650A7"/>
    <w:rsid w:val="00C656E4"/>
    <w:rsid w:val="00C65821"/>
    <w:rsid w:val="00C65BB9"/>
    <w:rsid w:val="00C65CCD"/>
    <w:rsid w:val="00C65D1D"/>
    <w:rsid w:val="00C65F18"/>
    <w:rsid w:val="00C6604A"/>
    <w:rsid w:val="00C661F3"/>
    <w:rsid w:val="00C664EB"/>
    <w:rsid w:val="00C66574"/>
    <w:rsid w:val="00C665F7"/>
    <w:rsid w:val="00C66816"/>
    <w:rsid w:val="00C66876"/>
    <w:rsid w:val="00C66A20"/>
    <w:rsid w:val="00C66A25"/>
    <w:rsid w:val="00C66B41"/>
    <w:rsid w:val="00C66B8C"/>
    <w:rsid w:val="00C66B9B"/>
    <w:rsid w:val="00C66BF2"/>
    <w:rsid w:val="00C66C39"/>
    <w:rsid w:val="00C67130"/>
    <w:rsid w:val="00C6722B"/>
    <w:rsid w:val="00C6731A"/>
    <w:rsid w:val="00C673A4"/>
    <w:rsid w:val="00C673D0"/>
    <w:rsid w:val="00C675B9"/>
    <w:rsid w:val="00C676F7"/>
    <w:rsid w:val="00C67852"/>
    <w:rsid w:val="00C67A67"/>
    <w:rsid w:val="00C67B03"/>
    <w:rsid w:val="00C67C68"/>
    <w:rsid w:val="00C700F3"/>
    <w:rsid w:val="00C70141"/>
    <w:rsid w:val="00C701DC"/>
    <w:rsid w:val="00C7026D"/>
    <w:rsid w:val="00C709B2"/>
    <w:rsid w:val="00C70AA9"/>
    <w:rsid w:val="00C70AEC"/>
    <w:rsid w:val="00C70E36"/>
    <w:rsid w:val="00C70EA8"/>
    <w:rsid w:val="00C7117A"/>
    <w:rsid w:val="00C71543"/>
    <w:rsid w:val="00C71586"/>
    <w:rsid w:val="00C7163D"/>
    <w:rsid w:val="00C71698"/>
    <w:rsid w:val="00C71A2F"/>
    <w:rsid w:val="00C71BFC"/>
    <w:rsid w:val="00C71DC1"/>
    <w:rsid w:val="00C71DE1"/>
    <w:rsid w:val="00C71E3F"/>
    <w:rsid w:val="00C71E9E"/>
    <w:rsid w:val="00C72199"/>
    <w:rsid w:val="00C7227B"/>
    <w:rsid w:val="00C723EA"/>
    <w:rsid w:val="00C72593"/>
    <w:rsid w:val="00C7269E"/>
    <w:rsid w:val="00C72822"/>
    <w:rsid w:val="00C728B4"/>
    <w:rsid w:val="00C72A64"/>
    <w:rsid w:val="00C72C22"/>
    <w:rsid w:val="00C72DFA"/>
    <w:rsid w:val="00C73025"/>
    <w:rsid w:val="00C7304E"/>
    <w:rsid w:val="00C7372F"/>
    <w:rsid w:val="00C73746"/>
    <w:rsid w:val="00C73777"/>
    <w:rsid w:val="00C737AB"/>
    <w:rsid w:val="00C73D83"/>
    <w:rsid w:val="00C73E23"/>
    <w:rsid w:val="00C73ED9"/>
    <w:rsid w:val="00C73F2D"/>
    <w:rsid w:val="00C73F5B"/>
    <w:rsid w:val="00C73F60"/>
    <w:rsid w:val="00C73F78"/>
    <w:rsid w:val="00C7433D"/>
    <w:rsid w:val="00C7446E"/>
    <w:rsid w:val="00C74532"/>
    <w:rsid w:val="00C74591"/>
    <w:rsid w:val="00C74768"/>
    <w:rsid w:val="00C748F0"/>
    <w:rsid w:val="00C74A8A"/>
    <w:rsid w:val="00C74A98"/>
    <w:rsid w:val="00C74B6B"/>
    <w:rsid w:val="00C74E7E"/>
    <w:rsid w:val="00C75133"/>
    <w:rsid w:val="00C75287"/>
    <w:rsid w:val="00C75300"/>
    <w:rsid w:val="00C753C9"/>
    <w:rsid w:val="00C75B0A"/>
    <w:rsid w:val="00C75B16"/>
    <w:rsid w:val="00C75DB3"/>
    <w:rsid w:val="00C75F5E"/>
    <w:rsid w:val="00C75FD4"/>
    <w:rsid w:val="00C7602B"/>
    <w:rsid w:val="00C76117"/>
    <w:rsid w:val="00C763B5"/>
    <w:rsid w:val="00C764E7"/>
    <w:rsid w:val="00C766EE"/>
    <w:rsid w:val="00C766F4"/>
    <w:rsid w:val="00C76765"/>
    <w:rsid w:val="00C76CB5"/>
    <w:rsid w:val="00C770A7"/>
    <w:rsid w:val="00C771A7"/>
    <w:rsid w:val="00C772CF"/>
    <w:rsid w:val="00C77906"/>
    <w:rsid w:val="00C77939"/>
    <w:rsid w:val="00C77957"/>
    <w:rsid w:val="00C77CD8"/>
    <w:rsid w:val="00C77FC6"/>
    <w:rsid w:val="00C800F1"/>
    <w:rsid w:val="00C80540"/>
    <w:rsid w:val="00C8079C"/>
    <w:rsid w:val="00C807CD"/>
    <w:rsid w:val="00C808CD"/>
    <w:rsid w:val="00C80910"/>
    <w:rsid w:val="00C80929"/>
    <w:rsid w:val="00C81357"/>
    <w:rsid w:val="00C8137F"/>
    <w:rsid w:val="00C81508"/>
    <w:rsid w:val="00C81593"/>
    <w:rsid w:val="00C81726"/>
    <w:rsid w:val="00C81A4F"/>
    <w:rsid w:val="00C81A8C"/>
    <w:rsid w:val="00C81ABC"/>
    <w:rsid w:val="00C81C12"/>
    <w:rsid w:val="00C81E2A"/>
    <w:rsid w:val="00C81F8D"/>
    <w:rsid w:val="00C8209F"/>
    <w:rsid w:val="00C820D4"/>
    <w:rsid w:val="00C824D9"/>
    <w:rsid w:val="00C8252A"/>
    <w:rsid w:val="00C8259B"/>
    <w:rsid w:val="00C826D7"/>
    <w:rsid w:val="00C82886"/>
    <w:rsid w:val="00C82BE1"/>
    <w:rsid w:val="00C82BE4"/>
    <w:rsid w:val="00C82F17"/>
    <w:rsid w:val="00C832A6"/>
    <w:rsid w:val="00C834FB"/>
    <w:rsid w:val="00C8352C"/>
    <w:rsid w:val="00C83544"/>
    <w:rsid w:val="00C835CE"/>
    <w:rsid w:val="00C83928"/>
    <w:rsid w:val="00C8398D"/>
    <w:rsid w:val="00C83B92"/>
    <w:rsid w:val="00C83C86"/>
    <w:rsid w:val="00C83D18"/>
    <w:rsid w:val="00C83F47"/>
    <w:rsid w:val="00C840C6"/>
    <w:rsid w:val="00C843D3"/>
    <w:rsid w:val="00C8444D"/>
    <w:rsid w:val="00C847C9"/>
    <w:rsid w:val="00C84993"/>
    <w:rsid w:val="00C84B78"/>
    <w:rsid w:val="00C84B7F"/>
    <w:rsid w:val="00C84D71"/>
    <w:rsid w:val="00C84E6E"/>
    <w:rsid w:val="00C85208"/>
    <w:rsid w:val="00C85566"/>
    <w:rsid w:val="00C85793"/>
    <w:rsid w:val="00C857FA"/>
    <w:rsid w:val="00C8580C"/>
    <w:rsid w:val="00C8585F"/>
    <w:rsid w:val="00C85BF4"/>
    <w:rsid w:val="00C85C95"/>
    <w:rsid w:val="00C85CD0"/>
    <w:rsid w:val="00C85E8F"/>
    <w:rsid w:val="00C86047"/>
    <w:rsid w:val="00C860C7"/>
    <w:rsid w:val="00C863EF"/>
    <w:rsid w:val="00C8652C"/>
    <w:rsid w:val="00C865E9"/>
    <w:rsid w:val="00C86637"/>
    <w:rsid w:val="00C867B5"/>
    <w:rsid w:val="00C8697E"/>
    <w:rsid w:val="00C86AF8"/>
    <w:rsid w:val="00C86B6B"/>
    <w:rsid w:val="00C86BC6"/>
    <w:rsid w:val="00C86C07"/>
    <w:rsid w:val="00C86CC1"/>
    <w:rsid w:val="00C86DAF"/>
    <w:rsid w:val="00C86E9C"/>
    <w:rsid w:val="00C86F47"/>
    <w:rsid w:val="00C86F8B"/>
    <w:rsid w:val="00C870C4"/>
    <w:rsid w:val="00C87259"/>
    <w:rsid w:val="00C872E5"/>
    <w:rsid w:val="00C8736F"/>
    <w:rsid w:val="00C873DF"/>
    <w:rsid w:val="00C8760E"/>
    <w:rsid w:val="00C87852"/>
    <w:rsid w:val="00C87A1C"/>
    <w:rsid w:val="00C87A5A"/>
    <w:rsid w:val="00C87DD9"/>
    <w:rsid w:val="00C900DC"/>
    <w:rsid w:val="00C906B3"/>
    <w:rsid w:val="00C906D3"/>
    <w:rsid w:val="00C9086D"/>
    <w:rsid w:val="00C90905"/>
    <w:rsid w:val="00C909CE"/>
    <w:rsid w:val="00C909DE"/>
    <w:rsid w:val="00C90A5B"/>
    <w:rsid w:val="00C90AB1"/>
    <w:rsid w:val="00C90D63"/>
    <w:rsid w:val="00C91260"/>
    <w:rsid w:val="00C91389"/>
    <w:rsid w:val="00C9150A"/>
    <w:rsid w:val="00C91C63"/>
    <w:rsid w:val="00C91E7B"/>
    <w:rsid w:val="00C91EF2"/>
    <w:rsid w:val="00C9217C"/>
    <w:rsid w:val="00C92220"/>
    <w:rsid w:val="00C9227C"/>
    <w:rsid w:val="00C923A1"/>
    <w:rsid w:val="00C923A7"/>
    <w:rsid w:val="00C92502"/>
    <w:rsid w:val="00C926F7"/>
    <w:rsid w:val="00C927AE"/>
    <w:rsid w:val="00C92E9D"/>
    <w:rsid w:val="00C92F80"/>
    <w:rsid w:val="00C92FE5"/>
    <w:rsid w:val="00C930A6"/>
    <w:rsid w:val="00C93239"/>
    <w:rsid w:val="00C933A5"/>
    <w:rsid w:val="00C93635"/>
    <w:rsid w:val="00C93641"/>
    <w:rsid w:val="00C93954"/>
    <w:rsid w:val="00C93970"/>
    <w:rsid w:val="00C93A83"/>
    <w:rsid w:val="00C93B4D"/>
    <w:rsid w:val="00C93E53"/>
    <w:rsid w:val="00C93ED8"/>
    <w:rsid w:val="00C93FEA"/>
    <w:rsid w:val="00C94BA0"/>
    <w:rsid w:val="00C94BEA"/>
    <w:rsid w:val="00C94DC1"/>
    <w:rsid w:val="00C94E12"/>
    <w:rsid w:val="00C94E36"/>
    <w:rsid w:val="00C94F6B"/>
    <w:rsid w:val="00C94F92"/>
    <w:rsid w:val="00C951E3"/>
    <w:rsid w:val="00C953E5"/>
    <w:rsid w:val="00C9561C"/>
    <w:rsid w:val="00C9571F"/>
    <w:rsid w:val="00C95B3B"/>
    <w:rsid w:val="00C95CB9"/>
    <w:rsid w:val="00C95DB4"/>
    <w:rsid w:val="00C95DD4"/>
    <w:rsid w:val="00C95F57"/>
    <w:rsid w:val="00C95F84"/>
    <w:rsid w:val="00C96033"/>
    <w:rsid w:val="00C96086"/>
    <w:rsid w:val="00C963A3"/>
    <w:rsid w:val="00C9659C"/>
    <w:rsid w:val="00C966E2"/>
    <w:rsid w:val="00C96750"/>
    <w:rsid w:val="00C9694E"/>
    <w:rsid w:val="00C96A38"/>
    <w:rsid w:val="00C96A86"/>
    <w:rsid w:val="00C96AD3"/>
    <w:rsid w:val="00C96C0F"/>
    <w:rsid w:val="00C96C53"/>
    <w:rsid w:val="00C96D19"/>
    <w:rsid w:val="00C96E5A"/>
    <w:rsid w:val="00C9702D"/>
    <w:rsid w:val="00C97252"/>
    <w:rsid w:val="00C972C2"/>
    <w:rsid w:val="00C972D4"/>
    <w:rsid w:val="00C97422"/>
    <w:rsid w:val="00C9748D"/>
    <w:rsid w:val="00C977B3"/>
    <w:rsid w:val="00C9791D"/>
    <w:rsid w:val="00C97D4E"/>
    <w:rsid w:val="00C97ED6"/>
    <w:rsid w:val="00C97F34"/>
    <w:rsid w:val="00CA0220"/>
    <w:rsid w:val="00CA02B9"/>
    <w:rsid w:val="00CA0302"/>
    <w:rsid w:val="00CA0514"/>
    <w:rsid w:val="00CA0714"/>
    <w:rsid w:val="00CA0856"/>
    <w:rsid w:val="00CA08D7"/>
    <w:rsid w:val="00CA08EC"/>
    <w:rsid w:val="00CA09E4"/>
    <w:rsid w:val="00CA0AAC"/>
    <w:rsid w:val="00CA0AFB"/>
    <w:rsid w:val="00CA0BA6"/>
    <w:rsid w:val="00CA0BD6"/>
    <w:rsid w:val="00CA0BE2"/>
    <w:rsid w:val="00CA0C97"/>
    <w:rsid w:val="00CA0D16"/>
    <w:rsid w:val="00CA0E4B"/>
    <w:rsid w:val="00CA0E5D"/>
    <w:rsid w:val="00CA11BE"/>
    <w:rsid w:val="00CA1203"/>
    <w:rsid w:val="00CA1276"/>
    <w:rsid w:val="00CA13A8"/>
    <w:rsid w:val="00CA15EE"/>
    <w:rsid w:val="00CA1650"/>
    <w:rsid w:val="00CA1738"/>
    <w:rsid w:val="00CA1BA1"/>
    <w:rsid w:val="00CA1D3B"/>
    <w:rsid w:val="00CA21E3"/>
    <w:rsid w:val="00CA22D6"/>
    <w:rsid w:val="00CA25A3"/>
    <w:rsid w:val="00CA25FB"/>
    <w:rsid w:val="00CA266A"/>
    <w:rsid w:val="00CA26B4"/>
    <w:rsid w:val="00CA27E2"/>
    <w:rsid w:val="00CA2AD4"/>
    <w:rsid w:val="00CA2D37"/>
    <w:rsid w:val="00CA2E09"/>
    <w:rsid w:val="00CA30E0"/>
    <w:rsid w:val="00CA30EE"/>
    <w:rsid w:val="00CA3248"/>
    <w:rsid w:val="00CA3338"/>
    <w:rsid w:val="00CA3559"/>
    <w:rsid w:val="00CA38E4"/>
    <w:rsid w:val="00CA39AD"/>
    <w:rsid w:val="00CA3A7A"/>
    <w:rsid w:val="00CA3AE9"/>
    <w:rsid w:val="00CA3BF0"/>
    <w:rsid w:val="00CA3C03"/>
    <w:rsid w:val="00CA3D77"/>
    <w:rsid w:val="00CA3EC3"/>
    <w:rsid w:val="00CA3FB4"/>
    <w:rsid w:val="00CA3FBD"/>
    <w:rsid w:val="00CA3FFD"/>
    <w:rsid w:val="00CA40A5"/>
    <w:rsid w:val="00CA4370"/>
    <w:rsid w:val="00CA4719"/>
    <w:rsid w:val="00CA4933"/>
    <w:rsid w:val="00CA4A4D"/>
    <w:rsid w:val="00CA4AA9"/>
    <w:rsid w:val="00CA4EF5"/>
    <w:rsid w:val="00CA4FB8"/>
    <w:rsid w:val="00CA57D2"/>
    <w:rsid w:val="00CA5A4D"/>
    <w:rsid w:val="00CA5BA8"/>
    <w:rsid w:val="00CA5DF2"/>
    <w:rsid w:val="00CA5E83"/>
    <w:rsid w:val="00CA5EF0"/>
    <w:rsid w:val="00CA608B"/>
    <w:rsid w:val="00CA618A"/>
    <w:rsid w:val="00CA61CE"/>
    <w:rsid w:val="00CA6291"/>
    <w:rsid w:val="00CA63E1"/>
    <w:rsid w:val="00CA67C0"/>
    <w:rsid w:val="00CA6AC6"/>
    <w:rsid w:val="00CA6CE1"/>
    <w:rsid w:val="00CA7057"/>
    <w:rsid w:val="00CA70DC"/>
    <w:rsid w:val="00CA722B"/>
    <w:rsid w:val="00CA780F"/>
    <w:rsid w:val="00CA794F"/>
    <w:rsid w:val="00CA79D7"/>
    <w:rsid w:val="00CA7AA6"/>
    <w:rsid w:val="00CA7CAE"/>
    <w:rsid w:val="00CA7DDA"/>
    <w:rsid w:val="00CA7DED"/>
    <w:rsid w:val="00CA7F67"/>
    <w:rsid w:val="00CB01D8"/>
    <w:rsid w:val="00CB035B"/>
    <w:rsid w:val="00CB0607"/>
    <w:rsid w:val="00CB0703"/>
    <w:rsid w:val="00CB0823"/>
    <w:rsid w:val="00CB0A09"/>
    <w:rsid w:val="00CB0A53"/>
    <w:rsid w:val="00CB0CA6"/>
    <w:rsid w:val="00CB0F8B"/>
    <w:rsid w:val="00CB1053"/>
    <w:rsid w:val="00CB1092"/>
    <w:rsid w:val="00CB1142"/>
    <w:rsid w:val="00CB13BF"/>
    <w:rsid w:val="00CB15AF"/>
    <w:rsid w:val="00CB16C3"/>
    <w:rsid w:val="00CB1A4E"/>
    <w:rsid w:val="00CB1A91"/>
    <w:rsid w:val="00CB1C5D"/>
    <w:rsid w:val="00CB1CD1"/>
    <w:rsid w:val="00CB1D8B"/>
    <w:rsid w:val="00CB1D95"/>
    <w:rsid w:val="00CB20F5"/>
    <w:rsid w:val="00CB2204"/>
    <w:rsid w:val="00CB225F"/>
    <w:rsid w:val="00CB2521"/>
    <w:rsid w:val="00CB25A7"/>
    <w:rsid w:val="00CB2641"/>
    <w:rsid w:val="00CB2671"/>
    <w:rsid w:val="00CB268A"/>
    <w:rsid w:val="00CB269E"/>
    <w:rsid w:val="00CB26A4"/>
    <w:rsid w:val="00CB26E0"/>
    <w:rsid w:val="00CB2981"/>
    <w:rsid w:val="00CB2B31"/>
    <w:rsid w:val="00CB2BA7"/>
    <w:rsid w:val="00CB2C3B"/>
    <w:rsid w:val="00CB2D04"/>
    <w:rsid w:val="00CB2E2F"/>
    <w:rsid w:val="00CB2EBF"/>
    <w:rsid w:val="00CB2FE9"/>
    <w:rsid w:val="00CB304B"/>
    <w:rsid w:val="00CB30D6"/>
    <w:rsid w:val="00CB326D"/>
    <w:rsid w:val="00CB3709"/>
    <w:rsid w:val="00CB38C3"/>
    <w:rsid w:val="00CB38C5"/>
    <w:rsid w:val="00CB38FC"/>
    <w:rsid w:val="00CB3C28"/>
    <w:rsid w:val="00CB3C34"/>
    <w:rsid w:val="00CB3D04"/>
    <w:rsid w:val="00CB3D84"/>
    <w:rsid w:val="00CB4157"/>
    <w:rsid w:val="00CB466D"/>
    <w:rsid w:val="00CB48BB"/>
    <w:rsid w:val="00CB4CFC"/>
    <w:rsid w:val="00CB4D7D"/>
    <w:rsid w:val="00CB4E9D"/>
    <w:rsid w:val="00CB5222"/>
    <w:rsid w:val="00CB53AF"/>
    <w:rsid w:val="00CB53CF"/>
    <w:rsid w:val="00CB5408"/>
    <w:rsid w:val="00CB554D"/>
    <w:rsid w:val="00CB564A"/>
    <w:rsid w:val="00CB572F"/>
    <w:rsid w:val="00CB57B3"/>
    <w:rsid w:val="00CB57DE"/>
    <w:rsid w:val="00CB5A4E"/>
    <w:rsid w:val="00CB5B14"/>
    <w:rsid w:val="00CB5B4D"/>
    <w:rsid w:val="00CB5B72"/>
    <w:rsid w:val="00CB5CF7"/>
    <w:rsid w:val="00CB5DD8"/>
    <w:rsid w:val="00CB5EB7"/>
    <w:rsid w:val="00CB5F4B"/>
    <w:rsid w:val="00CB605E"/>
    <w:rsid w:val="00CB60D2"/>
    <w:rsid w:val="00CB6252"/>
    <w:rsid w:val="00CB63DB"/>
    <w:rsid w:val="00CB63FA"/>
    <w:rsid w:val="00CB64C7"/>
    <w:rsid w:val="00CB64E6"/>
    <w:rsid w:val="00CB65DD"/>
    <w:rsid w:val="00CB660C"/>
    <w:rsid w:val="00CB66B0"/>
    <w:rsid w:val="00CB6707"/>
    <w:rsid w:val="00CB6980"/>
    <w:rsid w:val="00CB69D0"/>
    <w:rsid w:val="00CB6A0B"/>
    <w:rsid w:val="00CB6AD8"/>
    <w:rsid w:val="00CB6CA0"/>
    <w:rsid w:val="00CB6CA5"/>
    <w:rsid w:val="00CB6E16"/>
    <w:rsid w:val="00CB728E"/>
    <w:rsid w:val="00CB73F2"/>
    <w:rsid w:val="00CB73F5"/>
    <w:rsid w:val="00CB74E7"/>
    <w:rsid w:val="00CB77E0"/>
    <w:rsid w:val="00CB795C"/>
    <w:rsid w:val="00CB7980"/>
    <w:rsid w:val="00CB7989"/>
    <w:rsid w:val="00CB79C0"/>
    <w:rsid w:val="00CB7B7C"/>
    <w:rsid w:val="00CB7C48"/>
    <w:rsid w:val="00CB7C56"/>
    <w:rsid w:val="00CB7F3E"/>
    <w:rsid w:val="00CB7F41"/>
    <w:rsid w:val="00CB7FC6"/>
    <w:rsid w:val="00CC00A4"/>
    <w:rsid w:val="00CC0241"/>
    <w:rsid w:val="00CC0315"/>
    <w:rsid w:val="00CC0567"/>
    <w:rsid w:val="00CC05EE"/>
    <w:rsid w:val="00CC0620"/>
    <w:rsid w:val="00CC06E7"/>
    <w:rsid w:val="00CC0ADC"/>
    <w:rsid w:val="00CC0AE4"/>
    <w:rsid w:val="00CC0B0C"/>
    <w:rsid w:val="00CC0C84"/>
    <w:rsid w:val="00CC0D1F"/>
    <w:rsid w:val="00CC0EA5"/>
    <w:rsid w:val="00CC0F1F"/>
    <w:rsid w:val="00CC0F59"/>
    <w:rsid w:val="00CC0FA2"/>
    <w:rsid w:val="00CC13C2"/>
    <w:rsid w:val="00CC17B8"/>
    <w:rsid w:val="00CC182C"/>
    <w:rsid w:val="00CC1983"/>
    <w:rsid w:val="00CC1D06"/>
    <w:rsid w:val="00CC1DD2"/>
    <w:rsid w:val="00CC1F1A"/>
    <w:rsid w:val="00CC1F61"/>
    <w:rsid w:val="00CC1F65"/>
    <w:rsid w:val="00CC2112"/>
    <w:rsid w:val="00CC213B"/>
    <w:rsid w:val="00CC22ED"/>
    <w:rsid w:val="00CC240E"/>
    <w:rsid w:val="00CC2425"/>
    <w:rsid w:val="00CC2444"/>
    <w:rsid w:val="00CC24D0"/>
    <w:rsid w:val="00CC2528"/>
    <w:rsid w:val="00CC2A15"/>
    <w:rsid w:val="00CC2C22"/>
    <w:rsid w:val="00CC2C54"/>
    <w:rsid w:val="00CC2D11"/>
    <w:rsid w:val="00CC2ED3"/>
    <w:rsid w:val="00CC3013"/>
    <w:rsid w:val="00CC30C4"/>
    <w:rsid w:val="00CC3258"/>
    <w:rsid w:val="00CC325E"/>
    <w:rsid w:val="00CC32BE"/>
    <w:rsid w:val="00CC350F"/>
    <w:rsid w:val="00CC365E"/>
    <w:rsid w:val="00CC3847"/>
    <w:rsid w:val="00CC3A98"/>
    <w:rsid w:val="00CC3BF0"/>
    <w:rsid w:val="00CC3C35"/>
    <w:rsid w:val="00CC3D94"/>
    <w:rsid w:val="00CC3E81"/>
    <w:rsid w:val="00CC3F44"/>
    <w:rsid w:val="00CC409B"/>
    <w:rsid w:val="00CC411D"/>
    <w:rsid w:val="00CC4175"/>
    <w:rsid w:val="00CC41A9"/>
    <w:rsid w:val="00CC4203"/>
    <w:rsid w:val="00CC423F"/>
    <w:rsid w:val="00CC4B09"/>
    <w:rsid w:val="00CC4C27"/>
    <w:rsid w:val="00CC4C53"/>
    <w:rsid w:val="00CC4F4C"/>
    <w:rsid w:val="00CC5131"/>
    <w:rsid w:val="00CC52F1"/>
    <w:rsid w:val="00CC5320"/>
    <w:rsid w:val="00CC534A"/>
    <w:rsid w:val="00CC54E6"/>
    <w:rsid w:val="00CC5551"/>
    <w:rsid w:val="00CC56FB"/>
    <w:rsid w:val="00CC59C0"/>
    <w:rsid w:val="00CC59CF"/>
    <w:rsid w:val="00CC5C41"/>
    <w:rsid w:val="00CC5E6F"/>
    <w:rsid w:val="00CC5F5A"/>
    <w:rsid w:val="00CC61D7"/>
    <w:rsid w:val="00CC6530"/>
    <w:rsid w:val="00CC680B"/>
    <w:rsid w:val="00CC6813"/>
    <w:rsid w:val="00CC69AD"/>
    <w:rsid w:val="00CC6A98"/>
    <w:rsid w:val="00CC6FC8"/>
    <w:rsid w:val="00CC741F"/>
    <w:rsid w:val="00CC764B"/>
    <w:rsid w:val="00CC7786"/>
    <w:rsid w:val="00CC7985"/>
    <w:rsid w:val="00CC7B1E"/>
    <w:rsid w:val="00CC7B2F"/>
    <w:rsid w:val="00CC7B73"/>
    <w:rsid w:val="00CC7B84"/>
    <w:rsid w:val="00CC7C02"/>
    <w:rsid w:val="00CC7EBB"/>
    <w:rsid w:val="00CD01EF"/>
    <w:rsid w:val="00CD02E0"/>
    <w:rsid w:val="00CD0458"/>
    <w:rsid w:val="00CD0574"/>
    <w:rsid w:val="00CD078D"/>
    <w:rsid w:val="00CD09C7"/>
    <w:rsid w:val="00CD0A4A"/>
    <w:rsid w:val="00CD0B8A"/>
    <w:rsid w:val="00CD0DC3"/>
    <w:rsid w:val="00CD0FDB"/>
    <w:rsid w:val="00CD124A"/>
    <w:rsid w:val="00CD17CF"/>
    <w:rsid w:val="00CD183B"/>
    <w:rsid w:val="00CD1939"/>
    <w:rsid w:val="00CD1A26"/>
    <w:rsid w:val="00CD1C19"/>
    <w:rsid w:val="00CD1C70"/>
    <w:rsid w:val="00CD1F03"/>
    <w:rsid w:val="00CD2005"/>
    <w:rsid w:val="00CD2054"/>
    <w:rsid w:val="00CD217D"/>
    <w:rsid w:val="00CD23C6"/>
    <w:rsid w:val="00CD243E"/>
    <w:rsid w:val="00CD24A7"/>
    <w:rsid w:val="00CD24C6"/>
    <w:rsid w:val="00CD259B"/>
    <w:rsid w:val="00CD283E"/>
    <w:rsid w:val="00CD29D0"/>
    <w:rsid w:val="00CD2B20"/>
    <w:rsid w:val="00CD2E43"/>
    <w:rsid w:val="00CD306B"/>
    <w:rsid w:val="00CD30FC"/>
    <w:rsid w:val="00CD31E2"/>
    <w:rsid w:val="00CD32CD"/>
    <w:rsid w:val="00CD33B5"/>
    <w:rsid w:val="00CD33FC"/>
    <w:rsid w:val="00CD347E"/>
    <w:rsid w:val="00CD36DB"/>
    <w:rsid w:val="00CD38A9"/>
    <w:rsid w:val="00CD3968"/>
    <w:rsid w:val="00CD3AE0"/>
    <w:rsid w:val="00CD402B"/>
    <w:rsid w:val="00CD417C"/>
    <w:rsid w:val="00CD41BD"/>
    <w:rsid w:val="00CD41C4"/>
    <w:rsid w:val="00CD45F5"/>
    <w:rsid w:val="00CD4638"/>
    <w:rsid w:val="00CD47C9"/>
    <w:rsid w:val="00CD47FD"/>
    <w:rsid w:val="00CD490D"/>
    <w:rsid w:val="00CD4ABF"/>
    <w:rsid w:val="00CD4C35"/>
    <w:rsid w:val="00CD4E14"/>
    <w:rsid w:val="00CD4E55"/>
    <w:rsid w:val="00CD4EAA"/>
    <w:rsid w:val="00CD5074"/>
    <w:rsid w:val="00CD516F"/>
    <w:rsid w:val="00CD5233"/>
    <w:rsid w:val="00CD52A8"/>
    <w:rsid w:val="00CD5606"/>
    <w:rsid w:val="00CD5ED9"/>
    <w:rsid w:val="00CD6043"/>
    <w:rsid w:val="00CD60E7"/>
    <w:rsid w:val="00CD61CE"/>
    <w:rsid w:val="00CD6270"/>
    <w:rsid w:val="00CD636E"/>
    <w:rsid w:val="00CD6568"/>
    <w:rsid w:val="00CD66DB"/>
    <w:rsid w:val="00CD6927"/>
    <w:rsid w:val="00CD6ACB"/>
    <w:rsid w:val="00CD6B20"/>
    <w:rsid w:val="00CD6CB2"/>
    <w:rsid w:val="00CD6CF3"/>
    <w:rsid w:val="00CD6D4B"/>
    <w:rsid w:val="00CD6FAF"/>
    <w:rsid w:val="00CD6FEE"/>
    <w:rsid w:val="00CD716B"/>
    <w:rsid w:val="00CD7273"/>
    <w:rsid w:val="00CD7334"/>
    <w:rsid w:val="00CD7355"/>
    <w:rsid w:val="00CD768D"/>
    <w:rsid w:val="00CD7725"/>
    <w:rsid w:val="00CD77CD"/>
    <w:rsid w:val="00CD77E9"/>
    <w:rsid w:val="00CD77F5"/>
    <w:rsid w:val="00CD7C93"/>
    <w:rsid w:val="00CD7D47"/>
    <w:rsid w:val="00CD7F68"/>
    <w:rsid w:val="00CD7FB4"/>
    <w:rsid w:val="00CE0581"/>
    <w:rsid w:val="00CE06A6"/>
    <w:rsid w:val="00CE0798"/>
    <w:rsid w:val="00CE08D3"/>
    <w:rsid w:val="00CE0B36"/>
    <w:rsid w:val="00CE0D95"/>
    <w:rsid w:val="00CE0E91"/>
    <w:rsid w:val="00CE0FF0"/>
    <w:rsid w:val="00CE108E"/>
    <w:rsid w:val="00CE12D5"/>
    <w:rsid w:val="00CE1393"/>
    <w:rsid w:val="00CE14BE"/>
    <w:rsid w:val="00CE1792"/>
    <w:rsid w:val="00CE1840"/>
    <w:rsid w:val="00CE1933"/>
    <w:rsid w:val="00CE1EC0"/>
    <w:rsid w:val="00CE2019"/>
    <w:rsid w:val="00CE2077"/>
    <w:rsid w:val="00CE20F9"/>
    <w:rsid w:val="00CE229F"/>
    <w:rsid w:val="00CE230F"/>
    <w:rsid w:val="00CE26D8"/>
    <w:rsid w:val="00CE2711"/>
    <w:rsid w:val="00CE2724"/>
    <w:rsid w:val="00CE284D"/>
    <w:rsid w:val="00CE2A45"/>
    <w:rsid w:val="00CE2AD0"/>
    <w:rsid w:val="00CE2FCB"/>
    <w:rsid w:val="00CE301E"/>
    <w:rsid w:val="00CE3054"/>
    <w:rsid w:val="00CE33EF"/>
    <w:rsid w:val="00CE3402"/>
    <w:rsid w:val="00CE3419"/>
    <w:rsid w:val="00CE3627"/>
    <w:rsid w:val="00CE3702"/>
    <w:rsid w:val="00CE376F"/>
    <w:rsid w:val="00CE3A0C"/>
    <w:rsid w:val="00CE3AA8"/>
    <w:rsid w:val="00CE3CF2"/>
    <w:rsid w:val="00CE3D35"/>
    <w:rsid w:val="00CE3F20"/>
    <w:rsid w:val="00CE3F29"/>
    <w:rsid w:val="00CE3F7D"/>
    <w:rsid w:val="00CE42FD"/>
    <w:rsid w:val="00CE4340"/>
    <w:rsid w:val="00CE447C"/>
    <w:rsid w:val="00CE44A6"/>
    <w:rsid w:val="00CE45A2"/>
    <w:rsid w:val="00CE478A"/>
    <w:rsid w:val="00CE48AB"/>
    <w:rsid w:val="00CE4D1C"/>
    <w:rsid w:val="00CE4D40"/>
    <w:rsid w:val="00CE4D6A"/>
    <w:rsid w:val="00CE4E61"/>
    <w:rsid w:val="00CE4F12"/>
    <w:rsid w:val="00CE4F47"/>
    <w:rsid w:val="00CE4FD2"/>
    <w:rsid w:val="00CE5187"/>
    <w:rsid w:val="00CE5326"/>
    <w:rsid w:val="00CE58BA"/>
    <w:rsid w:val="00CE58BD"/>
    <w:rsid w:val="00CE58CA"/>
    <w:rsid w:val="00CE59E0"/>
    <w:rsid w:val="00CE5D8C"/>
    <w:rsid w:val="00CE6020"/>
    <w:rsid w:val="00CE6178"/>
    <w:rsid w:val="00CE62DF"/>
    <w:rsid w:val="00CE64BC"/>
    <w:rsid w:val="00CE6563"/>
    <w:rsid w:val="00CE6616"/>
    <w:rsid w:val="00CE677A"/>
    <w:rsid w:val="00CE68B2"/>
    <w:rsid w:val="00CE6B13"/>
    <w:rsid w:val="00CE6B35"/>
    <w:rsid w:val="00CE6B5E"/>
    <w:rsid w:val="00CE6E1B"/>
    <w:rsid w:val="00CE708D"/>
    <w:rsid w:val="00CE70FD"/>
    <w:rsid w:val="00CE730D"/>
    <w:rsid w:val="00CE7395"/>
    <w:rsid w:val="00CE7466"/>
    <w:rsid w:val="00CE7925"/>
    <w:rsid w:val="00CE7B14"/>
    <w:rsid w:val="00CE7C06"/>
    <w:rsid w:val="00CE7CED"/>
    <w:rsid w:val="00CED590"/>
    <w:rsid w:val="00CF018B"/>
    <w:rsid w:val="00CF05FE"/>
    <w:rsid w:val="00CF07C4"/>
    <w:rsid w:val="00CF0814"/>
    <w:rsid w:val="00CF084B"/>
    <w:rsid w:val="00CF0859"/>
    <w:rsid w:val="00CF0B33"/>
    <w:rsid w:val="00CF0D40"/>
    <w:rsid w:val="00CF0E31"/>
    <w:rsid w:val="00CF0EE8"/>
    <w:rsid w:val="00CF1058"/>
    <w:rsid w:val="00CF12FD"/>
    <w:rsid w:val="00CF14B5"/>
    <w:rsid w:val="00CF170E"/>
    <w:rsid w:val="00CF1979"/>
    <w:rsid w:val="00CF1B5B"/>
    <w:rsid w:val="00CF1BC7"/>
    <w:rsid w:val="00CF1D7A"/>
    <w:rsid w:val="00CF1FBC"/>
    <w:rsid w:val="00CF2025"/>
    <w:rsid w:val="00CF203D"/>
    <w:rsid w:val="00CF2062"/>
    <w:rsid w:val="00CF227A"/>
    <w:rsid w:val="00CF23A0"/>
    <w:rsid w:val="00CF2417"/>
    <w:rsid w:val="00CF247E"/>
    <w:rsid w:val="00CF2581"/>
    <w:rsid w:val="00CF25B8"/>
    <w:rsid w:val="00CF2629"/>
    <w:rsid w:val="00CF28FF"/>
    <w:rsid w:val="00CF290D"/>
    <w:rsid w:val="00CF2992"/>
    <w:rsid w:val="00CF2AC3"/>
    <w:rsid w:val="00CF2AE8"/>
    <w:rsid w:val="00CF2D1A"/>
    <w:rsid w:val="00CF2DE1"/>
    <w:rsid w:val="00CF3015"/>
    <w:rsid w:val="00CF3103"/>
    <w:rsid w:val="00CF3171"/>
    <w:rsid w:val="00CF31E5"/>
    <w:rsid w:val="00CF33C9"/>
    <w:rsid w:val="00CF35A1"/>
    <w:rsid w:val="00CF3F6D"/>
    <w:rsid w:val="00CF406F"/>
    <w:rsid w:val="00CF4082"/>
    <w:rsid w:val="00CF4724"/>
    <w:rsid w:val="00CF48D4"/>
    <w:rsid w:val="00CF4C2C"/>
    <w:rsid w:val="00CF4E2F"/>
    <w:rsid w:val="00CF4F30"/>
    <w:rsid w:val="00CF50AE"/>
    <w:rsid w:val="00CF540B"/>
    <w:rsid w:val="00CF5464"/>
    <w:rsid w:val="00CF5D37"/>
    <w:rsid w:val="00CF5E3C"/>
    <w:rsid w:val="00CF5E88"/>
    <w:rsid w:val="00CF5F93"/>
    <w:rsid w:val="00CF6057"/>
    <w:rsid w:val="00CF6218"/>
    <w:rsid w:val="00CF6609"/>
    <w:rsid w:val="00CF6626"/>
    <w:rsid w:val="00CF6767"/>
    <w:rsid w:val="00CF6B46"/>
    <w:rsid w:val="00CF6B82"/>
    <w:rsid w:val="00CF6C9F"/>
    <w:rsid w:val="00CF6DBB"/>
    <w:rsid w:val="00CF6F5F"/>
    <w:rsid w:val="00CF70DF"/>
    <w:rsid w:val="00CF71C5"/>
    <w:rsid w:val="00CF72C3"/>
    <w:rsid w:val="00CF771C"/>
    <w:rsid w:val="00CF7914"/>
    <w:rsid w:val="00CF7A03"/>
    <w:rsid w:val="00CF7CB5"/>
    <w:rsid w:val="00CF7E4B"/>
    <w:rsid w:val="00CF7F49"/>
    <w:rsid w:val="00D001C9"/>
    <w:rsid w:val="00D002D8"/>
    <w:rsid w:val="00D00401"/>
    <w:rsid w:val="00D004BE"/>
    <w:rsid w:val="00D00778"/>
    <w:rsid w:val="00D00899"/>
    <w:rsid w:val="00D00A24"/>
    <w:rsid w:val="00D00B7C"/>
    <w:rsid w:val="00D00E51"/>
    <w:rsid w:val="00D00F2D"/>
    <w:rsid w:val="00D00FE0"/>
    <w:rsid w:val="00D0108E"/>
    <w:rsid w:val="00D010A7"/>
    <w:rsid w:val="00D01181"/>
    <w:rsid w:val="00D011F3"/>
    <w:rsid w:val="00D01462"/>
    <w:rsid w:val="00D014D1"/>
    <w:rsid w:val="00D015AA"/>
    <w:rsid w:val="00D01743"/>
    <w:rsid w:val="00D01797"/>
    <w:rsid w:val="00D01CCE"/>
    <w:rsid w:val="00D01CFE"/>
    <w:rsid w:val="00D02170"/>
    <w:rsid w:val="00D022E5"/>
    <w:rsid w:val="00D024EB"/>
    <w:rsid w:val="00D02692"/>
    <w:rsid w:val="00D027BB"/>
    <w:rsid w:val="00D027EE"/>
    <w:rsid w:val="00D02851"/>
    <w:rsid w:val="00D029B5"/>
    <w:rsid w:val="00D029C8"/>
    <w:rsid w:val="00D02A24"/>
    <w:rsid w:val="00D02A31"/>
    <w:rsid w:val="00D02A4D"/>
    <w:rsid w:val="00D02BCA"/>
    <w:rsid w:val="00D02CA0"/>
    <w:rsid w:val="00D02CA3"/>
    <w:rsid w:val="00D02D7E"/>
    <w:rsid w:val="00D02EF6"/>
    <w:rsid w:val="00D03001"/>
    <w:rsid w:val="00D0325A"/>
    <w:rsid w:val="00D03347"/>
    <w:rsid w:val="00D033D0"/>
    <w:rsid w:val="00D03725"/>
    <w:rsid w:val="00D03928"/>
    <w:rsid w:val="00D03A8E"/>
    <w:rsid w:val="00D03CA1"/>
    <w:rsid w:val="00D03CA3"/>
    <w:rsid w:val="00D03EF5"/>
    <w:rsid w:val="00D0405B"/>
    <w:rsid w:val="00D04148"/>
    <w:rsid w:val="00D0421E"/>
    <w:rsid w:val="00D045EB"/>
    <w:rsid w:val="00D0471A"/>
    <w:rsid w:val="00D04740"/>
    <w:rsid w:val="00D04B41"/>
    <w:rsid w:val="00D04C9A"/>
    <w:rsid w:val="00D04CDB"/>
    <w:rsid w:val="00D04D5B"/>
    <w:rsid w:val="00D04E5D"/>
    <w:rsid w:val="00D052F3"/>
    <w:rsid w:val="00D053A5"/>
    <w:rsid w:val="00D0547E"/>
    <w:rsid w:val="00D0551F"/>
    <w:rsid w:val="00D056A6"/>
    <w:rsid w:val="00D0570A"/>
    <w:rsid w:val="00D057C5"/>
    <w:rsid w:val="00D05858"/>
    <w:rsid w:val="00D05978"/>
    <w:rsid w:val="00D05A95"/>
    <w:rsid w:val="00D05CCC"/>
    <w:rsid w:val="00D05DC4"/>
    <w:rsid w:val="00D05DE1"/>
    <w:rsid w:val="00D05E02"/>
    <w:rsid w:val="00D05E07"/>
    <w:rsid w:val="00D05ECC"/>
    <w:rsid w:val="00D05ED4"/>
    <w:rsid w:val="00D05ED8"/>
    <w:rsid w:val="00D05FE1"/>
    <w:rsid w:val="00D05FF6"/>
    <w:rsid w:val="00D06005"/>
    <w:rsid w:val="00D0608A"/>
    <w:rsid w:val="00D06229"/>
    <w:rsid w:val="00D0642D"/>
    <w:rsid w:val="00D06446"/>
    <w:rsid w:val="00D06494"/>
    <w:rsid w:val="00D06581"/>
    <w:rsid w:val="00D06771"/>
    <w:rsid w:val="00D06791"/>
    <w:rsid w:val="00D06C9F"/>
    <w:rsid w:val="00D06DBB"/>
    <w:rsid w:val="00D06E5E"/>
    <w:rsid w:val="00D06FD3"/>
    <w:rsid w:val="00D0722E"/>
    <w:rsid w:val="00D0725D"/>
    <w:rsid w:val="00D072EE"/>
    <w:rsid w:val="00D07317"/>
    <w:rsid w:val="00D074B5"/>
    <w:rsid w:val="00D0783C"/>
    <w:rsid w:val="00D07A26"/>
    <w:rsid w:val="00D07BF5"/>
    <w:rsid w:val="00D07CA3"/>
    <w:rsid w:val="00D07D18"/>
    <w:rsid w:val="00D07D1B"/>
    <w:rsid w:val="00D07D61"/>
    <w:rsid w:val="00D07D63"/>
    <w:rsid w:val="00D07ED5"/>
    <w:rsid w:val="00D1004C"/>
    <w:rsid w:val="00D10098"/>
    <w:rsid w:val="00D1016F"/>
    <w:rsid w:val="00D101F8"/>
    <w:rsid w:val="00D1025C"/>
    <w:rsid w:val="00D102C0"/>
    <w:rsid w:val="00D10571"/>
    <w:rsid w:val="00D105EF"/>
    <w:rsid w:val="00D10603"/>
    <w:rsid w:val="00D10609"/>
    <w:rsid w:val="00D10C27"/>
    <w:rsid w:val="00D10F0C"/>
    <w:rsid w:val="00D10F31"/>
    <w:rsid w:val="00D1116B"/>
    <w:rsid w:val="00D11264"/>
    <w:rsid w:val="00D11316"/>
    <w:rsid w:val="00D115BC"/>
    <w:rsid w:val="00D116B3"/>
    <w:rsid w:val="00D118C0"/>
    <w:rsid w:val="00D11AD5"/>
    <w:rsid w:val="00D11BAC"/>
    <w:rsid w:val="00D11BC1"/>
    <w:rsid w:val="00D11C2F"/>
    <w:rsid w:val="00D120FE"/>
    <w:rsid w:val="00D1232F"/>
    <w:rsid w:val="00D123B9"/>
    <w:rsid w:val="00D1244B"/>
    <w:rsid w:val="00D127FB"/>
    <w:rsid w:val="00D128BA"/>
    <w:rsid w:val="00D12E54"/>
    <w:rsid w:val="00D12F37"/>
    <w:rsid w:val="00D12FCA"/>
    <w:rsid w:val="00D13018"/>
    <w:rsid w:val="00D1306D"/>
    <w:rsid w:val="00D1349F"/>
    <w:rsid w:val="00D135BE"/>
    <w:rsid w:val="00D136FE"/>
    <w:rsid w:val="00D13895"/>
    <w:rsid w:val="00D13A45"/>
    <w:rsid w:val="00D13DC3"/>
    <w:rsid w:val="00D13E3B"/>
    <w:rsid w:val="00D14011"/>
    <w:rsid w:val="00D14173"/>
    <w:rsid w:val="00D14226"/>
    <w:rsid w:val="00D14271"/>
    <w:rsid w:val="00D1431B"/>
    <w:rsid w:val="00D1441D"/>
    <w:rsid w:val="00D144A7"/>
    <w:rsid w:val="00D14569"/>
    <w:rsid w:val="00D14741"/>
    <w:rsid w:val="00D14A76"/>
    <w:rsid w:val="00D14BE1"/>
    <w:rsid w:val="00D14C63"/>
    <w:rsid w:val="00D14E17"/>
    <w:rsid w:val="00D14EDF"/>
    <w:rsid w:val="00D15209"/>
    <w:rsid w:val="00D15841"/>
    <w:rsid w:val="00D15931"/>
    <w:rsid w:val="00D15934"/>
    <w:rsid w:val="00D159CF"/>
    <w:rsid w:val="00D15A37"/>
    <w:rsid w:val="00D15A43"/>
    <w:rsid w:val="00D15B61"/>
    <w:rsid w:val="00D15C75"/>
    <w:rsid w:val="00D16178"/>
    <w:rsid w:val="00D1636D"/>
    <w:rsid w:val="00D163AE"/>
    <w:rsid w:val="00D164DB"/>
    <w:rsid w:val="00D16565"/>
    <w:rsid w:val="00D16588"/>
    <w:rsid w:val="00D16A59"/>
    <w:rsid w:val="00D16CBB"/>
    <w:rsid w:val="00D16DEE"/>
    <w:rsid w:val="00D1734A"/>
    <w:rsid w:val="00D17376"/>
    <w:rsid w:val="00D17398"/>
    <w:rsid w:val="00D17435"/>
    <w:rsid w:val="00D17652"/>
    <w:rsid w:val="00D17897"/>
    <w:rsid w:val="00D178E0"/>
    <w:rsid w:val="00D17C66"/>
    <w:rsid w:val="00D17DEA"/>
    <w:rsid w:val="00D17E58"/>
    <w:rsid w:val="00D20069"/>
    <w:rsid w:val="00D20147"/>
    <w:rsid w:val="00D202BE"/>
    <w:rsid w:val="00D2030B"/>
    <w:rsid w:val="00D20530"/>
    <w:rsid w:val="00D20B61"/>
    <w:rsid w:val="00D20B6A"/>
    <w:rsid w:val="00D20BFC"/>
    <w:rsid w:val="00D20D0A"/>
    <w:rsid w:val="00D20EC6"/>
    <w:rsid w:val="00D2106F"/>
    <w:rsid w:val="00D2109E"/>
    <w:rsid w:val="00D210B1"/>
    <w:rsid w:val="00D210C5"/>
    <w:rsid w:val="00D2125F"/>
    <w:rsid w:val="00D21297"/>
    <w:rsid w:val="00D21365"/>
    <w:rsid w:val="00D21747"/>
    <w:rsid w:val="00D21A86"/>
    <w:rsid w:val="00D21B89"/>
    <w:rsid w:val="00D21BCE"/>
    <w:rsid w:val="00D21EB0"/>
    <w:rsid w:val="00D22114"/>
    <w:rsid w:val="00D221C9"/>
    <w:rsid w:val="00D22445"/>
    <w:rsid w:val="00D22525"/>
    <w:rsid w:val="00D225C2"/>
    <w:rsid w:val="00D22828"/>
    <w:rsid w:val="00D2287C"/>
    <w:rsid w:val="00D2289C"/>
    <w:rsid w:val="00D22A0F"/>
    <w:rsid w:val="00D22E8E"/>
    <w:rsid w:val="00D22EF0"/>
    <w:rsid w:val="00D22F6B"/>
    <w:rsid w:val="00D2300F"/>
    <w:rsid w:val="00D230CA"/>
    <w:rsid w:val="00D232AE"/>
    <w:rsid w:val="00D23377"/>
    <w:rsid w:val="00D23387"/>
    <w:rsid w:val="00D23541"/>
    <w:rsid w:val="00D235A2"/>
    <w:rsid w:val="00D23663"/>
    <w:rsid w:val="00D2374C"/>
    <w:rsid w:val="00D23798"/>
    <w:rsid w:val="00D23B20"/>
    <w:rsid w:val="00D23C08"/>
    <w:rsid w:val="00D24074"/>
    <w:rsid w:val="00D2421B"/>
    <w:rsid w:val="00D2452E"/>
    <w:rsid w:val="00D2458A"/>
    <w:rsid w:val="00D24764"/>
    <w:rsid w:val="00D24B41"/>
    <w:rsid w:val="00D24B70"/>
    <w:rsid w:val="00D24FEF"/>
    <w:rsid w:val="00D250DB"/>
    <w:rsid w:val="00D252FA"/>
    <w:rsid w:val="00D25484"/>
    <w:rsid w:val="00D254E9"/>
    <w:rsid w:val="00D25517"/>
    <w:rsid w:val="00D25520"/>
    <w:rsid w:val="00D256C2"/>
    <w:rsid w:val="00D256CD"/>
    <w:rsid w:val="00D2575C"/>
    <w:rsid w:val="00D2576E"/>
    <w:rsid w:val="00D25E28"/>
    <w:rsid w:val="00D25F22"/>
    <w:rsid w:val="00D25FCC"/>
    <w:rsid w:val="00D26510"/>
    <w:rsid w:val="00D265C8"/>
    <w:rsid w:val="00D26789"/>
    <w:rsid w:val="00D2699A"/>
    <w:rsid w:val="00D26AA2"/>
    <w:rsid w:val="00D26CB6"/>
    <w:rsid w:val="00D26DB9"/>
    <w:rsid w:val="00D26E25"/>
    <w:rsid w:val="00D26EDD"/>
    <w:rsid w:val="00D26F10"/>
    <w:rsid w:val="00D270FD"/>
    <w:rsid w:val="00D2712D"/>
    <w:rsid w:val="00D271EB"/>
    <w:rsid w:val="00D27319"/>
    <w:rsid w:val="00D27449"/>
    <w:rsid w:val="00D27664"/>
    <w:rsid w:val="00D27BD1"/>
    <w:rsid w:val="00D27D04"/>
    <w:rsid w:val="00D27DF7"/>
    <w:rsid w:val="00D27FF2"/>
    <w:rsid w:val="00D3025F"/>
    <w:rsid w:val="00D30284"/>
    <w:rsid w:val="00D302CF"/>
    <w:rsid w:val="00D3050A"/>
    <w:rsid w:val="00D3062F"/>
    <w:rsid w:val="00D306C4"/>
    <w:rsid w:val="00D306C6"/>
    <w:rsid w:val="00D306EE"/>
    <w:rsid w:val="00D30798"/>
    <w:rsid w:val="00D30947"/>
    <w:rsid w:val="00D309BA"/>
    <w:rsid w:val="00D30A74"/>
    <w:rsid w:val="00D30C4D"/>
    <w:rsid w:val="00D30C60"/>
    <w:rsid w:val="00D30E93"/>
    <w:rsid w:val="00D30F7E"/>
    <w:rsid w:val="00D31094"/>
    <w:rsid w:val="00D31307"/>
    <w:rsid w:val="00D313B1"/>
    <w:rsid w:val="00D313C5"/>
    <w:rsid w:val="00D3151E"/>
    <w:rsid w:val="00D31537"/>
    <w:rsid w:val="00D3160A"/>
    <w:rsid w:val="00D31796"/>
    <w:rsid w:val="00D3180B"/>
    <w:rsid w:val="00D3183C"/>
    <w:rsid w:val="00D31AB7"/>
    <w:rsid w:val="00D31C1C"/>
    <w:rsid w:val="00D31CF0"/>
    <w:rsid w:val="00D31E3B"/>
    <w:rsid w:val="00D320E5"/>
    <w:rsid w:val="00D3226C"/>
    <w:rsid w:val="00D326BD"/>
    <w:rsid w:val="00D327FC"/>
    <w:rsid w:val="00D328D1"/>
    <w:rsid w:val="00D32B8A"/>
    <w:rsid w:val="00D32B8C"/>
    <w:rsid w:val="00D32BAB"/>
    <w:rsid w:val="00D32C48"/>
    <w:rsid w:val="00D32D46"/>
    <w:rsid w:val="00D33075"/>
    <w:rsid w:val="00D3333A"/>
    <w:rsid w:val="00D33612"/>
    <w:rsid w:val="00D33746"/>
    <w:rsid w:val="00D337A6"/>
    <w:rsid w:val="00D33869"/>
    <w:rsid w:val="00D3387E"/>
    <w:rsid w:val="00D33A95"/>
    <w:rsid w:val="00D33BE1"/>
    <w:rsid w:val="00D33C3E"/>
    <w:rsid w:val="00D33CEB"/>
    <w:rsid w:val="00D33E1D"/>
    <w:rsid w:val="00D3401A"/>
    <w:rsid w:val="00D341EF"/>
    <w:rsid w:val="00D34379"/>
    <w:rsid w:val="00D344AB"/>
    <w:rsid w:val="00D344E1"/>
    <w:rsid w:val="00D345B8"/>
    <w:rsid w:val="00D345F6"/>
    <w:rsid w:val="00D348B7"/>
    <w:rsid w:val="00D34C91"/>
    <w:rsid w:val="00D34F98"/>
    <w:rsid w:val="00D35007"/>
    <w:rsid w:val="00D351C1"/>
    <w:rsid w:val="00D354B6"/>
    <w:rsid w:val="00D35648"/>
    <w:rsid w:val="00D356DF"/>
    <w:rsid w:val="00D35731"/>
    <w:rsid w:val="00D35737"/>
    <w:rsid w:val="00D357CD"/>
    <w:rsid w:val="00D35969"/>
    <w:rsid w:val="00D35AF4"/>
    <w:rsid w:val="00D35B49"/>
    <w:rsid w:val="00D35D58"/>
    <w:rsid w:val="00D35DC2"/>
    <w:rsid w:val="00D35EDE"/>
    <w:rsid w:val="00D35F08"/>
    <w:rsid w:val="00D35F3D"/>
    <w:rsid w:val="00D3643A"/>
    <w:rsid w:val="00D36682"/>
    <w:rsid w:val="00D36742"/>
    <w:rsid w:val="00D36916"/>
    <w:rsid w:val="00D3692B"/>
    <w:rsid w:val="00D369D0"/>
    <w:rsid w:val="00D36E56"/>
    <w:rsid w:val="00D36EF0"/>
    <w:rsid w:val="00D37126"/>
    <w:rsid w:val="00D3715F"/>
    <w:rsid w:val="00D372F3"/>
    <w:rsid w:val="00D3736D"/>
    <w:rsid w:val="00D37396"/>
    <w:rsid w:val="00D37652"/>
    <w:rsid w:val="00D37877"/>
    <w:rsid w:val="00D37AD4"/>
    <w:rsid w:val="00D37AF4"/>
    <w:rsid w:val="00D37E77"/>
    <w:rsid w:val="00D37EC6"/>
    <w:rsid w:val="00D40061"/>
    <w:rsid w:val="00D4012E"/>
    <w:rsid w:val="00D401B0"/>
    <w:rsid w:val="00D4039C"/>
    <w:rsid w:val="00D403EC"/>
    <w:rsid w:val="00D405A2"/>
    <w:rsid w:val="00D40653"/>
    <w:rsid w:val="00D407E2"/>
    <w:rsid w:val="00D407F5"/>
    <w:rsid w:val="00D408E8"/>
    <w:rsid w:val="00D40BF0"/>
    <w:rsid w:val="00D40EBE"/>
    <w:rsid w:val="00D40F17"/>
    <w:rsid w:val="00D40FEF"/>
    <w:rsid w:val="00D412FE"/>
    <w:rsid w:val="00D4139A"/>
    <w:rsid w:val="00D41654"/>
    <w:rsid w:val="00D419CD"/>
    <w:rsid w:val="00D41D07"/>
    <w:rsid w:val="00D41DA9"/>
    <w:rsid w:val="00D41FCE"/>
    <w:rsid w:val="00D4214C"/>
    <w:rsid w:val="00D421AF"/>
    <w:rsid w:val="00D421E4"/>
    <w:rsid w:val="00D422D6"/>
    <w:rsid w:val="00D423C1"/>
    <w:rsid w:val="00D42402"/>
    <w:rsid w:val="00D426F5"/>
    <w:rsid w:val="00D42931"/>
    <w:rsid w:val="00D42A4B"/>
    <w:rsid w:val="00D42ACD"/>
    <w:rsid w:val="00D42F0A"/>
    <w:rsid w:val="00D42FE5"/>
    <w:rsid w:val="00D430B0"/>
    <w:rsid w:val="00D430D3"/>
    <w:rsid w:val="00D43123"/>
    <w:rsid w:val="00D4315A"/>
    <w:rsid w:val="00D43624"/>
    <w:rsid w:val="00D4373A"/>
    <w:rsid w:val="00D437D9"/>
    <w:rsid w:val="00D43827"/>
    <w:rsid w:val="00D43CAC"/>
    <w:rsid w:val="00D442FD"/>
    <w:rsid w:val="00D44314"/>
    <w:rsid w:val="00D4440A"/>
    <w:rsid w:val="00D4446F"/>
    <w:rsid w:val="00D446DB"/>
    <w:rsid w:val="00D44A89"/>
    <w:rsid w:val="00D44BA6"/>
    <w:rsid w:val="00D44E5E"/>
    <w:rsid w:val="00D45127"/>
    <w:rsid w:val="00D45143"/>
    <w:rsid w:val="00D45163"/>
    <w:rsid w:val="00D45193"/>
    <w:rsid w:val="00D4550D"/>
    <w:rsid w:val="00D45539"/>
    <w:rsid w:val="00D45588"/>
    <w:rsid w:val="00D4559C"/>
    <w:rsid w:val="00D455E7"/>
    <w:rsid w:val="00D45672"/>
    <w:rsid w:val="00D457C1"/>
    <w:rsid w:val="00D457CC"/>
    <w:rsid w:val="00D45860"/>
    <w:rsid w:val="00D459F8"/>
    <w:rsid w:val="00D45A76"/>
    <w:rsid w:val="00D45AAF"/>
    <w:rsid w:val="00D45B27"/>
    <w:rsid w:val="00D45BAD"/>
    <w:rsid w:val="00D45BB3"/>
    <w:rsid w:val="00D45DAD"/>
    <w:rsid w:val="00D45E13"/>
    <w:rsid w:val="00D46069"/>
    <w:rsid w:val="00D46290"/>
    <w:rsid w:val="00D462B3"/>
    <w:rsid w:val="00D4637E"/>
    <w:rsid w:val="00D464D0"/>
    <w:rsid w:val="00D46733"/>
    <w:rsid w:val="00D468C8"/>
    <w:rsid w:val="00D46943"/>
    <w:rsid w:val="00D4700D"/>
    <w:rsid w:val="00D4712D"/>
    <w:rsid w:val="00D4745E"/>
    <w:rsid w:val="00D474B9"/>
    <w:rsid w:val="00D4788F"/>
    <w:rsid w:val="00D478B7"/>
    <w:rsid w:val="00D47A97"/>
    <w:rsid w:val="00D47D6A"/>
    <w:rsid w:val="00D47EBB"/>
    <w:rsid w:val="00D500F2"/>
    <w:rsid w:val="00D50423"/>
    <w:rsid w:val="00D5053A"/>
    <w:rsid w:val="00D5064F"/>
    <w:rsid w:val="00D506FA"/>
    <w:rsid w:val="00D507C6"/>
    <w:rsid w:val="00D509E5"/>
    <w:rsid w:val="00D50AA1"/>
    <w:rsid w:val="00D50C7D"/>
    <w:rsid w:val="00D50CBF"/>
    <w:rsid w:val="00D50FC9"/>
    <w:rsid w:val="00D50FEA"/>
    <w:rsid w:val="00D510B8"/>
    <w:rsid w:val="00D511D4"/>
    <w:rsid w:val="00D51264"/>
    <w:rsid w:val="00D5130D"/>
    <w:rsid w:val="00D513B4"/>
    <w:rsid w:val="00D51474"/>
    <w:rsid w:val="00D5164E"/>
    <w:rsid w:val="00D51785"/>
    <w:rsid w:val="00D517B9"/>
    <w:rsid w:val="00D517FE"/>
    <w:rsid w:val="00D51CFE"/>
    <w:rsid w:val="00D51CFF"/>
    <w:rsid w:val="00D51E13"/>
    <w:rsid w:val="00D51ED7"/>
    <w:rsid w:val="00D51FE3"/>
    <w:rsid w:val="00D5200B"/>
    <w:rsid w:val="00D520A3"/>
    <w:rsid w:val="00D52198"/>
    <w:rsid w:val="00D52394"/>
    <w:rsid w:val="00D52397"/>
    <w:rsid w:val="00D525CC"/>
    <w:rsid w:val="00D52958"/>
    <w:rsid w:val="00D52BEA"/>
    <w:rsid w:val="00D52C6E"/>
    <w:rsid w:val="00D52C7B"/>
    <w:rsid w:val="00D52CA6"/>
    <w:rsid w:val="00D52D75"/>
    <w:rsid w:val="00D52DEA"/>
    <w:rsid w:val="00D52E4F"/>
    <w:rsid w:val="00D52FBA"/>
    <w:rsid w:val="00D53016"/>
    <w:rsid w:val="00D530FA"/>
    <w:rsid w:val="00D53295"/>
    <w:rsid w:val="00D5329E"/>
    <w:rsid w:val="00D5332A"/>
    <w:rsid w:val="00D53355"/>
    <w:rsid w:val="00D53542"/>
    <w:rsid w:val="00D53644"/>
    <w:rsid w:val="00D5392D"/>
    <w:rsid w:val="00D53A1E"/>
    <w:rsid w:val="00D53FA0"/>
    <w:rsid w:val="00D540E1"/>
    <w:rsid w:val="00D5411C"/>
    <w:rsid w:val="00D544DA"/>
    <w:rsid w:val="00D54504"/>
    <w:rsid w:val="00D5461E"/>
    <w:rsid w:val="00D546CA"/>
    <w:rsid w:val="00D54794"/>
    <w:rsid w:val="00D5480E"/>
    <w:rsid w:val="00D54875"/>
    <w:rsid w:val="00D549BC"/>
    <w:rsid w:val="00D54A10"/>
    <w:rsid w:val="00D54A2B"/>
    <w:rsid w:val="00D54A64"/>
    <w:rsid w:val="00D54B7D"/>
    <w:rsid w:val="00D54CCA"/>
    <w:rsid w:val="00D54CE6"/>
    <w:rsid w:val="00D54CFD"/>
    <w:rsid w:val="00D54E9F"/>
    <w:rsid w:val="00D54FF0"/>
    <w:rsid w:val="00D5503E"/>
    <w:rsid w:val="00D550DB"/>
    <w:rsid w:val="00D555D6"/>
    <w:rsid w:val="00D5564E"/>
    <w:rsid w:val="00D55775"/>
    <w:rsid w:val="00D55903"/>
    <w:rsid w:val="00D5592F"/>
    <w:rsid w:val="00D55959"/>
    <w:rsid w:val="00D55B8B"/>
    <w:rsid w:val="00D55CBD"/>
    <w:rsid w:val="00D55EA1"/>
    <w:rsid w:val="00D55EFF"/>
    <w:rsid w:val="00D56030"/>
    <w:rsid w:val="00D5615F"/>
    <w:rsid w:val="00D56213"/>
    <w:rsid w:val="00D563CD"/>
    <w:rsid w:val="00D5653D"/>
    <w:rsid w:val="00D5678B"/>
    <w:rsid w:val="00D567E1"/>
    <w:rsid w:val="00D569C9"/>
    <w:rsid w:val="00D56AA4"/>
    <w:rsid w:val="00D56C01"/>
    <w:rsid w:val="00D56C6C"/>
    <w:rsid w:val="00D56F33"/>
    <w:rsid w:val="00D56F57"/>
    <w:rsid w:val="00D570F6"/>
    <w:rsid w:val="00D571FE"/>
    <w:rsid w:val="00D572BC"/>
    <w:rsid w:val="00D5743A"/>
    <w:rsid w:val="00D5751D"/>
    <w:rsid w:val="00D575C4"/>
    <w:rsid w:val="00D5774B"/>
    <w:rsid w:val="00D57D9C"/>
    <w:rsid w:val="00D5B4C9"/>
    <w:rsid w:val="00D600C6"/>
    <w:rsid w:val="00D60278"/>
    <w:rsid w:val="00D60439"/>
    <w:rsid w:val="00D604A7"/>
    <w:rsid w:val="00D606DF"/>
    <w:rsid w:val="00D607D0"/>
    <w:rsid w:val="00D608AE"/>
    <w:rsid w:val="00D608C5"/>
    <w:rsid w:val="00D60BED"/>
    <w:rsid w:val="00D60C1E"/>
    <w:rsid w:val="00D60D26"/>
    <w:rsid w:val="00D60E58"/>
    <w:rsid w:val="00D60F09"/>
    <w:rsid w:val="00D60F51"/>
    <w:rsid w:val="00D61094"/>
    <w:rsid w:val="00D6132F"/>
    <w:rsid w:val="00D6180E"/>
    <w:rsid w:val="00D6191E"/>
    <w:rsid w:val="00D619CC"/>
    <w:rsid w:val="00D61A8D"/>
    <w:rsid w:val="00D61B41"/>
    <w:rsid w:val="00D62041"/>
    <w:rsid w:val="00D62056"/>
    <w:rsid w:val="00D6234B"/>
    <w:rsid w:val="00D62382"/>
    <w:rsid w:val="00D6241C"/>
    <w:rsid w:val="00D62783"/>
    <w:rsid w:val="00D62B11"/>
    <w:rsid w:val="00D62E61"/>
    <w:rsid w:val="00D63062"/>
    <w:rsid w:val="00D63155"/>
    <w:rsid w:val="00D6340F"/>
    <w:rsid w:val="00D63736"/>
    <w:rsid w:val="00D63963"/>
    <w:rsid w:val="00D63C67"/>
    <w:rsid w:val="00D63D91"/>
    <w:rsid w:val="00D63E52"/>
    <w:rsid w:val="00D63E9C"/>
    <w:rsid w:val="00D6419C"/>
    <w:rsid w:val="00D643B0"/>
    <w:rsid w:val="00D64417"/>
    <w:rsid w:val="00D64500"/>
    <w:rsid w:val="00D64690"/>
    <w:rsid w:val="00D64D3F"/>
    <w:rsid w:val="00D64D5F"/>
    <w:rsid w:val="00D64D8E"/>
    <w:rsid w:val="00D64DB3"/>
    <w:rsid w:val="00D64E22"/>
    <w:rsid w:val="00D64F3A"/>
    <w:rsid w:val="00D64FD9"/>
    <w:rsid w:val="00D650BE"/>
    <w:rsid w:val="00D6534B"/>
    <w:rsid w:val="00D65438"/>
    <w:rsid w:val="00D656A9"/>
    <w:rsid w:val="00D657C7"/>
    <w:rsid w:val="00D657E7"/>
    <w:rsid w:val="00D658B4"/>
    <w:rsid w:val="00D659A5"/>
    <w:rsid w:val="00D65B36"/>
    <w:rsid w:val="00D65C8A"/>
    <w:rsid w:val="00D65F07"/>
    <w:rsid w:val="00D660CE"/>
    <w:rsid w:val="00D66479"/>
    <w:rsid w:val="00D66933"/>
    <w:rsid w:val="00D66D36"/>
    <w:rsid w:val="00D66EF2"/>
    <w:rsid w:val="00D66F3A"/>
    <w:rsid w:val="00D67013"/>
    <w:rsid w:val="00D67198"/>
    <w:rsid w:val="00D671E5"/>
    <w:rsid w:val="00D67217"/>
    <w:rsid w:val="00D673F8"/>
    <w:rsid w:val="00D67649"/>
    <w:rsid w:val="00D67779"/>
    <w:rsid w:val="00D6790B"/>
    <w:rsid w:val="00D6794D"/>
    <w:rsid w:val="00D67A53"/>
    <w:rsid w:val="00D67AD2"/>
    <w:rsid w:val="00D67D80"/>
    <w:rsid w:val="00D67FD3"/>
    <w:rsid w:val="00D701E9"/>
    <w:rsid w:val="00D702BE"/>
    <w:rsid w:val="00D704DD"/>
    <w:rsid w:val="00D70585"/>
    <w:rsid w:val="00D70671"/>
    <w:rsid w:val="00D70768"/>
    <w:rsid w:val="00D707CD"/>
    <w:rsid w:val="00D70878"/>
    <w:rsid w:val="00D70915"/>
    <w:rsid w:val="00D70BE1"/>
    <w:rsid w:val="00D70C26"/>
    <w:rsid w:val="00D712B3"/>
    <w:rsid w:val="00D71349"/>
    <w:rsid w:val="00D7134E"/>
    <w:rsid w:val="00D7148A"/>
    <w:rsid w:val="00D716FE"/>
    <w:rsid w:val="00D718E4"/>
    <w:rsid w:val="00D71C36"/>
    <w:rsid w:val="00D71C59"/>
    <w:rsid w:val="00D71C5A"/>
    <w:rsid w:val="00D71D8E"/>
    <w:rsid w:val="00D71E40"/>
    <w:rsid w:val="00D71F56"/>
    <w:rsid w:val="00D71FE0"/>
    <w:rsid w:val="00D71FE4"/>
    <w:rsid w:val="00D72098"/>
    <w:rsid w:val="00D720AB"/>
    <w:rsid w:val="00D7211B"/>
    <w:rsid w:val="00D726CF"/>
    <w:rsid w:val="00D72748"/>
    <w:rsid w:val="00D72896"/>
    <w:rsid w:val="00D729B5"/>
    <w:rsid w:val="00D72A33"/>
    <w:rsid w:val="00D72A36"/>
    <w:rsid w:val="00D72B16"/>
    <w:rsid w:val="00D72B2F"/>
    <w:rsid w:val="00D72B86"/>
    <w:rsid w:val="00D72C6A"/>
    <w:rsid w:val="00D72DB6"/>
    <w:rsid w:val="00D72DBD"/>
    <w:rsid w:val="00D72E27"/>
    <w:rsid w:val="00D72EAE"/>
    <w:rsid w:val="00D7309A"/>
    <w:rsid w:val="00D73114"/>
    <w:rsid w:val="00D73146"/>
    <w:rsid w:val="00D732CA"/>
    <w:rsid w:val="00D732E3"/>
    <w:rsid w:val="00D732FB"/>
    <w:rsid w:val="00D7350C"/>
    <w:rsid w:val="00D735FF"/>
    <w:rsid w:val="00D737BA"/>
    <w:rsid w:val="00D738DC"/>
    <w:rsid w:val="00D73C07"/>
    <w:rsid w:val="00D73C31"/>
    <w:rsid w:val="00D73CBA"/>
    <w:rsid w:val="00D73F73"/>
    <w:rsid w:val="00D740FB"/>
    <w:rsid w:val="00D740FC"/>
    <w:rsid w:val="00D741A5"/>
    <w:rsid w:val="00D744B8"/>
    <w:rsid w:val="00D746BE"/>
    <w:rsid w:val="00D74A0C"/>
    <w:rsid w:val="00D74AD7"/>
    <w:rsid w:val="00D74BC5"/>
    <w:rsid w:val="00D74C0D"/>
    <w:rsid w:val="00D74C9A"/>
    <w:rsid w:val="00D74CC9"/>
    <w:rsid w:val="00D74F44"/>
    <w:rsid w:val="00D74F90"/>
    <w:rsid w:val="00D75183"/>
    <w:rsid w:val="00D751BE"/>
    <w:rsid w:val="00D75211"/>
    <w:rsid w:val="00D7573F"/>
    <w:rsid w:val="00D757C1"/>
    <w:rsid w:val="00D757D2"/>
    <w:rsid w:val="00D75836"/>
    <w:rsid w:val="00D758BB"/>
    <w:rsid w:val="00D75955"/>
    <w:rsid w:val="00D759CA"/>
    <w:rsid w:val="00D75E73"/>
    <w:rsid w:val="00D760EF"/>
    <w:rsid w:val="00D762E8"/>
    <w:rsid w:val="00D763B5"/>
    <w:rsid w:val="00D76622"/>
    <w:rsid w:val="00D76718"/>
    <w:rsid w:val="00D76767"/>
    <w:rsid w:val="00D7680C"/>
    <w:rsid w:val="00D76B3B"/>
    <w:rsid w:val="00D76BB7"/>
    <w:rsid w:val="00D76DEE"/>
    <w:rsid w:val="00D770C9"/>
    <w:rsid w:val="00D77209"/>
    <w:rsid w:val="00D77399"/>
    <w:rsid w:val="00D774B6"/>
    <w:rsid w:val="00D775ED"/>
    <w:rsid w:val="00D77777"/>
    <w:rsid w:val="00D77B06"/>
    <w:rsid w:val="00D77EEE"/>
    <w:rsid w:val="00D77F3E"/>
    <w:rsid w:val="00D77F91"/>
    <w:rsid w:val="00D77FAC"/>
    <w:rsid w:val="00D80030"/>
    <w:rsid w:val="00D8005E"/>
    <w:rsid w:val="00D80105"/>
    <w:rsid w:val="00D803C9"/>
    <w:rsid w:val="00D80527"/>
    <w:rsid w:val="00D8063D"/>
    <w:rsid w:val="00D808F0"/>
    <w:rsid w:val="00D80902"/>
    <w:rsid w:val="00D80965"/>
    <w:rsid w:val="00D80E6D"/>
    <w:rsid w:val="00D80FBF"/>
    <w:rsid w:val="00D81194"/>
    <w:rsid w:val="00D812BF"/>
    <w:rsid w:val="00D8139C"/>
    <w:rsid w:val="00D8139E"/>
    <w:rsid w:val="00D8150B"/>
    <w:rsid w:val="00D81515"/>
    <w:rsid w:val="00D815ED"/>
    <w:rsid w:val="00D815F6"/>
    <w:rsid w:val="00D81604"/>
    <w:rsid w:val="00D8170B"/>
    <w:rsid w:val="00D81DB9"/>
    <w:rsid w:val="00D81E3E"/>
    <w:rsid w:val="00D81EA1"/>
    <w:rsid w:val="00D81EB5"/>
    <w:rsid w:val="00D82030"/>
    <w:rsid w:val="00D8212D"/>
    <w:rsid w:val="00D822A9"/>
    <w:rsid w:val="00D82405"/>
    <w:rsid w:val="00D824DC"/>
    <w:rsid w:val="00D827CF"/>
    <w:rsid w:val="00D827E3"/>
    <w:rsid w:val="00D828A6"/>
    <w:rsid w:val="00D8293F"/>
    <w:rsid w:val="00D82AA2"/>
    <w:rsid w:val="00D83110"/>
    <w:rsid w:val="00D8311C"/>
    <w:rsid w:val="00D832FD"/>
    <w:rsid w:val="00D8346A"/>
    <w:rsid w:val="00D83530"/>
    <w:rsid w:val="00D836B5"/>
    <w:rsid w:val="00D83A62"/>
    <w:rsid w:val="00D83CA9"/>
    <w:rsid w:val="00D83FE8"/>
    <w:rsid w:val="00D84293"/>
    <w:rsid w:val="00D8431E"/>
    <w:rsid w:val="00D84342"/>
    <w:rsid w:val="00D84386"/>
    <w:rsid w:val="00D843E4"/>
    <w:rsid w:val="00D847CD"/>
    <w:rsid w:val="00D847F6"/>
    <w:rsid w:val="00D848EF"/>
    <w:rsid w:val="00D84912"/>
    <w:rsid w:val="00D8496D"/>
    <w:rsid w:val="00D8498E"/>
    <w:rsid w:val="00D84A4E"/>
    <w:rsid w:val="00D84A63"/>
    <w:rsid w:val="00D84B5F"/>
    <w:rsid w:val="00D84C82"/>
    <w:rsid w:val="00D84CF0"/>
    <w:rsid w:val="00D84E41"/>
    <w:rsid w:val="00D84ECE"/>
    <w:rsid w:val="00D84F5D"/>
    <w:rsid w:val="00D84FC6"/>
    <w:rsid w:val="00D85196"/>
    <w:rsid w:val="00D851D6"/>
    <w:rsid w:val="00D85227"/>
    <w:rsid w:val="00D855BA"/>
    <w:rsid w:val="00D85661"/>
    <w:rsid w:val="00D856E9"/>
    <w:rsid w:val="00D85739"/>
    <w:rsid w:val="00D858F8"/>
    <w:rsid w:val="00D85AB7"/>
    <w:rsid w:val="00D85AE2"/>
    <w:rsid w:val="00D85B2A"/>
    <w:rsid w:val="00D85BF3"/>
    <w:rsid w:val="00D85F28"/>
    <w:rsid w:val="00D861BE"/>
    <w:rsid w:val="00D86514"/>
    <w:rsid w:val="00D867FD"/>
    <w:rsid w:val="00D86AD4"/>
    <w:rsid w:val="00D86BFE"/>
    <w:rsid w:val="00D86E85"/>
    <w:rsid w:val="00D86F71"/>
    <w:rsid w:val="00D870E0"/>
    <w:rsid w:val="00D8715A"/>
    <w:rsid w:val="00D873A9"/>
    <w:rsid w:val="00D87414"/>
    <w:rsid w:val="00D874FB"/>
    <w:rsid w:val="00D8768D"/>
    <w:rsid w:val="00D878F9"/>
    <w:rsid w:val="00D87976"/>
    <w:rsid w:val="00D87B55"/>
    <w:rsid w:val="00D87EE5"/>
    <w:rsid w:val="00D87EE8"/>
    <w:rsid w:val="00D9002D"/>
    <w:rsid w:val="00D9049F"/>
    <w:rsid w:val="00D908AE"/>
    <w:rsid w:val="00D90A07"/>
    <w:rsid w:val="00D90E48"/>
    <w:rsid w:val="00D91040"/>
    <w:rsid w:val="00D91235"/>
    <w:rsid w:val="00D91411"/>
    <w:rsid w:val="00D914D9"/>
    <w:rsid w:val="00D91783"/>
    <w:rsid w:val="00D919EA"/>
    <w:rsid w:val="00D91B2D"/>
    <w:rsid w:val="00D91C83"/>
    <w:rsid w:val="00D91CF2"/>
    <w:rsid w:val="00D91D07"/>
    <w:rsid w:val="00D92074"/>
    <w:rsid w:val="00D922E1"/>
    <w:rsid w:val="00D9243A"/>
    <w:rsid w:val="00D92714"/>
    <w:rsid w:val="00D9271A"/>
    <w:rsid w:val="00D927F9"/>
    <w:rsid w:val="00D92808"/>
    <w:rsid w:val="00D9280D"/>
    <w:rsid w:val="00D92824"/>
    <w:rsid w:val="00D92A18"/>
    <w:rsid w:val="00D92DB2"/>
    <w:rsid w:val="00D92E48"/>
    <w:rsid w:val="00D9308F"/>
    <w:rsid w:val="00D930F7"/>
    <w:rsid w:val="00D934CF"/>
    <w:rsid w:val="00D93576"/>
    <w:rsid w:val="00D935BE"/>
    <w:rsid w:val="00D93689"/>
    <w:rsid w:val="00D93B74"/>
    <w:rsid w:val="00D93C12"/>
    <w:rsid w:val="00D93C95"/>
    <w:rsid w:val="00D93ECA"/>
    <w:rsid w:val="00D94099"/>
    <w:rsid w:val="00D941A6"/>
    <w:rsid w:val="00D94278"/>
    <w:rsid w:val="00D945B2"/>
    <w:rsid w:val="00D94932"/>
    <w:rsid w:val="00D94AB2"/>
    <w:rsid w:val="00D94F26"/>
    <w:rsid w:val="00D951A2"/>
    <w:rsid w:val="00D951A7"/>
    <w:rsid w:val="00D954BE"/>
    <w:rsid w:val="00D95578"/>
    <w:rsid w:val="00D959B0"/>
    <w:rsid w:val="00D95B33"/>
    <w:rsid w:val="00D95BB4"/>
    <w:rsid w:val="00D95C19"/>
    <w:rsid w:val="00D95DE1"/>
    <w:rsid w:val="00D96163"/>
    <w:rsid w:val="00D962C0"/>
    <w:rsid w:val="00D962ED"/>
    <w:rsid w:val="00D9635D"/>
    <w:rsid w:val="00D9637D"/>
    <w:rsid w:val="00D963E0"/>
    <w:rsid w:val="00D96578"/>
    <w:rsid w:val="00D9678A"/>
    <w:rsid w:val="00D96893"/>
    <w:rsid w:val="00D96981"/>
    <w:rsid w:val="00D96C4F"/>
    <w:rsid w:val="00D96D60"/>
    <w:rsid w:val="00D96DD7"/>
    <w:rsid w:val="00D96E23"/>
    <w:rsid w:val="00D96E68"/>
    <w:rsid w:val="00D96F1E"/>
    <w:rsid w:val="00D972D6"/>
    <w:rsid w:val="00D97553"/>
    <w:rsid w:val="00D9766D"/>
    <w:rsid w:val="00D97917"/>
    <w:rsid w:val="00D97920"/>
    <w:rsid w:val="00D97A53"/>
    <w:rsid w:val="00D97B22"/>
    <w:rsid w:val="00D97C9C"/>
    <w:rsid w:val="00D97DA0"/>
    <w:rsid w:val="00D97E7A"/>
    <w:rsid w:val="00DA0016"/>
    <w:rsid w:val="00DA0442"/>
    <w:rsid w:val="00DA047E"/>
    <w:rsid w:val="00DA04A8"/>
    <w:rsid w:val="00DA0957"/>
    <w:rsid w:val="00DA09A1"/>
    <w:rsid w:val="00DA0C36"/>
    <w:rsid w:val="00DA0EC8"/>
    <w:rsid w:val="00DA1135"/>
    <w:rsid w:val="00DA1279"/>
    <w:rsid w:val="00DA1293"/>
    <w:rsid w:val="00DA12EB"/>
    <w:rsid w:val="00DA1375"/>
    <w:rsid w:val="00DA14E3"/>
    <w:rsid w:val="00DA1C54"/>
    <w:rsid w:val="00DA1F41"/>
    <w:rsid w:val="00DA2378"/>
    <w:rsid w:val="00DA2495"/>
    <w:rsid w:val="00DA2528"/>
    <w:rsid w:val="00DA2E0C"/>
    <w:rsid w:val="00DA3045"/>
    <w:rsid w:val="00DA308E"/>
    <w:rsid w:val="00DA3094"/>
    <w:rsid w:val="00DA33F8"/>
    <w:rsid w:val="00DA34A5"/>
    <w:rsid w:val="00DA353C"/>
    <w:rsid w:val="00DA3591"/>
    <w:rsid w:val="00DA38E1"/>
    <w:rsid w:val="00DA3A22"/>
    <w:rsid w:val="00DA3A99"/>
    <w:rsid w:val="00DA3CEC"/>
    <w:rsid w:val="00DA3D48"/>
    <w:rsid w:val="00DA3E58"/>
    <w:rsid w:val="00DA3FA9"/>
    <w:rsid w:val="00DA4173"/>
    <w:rsid w:val="00DA433D"/>
    <w:rsid w:val="00DA4368"/>
    <w:rsid w:val="00DA44F5"/>
    <w:rsid w:val="00DA451C"/>
    <w:rsid w:val="00DA47CB"/>
    <w:rsid w:val="00DA4805"/>
    <w:rsid w:val="00DA48EA"/>
    <w:rsid w:val="00DA4C33"/>
    <w:rsid w:val="00DA4D88"/>
    <w:rsid w:val="00DA4F16"/>
    <w:rsid w:val="00DA4F33"/>
    <w:rsid w:val="00DA5056"/>
    <w:rsid w:val="00DA50A1"/>
    <w:rsid w:val="00DA510F"/>
    <w:rsid w:val="00DA52AB"/>
    <w:rsid w:val="00DA535D"/>
    <w:rsid w:val="00DA53D5"/>
    <w:rsid w:val="00DA5506"/>
    <w:rsid w:val="00DA5A97"/>
    <w:rsid w:val="00DA5AA2"/>
    <w:rsid w:val="00DA60CA"/>
    <w:rsid w:val="00DA60E4"/>
    <w:rsid w:val="00DA62EE"/>
    <w:rsid w:val="00DA671A"/>
    <w:rsid w:val="00DA691D"/>
    <w:rsid w:val="00DA692A"/>
    <w:rsid w:val="00DA6BC7"/>
    <w:rsid w:val="00DA6C44"/>
    <w:rsid w:val="00DA6CAC"/>
    <w:rsid w:val="00DA6E38"/>
    <w:rsid w:val="00DA6EB6"/>
    <w:rsid w:val="00DA6F83"/>
    <w:rsid w:val="00DA7026"/>
    <w:rsid w:val="00DA70BE"/>
    <w:rsid w:val="00DA7393"/>
    <w:rsid w:val="00DA74CD"/>
    <w:rsid w:val="00DA751F"/>
    <w:rsid w:val="00DA7643"/>
    <w:rsid w:val="00DB0332"/>
    <w:rsid w:val="00DB03F5"/>
    <w:rsid w:val="00DB0574"/>
    <w:rsid w:val="00DB05D1"/>
    <w:rsid w:val="00DB089F"/>
    <w:rsid w:val="00DB0BBF"/>
    <w:rsid w:val="00DB0D02"/>
    <w:rsid w:val="00DB11B8"/>
    <w:rsid w:val="00DB125C"/>
    <w:rsid w:val="00DB12BE"/>
    <w:rsid w:val="00DB1414"/>
    <w:rsid w:val="00DB14AD"/>
    <w:rsid w:val="00DB1570"/>
    <w:rsid w:val="00DB199B"/>
    <w:rsid w:val="00DB1BD5"/>
    <w:rsid w:val="00DB1CB2"/>
    <w:rsid w:val="00DB214D"/>
    <w:rsid w:val="00DB21C6"/>
    <w:rsid w:val="00DB2221"/>
    <w:rsid w:val="00DB22CA"/>
    <w:rsid w:val="00DB24EA"/>
    <w:rsid w:val="00DB25F0"/>
    <w:rsid w:val="00DB2888"/>
    <w:rsid w:val="00DB2D90"/>
    <w:rsid w:val="00DB325B"/>
    <w:rsid w:val="00DB32C7"/>
    <w:rsid w:val="00DB354A"/>
    <w:rsid w:val="00DB3720"/>
    <w:rsid w:val="00DB3726"/>
    <w:rsid w:val="00DB3794"/>
    <w:rsid w:val="00DB3A2B"/>
    <w:rsid w:val="00DB3B8C"/>
    <w:rsid w:val="00DB3ED5"/>
    <w:rsid w:val="00DB4043"/>
    <w:rsid w:val="00DB44B0"/>
    <w:rsid w:val="00DB4538"/>
    <w:rsid w:val="00DB4838"/>
    <w:rsid w:val="00DB4E61"/>
    <w:rsid w:val="00DB504D"/>
    <w:rsid w:val="00DB50E3"/>
    <w:rsid w:val="00DB5329"/>
    <w:rsid w:val="00DB53F0"/>
    <w:rsid w:val="00DB5415"/>
    <w:rsid w:val="00DB5681"/>
    <w:rsid w:val="00DB58E8"/>
    <w:rsid w:val="00DB5A39"/>
    <w:rsid w:val="00DB5A67"/>
    <w:rsid w:val="00DB5CF1"/>
    <w:rsid w:val="00DB5F81"/>
    <w:rsid w:val="00DB6066"/>
    <w:rsid w:val="00DB607E"/>
    <w:rsid w:val="00DB61AE"/>
    <w:rsid w:val="00DB648E"/>
    <w:rsid w:val="00DB6578"/>
    <w:rsid w:val="00DB658B"/>
    <w:rsid w:val="00DB661B"/>
    <w:rsid w:val="00DB67C7"/>
    <w:rsid w:val="00DB67ED"/>
    <w:rsid w:val="00DB68B0"/>
    <w:rsid w:val="00DB6CAD"/>
    <w:rsid w:val="00DB6CE1"/>
    <w:rsid w:val="00DB6D0D"/>
    <w:rsid w:val="00DB6EF9"/>
    <w:rsid w:val="00DB6F4D"/>
    <w:rsid w:val="00DB7452"/>
    <w:rsid w:val="00DB7670"/>
    <w:rsid w:val="00DB78D0"/>
    <w:rsid w:val="00DB78DD"/>
    <w:rsid w:val="00DB7A1B"/>
    <w:rsid w:val="00DB7ADA"/>
    <w:rsid w:val="00DB7C6F"/>
    <w:rsid w:val="00DB7D21"/>
    <w:rsid w:val="00DB7E64"/>
    <w:rsid w:val="00DB7F17"/>
    <w:rsid w:val="00DB7F1C"/>
    <w:rsid w:val="00DC011C"/>
    <w:rsid w:val="00DC01EA"/>
    <w:rsid w:val="00DC02CD"/>
    <w:rsid w:val="00DC0BAC"/>
    <w:rsid w:val="00DC0C24"/>
    <w:rsid w:val="00DC0D56"/>
    <w:rsid w:val="00DC0E58"/>
    <w:rsid w:val="00DC0E7B"/>
    <w:rsid w:val="00DC0F68"/>
    <w:rsid w:val="00DC111F"/>
    <w:rsid w:val="00DC12B8"/>
    <w:rsid w:val="00DC16A5"/>
    <w:rsid w:val="00DC170B"/>
    <w:rsid w:val="00DC1773"/>
    <w:rsid w:val="00DC1A6F"/>
    <w:rsid w:val="00DC1AB4"/>
    <w:rsid w:val="00DC2077"/>
    <w:rsid w:val="00DC20B9"/>
    <w:rsid w:val="00DC237B"/>
    <w:rsid w:val="00DC24FF"/>
    <w:rsid w:val="00DC2541"/>
    <w:rsid w:val="00DC25C7"/>
    <w:rsid w:val="00DC29A3"/>
    <w:rsid w:val="00DC29C1"/>
    <w:rsid w:val="00DC2A20"/>
    <w:rsid w:val="00DC2B3D"/>
    <w:rsid w:val="00DC2CDC"/>
    <w:rsid w:val="00DC2DAD"/>
    <w:rsid w:val="00DC2E5B"/>
    <w:rsid w:val="00DC2FD4"/>
    <w:rsid w:val="00DC31FA"/>
    <w:rsid w:val="00DC35F4"/>
    <w:rsid w:val="00DC3649"/>
    <w:rsid w:val="00DC37D0"/>
    <w:rsid w:val="00DC3BB0"/>
    <w:rsid w:val="00DC3DE7"/>
    <w:rsid w:val="00DC3E43"/>
    <w:rsid w:val="00DC403B"/>
    <w:rsid w:val="00DC4064"/>
    <w:rsid w:val="00DC427A"/>
    <w:rsid w:val="00DC4285"/>
    <w:rsid w:val="00DC42E0"/>
    <w:rsid w:val="00DC4343"/>
    <w:rsid w:val="00DC4469"/>
    <w:rsid w:val="00DC44FA"/>
    <w:rsid w:val="00DC46C1"/>
    <w:rsid w:val="00DC46EE"/>
    <w:rsid w:val="00DC4A2E"/>
    <w:rsid w:val="00DC4B6F"/>
    <w:rsid w:val="00DC4B77"/>
    <w:rsid w:val="00DC4D6C"/>
    <w:rsid w:val="00DC4E0C"/>
    <w:rsid w:val="00DC4EEC"/>
    <w:rsid w:val="00DC4FF9"/>
    <w:rsid w:val="00DC500C"/>
    <w:rsid w:val="00DC52E7"/>
    <w:rsid w:val="00DC543C"/>
    <w:rsid w:val="00DC54C2"/>
    <w:rsid w:val="00DC5551"/>
    <w:rsid w:val="00DC55D8"/>
    <w:rsid w:val="00DC566C"/>
    <w:rsid w:val="00DC5AF7"/>
    <w:rsid w:val="00DC5BD5"/>
    <w:rsid w:val="00DC5D15"/>
    <w:rsid w:val="00DC5E2E"/>
    <w:rsid w:val="00DC5F32"/>
    <w:rsid w:val="00DC6278"/>
    <w:rsid w:val="00DC64AE"/>
    <w:rsid w:val="00DC6503"/>
    <w:rsid w:val="00DC650D"/>
    <w:rsid w:val="00DC6584"/>
    <w:rsid w:val="00DC669F"/>
    <w:rsid w:val="00DC692B"/>
    <w:rsid w:val="00DC6959"/>
    <w:rsid w:val="00DC6BC0"/>
    <w:rsid w:val="00DC6BEC"/>
    <w:rsid w:val="00DC6CD3"/>
    <w:rsid w:val="00DC6D12"/>
    <w:rsid w:val="00DC6E39"/>
    <w:rsid w:val="00DC70EC"/>
    <w:rsid w:val="00DC7398"/>
    <w:rsid w:val="00DC73E4"/>
    <w:rsid w:val="00DC744A"/>
    <w:rsid w:val="00DC7572"/>
    <w:rsid w:val="00DC766E"/>
    <w:rsid w:val="00DC779D"/>
    <w:rsid w:val="00DC7B94"/>
    <w:rsid w:val="00DC7D60"/>
    <w:rsid w:val="00DC7F4A"/>
    <w:rsid w:val="00DD000A"/>
    <w:rsid w:val="00DD00A7"/>
    <w:rsid w:val="00DD00DF"/>
    <w:rsid w:val="00DD0273"/>
    <w:rsid w:val="00DD02EF"/>
    <w:rsid w:val="00DD032E"/>
    <w:rsid w:val="00DD0384"/>
    <w:rsid w:val="00DD0A20"/>
    <w:rsid w:val="00DD0B7C"/>
    <w:rsid w:val="00DD0C0C"/>
    <w:rsid w:val="00DD0CB8"/>
    <w:rsid w:val="00DD0CF9"/>
    <w:rsid w:val="00DD0D96"/>
    <w:rsid w:val="00DD0DD4"/>
    <w:rsid w:val="00DD0E28"/>
    <w:rsid w:val="00DD125F"/>
    <w:rsid w:val="00DD18A9"/>
    <w:rsid w:val="00DD1963"/>
    <w:rsid w:val="00DD1AF3"/>
    <w:rsid w:val="00DD1BCF"/>
    <w:rsid w:val="00DD1D49"/>
    <w:rsid w:val="00DD1EAF"/>
    <w:rsid w:val="00DD1EDA"/>
    <w:rsid w:val="00DD22DF"/>
    <w:rsid w:val="00DD23A6"/>
    <w:rsid w:val="00DD24EA"/>
    <w:rsid w:val="00DD2592"/>
    <w:rsid w:val="00DD259E"/>
    <w:rsid w:val="00DD26A5"/>
    <w:rsid w:val="00DD2782"/>
    <w:rsid w:val="00DD27BA"/>
    <w:rsid w:val="00DD28E7"/>
    <w:rsid w:val="00DD2A74"/>
    <w:rsid w:val="00DD2E24"/>
    <w:rsid w:val="00DD30A6"/>
    <w:rsid w:val="00DD30DE"/>
    <w:rsid w:val="00DD327D"/>
    <w:rsid w:val="00DD3318"/>
    <w:rsid w:val="00DD34C8"/>
    <w:rsid w:val="00DD3AB4"/>
    <w:rsid w:val="00DD3BF0"/>
    <w:rsid w:val="00DD3C0D"/>
    <w:rsid w:val="00DD3D23"/>
    <w:rsid w:val="00DD3DC1"/>
    <w:rsid w:val="00DD3DC9"/>
    <w:rsid w:val="00DD3E66"/>
    <w:rsid w:val="00DD3F3D"/>
    <w:rsid w:val="00DD40C8"/>
    <w:rsid w:val="00DD40D0"/>
    <w:rsid w:val="00DD4155"/>
    <w:rsid w:val="00DD4665"/>
    <w:rsid w:val="00DD46F3"/>
    <w:rsid w:val="00DD4778"/>
    <w:rsid w:val="00DD488D"/>
    <w:rsid w:val="00DD48DB"/>
    <w:rsid w:val="00DD491A"/>
    <w:rsid w:val="00DD4923"/>
    <w:rsid w:val="00DD49E7"/>
    <w:rsid w:val="00DD4B3F"/>
    <w:rsid w:val="00DD4D14"/>
    <w:rsid w:val="00DD4D49"/>
    <w:rsid w:val="00DD4DA0"/>
    <w:rsid w:val="00DD4E32"/>
    <w:rsid w:val="00DD4FDD"/>
    <w:rsid w:val="00DD50F8"/>
    <w:rsid w:val="00DD522A"/>
    <w:rsid w:val="00DD535F"/>
    <w:rsid w:val="00DD569C"/>
    <w:rsid w:val="00DD56BF"/>
    <w:rsid w:val="00DD5700"/>
    <w:rsid w:val="00DD5716"/>
    <w:rsid w:val="00DD593E"/>
    <w:rsid w:val="00DD5973"/>
    <w:rsid w:val="00DD5999"/>
    <w:rsid w:val="00DD59AE"/>
    <w:rsid w:val="00DD5EE6"/>
    <w:rsid w:val="00DD62DA"/>
    <w:rsid w:val="00DD62ED"/>
    <w:rsid w:val="00DD63AE"/>
    <w:rsid w:val="00DD6591"/>
    <w:rsid w:val="00DD65AB"/>
    <w:rsid w:val="00DD67D7"/>
    <w:rsid w:val="00DD695C"/>
    <w:rsid w:val="00DD6ACD"/>
    <w:rsid w:val="00DD6AF7"/>
    <w:rsid w:val="00DD6BB2"/>
    <w:rsid w:val="00DD6ED1"/>
    <w:rsid w:val="00DD6FA6"/>
    <w:rsid w:val="00DD72B6"/>
    <w:rsid w:val="00DD72D2"/>
    <w:rsid w:val="00DD737D"/>
    <w:rsid w:val="00DD756C"/>
    <w:rsid w:val="00DD7669"/>
    <w:rsid w:val="00DD7A93"/>
    <w:rsid w:val="00DD7B5A"/>
    <w:rsid w:val="00DD7CBC"/>
    <w:rsid w:val="00DD7F5F"/>
    <w:rsid w:val="00DD7FD5"/>
    <w:rsid w:val="00DE015E"/>
    <w:rsid w:val="00DE0245"/>
    <w:rsid w:val="00DE046D"/>
    <w:rsid w:val="00DE084F"/>
    <w:rsid w:val="00DE0972"/>
    <w:rsid w:val="00DE09E1"/>
    <w:rsid w:val="00DE0A46"/>
    <w:rsid w:val="00DE0A8A"/>
    <w:rsid w:val="00DE0BC8"/>
    <w:rsid w:val="00DE0CB6"/>
    <w:rsid w:val="00DE0D63"/>
    <w:rsid w:val="00DE0EC3"/>
    <w:rsid w:val="00DE0F4B"/>
    <w:rsid w:val="00DE1063"/>
    <w:rsid w:val="00DE1118"/>
    <w:rsid w:val="00DE11C3"/>
    <w:rsid w:val="00DE11C8"/>
    <w:rsid w:val="00DE1453"/>
    <w:rsid w:val="00DE1BB2"/>
    <w:rsid w:val="00DE20DF"/>
    <w:rsid w:val="00DE211C"/>
    <w:rsid w:val="00DE257C"/>
    <w:rsid w:val="00DE27DD"/>
    <w:rsid w:val="00DE2B18"/>
    <w:rsid w:val="00DE2FFD"/>
    <w:rsid w:val="00DE30F9"/>
    <w:rsid w:val="00DE33F8"/>
    <w:rsid w:val="00DE3415"/>
    <w:rsid w:val="00DE34BA"/>
    <w:rsid w:val="00DE3801"/>
    <w:rsid w:val="00DE387E"/>
    <w:rsid w:val="00DE39B6"/>
    <w:rsid w:val="00DE39ED"/>
    <w:rsid w:val="00DE3C7D"/>
    <w:rsid w:val="00DE3CA4"/>
    <w:rsid w:val="00DE3CB0"/>
    <w:rsid w:val="00DE3F39"/>
    <w:rsid w:val="00DE408F"/>
    <w:rsid w:val="00DE4104"/>
    <w:rsid w:val="00DE43A3"/>
    <w:rsid w:val="00DE43A9"/>
    <w:rsid w:val="00DE4406"/>
    <w:rsid w:val="00DE44DA"/>
    <w:rsid w:val="00DE4726"/>
    <w:rsid w:val="00DE4727"/>
    <w:rsid w:val="00DE4750"/>
    <w:rsid w:val="00DE48F1"/>
    <w:rsid w:val="00DE4DFE"/>
    <w:rsid w:val="00DE4E66"/>
    <w:rsid w:val="00DE50EC"/>
    <w:rsid w:val="00DE54E3"/>
    <w:rsid w:val="00DE54ED"/>
    <w:rsid w:val="00DE58C3"/>
    <w:rsid w:val="00DE5AA4"/>
    <w:rsid w:val="00DE5C2D"/>
    <w:rsid w:val="00DE5EC8"/>
    <w:rsid w:val="00DE630C"/>
    <w:rsid w:val="00DE63A5"/>
    <w:rsid w:val="00DE63D1"/>
    <w:rsid w:val="00DE6434"/>
    <w:rsid w:val="00DE6BD8"/>
    <w:rsid w:val="00DE6C17"/>
    <w:rsid w:val="00DE7053"/>
    <w:rsid w:val="00DE70EA"/>
    <w:rsid w:val="00DE721C"/>
    <w:rsid w:val="00DE76E4"/>
    <w:rsid w:val="00DE77A1"/>
    <w:rsid w:val="00DE79D1"/>
    <w:rsid w:val="00DE7BC1"/>
    <w:rsid w:val="00DE7E1E"/>
    <w:rsid w:val="00DE7E54"/>
    <w:rsid w:val="00DF070E"/>
    <w:rsid w:val="00DF09D4"/>
    <w:rsid w:val="00DF09E3"/>
    <w:rsid w:val="00DF0C66"/>
    <w:rsid w:val="00DF0DFE"/>
    <w:rsid w:val="00DF0F80"/>
    <w:rsid w:val="00DF1130"/>
    <w:rsid w:val="00DF15B1"/>
    <w:rsid w:val="00DF15FE"/>
    <w:rsid w:val="00DF1B4C"/>
    <w:rsid w:val="00DF1BA0"/>
    <w:rsid w:val="00DF1DAF"/>
    <w:rsid w:val="00DF1E14"/>
    <w:rsid w:val="00DF1FE5"/>
    <w:rsid w:val="00DF20A7"/>
    <w:rsid w:val="00DF2197"/>
    <w:rsid w:val="00DF21D6"/>
    <w:rsid w:val="00DF223C"/>
    <w:rsid w:val="00DF2394"/>
    <w:rsid w:val="00DF2442"/>
    <w:rsid w:val="00DF2578"/>
    <w:rsid w:val="00DF25A0"/>
    <w:rsid w:val="00DF265D"/>
    <w:rsid w:val="00DF278E"/>
    <w:rsid w:val="00DF27D0"/>
    <w:rsid w:val="00DF2A61"/>
    <w:rsid w:val="00DF2A75"/>
    <w:rsid w:val="00DF2AFE"/>
    <w:rsid w:val="00DF2C76"/>
    <w:rsid w:val="00DF2FBA"/>
    <w:rsid w:val="00DF2FBD"/>
    <w:rsid w:val="00DF30F7"/>
    <w:rsid w:val="00DF3178"/>
    <w:rsid w:val="00DF34D5"/>
    <w:rsid w:val="00DF35E2"/>
    <w:rsid w:val="00DF38A0"/>
    <w:rsid w:val="00DF3993"/>
    <w:rsid w:val="00DF3C8E"/>
    <w:rsid w:val="00DF3F1C"/>
    <w:rsid w:val="00DF401D"/>
    <w:rsid w:val="00DF4185"/>
    <w:rsid w:val="00DF447F"/>
    <w:rsid w:val="00DF471C"/>
    <w:rsid w:val="00DF4823"/>
    <w:rsid w:val="00DF4900"/>
    <w:rsid w:val="00DF49C7"/>
    <w:rsid w:val="00DF4CC0"/>
    <w:rsid w:val="00DF5004"/>
    <w:rsid w:val="00DF50EC"/>
    <w:rsid w:val="00DF5494"/>
    <w:rsid w:val="00DF5512"/>
    <w:rsid w:val="00DF5538"/>
    <w:rsid w:val="00DF5613"/>
    <w:rsid w:val="00DF56CB"/>
    <w:rsid w:val="00DF573E"/>
    <w:rsid w:val="00DF57BB"/>
    <w:rsid w:val="00DF5984"/>
    <w:rsid w:val="00DF59AD"/>
    <w:rsid w:val="00DF59F9"/>
    <w:rsid w:val="00DF5A1E"/>
    <w:rsid w:val="00DF5ADA"/>
    <w:rsid w:val="00DF5CDD"/>
    <w:rsid w:val="00DF5D7B"/>
    <w:rsid w:val="00DF5DBF"/>
    <w:rsid w:val="00DF5E84"/>
    <w:rsid w:val="00DF614B"/>
    <w:rsid w:val="00DF6975"/>
    <w:rsid w:val="00DF69CA"/>
    <w:rsid w:val="00DF69E3"/>
    <w:rsid w:val="00DF6A8E"/>
    <w:rsid w:val="00DF6C8D"/>
    <w:rsid w:val="00DF6D41"/>
    <w:rsid w:val="00DF6D50"/>
    <w:rsid w:val="00DF73F4"/>
    <w:rsid w:val="00DF75FB"/>
    <w:rsid w:val="00DF76FA"/>
    <w:rsid w:val="00DF77DA"/>
    <w:rsid w:val="00DF77DE"/>
    <w:rsid w:val="00DF7AD1"/>
    <w:rsid w:val="00DF7C80"/>
    <w:rsid w:val="00DF7DF3"/>
    <w:rsid w:val="00DF7E97"/>
    <w:rsid w:val="00DF7F43"/>
    <w:rsid w:val="00DF7FE8"/>
    <w:rsid w:val="00E00299"/>
    <w:rsid w:val="00E0029D"/>
    <w:rsid w:val="00E003E1"/>
    <w:rsid w:val="00E004F2"/>
    <w:rsid w:val="00E006D4"/>
    <w:rsid w:val="00E006F4"/>
    <w:rsid w:val="00E007C7"/>
    <w:rsid w:val="00E00866"/>
    <w:rsid w:val="00E008DC"/>
    <w:rsid w:val="00E00A96"/>
    <w:rsid w:val="00E00C5D"/>
    <w:rsid w:val="00E00CAE"/>
    <w:rsid w:val="00E00D12"/>
    <w:rsid w:val="00E01021"/>
    <w:rsid w:val="00E012AE"/>
    <w:rsid w:val="00E01455"/>
    <w:rsid w:val="00E0150C"/>
    <w:rsid w:val="00E01775"/>
    <w:rsid w:val="00E01D7C"/>
    <w:rsid w:val="00E023B6"/>
    <w:rsid w:val="00E024F0"/>
    <w:rsid w:val="00E02632"/>
    <w:rsid w:val="00E026EE"/>
    <w:rsid w:val="00E027D6"/>
    <w:rsid w:val="00E0280D"/>
    <w:rsid w:val="00E02937"/>
    <w:rsid w:val="00E02B77"/>
    <w:rsid w:val="00E02C8A"/>
    <w:rsid w:val="00E02D08"/>
    <w:rsid w:val="00E02DD9"/>
    <w:rsid w:val="00E02F68"/>
    <w:rsid w:val="00E02F88"/>
    <w:rsid w:val="00E02F9E"/>
    <w:rsid w:val="00E03154"/>
    <w:rsid w:val="00E032A9"/>
    <w:rsid w:val="00E0335E"/>
    <w:rsid w:val="00E03378"/>
    <w:rsid w:val="00E03429"/>
    <w:rsid w:val="00E03544"/>
    <w:rsid w:val="00E0363B"/>
    <w:rsid w:val="00E038D6"/>
    <w:rsid w:val="00E0390F"/>
    <w:rsid w:val="00E03975"/>
    <w:rsid w:val="00E03B1A"/>
    <w:rsid w:val="00E03B70"/>
    <w:rsid w:val="00E03D3A"/>
    <w:rsid w:val="00E03E0A"/>
    <w:rsid w:val="00E03E59"/>
    <w:rsid w:val="00E04113"/>
    <w:rsid w:val="00E041C7"/>
    <w:rsid w:val="00E041CF"/>
    <w:rsid w:val="00E041EC"/>
    <w:rsid w:val="00E0429C"/>
    <w:rsid w:val="00E042E4"/>
    <w:rsid w:val="00E04302"/>
    <w:rsid w:val="00E043C5"/>
    <w:rsid w:val="00E04522"/>
    <w:rsid w:val="00E0459A"/>
    <w:rsid w:val="00E0476A"/>
    <w:rsid w:val="00E0476E"/>
    <w:rsid w:val="00E048F4"/>
    <w:rsid w:val="00E04DAA"/>
    <w:rsid w:val="00E04DF4"/>
    <w:rsid w:val="00E04F84"/>
    <w:rsid w:val="00E0518E"/>
    <w:rsid w:val="00E05215"/>
    <w:rsid w:val="00E0530C"/>
    <w:rsid w:val="00E0540E"/>
    <w:rsid w:val="00E05655"/>
    <w:rsid w:val="00E05805"/>
    <w:rsid w:val="00E05B17"/>
    <w:rsid w:val="00E05CA4"/>
    <w:rsid w:val="00E05E06"/>
    <w:rsid w:val="00E05EA7"/>
    <w:rsid w:val="00E05F3F"/>
    <w:rsid w:val="00E05FCB"/>
    <w:rsid w:val="00E060D1"/>
    <w:rsid w:val="00E061DF"/>
    <w:rsid w:val="00E06241"/>
    <w:rsid w:val="00E0630B"/>
    <w:rsid w:val="00E064F7"/>
    <w:rsid w:val="00E0663D"/>
    <w:rsid w:val="00E06850"/>
    <w:rsid w:val="00E06952"/>
    <w:rsid w:val="00E06AD4"/>
    <w:rsid w:val="00E0714A"/>
    <w:rsid w:val="00E07199"/>
    <w:rsid w:val="00E071FC"/>
    <w:rsid w:val="00E07335"/>
    <w:rsid w:val="00E07433"/>
    <w:rsid w:val="00E0756D"/>
    <w:rsid w:val="00E07705"/>
    <w:rsid w:val="00E0784A"/>
    <w:rsid w:val="00E078D0"/>
    <w:rsid w:val="00E07928"/>
    <w:rsid w:val="00E079AF"/>
    <w:rsid w:val="00E07B1A"/>
    <w:rsid w:val="00E07CFF"/>
    <w:rsid w:val="00E07E00"/>
    <w:rsid w:val="00E07EDF"/>
    <w:rsid w:val="00E10005"/>
    <w:rsid w:val="00E10375"/>
    <w:rsid w:val="00E10437"/>
    <w:rsid w:val="00E108F3"/>
    <w:rsid w:val="00E10944"/>
    <w:rsid w:val="00E109B9"/>
    <w:rsid w:val="00E10B03"/>
    <w:rsid w:val="00E10B72"/>
    <w:rsid w:val="00E10C3B"/>
    <w:rsid w:val="00E10D31"/>
    <w:rsid w:val="00E10FCB"/>
    <w:rsid w:val="00E11027"/>
    <w:rsid w:val="00E1109D"/>
    <w:rsid w:val="00E11759"/>
    <w:rsid w:val="00E117C9"/>
    <w:rsid w:val="00E11880"/>
    <w:rsid w:val="00E11BD0"/>
    <w:rsid w:val="00E11DBD"/>
    <w:rsid w:val="00E11DCE"/>
    <w:rsid w:val="00E11E6F"/>
    <w:rsid w:val="00E124C1"/>
    <w:rsid w:val="00E124C8"/>
    <w:rsid w:val="00E12569"/>
    <w:rsid w:val="00E1262E"/>
    <w:rsid w:val="00E1265B"/>
    <w:rsid w:val="00E1279C"/>
    <w:rsid w:val="00E12822"/>
    <w:rsid w:val="00E12868"/>
    <w:rsid w:val="00E12D5F"/>
    <w:rsid w:val="00E12DC5"/>
    <w:rsid w:val="00E12F15"/>
    <w:rsid w:val="00E12FBF"/>
    <w:rsid w:val="00E1300F"/>
    <w:rsid w:val="00E131F4"/>
    <w:rsid w:val="00E131FB"/>
    <w:rsid w:val="00E135E6"/>
    <w:rsid w:val="00E1374B"/>
    <w:rsid w:val="00E1379F"/>
    <w:rsid w:val="00E137E9"/>
    <w:rsid w:val="00E13812"/>
    <w:rsid w:val="00E13871"/>
    <w:rsid w:val="00E1390B"/>
    <w:rsid w:val="00E139A4"/>
    <w:rsid w:val="00E13A63"/>
    <w:rsid w:val="00E140DD"/>
    <w:rsid w:val="00E142F6"/>
    <w:rsid w:val="00E14382"/>
    <w:rsid w:val="00E143FC"/>
    <w:rsid w:val="00E144E2"/>
    <w:rsid w:val="00E14951"/>
    <w:rsid w:val="00E14A84"/>
    <w:rsid w:val="00E14B50"/>
    <w:rsid w:val="00E14CC7"/>
    <w:rsid w:val="00E14D67"/>
    <w:rsid w:val="00E14DCB"/>
    <w:rsid w:val="00E14DD0"/>
    <w:rsid w:val="00E14E51"/>
    <w:rsid w:val="00E14F9E"/>
    <w:rsid w:val="00E1526F"/>
    <w:rsid w:val="00E154D1"/>
    <w:rsid w:val="00E154D2"/>
    <w:rsid w:val="00E155BB"/>
    <w:rsid w:val="00E156CD"/>
    <w:rsid w:val="00E1588F"/>
    <w:rsid w:val="00E158DD"/>
    <w:rsid w:val="00E15AAE"/>
    <w:rsid w:val="00E15ADD"/>
    <w:rsid w:val="00E15BD5"/>
    <w:rsid w:val="00E15BE4"/>
    <w:rsid w:val="00E15BFB"/>
    <w:rsid w:val="00E15C22"/>
    <w:rsid w:val="00E15C61"/>
    <w:rsid w:val="00E15C64"/>
    <w:rsid w:val="00E15DA2"/>
    <w:rsid w:val="00E15F66"/>
    <w:rsid w:val="00E160CD"/>
    <w:rsid w:val="00E161C4"/>
    <w:rsid w:val="00E16225"/>
    <w:rsid w:val="00E16607"/>
    <w:rsid w:val="00E16995"/>
    <w:rsid w:val="00E16ACA"/>
    <w:rsid w:val="00E16BB2"/>
    <w:rsid w:val="00E16C24"/>
    <w:rsid w:val="00E16CE5"/>
    <w:rsid w:val="00E16D28"/>
    <w:rsid w:val="00E1700A"/>
    <w:rsid w:val="00E17028"/>
    <w:rsid w:val="00E1711C"/>
    <w:rsid w:val="00E17132"/>
    <w:rsid w:val="00E171C1"/>
    <w:rsid w:val="00E1773B"/>
    <w:rsid w:val="00E177AB"/>
    <w:rsid w:val="00E1789B"/>
    <w:rsid w:val="00E179B5"/>
    <w:rsid w:val="00E17A61"/>
    <w:rsid w:val="00E17C72"/>
    <w:rsid w:val="00E17CD8"/>
    <w:rsid w:val="00E17D0D"/>
    <w:rsid w:val="00E17E46"/>
    <w:rsid w:val="00E17F15"/>
    <w:rsid w:val="00E17F93"/>
    <w:rsid w:val="00E202E4"/>
    <w:rsid w:val="00E204B6"/>
    <w:rsid w:val="00E20527"/>
    <w:rsid w:val="00E20912"/>
    <w:rsid w:val="00E20951"/>
    <w:rsid w:val="00E209DB"/>
    <w:rsid w:val="00E20F8C"/>
    <w:rsid w:val="00E20FA5"/>
    <w:rsid w:val="00E211B7"/>
    <w:rsid w:val="00E21629"/>
    <w:rsid w:val="00E2170E"/>
    <w:rsid w:val="00E21748"/>
    <w:rsid w:val="00E21A05"/>
    <w:rsid w:val="00E21A69"/>
    <w:rsid w:val="00E21B45"/>
    <w:rsid w:val="00E21E99"/>
    <w:rsid w:val="00E2207D"/>
    <w:rsid w:val="00E221D3"/>
    <w:rsid w:val="00E223AD"/>
    <w:rsid w:val="00E223FA"/>
    <w:rsid w:val="00E224F0"/>
    <w:rsid w:val="00E225DF"/>
    <w:rsid w:val="00E22975"/>
    <w:rsid w:val="00E22B1F"/>
    <w:rsid w:val="00E22B2C"/>
    <w:rsid w:val="00E2314C"/>
    <w:rsid w:val="00E23560"/>
    <w:rsid w:val="00E2373E"/>
    <w:rsid w:val="00E23797"/>
    <w:rsid w:val="00E23C2B"/>
    <w:rsid w:val="00E23CD7"/>
    <w:rsid w:val="00E24042"/>
    <w:rsid w:val="00E24275"/>
    <w:rsid w:val="00E24345"/>
    <w:rsid w:val="00E246C6"/>
    <w:rsid w:val="00E24701"/>
    <w:rsid w:val="00E248AE"/>
    <w:rsid w:val="00E24A06"/>
    <w:rsid w:val="00E24E9F"/>
    <w:rsid w:val="00E24F03"/>
    <w:rsid w:val="00E24F53"/>
    <w:rsid w:val="00E25037"/>
    <w:rsid w:val="00E254CD"/>
    <w:rsid w:val="00E2557B"/>
    <w:rsid w:val="00E25746"/>
    <w:rsid w:val="00E25A2D"/>
    <w:rsid w:val="00E25B2C"/>
    <w:rsid w:val="00E25CD8"/>
    <w:rsid w:val="00E25D4E"/>
    <w:rsid w:val="00E25FDD"/>
    <w:rsid w:val="00E260D0"/>
    <w:rsid w:val="00E260F9"/>
    <w:rsid w:val="00E261E2"/>
    <w:rsid w:val="00E26232"/>
    <w:rsid w:val="00E2637C"/>
    <w:rsid w:val="00E264EC"/>
    <w:rsid w:val="00E26501"/>
    <w:rsid w:val="00E26859"/>
    <w:rsid w:val="00E268D6"/>
    <w:rsid w:val="00E26A81"/>
    <w:rsid w:val="00E26BB9"/>
    <w:rsid w:val="00E26CFE"/>
    <w:rsid w:val="00E26E27"/>
    <w:rsid w:val="00E271DB"/>
    <w:rsid w:val="00E27964"/>
    <w:rsid w:val="00E27B65"/>
    <w:rsid w:val="00E27B77"/>
    <w:rsid w:val="00E27D07"/>
    <w:rsid w:val="00E27D4C"/>
    <w:rsid w:val="00E27E81"/>
    <w:rsid w:val="00E27EAD"/>
    <w:rsid w:val="00E27F47"/>
    <w:rsid w:val="00E27FAC"/>
    <w:rsid w:val="00E3003D"/>
    <w:rsid w:val="00E30257"/>
    <w:rsid w:val="00E3048B"/>
    <w:rsid w:val="00E30689"/>
    <w:rsid w:val="00E309BF"/>
    <w:rsid w:val="00E30A66"/>
    <w:rsid w:val="00E3111B"/>
    <w:rsid w:val="00E311FA"/>
    <w:rsid w:val="00E312E7"/>
    <w:rsid w:val="00E315A4"/>
    <w:rsid w:val="00E31620"/>
    <w:rsid w:val="00E3175A"/>
    <w:rsid w:val="00E31811"/>
    <w:rsid w:val="00E318E2"/>
    <w:rsid w:val="00E31950"/>
    <w:rsid w:val="00E31A21"/>
    <w:rsid w:val="00E31AE9"/>
    <w:rsid w:val="00E31B1F"/>
    <w:rsid w:val="00E31BC6"/>
    <w:rsid w:val="00E31C7E"/>
    <w:rsid w:val="00E32046"/>
    <w:rsid w:val="00E320BE"/>
    <w:rsid w:val="00E322AD"/>
    <w:rsid w:val="00E32430"/>
    <w:rsid w:val="00E32476"/>
    <w:rsid w:val="00E325AE"/>
    <w:rsid w:val="00E32868"/>
    <w:rsid w:val="00E32C22"/>
    <w:rsid w:val="00E32E12"/>
    <w:rsid w:val="00E32E13"/>
    <w:rsid w:val="00E32EE4"/>
    <w:rsid w:val="00E32F9C"/>
    <w:rsid w:val="00E32FD4"/>
    <w:rsid w:val="00E33001"/>
    <w:rsid w:val="00E3312C"/>
    <w:rsid w:val="00E33186"/>
    <w:rsid w:val="00E331E4"/>
    <w:rsid w:val="00E332BE"/>
    <w:rsid w:val="00E33533"/>
    <w:rsid w:val="00E33537"/>
    <w:rsid w:val="00E3369A"/>
    <w:rsid w:val="00E33758"/>
    <w:rsid w:val="00E337D4"/>
    <w:rsid w:val="00E337E9"/>
    <w:rsid w:val="00E3380D"/>
    <w:rsid w:val="00E338E5"/>
    <w:rsid w:val="00E33A13"/>
    <w:rsid w:val="00E33A8F"/>
    <w:rsid w:val="00E33B3A"/>
    <w:rsid w:val="00E33C79"/>
    <w:rsid w:val="00E33CAD"/>
    <w:rsid w:val="00E33F55"/>
    <w:rsid w:val="00E34155"/>
    <w:rsid w:val="00E341DA"/>
    <w:rsid w:val="00E34962"/>
    <w:rsid w:val="00E349CF"/>
    <w:rsid w:val="00E34C15"/>
    <w:rsid w:val="00E34F9F"/>
    <w:rsid w:val="00E351BC"/>
    <w:rsid w:val="00E3526F"/>
    <w:rsid w:val="00E35282"/>
    <w:rsid w:val="00E3529E"/>
    <w:rsid w:val="00E352A0"/>
    <w:rsid w:val="00E35483"/>
    <w:rsid w:val="00E35D50"/>
    <w:rsid w:val="00E35E1D"/>
    <w:rsid w:val="00E360A3"/>
    <w:rsid w:val="00E360F3"/>
    <w:rsid w:val="00E36AFA"/>
    <w:rsid w:val="00E36C8A"/>
    <w:rsid w:val="00E36D78"/>
    <w:rsid w:val="00E36E44"/>
    <w:rsid w:val="00E36F54"/>
    <w:rsid w:val="00E36FD6"/>
    <w:rsid w:val="00E37072"/>
    <w:rsid w:val="00E370EF"/>
    <w:rsid w:val="00E371FA"/>
    <w:rsid w:val="00E379BE"/>
    <w:rsid w:val="00E37A45"/>
    <w:rsid w:val="00E37D31"/>
    <w:rsid w:val="00E37DBC"/>
    <w:rsid w:val="00E37FF4"/>
    <w:rsid w:val="00E4004F"/>
    <w:rsid w:val="00E40082"/>
    <w:rsid w:val="00E401C4"/>
    <w:rsid w:val="00E402DD"/>
    <w:rsid w:val="00E4063C"/>
    <w:rsid w:val="00E407B1"/>
    <w:rsid w:val="00E40BDC"/>
    <w:rsid w:val="00E40D36"/>
    <w:rsid w:val="00E40DB8"/>
    <w:rsid w:val="00E40DF5"/>
    <w:rsid w:val="00E40E8F"/>
    <w:rsid w:val="00E40F06"/>
    <w:rsid w:val="00E41084"/>
    <w:rsid w:val="00E410B3"/>
    <w:rsid w:val="00E41276"/>
    <w:rsid w:val="00E41467"/>
    <w:rsid w:val="00E41643"/>
    <w:rsid w:val="00E416DB"/>
    <w:rsid w:val="00E416F7"/>
    <w:rsid w:val="00E41958"/>
    <w:rsid w:val="00E41991"/>
    <w:rsid w:val="00E419A4"/>
    <w:rsid w:val="00E41AD7"/>
    <w:rsid w:val="00E41CFD"/>
    <w:rsid w:val="00E41D98"/>
    <w:rsid w:val="00E41DF1"/>
    <w:rsid w:val="00E41EC1"/>
    <w:rsid w:val="00E42006"/>
    <w:rsid w:val="00E4239F"/>
    <w:rsid w:val="00E4245B"/>
    <w:rsid w:val="00E424E7"/>
    <w:rsid w:val="00E424F5"/>
    <w:rsid w:val="00E426F5"/>
    <w:rsid w:val="00E4278E"/>
    <w:rsid w:val="00E428DF"/>
    <w:rsid w:val="00E4296B"/>
    <w:rsid w:val="00E429E3"/>
    <w:rsid w:val="00E42A3E"/>
    <w:rsid w:val="00E42B34"/>
    <w:rsid w:val="00E4315E"/>
    <w:rsid w:val="00E4325C"/>
    <w:rsid w:val="00E433F5"/>
    <w:rsid w:val="00E43480"/>
    <w:rsid w:val="00E4353B"/>
    <w:rsid w:val="00E435A5"/>
    <w:rsid w:val="00E435FE"/>
    <w:rsid w:val="00E43692"/>
    <w:rsid w:val="00E436C9"/>
    <w:rsid w:val="00E43903"/>
    <w:rsid w:val="00E43987"/>
    <w:rsid w:val="00E43A7A"/>
    <w:rsid w:val="00E43D29"/>
    <w:rsid w:val="00E43F6A"/>
    <w:rsid w:val="00E440D4"/>
    <w:rsid w:val="00E44144"/>
    <w:rsid w:val="00E4422F"/>
    <w:rsid w:val="00E442E4"/>
    <w:rsid w:val="00E4455A"/>
    <w:rsid w:val="00E4473F"/>
    <w:rsid w:val="00E4486C"/>
    <w:rsid w:val="00E4488B"/>
    <w:rsid w:val="00E449BA"/>
    <w:rsid w:val="00E44D1D"/>
    <w:rsid w:val="00E44D2C"/>
    <w:rsid w:val="00E450E8"/>
    <w:rsid w:val="00E4517C"/>
    <w:rsid w:val="00E453BD"/>
    <w:rsid w:val="00E453D7"/>
    <w:rsid w:val="00E453E6"/>
    <w:rsid w:val="00E45407"/>
    <w:rsid w:val="00E4560F"/>
    <w:rsid w:val="00E45885"/>
    <w:rsid w:val="00E45894"/>
    <w:rsid w:val="00E4593B"/>
    <w:rsid w:val="00E45942"/>
    <w:rsid w:val="00E45B9A"/>
    <w:rsid w:val="00E45BE9"/>
    <w:rsid w:val="00E4617A"/>
    <w:rsid w:val="00E4625F"/>
    <w:rsid w:val="00E4631D"/>
    <w:rsid w:val="00E4651B"/>
    <w:rsid w:val="00E46A47"/>
    <w:rsid w:val="00E46AB6"/>
    <w:rsid w:val="00E46BAE"/>
    <w:rsid w:val="00E46C74"/>
    <w:rsid w:val="00E46CA4"/>
    <w:rsid w:val="00E46DBE"/>
    <w:rsid w:val="00E46F49"/>
    <w:rsid w:val="00E4708B"/>
    <w:rsid w:val="00E472F8"/>
    <w:rsid w:val="00E47457"/>
    <w:rsid w:val="00E474E5"/>
    <w:rsid w:val="00E4757F"/>
    <w:rsid w:val="00E475C6"/>
    <w:rsid w:val="00E475E7"/>
    <w:rsid w:val="00E4760E"/>
    <w:rsid w:val="00E4775C"/>
    <w:rsid w:val="00E478F1"/>
    <w:rsid w:val="00E47CB5"/>
    <w:rsid w:val="00E47E6B"/>
    <w:rsid w:val="00E47ECE"/>
    <w:rsid w:val="00E50467"/>
    <w:rsid w:val="00E50875"/>
    <w:rsid w:val="00E508E3"/>
    <w:rsid w:val="00E50B1A"/>
    <w:rsid w:val="00E50BA0"/>
    <w:rsid w:val="00E50BEE"/>
    <w:rsid w:val="00E50D95"/>
    <w:rsid w:val="00E50DC3"/>
    <w:rsid w:val="00E50EC5"/>
    <w:rsid w:val="00E5108F"/>
    <w:rsid w:val="00E510E1"/>
    <w:rsid w:val="00E51112"/>
    <w:rsid w:val="00E51276"/>
    <w:rsid w:val="00E5130E"/>
    <w:rsid w:val="00E51348"/>
    <w:rsid w:val="00E514FF"/>
    <w:rsid w:val="00E516C2"/>
    <w:rsid w:val="00E51877"/>
    <w:rsid w:val="00E518E5"/>
    <w:rsid w:val="00E51952"/>
    <w:rsid w:val="00E51A37"/>
    <w:rsid w:val="00E51B2A"/>
    <w:rsid w:val="00E522E5"/>
    <w:rsid w:val="00E525A2"/>
    <w:rsid w:val="00E526F9"/>
    <w:rsid w:val="00E52770"/>
    <w:rsid w:val="00E52796"/>
    <w:rsid w:val="00E5279F"/>
    <w:rsid w:val="00E52838"/>
    <w:rsid w:val="00E52AA4"/>
    <w:rsid w:val="00E52CCE"/>
    <w:rsid w:val="00E52FEA"/>
    <w:rsid w:val="00E5302A"/>
    <w:rsid w:val="00E530DD"/>
    <w:rsid w:val="00E537F1"/>
    <w:rsid w:val="00E539C4"/>
    <w:rsid w:val="00E53A73"/>
    <w:rsid w:val="00E53C7E"/>
    <w:rsid w:val="00E53E21"/>
    <w:rsid w:val="00E53E7C"/>
    <w:rsid w:val="00E53EE2"/>
    <w:rsid w:val="00E53FAD"/>
    <w:rsid w:val="00E54001"/>
    <w:rsid w:val="00E5405E"/>
    <w:rsid w:val="00E5412C"/>
    <w:rsid w:val="00E5429F"/>
    <w:rsid w:val="00E543C9"/>
    <w:rsid w:val="00E545DB"/>
    <w:rsid w:val="00E54788"/>
    <w:rsid w:val="00E5484A"/>
    <w:rsid w:val="00E5489A"/>
    <w:rsid w:val="00E548F0"/>
    <w:rsid w:val="00E54C51"/>
    <w:rsid w:val="00E54F96"/>
    <w:rsid w:val="00E550BB"/>
    <w:rsid w:val="00E5568A"/>
    <w:rsid w:val="00E5580E"/>
    <w:rsid w:val="00E55AF9"/>
    <w:rsid w:val="00E55D13"/>
    <w:rsid w:val="00E56219"/>
    <w:rsid w:val="00E562FE"/>
    <w:rsid w:val="00E56328"/>
    <w:rsid w:val="00E563E0"/>
    <w:rsid w:val="00E5654B"/>
    <w:rsid w:val="00E565BB"/>
    <w:rsid w:val="00E5673A"/>
    <w:rsid w:val="00E5692C"/>
    <w:rsid w:val="00E56A22"/>
    <w:rsid w:val="00E56A49"/>
    <w:rsid w:val="00E56B75"/>
    <w:rsid w:val="00E571D1"/>
    <w:rsid w:val="00E574E8"/>
    <w:rsid w:val="00E57591"/>
    <w:rsid w:val="00E5763D"/>
    <w:rsid w:val="00E576B4"/>
    <w:rsid w:val="00E5776D"/>
    <w:rsid w:val="00E5781F"/>
    <w:rsid w:val="00E5790C"/>
    <w:rsid w:val="00E57BCB"/>
    <w:rsid w:val="00E57BCE"/>
    <w:rsid w:val="00E57C83"/>
    <w:rsid w:val="00E57C96"/>
    <w:rsid w:val="00E57D61"/>
    <w:rsid w:val="00E57ECE"/>
    <w:rsid w:val="00E57FE2"/>
    <w:rsid w:val="00E60008"/>
    <w:rsid w:val="00E6003B"/>
    <w:rsid w:val="00E600FA"/>
    <w:rsid w:val="00E60324"/>
    <w:rsid w:val="00E603FD"/>
    <w:rsid w:val="00E6043C"/>
    <w:rsid w:val="00E60657"/>
    <w:rsid w:val="00E60681"/>
    <w:rsid w:val="00E60AF6"/>
    <w:rsid w:val="00E60C35"/>
    <w:rsid w:val="00E60D2E"/>
    <w:rsid w:val="00E60D8E"/>
    <w:rsid w:val="00E60DA6"/>
    <w:rsid w:val="00E60E5B"/>
    <w:rsid w:val="00E60E5E"/>
    <w:rsid w:val="00E610AE"/>
    <w:rsid w:val="00E613CF"/>
    <w:rsid w:val="00E61549"/>
    <w:rsid w:val="00E615FC"/>
    <w:rsid w:val="00E6166E"/>
    <w:rsid w:val="00E61756"/>
    <w:rsid w:val="00E617D4"/>
    <w:rsid w:val="00E6207B"/>
    <w:rsid w:val="00E6221F"/>
    <w:rsid w:val="00E622F6"/>
    <w:rsid w:val="00E6282A"/>
    <w:rsid w:val="00E62856"/>
    <w:rsid w:val="00E62AFF"/>
    <w:rsid w:val="00E62BFD"/>
    <w:rsid w:val="00E62C6F"/>
    <w:rsid w:val="00E62DBE"/>
    <w:rsid w:val="00E63654"/>
    <w:rsid w:val="00E637F4"/>
    <w:rsid w:val="00E63836"/>
    <w:rsid w:val="00E63887"/>
    <w:rsid w:val="00E63919"/>
    <w:rsid w:val="00E63A2B"/>
    <w:rsid w:val="00E63B24"/>
    <w:rsid w:val="00E63E99"/>
    <w:rsid w:val="00E64083"/>
    <w:rsid w:val="00E64296"/>
    <w:rsid w:val="00E645BC"/>
    <w:rsid w:val="00E646E2"/>
    <w:rsid w:val="00E647B0"/>
    <w:rsid w:val="00E64858"/>
    <w:rsid w:val="00E648FD"/>
    <w:rsid w:val="00E64928"/>
    <w:rsid w:val="00E64B0D"/>
    <w:rsid w:val="00E64C7A"/>
    <w:rsid w:val="00E64E0F"/>
    <w:rsid w:val="00E65014"/>
    <w:rsid w:val="00E650C5"/>
    <w:rsid w:val="00E651D1"/>
    <w:rsid w:val="00E65289"/>
    <w:rsid w:val="00E656DE"/>
    <w:rsid w:val="00E659EC"/>
    <w:rsid w:val="00E65B24"/>
    <w:rsid w:val="00E65B4B"/>
    <w:rsid w:val="00E65D53"/>
    <w:rsid w:val="00E65E9B"/>
    <w:rsid w:val="00E66099"/>
    <w:rsid w:val="00E6615A"/>
    <w:rsid w:val="00E662A6"/>
    <w:rsid w:val="00E662F5"/>
    <w:rsid w:val="00E665AD"/>
    <w:rsid w:val="00E66854"/>
    <w:rsid w:val="00E66AE7"/>
    <w:rsid w:val="00E66B17"/>
    <w:rsid w:val="00E66BE4"/>
    <w:rsid w:val="00E66C0D"/>
    <w:rsid w:val="00E66C86"/>
    <w:rsid w:val="00E66ED9"/>
    <w:rsid w:val="00E67165"/>
    <w:rsid w:val="00E671F3"/>
    <w:rsid w:val="00E67244"/>
    <w:rsid w:val="00E673F6"/>
    <w:rsid w:val="00E67457"/>
    <w:rsid w:val="00E67472"/>
    <w:rsid w:val="00E675FB"/>
    <w:rsid w:val="00E676AF"/>
    <w:rsid w:val="00E676C4"/>
    <w:rsid w:val="00E67817"/>
    <w:rsid w:val="00E6790F"/>
    <w:rsid w:val="00E67918"/>
    <w:rsid w:val="00E67C59"/>
    <w:rsid w:val="00E67D83"/>
    <w:rsid w:val="00E67E75"/>
    <w:rsid w:val="00E67EAA"/>
    <w:rsid w:val="00E67F85"/>
    <w:rsid w:val="00E67FD9"/>
    <w:rsid w:val="00E67FEE"/>
    <w:rsid w:val="00E700AA"/>
    <w:rsid w:val="00E701F2"/>
    <w:rsid w:val="00E70475"/>
    <w:rsid w:val="00E705FA"/>
    <w:rsid w:val="00E70706"/>
    <w:rsid w:val="00E7071A"/>
    <w:rsid w:val="00E70831"/>
    <w:rsid w:val="00E7088A"/>
    <w:rsid w:val="00E70E29"/>
    <w:rsid w:val="00E71032"/>
    <w:rsid w:val="00E717F6"/>
    <w:rsid w:val="00E71A60"/>
    <w:rsid w:val="00E71D2B"/>
    <w:rsid w:val="00E71DD0"/>
    <w:rsid w:val="00E71DFD"/>
    <w:rsid w:val="00E71E5B"/>
    <w:rsid w:val="00E71EE7"/>
    <w:rsid w:val="00E71FCE"/>
    <w:rsid w:val="00E721E9"/>
    <w:rsid w:val="00E722FC"/>
    <w:rsid w:val="00E7234C"/>
    <w:rsid w:val="00E7272F"/>
    <w:rsid w:val="00E72820"/>
    <w:rsid w:val="00E729DB"/>
    <w:rsid w:val="00E72C75"/>
    <w:rsid w:val="00E72DCD"/>
    <w:rsid w:val="00E72FAD"/>
    <w:rsid w:val="00E72FB1"/>
    <w:rsid w:val="00E72FB2"/>
    <w:rsid w:val="00E72FCD"/>
    <w:rsid w:val="00E7343F"/>
    <w:rsid w:val="00E73464"/>
    <w:rsid w:val="00E73A2D"/>
    <w:rsid w:val="00E73AE2"/>
    <w:rsid w:val="00E73B48"/>
    <w:rsid w:val="00E73B6D"/>
    <w:rsid w:val="00E73B9F"/>
    <w:rsid w:val="00E73BFE"/>
    <w:rsid w:val="00E73F26"/>
    <w:rsid w:val="00E74193"/>
    <w:rsid w:val="00E742D7"/>
    <w:rsid w:val="00E7448C"/>
    <w:rsid w:val="00E746EA"/>
    <w:rsid w:val="00E747B7"/>
    <w:rsid w:val="00E748BA"/>
    <w:rsid w:val="00E74BF9"/>
    <w:rsid w:val="00E74C26"/>
    <w:rsid w:val="00E74DE6"/>
    <w:rsid w:val="00E74E5C"/>
    <w:rsid w:val="00E74E98"/>
    <w:rsid w:val="00E74F04"/>
    <w:rsid w:val="00E74F0E"/>
    <w:rsid w:val="00E750D5"/>
    <w:rsid w:val="00E75262"/>
    <w:rsid w:val="00E75479"/>
    <w:rsid w:val="00E75530"/>
    <w:rsid w:val="00E755A7"/>
    <w:rsid w:val="00E7565D"/>
    <w:rsid w:val="00E75673"/>
    <w:rsid w:val="00E75743"/>
    <w:rsid w:val="00E757B1"/>
    <w:rsid w:val="00E7585B"/>
    <w:rsid w:val="00E758DB"/>
    <w:rsid w:val="00E75990"/>
    <w:rsid w:val="00E75A45"/>
    <w:rsid w:val="00E75B83"/>
    <w:rsid w:val="00E75FB5"/>
    <w:rsid w:val="00E7627C"/>
    <w:rsid w:val="00E7639C"/>
    <w:rsid w:val="00E7647E"/>
    <w:rsid w:val="00E76659"/>
    <w:rsid w:val="00E76819"/>
    <w:rsid w:val="00E7690E"/>
    <w:rsid w:val="00E76BDE"/>
    <w:rsid w:val="00E76C0E"/>
    <w:rsid w:val="00E76F8C"/>
    <w:rsid w:val="00E772F9"/>
    <w:rsid w:val="00E774A2"/>
    <w:rsid w:val="00E77669"/>
    <w:rsid w:val="00E779EF"/>
    <w:rsid w:val="00E77AD3"/>
    <w:rsid w:val="00E77BC3"/>
    <w:rsid w:val="00E801C8"/>
    <w:rsid w:val="00E8032E"/>
    <w:rsid w:val="00E805FB"/>
    <w:rsid w:val="00E80808"/>
    <w:rsid w:val="00E809CA"/>
    <w:rsid w:val="00E80A58"/>
    <w:rsid w:val="00E80B0B"/>
    <w:rsid w:val="00E80B34"/>
    <w:rsid w:val="00E80B86"/>
    <w:rsid w:val="00E80B93"/>
    <w:rsid w:val="00E80E43"/>
    <w:rsid w:val="00E80FA6"/>
    <w:rsid w:val="00E81023"/>
    <w:rsid w:val="00E8107C"/>
    <w:rsid w:val="00E81387"/>
    <w:rsid w:val="00E8173A"/>
    <w:rsid w:val="00E817C6"/>
    <w:rsid w:val="00E81BDD"/>
    <w:rsid w:val="00E81BFD"/>
    <w:rsid w:val="00E81CE5"/>
    <w:rsid w:val="00E81EF0"/>
    <w:rsid w:val="00E81F65"/>
    <w:rsid w:val="00E81FB6"/>
    <w:rsid w:val="00E82364"/>
    <w:rsid w:val="00E82384"/>
    <w:rsid w:val="00E823E8"/>
    <w:rsid w:val="00E8247F"/>
    <w:rsid w:val="00E82515"/>
    <w:rsid w:val="00E827BC"/>
    <w:rsid w:val="00E82817"/>
    <w:rsid w:val="00E82904"/>
    <w:rsid w:val="00E82AB7"/>
    <w:rsid w:val="00E82B75"/>
    <w:rsid w:val="00E82D3A"/>
    <w:rsid w:val="00E82D58"/>
    <w:rsid w:val="00E830A0"/>
    <w:rsid w:val="00E83211"/>
    <w:rsid w:val="00E8327E"/>
    <w:rsid w:val="00E834FE"/>
    <w:rsid w:val="00E83505"/>
    <w:rsid w:val="00E83784"/>
    <w:rsid w:val="00E83961"/>
    <w:rsid w:val="00E83A0F"/>
    <w:rsid w:val="00E83B45"/>
    <w:rsid w:val="00E83C15"/>
    <w:rsid w:val="00E83F71"/>
    <w:rsid w:val="00E83F81"/>
    <w:rsid w:val="00E83FAE"/>
    <w:rsid w:val="00E8406E"/>
    <w:rsid w:val="00E841FD"/>
    <w:rsid w:val="00E84374"/>
    <w:rsid w:val="00E84494"/>
    <w:rsid w:val="00E845DC"/>
    <w:rsid w:val="00E846F2"/>
    <w:rsid w:val="00E84A0F"/>
    <w:rsid w:val="00E84B4A"/>
    <w:rsid w:val="00E84CB1"/>
    <w:rsid w:val="00E84EFA"/>
    <w:rsid w:val="00E84FFA"/>
    <w:rsid w:val="00E85231"/>
    <w:rsid w:val="00E8544B"/>
    <w:rsid w:val="00E8559A"/>
    <w:rsid w:val="00E85929"/>
    <w:rsid w:val="00E85AE8"/>
    <w:rsid w:val="00E85B12"/>
    <w:rsid w:val="00E85C9A"/>
    <w:rsid w:val="00E8600F"/>
    <w:rsid w:val="00E86225"/>
    <w:rsid w:val="00E8640B"/>
    <w:rsid w:val="00E86422"/>
    <w:rsid w:val="00E86635"/>
    <w:rsid w:val="00E86776"/>
    <w:rsid w:val="00E8695A"/>
    <w:rsid w:val="00E869CF"/>
    <w:rsid w:val="00E869E3"/>
    <w:rsid w:val="00E86A8B"/>
    <w:rsid w:val="00E86B6C"/>
    <w:rsid w:val="00E86D2A"/>
    <w:rsid w:val="00E86E1C"/>
    <w:rsid w:val="00E8748C"/>
    <w:rsid w:val="00E87AC7"/>
    <w:rsid w:val="00E87B1C"/>
    <w:rsid w:val="00E87BC6"/>
    <w:rsid w:val="00E87CBA"/>
    <w:rsid w:val="00E87DC6"/>
    <w:rsid w:val="00E9018E"/>
    <w:rsid w:val="00E90327"/>
    <w:rsid w:val="00E904F9"/>
    <w:rsid w:val="00E9056E"/>
    <w:rsid w:val="00E905B7"/>
    <w:rsid w:val="00E90911"/>
    <w:rsid w:val="00E9095F"/>
    <w:rsid w:val="00E90C14"/>
    <w:rsid w:val="00E90D3F"/>
    <w:rsid w:val="00E90DF4"/>
    <w:rsid w:val="00E90E72"/>
    <w:rsid w:val="00E90EB3"/>
    <w:rsid w:val="00E90F2D"/>
    <w:rsid w:val="00E912CD"/>
    <w:rsid w:val="00E913A3"/>
    <w:rsid w:val="00E9176A"/>
    <w:rsid w:val="00E91B0E"/>
    <w:rsid w:val="00E91B7F"/>
    <w:rsid w:val="00E91BA1"/>
    <w:rsid w:val="00E91DC3"/>
    <w:rsid w:val="00E91EDA"/>
    <w:rsid w:val="00E9203E"/>
    <w:rsid w:val="00E920EF"/>
    <w:rsid w:val="00E9234B"/>
    <w:rsid w:val="00E92440"/>
    <w:rsid w:val="00E928E8"/>
    <w:rsid w:val="00E9291D"/>
    <w:rsid w:val="00E929F0"/>
    <w:rsid w:val="00E929F3"/>
    <w:rsid w:val="00E92DAA"/>
    <w:rsid w:val="00E92FCF"/>
    <w:rsid w:val="00E930A9"/>
    <w:rsid w:val="00E9355E"/>
    <w:rsid w:val="00E9358B"/>
    <w:rsid w:val="00E93629"/>
    <w:rsid w:val="00E938BC"/>
    <w:rsid w:val="00E938FC"/>
    <w:rsid w:val="00E9393C"/>
    <w:rsid w:val="00E93A15"/>
    <w:rsid w:val="00E93C1C"/>
    <w:rsid w:val="00E93CA8"/>
    <w:rsid w:val="00E93E2A"/>
    <w:rsid w:val="00E93E82"/>
    <w:rsid w:val="00E93EDB"/>
    <w:rsid w:val="00E94072"/>
    <w:rsid w:val="00E94268"/>
    <w:rsid w:val="00E9483E"/>
    <w:rsid w:val="00E94A0C"/>
    <w:rsid w:val="00E94A6D"/>
    <w:rsid w:val="00E94B5A"/>
    <w:rsid w:val="00E94B6E"/>
    <w:rsid w:val="00E94BCA"/>
    <w:rsid w:val="00E94D4C"/>
    <w:rsid w:val="00E94E3C"/>
    <w:rsid w:val="00E94E70"/>
    <w:rsid w:val="00E95185"/>
    <w:rsid w:val="00E955E0"/>
    <w:rsid w:val="00E9561F"/>
    <w:rsid w:val="00E9562B"/>
    <w:rsid w:val="00E95972"/>
    <w:rsid w:val="00E95A39"/>
    <w:rsid w:val="00E95AE9"/>
    <w:rsid w:val="00E95D2C"/>
    <w:rsid w:val="00E95EB9"/>
    <w:rsid w:val="00E96038"/>
    <w:rsid w:val="00E96203"/>
    <w:rsid w:val="00E96276"/>
    <w:rsid w:val="00E9649C"/>
    <w:rsid w:val="00E96693"/>
    <w:rsid w:val="00E966B2"/>
    <w:rsid w:val="00E966CA"/>
    <w:rsid w:val="00E9691C"/>
    <w:rsid w:val="00E96979"/>
    <w:rsid w:val="00E96A95"/>
    <w:rsid w:val="00E96E4E"/>
    <w:rsid w:val="00E96E51"/>
    <w:rsid w:val="00E96EA6"/>
    <w:rsid w:val="00E9709A"/>
    <w:rsid w:val="00E97103"/>
    <w:rsid w:val="00E97496"/>
    <w:rsid w:val="00E9756C"/>
    <w:rsid w:val="00E9771E"/>
    <w:rsid w:val="00E9776A"/>
    <w:rsid w:val="00E9777B"/>
    <w:rsid w:val="00E977A3"/>
    <w:rsid w:val="00E977CA"/>
    <w:rsid w:val="00E97A0F"/>
    <w:rsid w:val="00E97DF2"/>
    <w:rsid w:val="00E97E37"/>
    <w:rsid w:val="00E97F0C"/>
    <w:rsid w:val="00E97F49"/>
    <w:rsid w:val="00E99FFA"/>
    <w:rsid w:val="00EA0252"/>
    <w:rsid w:val="00EA0399"/>
    <w:rsid w:val="00EA0402"/>
    <w:rsid w:val="00EA045D"/>
    <w:rsid w:val="00EA0512"/>
    <w:rsid w:val="00EA052A"/>
    <w:rsid w:val="00EA05B7"/>
    <w:rsid w:val="00EA0606"/>
    <w:rsid w:val="00EA069F"/>
    <w:rsid w:val="00EA07AB"/>
    <w:rsid w:val="00EA0946"/>
    <w:rsid w:val="00EA0A77"/>
    <w:rsid w:val="00EA0AB7"/>
    <w:rsid w:val="00EA0B02"/>
    <w:rsid w:val="00EA0BE5"/>
    <w:rsid w:val="00EA0EE8"/>
    <w:rsid w:val="00EA1013"/>
    <w:rsid w:val="00EA112A"/>
    <w:rsid w:val="00EA1332"/>
    <w:rsid w:val="00EA1343"/>
    <w:rsid w:val="00EA14D3"/>
    <w:rsid w:val="00EA14FE"/>
    <w:rsid w:val="00EA152F"/>
    <w:rsid w:val="00EA1670"/>
    <w:rsid w:val="00EA168A"/>
    <w:rsid w:val="00EA16D0"/>
    <w:rsid w:val="00EA1840"/>
    <w:rsid w:val="00EA1AAC"/>
    <w:rsid w:val="00EA1E4B"/>
    <w:rsid w:val="00EA1FD7"/>
    <w:rsid w:val="00EA2388"/>
    <w:rsid w:val="00EA240F"/>
    <w:rsid w:val="00EA263D"/>
    <w:rsid w:val="00EA2919"/>
    <w:rsid w:val="00EA295F"/>
    <w:rsid w:val="00EA2A49"/>
    <w:rsid w:val="00EA2C40"/>
    <w:rsid w:val="00EA2DD6"/>
    <w:rsid w:val="00EA2E9B"/>
    <w:rsid w:val="00EA305D"/>
    <w:rsid w:val="00EA3128"/>
    <w:rsid w:val="00EA33AE"/>
    <w:rsid w:val="00EA33EF"/>
    <w:rsid w:val="00EA3403"/>
    <w:rsid w:val="00EA360A"/>
    <w:rsid w:val="00EA362E"/>
    <w:rsid w:val="00EA3883"/>
    <w:rsid w:val="00EA391F"/>
    <w:rsid w:val="00EA3923"/>
    <w:rsid w:val="00EA3991"/>
    <w:rsid w:val="00EA3DE1"/>
    <w:rsid w:val="00EA3F91"/>
    <w:rsid w:val="00EA3FDD"/>
    <w:rsid w:val="00EA423D"/>
    <w:rsid w:val="00EA44E4"/>
    <w:rsid w:val="00EA455B"/>
    <w:rsid w:val="00EA4857"/>
    <w:rsid w:val="00EA4878"/>
    <w:rsid w:val="00EA4A4E"/>
    <w:rsid w:val="00EA4A57"/>
    <w:rsid w:val="00EA4C6A"/>
    <w:rsid w:val="00EA4D4D"/>
    <w:rsid w:val="00EA4DF5"/>
    <w:rsid w:val="00EA50E6"/>
    <w:rsid w:val="00EA519D"/>
    <w:rsid w:val="00EA51CE"/>
    <w:rsid w:val="00EA523D"/>
    <w:rsid w:val="00EA52EA"/>
    <w:rsid w:val="00EA53A4"/>
    <w:rsid w:val="00EA54AD"/>
    <w:rsid w:val="00EA55A8"/>
    <w:rsid w:val="00EA5696"/>
    <w:rsid w:val="00EA569D"/>
    <w:rsid w:val="00EA56D0"/>
    <w:rsid w:val="00EA57D5"/>
    <w:rsid w:val="00EA5A09"/>
    <w:rsid w:val="00EA5AAB"/>
    <w:rsid w:val="00EA5C6B"/>
    <w:rsid w:val="00EA5CDD"/>
    <w:rsid w:val="00EA5E2B"/>
    <w:rsid w:val="00EA5E99"/>
    <w:rsid w:val="00EA5EF3"/>
    <w:rsid w:val="00EA5F5A"/>
    <w:rsid w:val="00EA5FDF"/>
    <w:rsid w:val="00EA60B1"/>
    <w:rsid w:val="00EA60D8"/>
    <w:rsid w:val="00EA64A0"/>
    <w:rsid w:val="00EA6516"/>
    <w:rsid w:val="00EA6540"/>
    <w:rsid w:val="00EA6754"/>
    <w:rsid w:val="00EA6794"/>
    <w:rsid w:val="00EA6B4F"/>
    <w:rsid w:val="00EA6B83"/>
    <w:rsid w:val="00EA70C4"/>
    <w:rsid w:val="00EA71C4"/>
    <w:rsid w:val="00EA736A"/>
    <w:rsid w:val="00EA7445"/>
    <w:rsid w:val="00EA767C"/>
    <w:rsid w:val="00EA7951"/>
    <w:rsid w:val="00EA79DB"/>
    <w:rsid w:val="00EA7A02"/>
    <w:rsid w:val="00EA7B77"/>
    <w:rsid w:val="00EA7CA6"/>
    <w:rsid w:val="00EA7D33"/>
    <w:rsid w:val="00EB0556"/>
    <w:rsid w:val="00EB067A"/>
    <w:rsid w:val="00EB06CF"/>
    <w:rsid w:val="00EB07F8"/>
    <w:rsid w:val="00EB0A33"/>
    <w:rsid w:val="00EB0B66"/>
    <w:rsid w:val="00EB0B89"/>
    <w:rsid w:val="00EB0D37"/>
    <w:rsid w:val="00EB0D3C"/>
    <w:rsid w:val="00EB0DC3"/>
    <w:rsid w:val="00EB10F3"/>
    <w:rsid w:val="00EB1197"/>
    <w:rsid w:val="00EB119D"/>
    <w:rsid w:val="00EB12B7"/>
    <w:rsid w:val="00EB13D2"/>
    <w:rsid w:val="00EB14A0"/>
    <w:rsid w:val="00EB1641"/>
    <w:rsid w:val="00EB16DE"/>
    <w:rsid w:val="00EB1777"/>
    <w:rsid w:val="00EB1898"/>
    <w:rsid w:val="00EB18CF"/>
    <w:rsid w:val="00EB1935"/>
    <w:rsid w:val="00EB1CD8"/>
    <w:rsid w:val="00EB1CF8"/>
    <w:rsid w:val="00EB1FD5"/>
    <w:rsid w:val="00EB203B"/>
    <w:rsid w:val="00EB217E"/>
    <w:rsid w:val="00EB23C9"/>
    <w:rsid w:val="00EB25BC"/>
    <w:rsid w:val="00EB2738"/>
    <w:rsid w:val="00EB27B0"/>
    <w:rsid w:val="00EB27D5"/>
    <w:rsid w:val="00EB2BFD"/>
    <w:rsid w:val="00EB2D37"/>
    <w:rsid w:val="00EB2D5C"/>
    <w:rsid w:val="00EB2F19"/>
    <w:rsid w:val="00EB2F43"/>
    <w:rsid w:val="00EB2FB3"/>
    <w:rsid w:val="00EB30F3"/>
    <w:rsid w:val="00EB3191"/>
    <w:rsid w:val="00EB31CC"/>
    <w:rsid w:val="00EB3248"/>
    <w:rsid w:val="00EB338C"/>
    <w:rsid w:val="00EB33F7"/>
    <w:rsid w:val="00EB34B2"/>
    <w:rsid w:val="00EB36B8"/>
    <w:rsid w:val="00EB3A0F"/>
    <w:rsid w:val="00EB3B37"/>
    <w:rsid w:val="00EB3B98"/>
    <w:rsid w:val="00EB4175"/>
    <w:rsid w:val="00EB4222"/>
    <w:rsid w:val="00EB4318"/>
    <w:rsid w:val="00EB49AF"/>
    <w:rsid w:val="00EB4B97"/>
    <w:rsid w:val="00EB5224"/>
    <w:rsid w:val="00EB534B"/>
    <w:rsid w:val="00EB5370"/>
    <w:rsid w:val="00EB56A8"/>
    <w:rsid w:val="00EB5776"/>
    <w:rsid w:val="00EB58CA"/>
    <w:rsid w:val="00EB5934"/>
    <w:rsid w:val="00EB5972"/>
    <w:rsid w:val="00EB59FA"/>
    <w:rsid w:val="00EB5A80"/>
    <w:rsid w:val="00EB5EDA"/>
    <w:rsid w:val="00EB60F3"/>
    <w:rsid w:val="00EB622E"/>
    <w:rsid w:val="00EB62A2"/>
    <w:rsid w:val="00EB660A"/>
    <w:rsid w:val="00EB6751"/>
    <w:rsid w:val="00EB6757"/>
    <w:rsid w:val="00EB6915"/>
    <w:rsid w:val="00EB6AE7"/>
    <w:rsid w:val="00EB6C73"/>
    <w:rsid w:val="00EB708A"/>
    <w:rsid w:val="00EB7280"/>
    <w:rsid w:val="00EB7470"/>
    <w:rsid w:val="00EB7801"/>
    <w:rsid w:val="00EB7ABD"/>
    <w:rsid w:val="00EB7B72"/>
    <w:rsid w:val="00EB7C48"/>
    <w:rsid w:val="00EB7CDB"/>
    <w:rsid w:val="00EB7CF0"/>
    <w:rsid w:val="00EB7EFC"/>
    <w:rsid w:val="00EC012C"/>
    <w:rsid w:val="00EC0191"/>
    <w:rsid w:val="00EC04E9"/>
    <w:rsid w:val="00EC06E6"/>
    <w:rsid w:val="00EC0793"/>
    <w:rsid w:val="00EC07D4"/>
    <w:rsid w:val="00EC095B"/>
    <w:rsid w:val="00EC09F7"/>
    <w:rsid w:val="00EC0D0C"/>
    <w:rsid w:val="00EC0E55"/>
    <w:rsid w:val="00EC0F5D"/>
    <w:rsid w:val="00EC0F8B"/>
    <w:rsid w:val="00EC107F"/>
    <w:rsid w:val="00EC10DD"/>
    <w:rsid w:val="00EC1211"/>
    <w:rsid w:val="00EC13FE"/>
    <w:rsid w:val="00EC15FA"/>
    <w:rsid w:val="00EC16FD"/>
    <w:rsid w:val="00EC1A7C"/>
    <w:rsid w:val="00EC1D52"/>
    <w:rsid w:val="00EC1D92"/>
    <w:rsid w:val="00EC1EA7"/>
    <w:rsid w:val="00EC21BF"/>
    <w:rsid w:val="00EC2485"/>
    <w:rsid w:val="00EC2570"/>
    <w:rsid w:val="00EC2988"/>
    <w:rsid w:val="00EC2B0F"/>
    <w:rsid w:val="00EC2B81"/>
    <w:rsid w:val="00EC2C4A"/>
    <w:rsid w:val="00EC2D8B"/>
    <w:rsid w:val="00EC2DB9"/>
    <w:rsid w:val="00EC2F58"/>
    <w:rsid w:val="00EC3081"/>
    <w:rsid w:val="00EC3303"/>
    <w:rsid w:val="00EC3460"/>
    <w:rsid w:val="00EC34D2"/>
    <w:rsid w:val="00EC35C1"/>
    <w:rsid w:val="00EC35FB"/>
    <w:rsid w:val="00EC38D4"/>
    <w:rsid w:val="00EC3A53"/>
    <w:rsid w:val="00EC3A96"/>
    <w:rsid w:val="00EC3CC6"/>
    <w:rsid w:val="00EC3F20"/>
    <w:rsid w:val="00EC407E"/>
    <w:rsid w:val="00EC4540"/>
    <w:rsid w:val="00EC45D1"/>
    <w:rsid w:val="00EC4750"/>
    <w:rsid w:val="00EC4757"/>
    <w:rsid w:val="00EC4862"/>
    <w:rsid w:val="00EC4C94"/>
    <w:rsid w:val="00EC4CC5"/>
    <w:rsid w:val="00EC4CFC"/>
    <w:rsid w:val="00EC4DA8"/>
    <w:rsid w:val="00EC4DB4"/>
    <w:rsid w:val="00EC4FEE"/>
    <w:rsid w:val="00EC50BF"/>
    <w:rsid w:val="00EC5262"/>
    <w:rsid w:val="00EC529B"/>
    <w:rsid w:val="00EC5305"/>
    <w:rsid w:val="00EC5456"/>
    <w:rsid w:val="00EC5474"/>
    <w:rsid w:val="00EC5A2A"/>
    <w:rsid w:val="00EC5F66"/>
    <w:rsid w:val="00EC601D"/>
    <w:rsid w:val="00EC6101"/>
    <w:rsid w:val="00EC63A9"/>
    <w:rsid w:val="00EC63B7"/>
    <w:rsid w:val="00EC6409"/>
    <w:rsid w:val="00EC6533"/>
    <w:rsid w:val="00EC66EF"/>
    <w:rsid w:val="00EC6791"/>
    <w:rsid w:val="00EC67C1"/>
    <w:rsid w:val="00EC6A92"/>
    <w:rsid w:val="00EC6B00"/>
    <w:rsid w:val="00EC6CD7"/>
    <w:rsid w:val="00EC6CED"/>
    <w:rsid w:val="00EC6CFA"/>
    <w:rsid w:val="00EC6EA4"/>
    <w:rsid w:val="00EC6FEE"/>
    <w:rsid w:val="00EC7099"/>
    <w:rsid w:val="00EC70B5"/>
    <w:rsid w:val="00EC718B"/>
    <w:rsid w:val="00EC73AC"/>
    <w:rsid w:val="00EC75CC"/>
    <w:rsid w:val="00EC75FD"/>
    <w:rsid w:val="00EC7C97"/>
    <w:rsid w:val="00EC7DA6"/>
    <w:rsid w:val="00EC7EB7"/>
    <w:rsid w:val="00EC7ECE"/>
    <w:rsid w:val="00ED0017"/>
    <w:rsid w:val="00ED00B2"/>
    <w:rsid w:val="00ED00F9"/>
    <w:rsid w:val="00ED00FE"/>
    <w:rsid w:val="00ED0123"/>
    <w:rsid w:val="00ED0158"/>
    <w:rsid w:val="00ED01CA"/>
    <w:rsid w:val="00ED0313"/>
    <w:rsid w:val="00ED050E"/>
    <w:rsid w:val="00ED05CF"/>
    <w:rsid w:val="00ED05E0"/>
    <w:rsid w:val="00ED08AB"/>
    <w:rsid w:val="00ED0BBD"/>
    <w:rsid w:val="00ED0DCC"/>
    <w:rsid w:val="00ED0DFD"/>
    <w:rsid w:val="00ED0F1E"/>
    <w:rsid w:val="00ED0F50"/>
    <w:rsid w:val="00ED110B"/>
    <w:rsid w:val="00ED11B1"/>
    <w:rsid w:val="00ED130C"/>
    <w:rsid w:val="00ED130F"/>
    <w:rsid w:val="00ED1C69"/>
    <w:rsid w:val="00ED1F05"/>
    <w:rsid w:val="00ED2057"/>
    <w:rsid w:val="00ED2157"/>
    <w:rsid w:val="00ED23C8"/>
    <w:rsid w:val="00ED241F"/>
    <w:rsid w:val="00ED2541"/>
    <w:rsid w:val="00ED2789"/>
    <w:rsid w:val="00ED2882"/>
    <w:rsid w:val="00ED2956"/>
    <w:rsid w:val="00ED29DB"/>
    <w:rsid w:val="00ED2A5D"/>
    <w:rsid w:val="00ED2A8E"/>
    <w:rsid w:val="00ED2AD0"/>
    <w:rsid w:val="00ED2C75"/>
    <w:rsid w:val="00ED2E8C"/>
    <w:rsid w:val="00ED2FA1"/>
    <w:rsid w:val="00ED3183"/>
    <w:rsid w:val="00ED330F"/>
    <w:rsid w:val="00ED338B"/>
    <w:rsid w:val="00ED33C5"/>
    <w:rsid w:val="00ED35F5"/>
    <w:rsid w:val="00ED36FD"/>
    <w:rsid w:val="00ED3A26"/>
    <w:rsid w:val="00ED3B6E"/>
    <w:rsid w:val="00ED3BDF"/>
    <w:rsid w:val="00ED403C"/>
    <w:rsid w:val="00ED40EB"/>
    <w:rsid w:val="00ED4995"/>
    <w:rsid w:val="00ED4BB7"/>
    <w:rsid w:val="00ED4C24"/>
    <w:rsid w:val="00ED4D00"/>
    <w:rsid w:val="00ED4E17"/>
    <w:rsid w:val="00ED4F82"/>
    <w:rsid w:val="00ED5317"/>
    <w:rsid w:val="00ED537C"/>
    <w:rsid w:val="00ED544C"/>
    <w:rsid w:val="00ED54F1"/>
    <w:rsid w:val="00ED5584"/>
    <w:rsid w:val="00ED57AF"/>
    <w:rsid w:val="00ED5845"/>
    <w:rsid w:val="00ED5AED"/>
    <w:rsid w:val="00ED5E1B"/>
    <w:rsid w:val="00ED6366"/>
    <w:rsid w:val="00ED6493"/>
    <w:rsid w:val="00ED663D"/>
    <w:rsid w:val="00ED664A"/>
    <w:rsid w:val="00ED6729"/>
    <w:rsid w:val="00ED679E"/>
    <w:rsid w:val="00ED68F2"/>
    <w:rsid w:val="00ED6B03"/>
    <w:rsid w:val="00ED6C30"/>
    <w:rsid w:val="00ED6DB9"/>
    <w:rsid w:val="00ED6F4A"/>
    <w:rsid w:val="00ED7028"/>
    <w:rsid w:val="00ED73E7"/>
    <w:rsid w:val="00ED7583"/>
    <w:rsid w:val="00ED75C5"/>
    <w:rsid w:val="00ED77E2"/>
    <w:rsid w:val="00ED7A47"/>
    <w:rsid w:val="00ED7AC8"/>
    <w:rsid w:val="00ED7D1F"/>
    <w:rsid w:val="00ED7D33"/>
    <w:rsid w:val="00ED7EF1"/>
    <w:rsid w:val="00ED7F0E"/>
    <w:rsid w:val="00EE000B"/>
    <w:rsid w:val="00EE01D6"/>
    <w:rsid w:val="00EE047B"/>
    <w:rsid w:val="00EE04D3"/>
    <w:rsid w:val="00EE052F"/>
    <w:rsid w:val="00EE06C2"/>
    <w:rsid w:val="00EE08D8"/>
    <w:rsid w:val="00EE0932"/>
    <w:rsid w:val="00EE0A36"/>
    <w:rsid w:val="00EE0ADB"/>
    <w:rsid w:val="00EE0B26"/>
    <w:rsid w:val="00EE0BC8"/>
    <w:rsid w:val="00EE0BF3"/>
    <w:rsid w:val="00EE0C54"/>
    <w:rsid w:val="00EE0D00"/>
    <w:rsid w:val="00EE0DC1"/>
    <w:rsid w:val="00EE0DF7"/>
    <w:rsid w:val="00EE13D0"/>
    <w:rsid w:val="00EE1409"/>
    <w:rsid w:val="00EE142C"/>
    <w:rsid w:val="00EE14FA"/>
    <w:rsid w:val="00EE1522"/>
    <w:rsid w:val="00EE152E"/>
    <w:rsid w:val="00EE1559"/>
    <w:rsid w:val="00EE1603"/>
    <w:rsid w:val="00EE16BC"/>
    <w:rsid w:val="00EE18DD"/>
    <w:rsid w:val="00EE1A10"/>
    <w:rsid w:val="00EE1B74"/>
    <w:rsid w:val="00EE1D21"/>
    <w:rsid w:val="00EE221A"/>
    <w:rsid w:val="00EE2284"/>
    <w:rsid w:val="00EE237B"/>
    <w:rsid w:val="00EE2593"/>
    <w:rsid w:val="00EE25C9"/>
    <w:rsid w:val="00EE2889"/>
    <w:rsid w:val="00EE2A72"/>
    <w:rsid w:val="00EE2C31"/>
    <w:rsid w:val="00EE2D25"/>
    <w:rsid w:val="00EE31A6"/>
    <w:rsid w:val="00EE328A"/>
    <w:rsid w:val="00EE331A"/>
    <w:rsid w:val="00EE337D"/>
    <w:rsid w:val="00EE3439"/>
    <w:rsid w:val="00EE349A"/>
    <w:rsid w:val="00EE3525"/>
    <w:rsid w:val="00EE3649"/>
    <w:rsid w:val="00EE399F"/>
    <w:rsid w:val="00EE39C9"/>
    <w:rsid w:val="00EE3A53"/>
    <w:rsid w:val="00EE3A77"/>
    <w:rsid w:val="00EE3C6B"/>
    <w:rsid w:val="00EE3E19"/>
    <w:rsid w:val="00EE3E95"/>
    <w:rsid w:val="00EE3F2C"/>
    <w:rsid w:val="00EE40A1"/>
    <w:rsid w:val="00EE4135"/>
    <w:rsid w:val="00EE4227"/>
    <w:rsid w:val="00EE4270"/>
    <w:rsid w:val="00EE42EE"/>
    <w:rsid w:val="00EE431F"/>
    <w:rsid w:val="00EE4471"/>
    <w:rsid w:val="00EE455C"/>
    <w:rsid w:val="00EE4BFB"/>
    <w:rsid w:val="00EE4CAC"/>
    <w:rsid w:val="00EE4FB9"/>
    <w:rsid w:val="00EE5070"/>
    <w:rsid w:val="00EE51F5"/>
    <w:rsid w:val="00EE52B1"/>
    <w:rsid w:val="00EE532E"/>
    <w:rsid w:val="00EE5445"/>
    <w:rsid w:val="00EE570B"/>
    <w:rsid w:val="00EE5723"/>
    <w:rsid w:val="00EE5BF7"/>
    <w:rsid w:val="00EE5EEC"/>
    <w:rsid w:val="00EE5FA7"/>
    <w:rsid w:val="00EE6035"/>
    <w:rsid w:val="00EE6037"/>
    <w:rsid w:val="00EE61D7"/>
    <w:rsid w:val="00EE62E4"/>
    <w:rsid w:val="00EE6406"/>
    <w:rsid w:val="00EE6755"/>
    <w:rsid w:val="00EE6D74"/>
    <w:rsid w:val="00EE6FF3"/>
    <w:rsid w:val="00EE70BE"/>
    <w:rsid w:val="00EE71FE"/>
    <w:rsid w:val="00EE723C"/>
    <w:rsid w:val="00EE7313"/>
    <w:rsid w:val="00EE7523"/>
    <w:rsid w:val="00EE7635"/>
    <w:rsid w:val="00EE7771"/>
    <w:rsid w:val="00EE7985"/>
    <w:rsid w:val="00EE79F0"/>
    <w:rsid w:val="00EE7AB0"/>
    <w:rsid w:val="00EE7B38"/>
    <w:rsid w:val="00EE7BB3"/>
    <w:rsid w:val="00EE7CE5"/>
    <w:rsid w:val="00EE7F64"/>
    <w:rsid w:val="00EF01F2"/>
    <w:rsid w:val="00EF05DC"/>
    <w:rsid w:val="00EF069A"/>
    <w:rsid w:val="00EF0798"/>
    <w:rsid w:val="00EF0AA5"/>
    <w:rsid w:val="00EF0B19"/>
    <w:rsid w:val="00EF0E98"/>
    <w:rsid w:val="00EF0F99"/>
    <w:rsid w:val="00EF1270"/>
    <w:rsid w:val="00EF1368"/>
    <w:rsid w:val="00EF138A"/>
    <w:rsid w:val="00EF17E1"/>
    <w:rsid w:val="00EF1850"/>
    <w:rsid w:val="00EF1A44"/>
    <w:rsid w:val="00EF1E2C"/>
    <w:rsid w:val="00EF1E59"/>
    <w:rsid w:val="00EF1EB0"/>
    <w:rsid w:val="00EF1FD7"/>
    <w:rsid w:val="00EF219A"/>
    <w:rsid w:val="00EF223E"/>
    <w:rsid w:val="00EF242C"/>
    <w:rsid w:val="00EF24DB"/>
    <w:rsid w:val="00EF26C5"/>
    <w:rsid w:val="00EF28B2"/>
    <w:rsid w:val="00EF2A3F"/>
    <w:rsid w:val="00EF2A69"/>
    <w:rsid w:val="00EF2AF2"/>
    <w:rsid w:val="00EF2B46"/>
    <w:rsid w:val="00EF2D09"/>
    <w:rsid w:val="00EF2EA3"/>
    <w:rsid w:val="00EF2EB1"/>
    <w:rsid w:val="00EF2FDA"/>
    <w:rsid w:val="00EF30DD"/>
    <w:rsid w:val="00EF324C"/>
    <w:rsid w:val="00EF389E"/>
    <w:rsid w:val="00EF38C8"/>
    <w:rsid w:val="00EF3970"/>
    <w:rsid w:val="00EF39AB"/>
    <w:rsid w:val="00EF3DD7"/>
    <w:rsid w:val="00EF3ECA"/>
    <w:rsid w:val="00EF3EE3"/>
    <w:rsid w:val="00EF3FD0"/>
    <w:rsid w:val="00EF4121"/>
    <w:rsid w:val="00EF414B"/>
    <w:rsid w:val="00EF41D7"/>
    <w:rsid w:val="00EF42D8"/>
    <w:rsid w:val="00EF435A"/>
    <w:rsid w:val="00EF4589"/>
    <w:rsid w:val="00EF45BE"/>
    <w:rsid w:val="00EF464B"/>
    <w:rsid w:val="00EF4777"/>
    <w:rsid w:val="00EF49D8"/>
    <w:rsid w:val="00EF49EA"/>
    <w:rsid w:val="00EF4A1E"/>
    <w:rsid w:val="00EF4A4D"/>
    <w:rsid w:val="00EF4C71"/>
    <w:rsid w:val="00EF4C81"/>
    <w:rsid w:val="00EF4E8D"/>
    <w:rsid w:val="00EF4F95"/>
    <w:rsid w:val="00EF4FFA"/>
    <w:rsid w:val="00EF527F"/>
    <w:rsid w:val="00EF53E0"/>
    <w:rsid w:val="00EF5486"/>
    <w:rsid w:val="00EF551E"/>
    <w:rsid w:val="00EF56C1"/>
    <w:rsid w:val="00EF5744"/>
    <w:rsid w:val="00EF57F0"/>
    <w:rsid w:val="00EF57F2"/>
    <w:rsid w:val="00EF5AF4"/>
    <w:rsid w:val="00EF5CA8"/>
    <w:rsid w:val="00EF5CB4"/>
    <w:rsid w:val="00EF5DF2"/>
    <w:rsid w:val="00EF627E"/>
    <w:rsid w:val="00EF62A7"/>
    <w:rsid w:val="00EF6827"/>
    <w:rsid w:val="00EF6AA6"/>
    <w:rsid w:val="00EF6C03"/>
    <w:rsid w:val="00EF6C55"/>
    <w:rsid w:val="00EF6C57"/>
    <w:rsid w:val="00EF6CCB"/>
    <w:rsid w:val="00EF6DB2"/>
    <w:rsid w:val="00EF6FCB"/>
    <w:rsid w:val="00EF713B"/>
    <w:rsid w:val="00EF71F6"/>
    <w:rsid w:val="00EF721C"/>
    <w:rsid w:val="00EF72E7"/>
    <w:rsid w:val="00EF75B0"/>
    <w:rsid w:val="00EF76A0"/>
    <w:rsid w:val="00EF76E8"/>
    <w:rsid w:val="00EF774E"/>
    <w:rsid w:val="00EF7A5A"/>
    <w:rsid w:val="00EF7B63"/>
    <w:rsid w:val="00EF7C92"/>
    <w:rsid w:val="00EF7E05"/>
    <w:rsid w:val="00EF7EDC"/>
    <w:rsid w:val="00EF7FBA"/>
    <w:rsid w:val="00F001F8"/>
    <w:rsid w:val="00F00212"/>
    <w:rsid w:val="00F0035F"/>
    <w:rsid w:val="00F00870"/>
    <w:rsid w:val="00F00A80"/>
    <w:rsid w:val="00F00C8A"/>
    <w:rsid w:val="00F00C9E"/>
    <w:rsid w:val="00F00DA0"/>
    <w:rsid w:val="00F00F24"/>
    <w:rsid w:val="00F0112B"/>
    <w:rsid w:val="00F01170"/>
    <w:rsid w:val="00F0126E"/>
    <w:rsid w:val="00F01760"/>
    <w:rsid w:val="00F017C8"/>
    <w:rsid w:val="00F018E6"/>
    <w:rsid w:val="00F018FA"/>
    <w:rsid w:val="00F01D16"/>
    <w:rsid w:val="00F01EB7"/>
    <w:rsid w:val="00F0201B"/>
    <w:rsid w:val="00F02126"/>
    <w:rsid w:val="00F023CA"/>
    <w:rsid w:val="00F024F2"/>
    <w:rsid w:val="00F0254D"/>
    <w:rsid w:val="00F02619"/>
    <w:rsid w:val="00F026F1"/>
    <w:rsid w:val="00F0285D"/>
    <w:rsid w:val="00F02AF2"/>
    <w:rsid w:val="00F02CEA"/>
    <w:rsid w:val="00F02EE6"/>
    <w:rsid w:val="00F02F36"/>
    <w:rsid w:val="00F030C9"/>
    <w:rsid w:val="00F030ED"/>
    <w:rsid w:val="00F03171"/>
    <w:rsid w:val="00F031E2"/>
    <w:rsid w:val="00F03279"/>
    <w:rsid w:val="00F0338B"/>
    <w:rsid w:val="00F0345C"/>
    <w:rsid w:val="00F0354D"/>
    <w:rsid w:val="00F03624"/>
    <w:rsid w:val="00F03CBA"/>
    <w:rsid w:val="00F03EA0"/>
    <w:rsid w:val="00F04136"/>
    <w:rsid w:val="00F042D8"/>
    <w:rsid w:val="00F044B0"/>
    <w:rsid w:val="00F0455F"/>
    <w:rsid w:val="00F04A61"/>
    <w:rsid w:val="00F04AF8"/>
    <w:rsid w:val="00F04CFB"/>
    <w:rsid w:val="00F04F12"/>
    <w:rsid w:val="00F04F5B"/>
    <w:rsid w:val="00F052A9"/>
    <w:rsid w:val="00F052D5"/>
    <w:rsid w:val="00F054B1"/>
    <w:rsid w:val="00F0556A"/>
    <w:rsid w:val="00F0556B"/>
    <w:rsid w:val="00F05786"/>
    <w:rsid w:val="00F05870"/>
    <w:rsid w:val="00F059E4"/>
    <w:rsid w:val="00F05D3C"/>
    <w:rsid w:val="00F05D53"/>
    <w:rsid w:val="00F05F44"/>
    <w:rsid w:val="00F05FBE"/>
    <w:rsid w:val="00F05FDB"/>
    <w:rsid w:val="00F06851"/>
    <w:rsid w:val="00F068C7"/>
    <w:rsid w:val="00F06BFB"/>
    <w:rsid w:val="00F06F03"/>
    <w:rsid w:val="00F071A7"/>
    <w:rsid w:val="00F0741E"/>
    <w:rsid w:val="00F076A0"/>
    <w:rsid w:val="00F07776"/>
    <w:rsid w:val="00F0796D"/>
    <w:rsid w:val="00F07A9F"/>
    <w:rsid w:val="00F07AE7"/>
    <w:rsid w:val="00F07E4C"/>
    <w:rsid w:val="00F0FA50"/>
    <w:rsid w:val="00F10202"/>
    <w:rsid w:val="00F1026D"/>
    <w:rsid w:val="00F10431"/>
    <w:rsid w:val="00F1062E"/>
    <w:rsid w:val="00F10735"/>
    <w:rsid w:val="00F108ED"/>
    <w:rsid w:val="00F10AB9"/>
    <w:rsid w:val="00F10AC5"/>
    <w:rsid w:val="00F10BC7"/>
    <w:rsid w:val="00F10E9B"/>
    <w:rsid w:val="00F10ED6"/>
    <w:rsid w:val="00F10EDE"/>
    <w:rsid w:val="00F11047"/>
    <w:rsid w:val="00F11459"/>
    <w:rsid w:val="00F115B4"/>
    <w:rsid w:val="00F11601"/>
    <w:rsid w:val="00F11697"/>
    <w:rsid w:val="00F1175F"/>
    <w:rsid w:val="00F117D8"/>
    <w:rsid w:val="00F119BF"/>
    <w:rsid w:val="00F11AF1"/>
    <w:rsid w:val="00F11C77"/>
    <w:rsid w:val="00F11D47"/>
    <w:rsid w:val="00F11D6F"/>
    <w:rsid w:val="00F11F64"/>
    <w:rsid w:val="00F121CC"/>
    <w:rsid w:val="00F1222C"/>
    <w:rsid w:val="00F122D1"/>
    <w:rsid w:val="00F122DB"/>
    <w:rsid w:val="00F122E3"/>
    <w:rsid w:val="00F1230E"/>
    <w:rsid w:val="00F124C1"/>
    <w:rsid w:val="00F124F6"/>
    <w:rsid w:val="00F1271E"/>
    <w:rsid w:val="00F12AA7"/>
    <w:rsid w:val="00F12B10"/>
    <w:rsid w:val="00F12ED4"/>
    <w:rsid w:val="00F12FCA"/>
    <w:rsid w:val="00F132BF"/>
    <w:rsid w:val="00F1346C"/>
    <w:rsid w:val="00F134E5"/>
    <w:rsid w:val="00F135F2"/>
    <w:rsid w:val="00F1368E"/>
    <w:rsid w:val="00F138E7"/>
    <w:rsid w:val="00F13906"/>
    <w:rsid w:val="00F13AB1"/>
    <w:rsid w:val="00F13BFB"/>
    <w:rsid w:val="00F13D0E"/>
    <w:rsid w:val="00F13E35"/>
    <w:rsid w:val="00F13E85"/>
    <w:rsid w:val="00F13FAD"/>
    <w:rsid w:val="00F1424A"/>
    <w:rsid w:val="00F1461A"/>
    <w:rsid w:val="00F146BD"/>
    <w:rsid w:val="00F146CD"/>
    <w:rsid w:val="00F14704"/>
    <w:rsid w:val="00F1484A"/>
    <w:rsid w:val="00F14888"/>
    <w:rsid w:val="00F14904"/>
    <w:rsid w:val="00F14A50"/>
    <w:rsid w:val="00F14A71"/>
    <w:rsid w:val="00F14A9E"/>
    <w:rsid w:val="00F14D67"/>
    <w:rsid w:val="00F14E42"/>
    <w:rsid w:val="00F14E5F"/>
    <w:rsid w:val="00F1501C"/>
    <w:rsid w:val="00F150D8"/>
    <w:rsid w:val="00F15256"/>
    <w:rsid w:val="00F1543B"/>
    <w:rsid w:val="00F15529"/>
    <w:rsid w:val="00F157F6"/>
    <w:rsid w:val="00F1583A"/>
    <w:rsid w:val="00F159E4"/>
    <w:rsid w:val="00F15CB0"/>
    <w:rsid w:val="00F15E37"/>
    <w:rsid w:val="00F15FF5"/>
    <w:rsid w:val="00F16017"/>
    <w:rsid w:val="00F16049"/>
    <w:rsid w:val="00F16052"/>
    <w:rsid w:val="00F1610E"/>
    <w:rsid w:val="00F1613D"/>
    <w:rsid w:val="00F1616C"/>
    <w:rsid w:val="00F1619A"/>
    <w:rsid w:val="00F16249"/>
    <w:rsid w:val="00F16270"/>
    <w:rsid w:val="00F1654D"/>
    <w:rsid w:val="00F1656D"/>
    <w:rsid w:val="00F166FA"/>
    <w:rsid w:val="00F16759"/>
    <w:rsid w:val="00F16833"/>
    <w:rsid w:val="00F16C6C"/>
    <w:rsid w:val="00F16D5B"/>
    <w:rsid w:val="00F16F93"/>
    <w:rsid w:val="00F1719F"/>
    <w:rsid w:val="00F17414"/>
    <w:rsid w:val="00F174A5"/>
    <w:rsid w:val="00F1756B"/>
    <w:rsid w:val="00F1759B"/>
    <w:rsid w:val="00F17644"/>
    <w:rsid w:val="00F176F0"/>
    <w:rsid w:val="00F17733"/>
    <w:rsid w:val="00F178DC"/>
    <w:rsid w:val="00F17900"/>
    <w:rsid w:val="00F17A16"/>
    <w:rsid w:val="00F17DD5"/>
    <w:rsid w:val="00F17DE1"/>
    <w:rsid w:val="00F17FBF"/>
    <w:rsid w:val="00F1C765"/>
    <w:rsid w:val="00F202D5"/>
    <w:rsid w:val="00F2042F"/>
    <w:rsid w:val="00F20468"/>
    <w:rsid w:val="00F2050A"/>
    <w:rsid w:val="00F20725"/>
    <w:rsid w:val="00F20769"/>
    <w:rsid w:val="00F208BA"/>
    <w:rsid w:val="00F20901"/>
    <w:rsid w:val="00F20D52"/>
    <w:rsid w:val="00F20EFD"/>
    <w:rsid w:val="00F2138E"/>
    <w:rsid w:val="00F21395"/>
    <w:rsid w:val="00F2150B"/>
    <w:rsid w:val="00F216C3"/>
    <w:rsid w:val="00F21CE2"/>
    <w:rsid w:val="00F21CF1"/>
    <w:rsid w:val="00F21D32"/>
    <w:rsid w:val="00F21D5F"/>
    <w:rsid w:val="00F21DB6"/>
    <w:rsid w:val="00F22089"/>
    <w:rsid w:val="00F223C3"/>
    <w:rsid w:val="00F223CD"/>
    <w:rsid w:val="00F223E4"/>
    <w:rsid w:val="00F2243C"/>
    <w:rsid w:val="00F2288C"/>
    <w:rsid w:val="00F2296B"/>
    <w:rsid w:val="00F229DF"/>
    <w:rsid w:val="00F22BEF"/>
    <w:rsid w:val="00F22E40"/>
    <w:rsid w:val="00F23024"/>
    <w:rsid w:val="00F2309D"/>
    <w:rsid w:val="00F23185"/>
    <w:rsid w:val="00F23300"/>
    <w:rsid w:val="00F235F6"/>
    <w:rsid w:val="00F23708"/>
    <w:rsid w:val="00F2378E"/>
    <w:rsid w:val="00F2380B"/>
    <w:rsid w:val="00F238EC"/>
    <w:rsid w:val="00F239FF"/>
    <w:rsid w:val="00F23C25"/>
    <w:rsid w:val="00F23C95"/>
    <w:rsid w:val="00F23DB4"/>
    <w:rsid w:val="00F23F79"/>
    <w:rsid w:val="00F23FE4"/>
    <w:rsid w:val="00F240AB"/>
    <w:rsid w:val="00F240EA"/>
    <w:rsid w:val="00F242D1"/>
    <w:rsid w:val="00F24620"/>
    <w:rsid w:val="00F24665"/>
    <w:rsid w:val="00F24701"/>
    <w:rsid w:val="00F24711"/>
    <w:rsid w:val="00F249CB"/>
    <w:rsid w:val="00F249E8"/>
    <w:rsid w:val="00F249EF"/>
    <w:rsid w:val="00F24B04"/>
    <w:rsid w:val="00F24C02"/>
    <w:rsid w:val="00F24C75"/>
    <w:rsid w:val="00F24DA4"/>
    <w:rsid w:val="00F24EF1"/>
    <w:rsid w:val="00F24F4F"/>
    <w:rsid w:val="00F25045"/>
    <w:rsid w:val="00F2519A"/>
    <w:rsid w:val="00F25369"/>
    <w:rsid w:val="00F2537D"/>
    <w:rsid w:val="00F25581"/>
    <w:rsid w:val="00F255D7"/>
    <w:rsid w:val="00F2578C"/>
    <w:rsid w:val="00F2589F"/>
    <w:rsid w:val="00F25937"/>
    <w:rsid w:val="00F259CB"/>
    <w:rsid w:val="00F25D5E"/>
    <w:rsid w:val="00F25EB5"/>
    <w:rsid w:val="00F26052"/>
    <w:rsid w:val="00F263DF"/>
    <w:rsid w:val="00F2656C"/>
    <w:rsid w:val="00F26600"/>
    <w:rsid w:val="00F2673B"/>
    <w:rsid w:val="00F268E4"/>
    <w:rsid w:val="00F26A89"/>
    <w:rsid w:val="00F26BD2"/>
    <w:rsid w:val="00F26C50"/>
    <w:rsid w:val="00F26CEA"/>
    <w:rsid w:val="00F26DB7"/>
    <w:rsid w:val="00F26E38"/>
    <w:rsid w:val="00F26E72"/>
    <w:rsid w:val="00F26F8A"/>
    <w:rsid w:val="00F26FDA"/>
    <w:rsid w:val="00F2703A"/>
    <w:rsid w:val="00F27056"/>
    <w:rsid w:val="00F27180"/>
    <w:rsid w:val="00F27271"/>
    <w:rsid w:val="00F272A2"/>
    <w:rsid w:val="00F27301"/>
    <w:rsid w:val="00F2761E"/>
    <w:rsid w:val="00F276D5"/>
    <w:rsid w:val="00F277AF"/>
    <w:rsid w:val="00F277F7"/>
    <w:rsid w:val="00F27819"/>
    <w:rsid w:val="00F279DC"/>
    <w:rsid w:val="00F27EDF"/>
    <w:rsid w:val="00F304E2"/>
    <w:rsid w:val="00F30B6B"/>
    <w:rsid w:val="00F30C58"/>
    <w:rsid w:val="00F30D01"/>
    <w:rsid w:val="00F30E80"/>
    <w:rsid w:val="00F30E9A"/>
    <w:rsid w:val="00F31097"/>
    <w:rsid w:val="00F31190"/>
    <w:rsid w:val="00F3150A"/>
    <w:rsid w:val="00F31991"/>
    <w:rsid w:val="00F31ADE"/>
    <w:rsid w:val="00F31CEC"/>
    <w:rsid w:val="00F31D27"/>
    <w:rsid w:val="00F31E93"/>
    <w:rsid w:val="00F31F5D"/>
    <w:rsid w:val="00F31FC0"/>
    <w:rsid w:val="00F32126"/>
    <w:rsid w:val="00F322DB"/>
    <w:rsid w:val="00F32495"/>
    <w:rsid w:val="00F3295A"/>
    <w:rsid w:val="00F32A36"/>
    <w:rsid w:val="00F32CC8"/>
    <w:rsid w:val="00F32DAF"/>
    <w:rsid w:val="00F32DBD"/>
    <w:rsid w:val="00F32F3E"/>
    <w:rsid w:val="00F32FC9"/>
    <w:rsid w:val="00F33038"/>
    <w:rsid w:val="00F334D8"/>
    <w:rsid w:val="00F336BF"/>
    <w:rsid w:val="00F33FA2"/>
    <w:rsid w:val="00F3403C"/>
    <w:rsid w:val="00F3403D"/>
    <w:rsid w:val="00F342EE"/>
    <w:rsid w:val="00F34412"/>
    <w:rsid w:val="00F3451A"/>
    <w:rsid w:val="00F346B9"/>
    <w:rsid w:val="00F346D4"/>
    <w:rsid w:val="00F34C81"/>
    <w:rsid w:val="00F34F2D"/>
    <w:rsid w:val="00F353CF"/>
    <w:rsid w:val="00F356D4"/>
    <w:rsid w:val="00F35C7D"/>
    <w:rsid w:val="00F35D90"/>
    <w:rsid w:val="00F35E07"/>
    <w:rsid w:val="00F35FCD"/>
    <w:rsid w:val="00F35FEE"/>
    <w:rsid w:val="00F36104"/>
    <w:rsid w:val="00F363F5"/>
    <w:rsid w:val="00F3644F"/>
    <w:rsid w:val="00F3650A"/>
    <w:rsid w:val="00F36558"/>
    <w:rsid w:val="00F3657A"/>
    <w:rsid w:val="00F365FD"/>
    <w:rsid w:val="00F36D05"/>
    <w:rsid w:val="00F36D1D"/>
    <w:rsid w:val="00F36D95"/>
    <w:rsid w:val="00F36EC0"/>
    <w:rsid w:val="00F37075"/>
    <w:rsid w:val="00F374A7"/>
    <w:rsid w:val="00F374D1"/>
    <w:rsid w:val="00F3753F"/>
    <w:rsid w:val="00F37760"/>
    <w:rsid w:val="00F37768"/>
    <w:rsid w:val="00F378E4"/>
    <w:rsid w:val="00F37AFC"/>
    <w:rsid w:val="00F37B88"/>
    <w:rsid w:val="00F37B8C"/>
    <w:rsid w:val="00F37DE6"/>
    <w:rsid w:val="00F37FB8"/>
    <w:rsid w:val="00F4002C"/>
    <w:rsid w:val="00F4012B"/>
    <w:rsid w:val="00F401E0"/>
    <w:rsid w:val="00F402CB"/>
    <w:rsid w:val="00F403E8"/>
    <w:rsid w:val="00F4042F"/>
    <w:rsid w:val="00F406E5"/>
    <w:rsid w:val="00F4092C"/>
    <w:rsid w:val="00F4096B"/>
    <w:rsid w:val="00F40A48"/>
    <w:rsid w:val="00F40B01"/>
    <w:rsid w:val="00F40B09"/>
    <w:rsid w:val="00F40CAD"/>
    <w:rsid w:val="00F40D88"/>
    <w:rsid w:val="00F410C2"/>
    <w:rsid w:val="00F41197"/>
    <w:rsid w:val="00F4120F"/>
    <w:rsid w:val="00F41283"/>
    <w:rsid w:val="00F4132A"/>
    <w:rsid w:val="00F413CF"/>
    <w:rsid w:val="00F41570"/>
    <w:rsid w:val="00F416A2"/>
    <w:rsid w:val="00F41744"/>
    <w:rsid w:val="00F4176A"/>
    <w:rsid w:val="00F4194A"/>
    <w:rsid w:val="00F41D22"/>
    <w:rsid w:val="00F41DE1"/>
    <w:rsid w:val="00F41E2B"/>
    <w:rsid w:val="00F41E43"/>
    <w:rsid w:val="00F420FF"/>
    <w:rsid w:val="00F42134"/>
    <w:rsid w:val="00F422C3"/>
    <w:rsid w:val="00F423BC"/>
    <w:rsid w:val="00F4249D"/>
    <w:rsid w:val="00F42635"/>
    <w:rsid w:val="00F42842"/>
    <w:rsid w:val="00F4291E"/>
    <w:rsid w:val="00F42AF9"/>
    <w:rsid w:val="00F42B87"/>
    <w:rsid w:val="00F42CF0"/>
    <w:rsid w:val="00F42E05"/>
    <w:rsid w:val="00F42E66"/>
    <w:rsid w:val="00F42F05"/>
    <w:rsid w:val="00F42FBD"/>
    <w:rsid w:val="00F4304D"/>
    <w:rsid w:val="00F43191"/>
    <w:rsid w:val="00F43280"/>
    <w:rsid w:val="00F43324"/>
    <w:rsid w:val="00F43358"/>
    <w:rsid w:val="00F43361"/>
    <w:rsid w:val="00F433AD"/>
    <w:rsid w:val="00F43419"/>
    <w:rsid w:val="00F4343C"/>
    <w:rsid w:val="00F4348C"/>
    <w:rsid w:val="00F43500"/>
    <w:rsid w:val="00F4351F"/>
    <w:rsid w:val="00F436C6"/>
    <w:rsid w:val="00F43826"/>
    <w:rsid w:val="00F438F4"/>
    <w:rsid w:val="00F43CAA"/>
    <w:rsid w:val="00F43DCA"/>
    <w:rsid w:val="00F43E0D"/>
    <w:rsid w:val="00F43E39"/>
    <w:rsid w:val="00F4445C"/>
    <w:rsid w:val="00F444AD"/>
    <w:rsid w:val="00F444D1"/>
    <w:rsid w:val="00F446E4"/>
    <w:rsid w:val="00F4472C"/>
    <w:rsid w:val="00F4478A"/>
    <w:rsid w:val="00F447D0"/>
    <w:rsid w:val="00F44836"/>
    <w:rsid w:val="00F448B3"/>
    <w:rsid w:val="00F44E30"/>
    <w:rsid w:val="00F44ECB"/>
    <w:rsid w:val="00F44F26"/>
    <w:rsid w:val="00F45068"/>
    <w:rsid w:val="00F453B4"/>
    <w:rsid w:val="00F453CD"/>
    <w:rsid w:val="00F458AF"/>
    <w:rsid w:val="00F45ADB"/>
    <w:rsid w:val="00F45AE6"/>
    <w:rsid w:val="00F45C8C"/>
    <w:rsid w:val="00F45DE2"/>
    <w:rsid w:val="00F4604F"/>
    <w:rsid w:val="00F461F6"/>
    <w:rsid w:val="00F46212"/>
    <w:rsid w:val="00F46347"/>
    <w:rsid w:val="00F4635E"/>
    <w:rsid w:val="00F46556"/>
    <w:rsid w:val="00F46602"/>
    <w:rsid w:val="00F466AE"/>
    <w:rsid w:val="00F466BE"/>
    <w:rsid w:val="00F46843"/>
    <w:rsid w:val="00F46949"/>
    <w:rsid w:val="00F469CF"/>
    <w:rsid w:val="00F469F3"/>
    <w:rsid w:val="00F46A7D"/>
    <w:rsid w:val="00F46D0F"/>
    <w:rsid w:val="00F46DA7"/>
    <w:rsid w:val="00F46FD7"/>
    <w:rsid w:val="00F470BF"/>
    <w:rsid w:val="00F471FD"/>
    <w:rsid w:val="00F4723B"/>
    <w:rsid w:val="00F47329"/>
    <w:rsid w:val="00F47441"/>
    <w:rsid w:val="00F474CD"/>
    <w:rsid w:val="00F47838"/>
    <w:rsid w:val="00F47A5D"/>
    <w:rsid w:val="00F47A7B"/>
    <w:rsid w:val="00F47B2A"/>
    <w:rsid w:val="00F47BD4"/>
    <w:rsid w:val="00F47CEB"/>
    <w:rsid w:val="00F47D24"/>
    <w:rsid w:val="00F47EEB"/>
    <w:rsid w:val="00F47F9D"/>
    <w:rsid w:val="00F501AB"/>
    <w:rsid w:val="00F5045C"/>
    <w:rsid w:val="00F5049C"/>
    <w:rsid w:val="00F50663"/>
    <w:rsid w:val="00F50928"/>
    <w:rsid w:val="00F5096B"/>
    <w:rsid w:val="00F509D1"/>
    <w:rsid w:val="00F50A10"/>
    <w:rsid w:val="00F50B1A"/>
    <w:rsid w:val="00F50CBA"/>
    <w:rsid w:val="00F50D99"/>
    <w:rsid w:val="00F50DAF"/>
    <w:rsid w:val="00F50E1A"/>
    <w:rsid w:val="00F50E30"/>
    <w:rsid w:val="00F50E8B"/>
    <w:rsid w:val="00F51208"/>
    <w:rsid w:val="00F51525"/>
    <w:rsid w:val="00F51551"/>
    <w:rsid w:val="00F51739"/>
    <w:rsid w:val="00F5177A"/>
    <w:rsid w:val="00F518AD"/>
    <w:rsid w:val="00F518CA"/>
    <w:rsid w:val="00F51BC8"/>
    <w:rsid w:val="00F52117"/>
    <w:rsid w:val="00F5244D"/>
    <w:rsid w:val="00F52682"/>
    <w:rsid w:val="00F52770"/>
    <w:rsid w:val="00F52A35"/>
    <w:rsid w:val="00F52AB4"/>
    <w:rsid w:val="00F52C56"/>
    <w:rsid w:val="00F53015"/>
    <w:rsid w:val="00F53051"/>
    <w:rsid w:val="00F530D2"/>
    <w:rsid w:val="00F533BA"/>
    <w:rsid w:val="00F5349F"/>
    <w:rsid w:val="00F536DD"/>
    <w:rsid w:val="00F53758"/>
    <w:rsid w:val="00F5387D"/>
    <w:rsid w:val="00F53ABE"/>
    <w:rsid w:val="00F53E19"/>
    <w:rsid w:val="00F53E48"/>
    <w:rsid w:val="00F53E5B"/>
    <w:rsid w:val="00F53F03"/>
    <w:rsid w:val="00F541B3"/>
    <w:rsid w:val="00F541D0"/>
    <w:rsid w:val="00F54385"/>
    <w:rsid w:val="00F544E8"/>
    <w:rsid w:val="00F545C8"/>
    <w:rsid w:val="00F548C7"/>
    <w:rsid w:val="00F549F2"/>
    <w:rsid w:val="00F54A15"/>
    <w:rsid w:val="00F54B1B"/>
    <w:rsid w:val="00F54B65"/>
    <w:rsid w:val="00F54C9F"/>
    <w:rsid w:val="00F55185"/>
    <w:rsid w:val="00F551A2"/>
    <w:rsid w:val="00F5523B"/>
    <w:rsid w:val="00F553F9"/>
    <w:rsid w:val="00F55497"/>
    <w:rsid w:val="00F5549F"/>
    <w:rsid w:val="00F555E4"/>
    <w:rsid w:val="00F55600"/>
    <w:rsid w:val="00F557E1"/>
    <w:rsid w:val="00F55A81"/>
    <w:rsid w:val="00F55B6D"/>
    <w:rsid w:val="00F55DB7"/>
    <w:rsid w:val="00F55E43"/>
    <w:rsid w:val="00F55E9A"/>
    <w:rsid w:val="00F55F03"/>
    <w:rsid w:val="00F55FBC"/>
    <w:rsid w:val="00F5623E"/>
    <w:rsid w:val="00F56270"/>
    <w:rsid w:val="00F564C6"/>
    <w:rsid w:val="00F56827"/>
    <w:rsid w:val="00F56992"/>
    <w:rsid w:val="00F56BE5"/>
    <w:rsid w:val="00F56C40"/>
    <w:rsid w:val="00F56D26"/>
    <w:rsid w:val="00F56FD7"/>
    <w:rsid w:val="00F570AA"/>
    <w:rsid w:val="00F570F9"/>
    <w:rsid w:val="00F57173"/>
    <w:rsid w:val="00F572FE"/>
    <w:rsid w:val="00F5771B"/>
    <w:rsid w:val="00F57A6F"/>
    <w:rsid w:val="00F60071"/>
    <w:rsid w:val="00F60299"/>
    <w:rsid w:val="00F60586"/>
    <w:rsid w:val="00F60782"/>
    <w:rsid w:val="00F60D61"/>
    <w:rsid w:val="00F60DE1"/>
    <w:rsid w:val="00F6125A"/>
    <w:rsid w:val="00F61480"/>
    <w:rsid w:val="00F61800"/>
    <w:rsid w:val="00F61856"/>
    <w:rsid w:val="00F61958"/>
    <w:rsid w:val="00F61AE4"/>
    <w:rsid w:val="00F61B65"/>
    <w:rsid w:val="00F61F40"/>
    <w:rsid w:val="00F61F4D"/>
    <w:rsid w:val="00F61FB9"/>
    <w:rsid w:val="00F62109"/>
    <w:rsid w:val="00F625FF"/>
    <w:rsid w:val="00F6262F"/>
    <w:rsid w:val="00F62693"/>
    <w:rsid w:val="00F62967"/>
    <w:rsid w:val="00F629AF"/>
    <w:rsid w:val="00F62A05"/>
    <w:rsid w:val="00F62A33"/>
    <w:rsid w:val="00F62B09"/>
    <w:rsid w:val="00F62C92"/>
    <w:rsid w:val="00F62EC6"/>
    <w:rsid w:val="00F63233"/>
    <w:rsid w:val="00F632B7"/>
    <w:rsid w:val="00F633CD"/>
    <w:rsid w:val="00F63420"/>
    <w:rsid w:val="00F6356C"/>
    <w:rsid w:val="00F635FA"/>
    <w:rsid w:val="00F636A5"/>
    <w:rsid w:val="00F63991"/>
    <w:rsid w:val="00F63CF5"/>
    <w:rsid w:val="00F6404A"/>
    <w:rsid w:val="00F64612"/>
    <w:rsid w:val="00F6468F"/>
    <w:rsid w:val="00F646DE"/>
    <w:rsid w:val="00F647A9"/>
    <w:rsid w:val="00F64819"/>
    <w:rsid w:val="00F64965"/>
    <w:rsid w:val="00F64AE5"/>
    <w:rsid w:val="00F64E75"/>
    <w:rsid w:val="00F651AF"/>
    <w:rsid w:val="00F651E1"/>
    <w:rsid w:val="00F6524E"/>
    <w:rsid w:val="00F6533E"/>
    <w:rsid w:val="00F6553F"/>
    <w:rsid w:val="00F6554F"/>
    <w:rsid w:val="00F655B1"/>
    <w:rsid w:val="00F655D2"/>
    <w:rsid w:val="00F6568D"/>
    <w:rsid w:val="00F65A8D"/>
    <w:rsid w:val="00F65E5A"/>
    <w:rsid w:val="00F65EE0"/>
    <w:rsid w:val="00F66037"/>
    <w:rsid w:val="00F660BB"/>
    <w:rsid w:val="00F66125"/>
    <w:rsid w:val="00F66161"/>
    <w:rsid w:val="00F661F8"/>
    <w:rsid w:val="00F6632D"/>
    <w:rsid w:val="00F66644"/>
    <w:rsid w:val="00F66720"/>
    <w:rsid w:val="00F66796"/>
    <w:rsid w:val="00F669B4"/>
    <w:rsid w:val="00F669E3"/>
    <w:rsid w:val="00F66A70"/>
    <w:rsid w:val="00F66BED"/>
    <w:rsid w:val="00F66DB9"/>
    <w:rsid w:val="00F66F70"/>
    <w:rsid w:val="00F67178"/>
    <w:rsid w:val="00F67291"/>
    <w:rsid w:val="00F67539"/>
    <w:rsid w:val="00F67639"/>
    <w:rsid w:val="00F6773E"/>
    <w:rsid w:val="00F677CE"/>
    <w:rsid w:val="00F678DC"/>
    <w:rsid w:val="00F67A4E"/>
    <w:rsid w:val="00F67D03"/>
    <w:rsid w:val="00F67D16"/>
    <w:rsid w:val="00F67ED5"/>
    <w:rsid w:val="00F67F3D"/>
    <w:rsid w:val="00F67F83"/>
    <w:rsid w:val="00F70204"/>
    <w:rsid w:val="00F70631"/>
    <w:rsid w:val="00F7080A"/>
    <w:rsid w:val="00F70C47"/>
    <w:rsid w:val="00F70C8A"/>
    <w:rsid w:val="00F70D5D"/>
    <w:rsid w:val="00F70DEF"/>
    <w:rsid w:val="00F70E21"/>
    <w:rsid w:val="00F70EEF"/>
    <w:rsid w:val="00F7117B"/>
    <w:rsid w:val="00F711D1"/>
    <w:rsid w:val="00F712D8"/>
    <w:rsid w:val="00F71593"/>
    <w:rsid w:val="00F716AE"/>
    <w:rsid w:val="00F716B8"/>
    <w:rsid w:val="00F7196E"/>
    <w:rsid w:val="00F71B72"/>
    <w:rsid w:val="00F71BF6"/>
    <w:rsid w:val="00F71C4D"/>
    <w:rsid w:val="00F71FFC"/>
    <w:rsid w:val="00F7205A"/>
    <w:rsid w:val="00F7208A"/>
    <w:rsid w:val="00F722C0"/>
    <w:rsid w:val="00F7237F"/>
    <w:rsid w:val="00F723DF"/>
    <w:rsid w:val="00F72608"/>
    <w:rsid w:val="00F728FB"/>
    <w:rsid w:val="00F72C1F"/>
    <w:rsid w:val="00F72E4D"/>
    <w:rsid w:val="00F72EF2"/>
    <w:rsid w:val="00F7320C"/>
    <w:rsid w:val="00F733FA"/>
    <w:rsid w:val="00F7346E"/>
    <w:rsid w:val="00F734AC"/>
    <w:rsid w:val="00F734DF"/>
    <w:rsid w:val="00F737F2"/>
    <w:rsid w:val="00F73856"/>
    <w:rsid w:val="00F738E9"/>
    <w:rsid w:val="00F73AC1"/>
    <w:rsid w:val="00F73BFE"/>
    <w:rsid w:val="00F73DD9"/>
    <w:rsid w:val="00F73ED5"/>
    <w:rsid w:val="00F73F5C"/>
    <w:rsid w:val="00F74018"/>
    <w:rsid w:val="00F740AE"/>
    <w:rsid w:val="00F741DC"/>
    <w:rsid w:val="00F742F5"/>
    <w:rsid w:val="00F74433"/>
    <w:rsid w:val="00F7453F"/>
    <w:rsid w:val="00F7469E"/>
    <w:rsid w:val="00F747B5"/>
    <w:rsid w:val="00F74822"/>
    <w:rsid w:val="00F7487F"/>
    <w:rsid w:val="00F74AB1"/>
    <w:rsid w:val="00F74BC8"/>
    <w:rsid w:val="00F74DF0"/>
    <w:rsid w:val="00F74E1B"/>
    <w:rsid w:val="00F74E8C"/>
    <w:rsid w:val="00F751D0"/>
    <w:rsid w:val="00F751ED"/>
    <w:rsid w:val="00F7529B"/>
    <w:rsid w:val="00F752F5"/>
    <w:rsid w:val="00F7536A"/>
    <w:rsid w:val="00F7569B"/>
    <w:rsid w:val="00F75867"/>
    <w:rsid w:val="00F758AE"/>
    <w:rsid w:val="00F75917"/>
    <w:rsid w:val="00F75A14"/>
    <w:rsid w:val="00F75AF2"/>
    <w:rsid w:val="00F75B10"/>
    <w:rsid w:val="00F75BB0"/>
    <w:rsid w:val="00F75C54"/>
    <w:rsid w:val="00F75CAF"/>
    <w:rsid w:val="00F75D73"/>
    <w:rsid w:val="00F75DDC"/>
    <w:rsid w:val="00F75F6B"/>
    <w:rsid w:val="00F76090"/>
    <w:rsid w:val="00F760A1"/>
    <w:rsid w:val="00F7662D"/>
    <w:rsid w:val="00F7684E"/>
    <w:rsid w:val="00F76851"/>
    <w:rsid w:val="00F76B7A"/>
    <w:rsid w:val="00F76D38"/>
    <w:rsid w:val="00F76E54"/>
    <w:rsid w:val="00F77117"/>
    <w:rsid w:val="00F7739D"/>
    <w:rsid w:val="00F774E2"/>
    <w:rsid w:val="00F77525"/>
    <w:rsid w:val="00F775D5"/>
    <w:rsid w:val="00F77BCF"/>
    <w:rsid w:val="00F80026"/>
    <w:rsid w:val="00F800D2"/>
    <w:rsid w:val="00F80143"/>
    <w:rsid w:val="00F80449"/>
    <w:rsid w:val="00F80470"/>
    <w:rsid w:val="00F806CE"/>
    <w:rsid w:val="00F806D3"/>
    <w:rsid w:val="00F8089B"/>
    <w:rsid w:val="00F8097F"/>
    <w:rsid w:val="00F80984"/>
    <w:rsid w:val="00F81482"/>
    <w:rsid w:val="00F815FC"/>
    <w:rsid w:val="00F81641"/>
    <w:rsid w:val="00F81749"/>
    <w:rsid w:val="00F819EF"/>
    <w:rsid w:val="00F81A4D"/>
    <w:rsid w:val="00F81B00"/>
    <w:rsid w:val="00F81FEC"/>
    <w:rsid w:val="00F8204F"/>
    <w:rsid w:val="00F82382"/>
    <w:rsid w:val="00F82702"/>
    <w:rsid w:val="00F82B3C"/>
    <w:rsid w:val="00F82D96"/>
    <w:rsid w:val="00F831BF"/>
    <w:rsid w:val="00F833F8"/>
    <w:rsid w:val="00F83465"/>
    <w:rsid w:val="00F83558"/>
    <w:rsid w:val="00F83576"/>
    <w:rsid w:val="00F8370E"/>
    <w:rsid w:val="00F839D5"/>
    <w:rsid w:val="00F83B6B"/>
    <w:rsid w:val="00F83BB0"/>
    <w:rsid w:val="00F83F44"/>
    <w:rsid w:val="00F83FBD"/>
    <w:rsid w:val="00F84036"/>
    <w:rsid w:val="00F840C2"/>
    <w:rsid w:val="00F84534"/>
    <w:rsid w:val="00F846E0"/>
    <w:rsid w:val="00F84742"/>
    <w:rsid w:val="00F848D2"/>
    <w:rsid w:val="00F849EF"/>
    <w:rsid w:val="00F84EB1"/>
    <w:rsid w:val="00F84F1C"/>
    <w:rsid w:val="00F84F70"/>
    <w:rsid w:val="00F850AF"/>
    <w:rsid w:val="00F85289"/>
    <w:rsid w:val="00F8530C"/>
    <w:rsid w:val="00F85429"/>
    <w:rsid w:val="00F854E8"/>
    <w:rsid w:val="00F85562"/>
    <w:rsid w:val="00F859F3"/>
    <w:rsid w:val="00F85AFE"/>
    <w:rsid w:val="00F85BE6"/>
    <w:rsid w:val="00F860A7"/>
    <w:rsid w:val="00F8623B"/>
    <w:rsid w:val="00F86292"/>
    <w:rsid w:val="00F8648F"/>
    <w:rsid w:val="00F86596"/>
    <w:rsid w:val="00F865A8"/>
    <w:rsid w:val="00F86677"/>
    <w:rsid w:val="00F8670E"/>
    <w:rsid w:val="00F867E4"/>
    <w:rsid w:val="00F867EC"/>
    <w:rsid w:val="00F86994"/>
    <w:rsid w:val="00F86FAA"/>
    <w:rsid w:val="00F8707D"/>
    <w:rsid w:val="00F871C8"/>
    <w:rsid w:val="00F87319"/>
    <w:rsid w:val="00F8732E"/>
    <w:rsid w:val="00F875BD"/>
    <w:rsid w:val="00F8760A"/>
    <w:rsid w:val="00F87729"/>
    <w:rsid w:val="00F877B7"/>
    <w:rsid w:val="00F87932"/>
    <w:rsid w:val="00F87E27"/>
    <w:rsid w:val="00F9003B"/>
    <w:rsid w:val="00F901A3"/>
    <w:rsid w:val="00F905B6"/>
    <w:rsid w:val="00F906B6"/>
    <w:rsid w:val="00F906D6"/>
    <w:rsid w:val="00F90CC1"/>
    <w:rsid w:val="00F90DAA"/>
    <w:rsid w:val="00F90F34"/>
    <w:rsid w:val="00F91045"/>
    <w:rsid w:val="00F91185"/>
    <w:rsid w:val="00F91312"/>
    <w:rsid w:val="00F9187A"/>
    <w:rsid w:val="00F918CA"/>
    <w:rsid w:val="00F91903"/>
    <w:rsid w:val="00F91B09"/>
    <w:rsid w:val="00F91B8C"/>
    <w:rsid w:val="00F91BEE"/>
    <w:rsid w:val="00F91C19"/>
    <w:rsid w:val="00F91CE6"/>
    <w:rsid w:val="00F91DCF"/>
    <w:rsid w:val="00F9204E"/>
    <w:rsid w:val="00F920B7"/>
    <w:rsid w:val="00F92138"/>
    <w:rsid w:val="00F921D0"/>
    <w:rsid w:val="00F92449"/>
    <w:rsid w:val="00F929EB"/>
    <w:rsid w:val="00F92BD5"/>
    <w:rsid w:val="00F935B6"/>
    <w:rsid w:val="00F936B1"/>
    <w:rsid w:val="00F936C1"/>
    <w:rsid w:val="00F936EC"/>
    <w:rsid w:val="00F93828"/>
    <w:rsid w:val="00F938EF"/>
    <w:rsid w:val="00F93BDE"/>
    <w:rsid w:val="00F93DAC"/>
    <w:rsid w:val="00F93F3D"/>
    <w:rsid w:val="00F9441F"/>
    <w:rsid w:val="00F94466"/>
    <w:rsid w:val="00F94477"/>
    <w:rsid w:val="00F94853"/>
    <w:rsid w:val="00F948B1"/>
    <w:rsid w:val="00F94D09"/>
    <w:rsid w:val="00F94DE5"/>
    <w:rsid w:val="00F94EF1"/>
    <w:rsid w:val="00F95135"/>
    <w:rsid w:val="00F95197"/>
    <w:rsid w:val="00F951F5"/>
    <w:rsid w:val="00F95212"/>
    <w:rsid w:val="00F95311"/>
    <w:rsid w:val="00F95313"/>
    <w:rsid w:val="00F956F5"/>
    <w:rsid w:val="00F957C8"/>
    <w:rsid w:val="00F957EA"/>
    <w:rsid w:val="00F9584B"/>
    <w:rsid w:val="00F95AE0"/>
    <w:rsid w:val="00F95D63"/>
    <w:rsid w:val="00F95F55"/>
    <w:rsid w:val="00F95F5F"/>
    <w:rsid w:val="00F9622D"/>
    <w:rsid w:val="00F96337"/>
    <w:rsid w:val="00F9633E"/>
    <w:rsid w:val="00F9635C"/>
    <w:rsid w:val="00F963DB"/>
    <w:rsid w:val="00F9646C"/>
    <w:rsid w:val="00F9652A"/>
    <w:rsid w:val="00F96544"/>
    <w:rsid w:val="00F96569"/>
    <w:rsid w:val="00F9668D"/>
    <w:rsid w:val="00F96692"/>
    <w:rsid w:val="00F9688B"/>
    <w:rsid w:val="00F96A87"/>
    <w:rsid w:val="00F96B5F"/>
    <w:rsid w:val="00F96C31"/>
    <w:rsid w:val="00F96DC6"/>
    <w:rsid w:val="00F96F0E"/>
    <w:rsid w:val="00F97066"/>
    <w:rsid w:val="00F973AD"/>
    <w:rsid w:val="00F97491"/>
    <w:rsid w:val="00F97860"/>
    <w:rsid w:val="00F97863"/>
    <w:rsid w:val="00F97876"/>
    <w:rsid w:val="00F978D1"/>
    <w:rsid w:val="00F9796B"/>
    <w:rsid w:val="00F97AA7"/>
    <w:rsid w:val="00F97F71"/>
    <w:rsid w:val="00F97F9F"/>
    <w:rsid w:val="00FA01C1"/>
    <w:rsid w:val="00FA0313"/>
    <w:rsid w:val="00FA05F9"/>
    <w:rsid w:val="00FA0825"/>
    <w:rsid w:val="00FA08F7"/>
    <w:rsid w:val="00FA09B1"/>
    <w:rsid w:val="00FA09DF"/>
    <w:rsid w:val="00FA09E2"/>
    <w:rsid w:val="00FA0A34"/>
    <w:rsid w:val="00FA0A55"/>
    <w:rsid w:val="00FA0B6F"/>
    <w:rsid w:val="00FA0D3C"/>
    <w:rsid w:val="00FA1419"/>
    <w:rsid w:val="00FA170A"/>
    <w:rsid w:val="00FA1A94"/>
    <w:rsid w:val="00FA1B9C"/>
    <w:rsid w:val="00FA1E7E"/>
    <w:rsid w:val="00FA2017"/>
    <w:rsid w:val="00FA2075"/>
    <w:rsid w:val="00FA23B2"/>
    <w:rsid w:val="00FA24F6"/>
    <w:rsid w:val="00FA262C"/>
    <w:rsid w:val="00FA26A6"/>
    <w:rsid w:val="00FA2900"/>
    <w:rsid w:val="00FA2D50"/>
    <w:rsid w:val="00FA2F70"/>
    <w:rsid w:val="00FA3005"/>
    <w:rsid w:val="00FA3264"/>
    <w:rsid w:val="00FA32F8"/>
    <w:rsid w:val="00FA3376"/>
    <w:rsid w:val="00FA3725"/>
    <w:rsid w:val="00FA38B3"/>
    <w:rsid w:val="00FA3C48"/>
    <w:rsid w:val="00FA4140"/>
    <w:rsid w:val="00FA454F"/>
    <w:rsid w:val="00FA4953"/>
    <w:rsid w:val="00FA49FE"/>
    <w:rsid w:val="00FA4A0A"/>
    <w:rsid w:val="00FA4FDD"/>
    <w:rsid w:val="00FA51E5"/>
    <w:rsid w:val="00FA5376"/>
    <w:rsid w:val="00FA5384"/>
    <w:rsid w:val="00FA53C9"/>
    <w:rsid w:val="00FA54A5"/>
    <w:rsid w:val="00FA5574"/>
    <w:rsid w:val="00FA562A"/>
    <w:rsid w:val="00FA57C6"/>
    <w:rsid w:val="00FA58A9"/>
    <w:rsid w:val="00FA592B"/>
    <w:rsid w:val="00FA5B32"/>
    <w:rsid w:val="00FA5C72"/>
    <w:rsid w:val="00FA5FB7"/>
    <w:rsid w:val="00FA6111"/>
    <w:rsid w:val="00FA6323"/>
    <w:rsid w:val="00FA644E"/>
    <w:rsid w:val="00FA64E9"/>
    <w:rsid w:val="00FA6504"/>
    <w:rsid w:val="00FA66E4"/>
    <w:rsid w:val="00FA6911"/>
    <w:rsid w:val="00FA69D0"/>
    <w:rsid w:val="00FA6BB1"/>
    <w:rsid w:val="00FA6C50"/>
    <w:rsid w:val="00FA6DF3"/>
    <w:rsid w:val="00FA708C"/>
    <w:rsid w:val="00FA70A4"/>
    <w:rsid w:val="00FA7149"/>
    <w:rsid w:val="00FA7202"/>
    <w:rsid w:val="00FA737D"/>
    <w:rsid w:val="00FA7448"/>
    <w:rsid w:val="00FA74D9"/>
    <w:rsid w:val="00FA75F2"/>
    <w:rsid w:val="00FA78C8"/>
    <w:rsid w:val="00FA7C3C"/>
    <w:rsid w:val="00FA7DC0"/>
    <w:rsid w:val="00FA7FDD"/>
    <w:rsid w:val="00FB05C0"/>
    <w:rsid w:val="00FB0A2E"/>
    <w:rsid w:val="00FB0B0D"/>
    <w:rsid w:val="00FB0B13"/>
    <w:rsid w:val="00FB0DF7"/>
    <w:rsid w:val="00FB0F0F"/>
    <w:rsid w:val="00FB1342"/>
    <w:rsid w:val="00FB13EE"/>
    <w:rsid w:val="00FB14DD"/>
    <w:rsid w:val="00FB188F"/>
    <w:rsid w:val="00FB19E1"/>
    <w:rsid w:val="00FB1A02"/>
    <w:rsid w:val="00FB1A92"/>
    <w:rsid w:val="00FB1C7C"/>
    <w:rsid w:val="00FB1D04"/>
    <w:rsid w:val="00FB1D88"/>
    <w:rsid w:val="00FB1DCC"/>
    <w:rsid w:val="00FB1EFB"/>
    <w:rsid w:val="00FB20E9"/>
    <w:rsid w:val="00FB226E"/>
    <w:rsid w:val="00FB240F"/>
    <w:rsid w:val="00FB244A"/>
    <w:rsid w:val="00FB24C1"/>
    <w:rsid w:val="00FB2585"/>
    <w:rsid w:val="00FB2774"/>
    <w:rsid w:val="00FB27AC"/>
    <w:rsid w:val="00FB28B6"/>
    <w:rsid w:val="00FB28F2"/>
    <w:rsid w:val="00FB2AA6"/>
    <w:rsid w:val="00FB2E11"/>
    <w:rsid w:val="00FB2F80"/>
    <w:rsid w:val="00FB316F"/>
    <w:rsid w:val="00FB31BF"/>
    <w:rsid w:val="00FB355F"/>
    <w:rsid w:val="00FB359A"/>
    <w:rsid w:val="00FB35C8"/>
    <w:rsid w:val="00FB3815"/>
    <w:rsid w:val="00FB3845"/>
    <w:rsid w:val="00FB3989"/>
    <w:rsid w:val="00FB399C"/>
    <w:rsid w:val="00FB3AF3"/>
    <w:rsid w:val="00FB3B44"/>
    <w:rsid w:val="00FB3BE5"/>
    <w:rsid w:val="00FB3C35"/>
    <w:rsid w:val="00FB3EA8"/>
    <w:rsid w:val="00FB3FDE"/>
    <w:rsid w:val="00FB41BE"/>
    <w:rsid w:val="00FB4267"/>
    <w:rsid w:val="00FB42CC"/>
    <w:rsid w:val="00FB4395"/>
    <w:rsid w:val="00FB43F4"/>
    <w:rsid w:val="00FB4654"/>
    <w:rsid w:val="00FB4B84"/>
    <w:rsid w:val="00FB4FD1"/>
    <w:rsid w:val="00FB50F0"/>
    <w:rsid w:val="00FB5135"/>
    <w:rsid w:val="00FB51F4"/>
    <w:rsid w:val="00FB53F1"/>
    <w:rsid w:val="00FB54A9"/>
    <w:rsid w:val="00FB572E"/>
    <w:rsid w:val="00FB583E"/>
    <w:rsid w:val="00FB5A5C"/>
    <w:rsid w:val="00FB5CE4"/>
    <w:rsid w:val="00FB60C2"/>
    <w:rsid w:val="00FB613E"/>
    <w:rsid w:val="00FB61DF"/>
    <w:rsid w:val="00FB630F"/>
    <w:rsid w:val="00FB6344"/>
    <w:rsid w:val="00FB6555"/>
    <w:rsid w:val="00FB6744"/>
    <w:rsid w:val="00FB6844"/>
    <w:rsid w:val="00FB6A1D"/>
    <w:rsid w:val="00FB6C28"/>
    <w:rsid w:val="00FB6D73"/>
    <w:rsid w:val="00FB6E57"/>
    <w:rsid w:val="00FB70BF"/>
    <w:rsid w:val="00FB7193"/>
    <w:rsid w:val="00FB7229"/>
    <w:rsid w:val="00FB7245"/>
    <w:rsid w:val="00FB72AF"/>
    <w:rsid w:val="00FB72BC"/>
    <w:rsid w:val="00FB7346"/>
    <w:rsid w:val="00FB73B5"/>
    <w:rsid w:val="00FB7485"/>
    <w:rsid w:val="00FB7AEA"/>
    <w:rsid w:val="00FB7B12"/>
    <w:rsid w:val="00FB7FF0"/>
    <w:rsid w:val="00FC01BC"/>
    <w:rsid w:val="00FC0250"/>
    <w:rsid w:val="00FC0345"/>
    <w:rsid w:val="00FC0380"/>
    <w:rsid w:val="00FC040C"/>
    <w:rsid w:val="00FC054F"/>
    <w:rsid w:val="00FC07A1"/>
    <w:rsid w:val="00FC07DE"/>
    <w:rsid w:val="00FC09A1"/>
    <w:rsid w:val="00FC0C57"/>
    <w:rsid w:val="00FC0EB6"/>
    <w:rsid w:val="00FC0F5E"/>
    <w:rsid w:val="00FC1056"/>
    <w:rsid w:val="00FC1117"/>
    <w:rsid w:val="00FC12F1"/>
    <w:rsid w:val="00FC1355"/>
    <w:rsid w:val="00FC152A"/>
    <w:rsid w:val="00FC1672"/>
    <w:rsid w:val="00FC16BA"/>
    <w:rsid w:val="00FC17B0"/>
    <w:rsid w:val="00FC1926"/>
    <w:rsid w:val="00FC1969"/>
    <w:rsid w:val="00FC1A81"/>
    <w:rsid w:val="00FC1AA9"/>
    <w:rsid w:val="00FC1E6B"/>
    <w:rsid w:val="00FC1F6C"/>
    <w:rsid w:val="00FC27E1"/>
    <w:rsid w:val="00FC29DC"/>
    <w:rsid w:val="00FC2C19"/>
    <w:rsid w:val="00FC2DA2"/>
    <w:rsid w:val="00FC2F7E"/>
    <w:rsid w:val="00FC309E"/>
    <w:rsid w:val="00FC3203"/>
    <w:rsid w:val="00FC34B9"/>
    <w:rsid w:val="00FC3588"/>
    <w:rsid w:val="00FC36FE"/>
    <w:rsid w:val="00FC3888"/>
    <w:rsid w:val="00FC3C25"/>
    <w:rsid w:val="00FC3E62"/>
    <w:rsid w:val="00FC3E91"/>
    <w:rsid w:val="00FC4004"/>
    <w:rsid w:val="00FC4055"/>
    <w:rsid w:val="00FC42FF"/>
    <w:rsid w:val="00FC43B2"/>
    <w:rsid w:val="00FC43E8"/>
    <w:rsid w:val="00FC4619"/>
    <w:rsid w:val="00FC47EF"/>
    <w:rsid w:val="00FC4BF0"/>
    <w:rsid w:val="00FC4D63"/>
    <w:rsid w:val="00FC52C7"/>
    <w:rsid w:val="00FC52D9"/>
    <w:rsid w:val="00FC53F4"/>
    <w:rsid w:val="00FC55E7"/>
    <w:rsid w:val="00FC57B7"/>
    <w:rsid w:val="00FC5916"/>
    <w:rsid w:val="00FC5980"/>
    <w:rsid w:val="00FC5A24"/>
    <w:rsid w:val="00FC5C56"/>
    <w:rsid w:val="00FC5DC1"/>
    <w:rsid w:val="00FC5F99"/>
    <w:rsid w:val="00FC608C"/>
    <w:rsid w:val="00FC61CE"/>
    <w:rsid w:val="00FC627F"/>
    <w:rsid w:val="00FC633D"/>
    <w:rsid w:val="00FC6ABA"/>
    <w:rsid w:val="00FC6C4E"/>
    <w:rsid w:val="00FC6CBF"/>
    <w:rsid w:val="00FC6DD5"/>
    <w:rsid w:val="00FC6DF6"/>
    <w:rsid w:val="00FC6E69"/>
    <w:rsid w:val="00FC6F55"/>
    <w:rsid w:val="00FC7195"/>
    <w:rsid w:val="00FC71C7"/>
    <w:rsid w:val="00FC7293"/>
    <w:rsid w:val="00FC765C"/>
    <w:rsid w:val="00FC76CB"/>
    <w:rsid w:val="00FC77D0"/>
    <w:rsid w:val="00FC7800"/>
    <w:rsid w:val="00FC799E"/>
    <w:rsid w:val="00FC79A8"/>
    <w:rsid w:val="00FC79EB"/>
    <w:rsid w:val="00FC7AA2"/>
    <w:rsid w:val="00FC7BF6"/>
    <w:rsid w:val="00FC7EF5"/>
    <w:rsid w:val="00FC7F3B"/>
    <w:rsid w:val="00FD038A"/>
    <w:rsid w:val="00FD03E2"/>
    <w:rsid w:val="00FD045B"/>
    <w:rsid w:val="00FD04D0"/>
    <w:rsid w:val="00FD04F4"/>
    <w:rsid w:val="00FD06ED"/>
    <w:rsid w:val="00FD07B4"/>
    <w:rsid w:val="00FD0895"/>
    <w:rsid w:val="00FD08D6"/>
    <w:rsid w:val="00FD08FE"/>
    <w:rsid w:val="00FD0A8D"/>
    <w:rsid w:val="00FD0B1B"/>
    <w:rsid w:val="00FD0BE6"/>
    <w:rsid w:val="00FD0CCE"/>
    <w:rsid w:val="00FD0D26"/>
    <w:rsid w:val="00FD0DC2"/>
    <w:rsid w:val="00FD0E87"/>
    <w:rsid w:val="00FD0F0A"/>
    <w:rsid w:val="00FD1180"/>
    <w:rsid w:val="00FD1207"/>
    <w:rsid w:val="00FD1237"/>
    <w:rsid w:val="00FD1392"/>
    <w:rsid w:val="00FD1664"/>
    <w:rsid w:val="00FD1760"/>
    <w:rsid w:val="00FD17AE"/>
    <w:rsid w:val="00FD194A"/>
    <w:rsid w:val="00FD19B5"/>
    <w:rsid w:val="00FD1B43"/>
    <w:rsid w:val="00FD1D55"/>
    <w:rsid w:val="00FD1D59"/>
    <w:rsid w:val="00FD1DFA"/>
    <w:rsid w:val="00FD210B"/>
    <w:rsid w:val="00FD2178"/>
    <w:rsid w:val="00FD2324"/>
    <w:rsid w:val="00FD2688"/>
    <w:rsid w:val="00FD26DB"/>
    <w:rsid w:val="00FD28AB"/>
    <w:rsid w:val="00FD28DA"/>
    <w:rsid w:val="00FD2964"/>
    <w:rsid w:val="00FD2A87"/>
    <w:rsid w:val="00FD2AF3"/>
    <w:rsid w:val="00FD2B77"/>
    <w:rsid w:val="00FD2BFF"/>
    <w:rsid w:val="00FD2DFD"/>
    <w:rsid w:val="00FD2E90"/>
    <w:rsid w:val="00FD2FD7"/>
    <w:rsid w:val="00FD3096"/>
    <w:rsid w:val="00FD3424"/>
    <w:rsid w:val="00FD3482"/>
    <w:rsid w:val="00FD34A9"/>
    <w:rsid w:val="00FD3783"/>
    <w:rsid w:val="00FD3970"/>
    <w:rsid w:val="00FD3A6A"/>
    <w:rsid w:val="00FD3A9C"/>
    <w:rsid w:val="00FD3AE0"/>
    <w:rsid w:val="00FD3B92"/>
    <w:rsid w:val="00FD3BC6"/>
    <w:rsid w:val="00FD3C0A"/>
    <w:rsid w:val="00FD3C17"/>
    <w:rsid w:val="00FD3C29"/>
    <w:rsid w:val="00FD3CCB"/>
    <w:rsid w:val="00FD3CFD"/>
    <w:rsid w:val="00FD413F"/>
    <w:rsid w:val="00FD4535"/>
    <w:rsid w:val="00FD45A6"/>
    <w:rsid w:val="00FD4738"/>
    <w:rsid w:val="00FD4ADA"/>
    <w:rsid w:val="00FD4B59"/>
    <w:rsid w:val="00FD4D23"/>
    <w:rsid w:val="00FD4DAE"/>
    <w:rsid w:val="00FD4F8B"/>
    <w:rsid w:val="00FD515F"/>
    <w:rsid w:val="00FD542A"/>
    <w:rsid w:val="00FD5501"/>
    <w:rsid w:val="00FD5504"/>
    <w:rsid w:val="00FD5511"/>
    <w:rsid w:val="00FD56CF"/>
    <w:rsid w:val="00FD56DE"/>
    <w:rsid w:val="00FD576B"/>
    <w:rsid w:val="00FD584D"/>
    <w:rsid w:val="00FD58A1"/>
    <w:rsid w:val="00FD5903"/>
    <w:rsid w:val="00FD5EA6"/>
    <w:rsid w:val="00FD5EB0"/>
    <w:rsid w:val="00FD5F30"/>
    <w:rsid w:val="00FD6367"/>
    <w:rsid w:val="00FD65EA"/>
    <w:rsid w:val="00FD66CB"/>
    <w:rsid w:val="00FD6806"/>
    <w:rsid w:val="00FD68B2"/>
    <w:rsid w:val="00FD69BD"/>
    <w:rsid w:val="00FD6AD9"/>
    <w:rsid w:val="00FD6B60"/>
    <w:rsid w:val="00FD6C5A"/>
    <w:rsid w:val="00FD6C9E"/>
    <w:rsid w:val="00FD6D52"/>
    <w:rsid w:val="00FD6E3A"/>
    <w:rsid w:val="00FD6E90"/>
    <w:rsid w:val="00FD76A2"/>
    <w:rsid w:val="00FD778C"/>
    <w:rsid w:val="00FD77FC"/>
    <w:rsid w:val="00FD783B"/>
    <w:rsid w:val="00FD78FF"/>
    <w:rsid w:val="00FD7F14"/>
    <w:rsid w:val="00FE0343"/>
    <w:rsid w:val="00FE0686"/>
    <w:rsid w:val="00FE0851"/>
    <w:rsid w:val="00FE0860"/>
    <w:rsid w:val="00FE087B"/>
    <w:rsid w:val="00FE087C"/>
    <w:rsid w:val="00FE088F"/>
    <w:rsid w:val="00FE09AE"/>
    <w:rsid w:val="00FE09C8"/>
    <w:rsid w:val="00FE0DDE"/>
    <w:rsid w:val="00FE0E47"/>
    <w:rsid w:val="00FE128F"/>
    <w:rsid w:val="00FE1477"/>
    <w:rsid w:val="00FE16E0"/>
    <w:rsid w:val="00FE19C5"/>
    <w:rsid w:val="00FE1C41"/>
    <w:rsid w:val="00FE1CE3"/>
    <w:rsid w:val="00FE1D43"/>
    <w:rsid w:val="00FE1FB0"/>
    <w:rsid w:val="00FE20BC"/>
    <w:rsid w:val="00FE2534"/>
    <w:rsid w:val="00FE2575"/>
    <w:rsid w:val="00FE2766"/>
    <w:rsid w:val="00FE2839"/>
    <w:rsid w:val="00FE2BE7"/>
    <w:rsid w:val="00FE2D03"/>
    <w:rsid w:val="00FE318A"/>
    <w:rsid w:val="00FE327D"/>
    <w:rsid w:val="00FE33C6"/>
    <w:rsid w:val="00FE3751"/>
    <w:rsid w:val="00FE3835"/>
    <w:rsid w:val="00FE384F"/>
    <w:rsid w:val="00FE3903"/>
    <w:rsid w:val="00FE3B01"/>
    <w:rsid w:val="00FE3B4B"/>
    <w:rsid w:val="00FE3D37"/>
    <w:rsid w:val="00FE3D45"/>
    <w:rsid w:val="00FE3EBD"/>
    <w:rsid w:val="00FE3F99"/>
    <w:rsid w:val="00FE41A2"/>
    <w:rsid w:val="00FE4563"/>
    <w:rsid w:val="00FE46E1"/>
    <w:rsid w:val="00FE474B"/>
    <w:rsid w:val="00FE4777"/>
    <w:rsid w:val="00FE47B5"/>
    <w:rsid w:val="00FE48AD"/>
    <w:rsid w:val="00FE4B75"/>
    <w:rsid w:val="00FE4E9B"/>
    <w:rsid w:val="00FE50DD"/>
    <w:rsid w:val="00FE5224"/>
    <w:rsid w:val="00FE525A"/>
    <w:rsid w:val="00FE5333"/>
    <w:rsid w:val="00FE5437"/>
    <w:rsid w:val="00FE547D"/>
    <w:rsid w:val="00FE564A"/>
    <w:rsid w:val="00FE5681"/>
    <w:rsid w:val="00FE56DF"/>
    <w:rsid w:val="00FE56E1"/>
    <w:rsid w:val="00FE57AC"/>
    <w:rsid w:val="00FE5A69"/>
    <w:rsid w:val="00FE5B1A"/>
    <w:rsid w:val="00FE5B7A"/>
    <w:rsid w:val="00FE5CD8"/>
    <w:rsid w:val="00FE5F17"/>
    <w:rsid w:val="00FE615D"/>
    <w:rsid w:val="00FE6358"/>
    <w:rsid w:val="00FE6E15"/>
    <w:rsid w:val="00FE7053"/>
    <w:rsid w:val="00FE75CA"/>
    <w:rsid w:val="00FE7668"/>
    <w:rsid w:val="00FE77D5"/>
    <w:rsid w:val="00FE77E9"/>
    <w:rsid w:val="00FE783E"/>
    <w:rsid w:val="00FE791E"/>
    <w:rsid w:val="00FE7BC7"/>
    <w:rsid w:val="00FE7C58"/>
    <w:rsid w:val="00FE7DDE"/>
    <w:rsid w:val="00FE7F9A"/>
    <w:rsid w:val="00FF0231"/>
    <w:rsid w:val="00FF0236"/>
    <w:rsid w:val="00FF02EF"/>
    <w:rsid w:val="00FF036C"/>
    <w:rsid w:val="00FF0430"/>
    <w:rsid w:val="00FF04F6"/>
    <w:rsid w:val="00FF0772"/>
    <w:rsid w:val="00FF08EE"/>
    <w:rsid w:val="00FF09CB"/>
    <w:rsid w:val="00FF0BF2"/>
    <w:rsid w:val="00FF0C89"/>
    <w:rsid w:val="00FF0EE8"/>
    <w:rsid w:val="00FF0F40"/>
    <w:rsid w:val="00FF11A1"/>
    <w:rsid w:val="00FF126F"/>
    <w:rsid w:val="00FF129F"/>
    <w:rsid w:val="00FF14AB"/>
    <w:rsid w:val="00FF14F3"/>
    <w:rsid w:val="00FF156C"/>
    <w:rsid w:val="00FF17C8"/>
    <w:rsid w:val="00FF1A95"/>
    <w:rsid w:val="00FF1AAE"/>
    <w:rsid w:val="00FF1AFB"/>
    <w:rsid w:val="00FF1EDA"/>
    <w:rsid w:val="00FF1FCD"/>
    <w:rsid w:val="00FF1FF0"/>
    <w:rsid w:val="00FF207D"/>
    <w:rsid w:val="00FF20A9"/>
    <w:rsid w:val="00FF21E4"/>
    <w:rsid w:val="00FF235D"/>
    <w:rsid w:val="00FF2400"/>
    <w:rsid w:val="00FF24FA"/>
    <w:rsid w:val="00FF2803"/>
    <w:rsid w:val="00FF292D"/>
    <w:rsid w:val="00FF2A00"/>
    <w:rsid w:val="00FF2C31"/>
    <w:rsid w:val="00FF2DB0"/>
    <w:rsid w:val="00FF2E11"/>
    <w:rsid w:val="00FF2E43"/>
    <w:rsid w:val="00FF2F8B"/>
    <w:rsid w:val="00FF32CC"/>
    <w:rsid w:val="00FF3332"/>
    <w:rsid w:val="00FF3380"/>
    <w:rsid w:val="00FF33D3"/>
    <w:rsid w:val="00FF3437"/>
    <w:rsid w:val="00FF399D"/>
    <w:rsid w:val="00FF3D6F"/>
    <w:rsid w:val="00FF3DD8"/>
    <w:rsid w:val="00FF3E4C"/>
    <w:rsid w:val="00FF3EB2"/>
    <w:rsid w:val="00FF3EFD"/>
    <w:rsid w:val="00FF3FE8"/>
    <w:rsid w:val="00FF4011"/>
    <w:rsid w:val="00FF40CD"/>
    <w:rsid w:val="00FF4246"/>
    <w:rsid w:val="00FF42F4"/>
    <w:rsid w:val="00FF435C"/>
    <w:rsid w:val="00FF4392"/>
    <w:rsid w:val="00FF43A4"/>
    <w:rsid w:val="00FF47C4"/>
    <w:rsid w:val="00FF47F9"/>
    <w:rsid w:val="00FF481F"/>
    <w:rsid w:val="00FF4847"/>
    <w:rsid w:val="00FF48CB"/>
    <w:rsid w:val="00FF494B"/>
    <w:rsid w:val="00FF4987"/>
    <w:rsid w:val="00FF4B37"/>
    <w:rsid w:val="00FF4DC7"/>
    <w:rsid w:val="00FF4E78"/>
    <w:rsid w:val="00FF53DC"/>
    <w:rsid w:val="00FF5624"/>
    <w:rsid w:val="00FF5772"/>
    <w:rsid w:val="00FF598F"/>
    <w:rsid w:val="00FF5E90"/>
    <w:rsid w:val="00FF608E"/>
    <w:rsid w:val="00FF6133"/>
    <w:rsid w:val="00FF6148"/>
    <w:rsid w:val="00FF615E"/>
    <w:rsid w:val="00FF6993"/>
    <w:rsid w:val="00FF6B56"/>
    <w:rsid w:val="00FF6C63"/>
    <w:rsid w:val="00FF6DC4"/>
    <w:rsid w:val="00FF70B3"/>
    <w:rsid w:val="00FF70CC"/>
    <w:rsid w:val="00FF7148"/>
    <w:rsid w:val="00FF78F0"/>
    <w:rsid w:val="00FF79A3"/>
    <w:rsid w:val="00FF7E64"/>
    <w:rsid w:val="00FF7E74"/>
    <w:rsid w:val="01065638"/>
    <w:rsid w:val="010671D2"/>
    <w:rsid w:val="010EF410"/>
    <w:rsid w:val="01116BD7"/>
    <w:rsid w:val="01195163"/>
    <w:rsid w:val="01195CE5"/>
    <w:rsid w:val="0125FD79"/>
    <w:rsid w:val="012BEA7E"/>
    <w:rsid w:val="01342E4D"/>
    <w:rsid w:val="013AE652"/>
    <w:rsid w:val="013C3FBC"/>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3A2A4"/>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522C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294B4"/>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5AD8E"/>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2775D"/>
    <w:rsid w:val="067B4C9C"/>
    <w:rsid w:val="068C5B36"/>
    <w:rsid w:val="068FD2F4"/>
    <w:rsid w:val="0690269F"/>
    <w:rsid w:val="06984553"/>
    <w:rsid w:val="06A58B9C"/>
    <w:rsid w:val="06A7B6DA"/>
    <w:rsid w:val="06B70FEF"/>
    <w:rsid w:val="06B89AA0"/>
    <w:rsid w:val="06BE7BE0"/>
    <w:rsid w:val="06C0DD51"/>
    <w:rsid w:val="06C3BDB7"/>
    <w:rsid w:val="06C6E104"/>
    <w:rsid w:val="06CAD27B"/>
    <w:rsid w:val="06CB225F"/>
    <w:rsid w:val="06CC8405"/>
    <w:rsid w:val="06D3B9E9"/>
    <w:rsid w:val="06DCB56E"/>
    <w:rsid w:val="06DFF417"/>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2216C"/>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AFA66"/>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5095F"/>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68CAB"/>
    <w:rsid w:val="087F6597"/>
    <w:rsid w:val="087FD2D4"/>
    <w:rsid w:val="08836F1F"/>
    <w:rsid w:val="088DF37D"/>
    <w:rsid w:val="089002D4"/>
    <w:rsid w:val="089154F9"/>
    <w:rsid w:val="0891E4D6"/>
    <w:rsid w:val="089224ED"/>
    <w:rsid w:val="089413CD"/>
    <w:rsid w:val="0894AA5E"/>
    <w:rsid w:val="0897D4DB"/>
    <w:rsid w:val="08A53256"/>
    <w:rsid w:val="08A62CB4"/>
    <w:rsid w:val="08ABA164"/>
    <w:rsid w:val="08B1DE04"/>
    <w:rsid w:val="08B292CD"/>
    <w:rsid w:val="08B43F38"/>
    <w:rsid w:val="08B618F0"/>
    <w:rsid w:val="08BA33DB"/>
    <w:rsid w:val="08D08CDE"/>
    <w:rsid w:val="08D59009"/>
    <w:rsid w:val="08D704F9"/>
    <w:rsid w:val="08E60CFA"/>
    <w:rsid w:val="08E9062F"/>
    <w:rsid w:val="08EFED86"/>
    <w:rsid w:val="08F10527"/>
    <w:rsid w:val="08F2AEAB"/>
    <w:rsid w:val="08F534F5"/>
    <w:rsid w:val="08F9BD1E"/>
    <w:rsid w:val="08FAEB11"/>
    <w:rsid w:val="08FD34A9"/>
    <w:rsid w:val="08FEFEDF"/>
    <w:rsid w:val="0900297D"/>
    <w:rsid w:val="090551D0"/>
    <w:rsid w:val="090AE4ED"/>
    <w:rsid w:val="090D1B5C"/>
    <w:rsid w:val="090FCC9E"/>
    <w:rsid w:val="09157776"/>
    <w:rsid w:val="09166E8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9A96D"/>
    <w:rsid w:val="09AFE235"/>
    <w:rsid w:val="09B5975E"/>
    <w:rsid w:val="09B870A2"/>
    <w:rsid w:val="09B9C856"/>
    <w:rsid w:val="09BA9E90"/>
    <w:rsid w:val="09BB646D"/>
    <w:rsid w:val="09CA02AE"/>
    <w:rsid w:val="09CB1592"/>
    <w:rsid w:val="09CF5F26"/>
    <w:rsid w:val="09D5330D"/>
    <w:rsid w:val="09E33CF2"/>
    <w:rsid w:val="09E5A9B3"/>
    <w:rsid w:val="09E8BBFE"/>
    <w:rsid w:val="09EC3DE1"/>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9E1D1"/>
    <w:rsid w:val="0A3C0BB3"/>
    <w:rsid w:val="0A49E161"/>
    <w:rsid w:val="0A4E5A98"/>
    <w:rsid w:val="0A4F6FC3"/>
    <w:rsid w:val="0A527E73"/>
    <w:rsid w:val="0A563F8A"/>
    <w:rsid w:val="0A5BEB9D"/>
    <w:rsid w:val="0A6299BC"/>
    <w:rsid w:val="0A724FCD"/>
    <w:rsid w:val="0A7B9D66"/>
    <w:rsid w:val="0A8059A4"/>
    <w:rsid w:val="0A88B7A0"/>
    <w:rsid w:val="0A8BAC37"/>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51928"/>
    <w:rsid w:val="0AEF196E"/>
    <w:rsid w:val="0AF15FBD"/>
    <w:rsid w:val="0AF1B33D"/>
    <w:rsid w:val="0AFA09FA"/>
    <w:rsid w:val="0AFF4E37"/>
    <w:rsid w:val="0B0E8BBB"/>
    <w:rsid w:val="0B14B889"/>
    <w:rsid w:val="0B1F9D20"/>
    <w:rsid w:val="0B25F94E"/>
    <w:rsid w:val="0B2BC111"/>
    <w:rsid w:val="0B2C4D2B"/>
    <w:rsid w:val="0B3055A7"/>
    <w:rsid w:val="0B32B0B7"/>
    <w:rsid w:val="0B34CE19"/>
    <w:rsid w:val="0B3B97DB"/>
    <w:rsid w:val="0B3E6081"/>
    <w:rsid w:val="0B3F03D6"/>
    <w:rsid w:val="0B414BBC"/>
    <w:rsid w:val="0B428E5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AF7F55"/>
    <w:rsid w:val="0CB319AA"/>
    <w:rsid w:val="0CB4292C"/>
    <w:rsid w:val="0CB6B41D"/>
    <w:rsid w:val="0CB73DA1"/>
    <w:rsid w:val="0CBB717E"/>
    <w:rsid w:val="0CBE52AB"/>
    <w:rsid w:val="0CC126DC"/>
    <w:rsid w:val="0CC96A5D"/>
    <w:rsid w:val="0CD269DD"/>
    <w:rsid w:val="0CD4C969"/>
    <w:rsid w:val="0CEEC28C"/>
    <w:rsid w:val="0CF53975"/>
    <w:rsid w:val="0CF6C46F"/>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A9954E"/>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4FBD7"/>
    <w:rsid w:val="0E07EE9F"/>
    <w:rsid w:val="0E0A2F57"/>
    <w:rsid w:val="0E0C0F26"/>
    <w:rsid w:val="0E0CA32D"/>
    <w:rsid w:val="0E151158"/>
    <w:rsid w:val="0E192783"/>
    <w:rsid w:val="0E27B86A"/>
    <w:rsid w:val="0E280850"/>
    <w:rsid w:val="0E30B68C"/>
    <w:rsid w:val="0E3FFE8D"/>
    <w:rsid w:val="0E42E79E"/>
    <w:rsid w:val="0E45CB1A"/>
    <w:rsid w:val="0E4D7FFD"/>
    <w:rsid w:val="0E4DD9FD"/>
    <w:rsid w:val="0E55C7C0"/>
    <w:rsid w:val="0E5609D2"/>
    <w:rsid w:val="0E575642"/>
    <w:rsid w:val="0E57C98D"/>
    <w:rsid w:val="0E5E3FEA"/>
    <w:rsid w:val="0E5F766D"/>
    <w:rsid w:val="0E6772A5"/>
    <w:rsid w:val="0E7F49AE"/>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CB07A"/>
    <w:rsid w:val="0EADD874"/>
    <w:rsid w:val="0EB5F896"/>
    <w:rsid w:val="0EB6D91A"/>
    <w:rsid w:val="0EB7EDED"/>
    <w:rsid w:val="0EB8B1EA"/>
    <w:rsid w:val="0EBA7121"/>
    <w:rsid w:val="0EBB9E3C"/>
    <w:rsid w:val="0ECE8042"/>
    <w:rsid w:val="0ED3A6D1"/>
    <w:rsid w:val="0EDBBF01"/>
    <w:rsid w:val="0EDF8AFA"/>
    <w:rsid w:val="0EE0647B"/>
    <w:rsid w:val="0EE1B27E"/>
    <w:rsid w:val="0EE50AA4"/>
    <w:rsid w:val="0EE677B9"/>
    <w:rsid w:val="0EEC5F23"/>
    <w:rsid w:val="0EF14CFC"/>
    <w:rsid w:val="0EF5EEE5"/>
    <w:rsid w:val="0EFCE708"/>
    <w:rsid w:val="0EFD6109"/>
    <w:rsid w:val="0F1C9D35"/>
    <w:rsid w:val="0F2139CE"/>
    <w:rsid w:val="0F360B56"/>
    <w:rsid w:val="0F3E931B"/>
    <w:rsid w:val="0F499BCC"/>
    <w:rsid w:val="0F4D38AE"/>
    <w:rsid w:val="0F503E2C"/>
    <w:rsid w:val="0F53CA44"/>
    <w:rsid w:val="0F565D35"/>
    <w:rsid w:val="0F58F702"/>
    <w:rsid w:val="0F5A80AA"/>
    <w:rsid w:val="0F5F6C98"/>
    <w:rsid w:val="0F653B96"/>
    <w:rsid w:val="0F6C5A32"/>
    <w:rsid w:val="0F6DEE1D"/>
    <w:rsid w:val="0F708845"/>
    <w:rsid w:val="0F712681"/>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4F7356"/>
    <w:rsid w:val="10514DC7"/>
    <w:rsid w:val="105341E4"/>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73F7B"/>
    <w:rsid w:val="10FA519F"/>
    <w:rsid w:val="10FC9751"/>
    <w:rsid w:val="11007092"/>
    <w:rsid w:val="11010BF7"/>
    <w:rsid w:val="110E988E"/>
    <w:rsid w:val="1119CAC5"/>
    <w:rsid w:val="111B6690"/>
    <w:rsid w:val="111F1296"/>
    <w:rsid w:val="11201873"/>
    <w:rsid w:val="11274141"/>
    <w:rsid w:val="1127F6ED"/>
    <w:rsid w:val="112A0A43"/>
    <w:rsid w:val="112EF07B"/>
    <w:rsid w:val="1135D637"/>
    <w:rsid w:val="1136C440"/>
    <w:rsid w:val="11372895"/>
    <w:rsid w:val="114165F4"/>
    <w:rsid w:val="11468896"/>
    <w:rsid w:val="11480C80"/>
    <w:rsid w:val="115401BB"/>
    <w:rsid w:val="1166067C"/>
    <w:rsid w:val="116D738E"/>
    <w:rsid w:val="116F43E1"/>
    <w:rsid w:val="1176F359"/>
    <w:rsid w:val="1177FAF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60385"/>
    <w:rsid w:val="1268C4F9"/>
    <w:rsid w:val="12697139"/>
    <w:rsid w:val="126E5CC2"/>
    <w:rsid w:val="1271DB49"/>
    <w:rsid w:val="1276B494"/>
    <w:rsid w:val="12790A88"/>
    <w:rsid w:val="127E3F85"/>
    <w:rsid w:val="1280346B"/>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1EE4B"/>
    <w:rsid w:val="12F80C82"/>
    <w:rsid w:val="12F9A95C"/>
    <w:rsid w:val="13012E50"/>
    <w:rsid w:val="130A66A3"/>
    <w:rsid w:val="130E6CC8"/>
    <w:rsid w:val="13100425"/>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02BCF"/>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32B0A"/>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C0DA"/>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D4653"/>
    <w:rsid w:val="155FCCCD"/>
    <w:rsid w:val="15633597"/>
    <w:rsid w:val="156E9130"/>
    <w:rsid w:val="15708A95"/>
    <w:rsid w:val="157286D1"/>
    <w:rsid w:val="1574570B"/>
    <w:rsid w:val="15838686"/>
    <w:rsid w:val="158536E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91F3"/>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45ABE"/>
    <w:rsid w:val="164BFF6F"/>
    <w:rsid w:val="164E28B0"/>
    <w:rsid w:val="16588BEF"/>
    <w:rsid w:val="165EB868"/>
    <w:rsid w:val="166152B6"/>
    <w:rsid w:val="1665D745"/>
    <w:rsid w:val="16673D0E"/>
    <w:rsid w:val="16689788"/>
    <w:rsid w:val="16785F66"/>
    <w:rsid w:val="1678D44E"/>
    <w:rsid w:val="167F23E6"/>
    <w:rsid w:val="168296CA"/>
    <w:rsid w:val="168449C8"/>
    <w:rsid w:val="16871577"/>
    <w:rsid w:val="168806D2"/>
    <w:rsid w:val="1688D9EA"/>
    <w:rsid w:val="168D34E0"/>
    <w:rsid w:val="168D81C1"/>
    <w:rsid w:val="168E5C84"/>
    <w:rsid w:val="1690B031"/>
    <w:rsid w:val="169632AD"/>
    <w:rsid w:val="16AA54C5"/>
    <w:rsid w:val="16AC13D3"/>
    <w:rsid w:val="16AFADBA"/>
    <w:rsid w:val="16BE4C8A"/>
    <w:rsid w:val="16C36A18"/>
    <w:rsid w:val="16D170FE"/>
    <w:rsid w:val="16D7C780"/>
    <w:rsid w:val="16DD4991"/>
    <w:rsid w:val="16E34AF0"/>
    <w:rsid w:val="16E5F885"/>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2DB5CB"/>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AB8F57"/>
    <w:rsid w:val="17B5E353"/>
    <w:rsid w:val="17B818FA"/>
    <w:rsid w:val="17B93D52"/>
    <w:rsid w:val="17B97229"/>
    <w:rsid w:val="17C1E1AE"/>
    <w:rsid w:val="17D13E32"/>
    <w:rsid w:val="17D4A37A"/>
    <w:rsid w:val="17D585A4"/>
    <w:rsid w:val="17D5C63D"/>
    <w:rsid w:val="17DBA1F8"/>
    <w:rsid w:val="17E20D26"/>
    <w:rsid w:val="17E99D8E"/>
    <w:rsid w:val="17F8C68E"/>
    <w:rsid w:val="17FD3099"/>
    <w:rsid w:val="17FED6D3"/>
    <w:rsid w:val="18012B0D"/>
    <w:rsid w:val="18066112"/>
    <w:rsid w:val="18072C01"/>
    <w:rsid w:val="180A307C"/>
    <w:rsid w:val="180AD4CD"/>
    <w:rsid w:val="180E289A"/>
    <w:rsid w:val="1811C170"/>
    <w:rsid w:val="182BDC41"/>
    <w:rsid w:val="1830C812"/>
    <w:rsid w:val="18317C59"/>
    <w:rsid w:val="183EBAF4"/>
    <w:rsid w:val="18473AA9"/>
    <w:rsid w:val="18499006"/>
    <w:rsid w:val="184BEADB"/>
    <w:rsid w:val="184D475E"/>
    <w:rsid w:val="18574343"/>
    <w:rsid w:val="185D5CFE"/>
    <w:rsid w:val="1862CD40"/>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1DF02"/>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8DFD6"/>
    <w:rsid w:val="19EA337A"/>
    <w:rsid w:val="19EEE9C6"/>
    <w:rsid w:val="19F08A96"/>
    <w:rsid w:val="19F13C0C"/>
    <w:rsid w:val="19FE4C2E"/>
    <w:rsid w:val="1A058F0A"/>
    <w:rsid w:val="1A0B619B"/>
    <w:rsid w:val="1A0CF36A"/>
    <w:rsid w:val="1A0E54D2"/>
    <w:rsid w:val="1A0EA55B"/>
    <w:rsid w:val="1A0F6842"/>
    <w:rsid w:val="1A0F77E3"/>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BE43D"/>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43481"/>
    <w:rsid w:val="1A7537EC"/>
    <w:rsid w:val="1A78E9F5"/>
    <w:rsid w:val="1A8090D7"/>
    <w:rsid w:val="1A809F70"/>
    <w:rsid w:val="1A8C876C"/>
    <w:rsid w:val="1A9FE271"/>
    <w:rsid w:val="1AA5F602"/>
    <w:rsid w:val="1AB5CB62"/>
    <w:rsid w:val="1AB62848"/>
    <w:rsid w:val="1AB971B8"/>
    <w:rsid w:val="1ABA232C"/>
    <w:rsid w:val="1ABA2EDB"/>
    <w:rsid w:val="1ABE8C24"/>
    <w:rsid w:val="1AC4B3B2"/>
    <w:rsid w:val="1AC79897"/>
    <w:rsid w:val="1AC8620B"/>
    <w:rsid w:val="1ACB01D2"/>
    <w:rsid w:val="1ACDDA2D"/>
    <w:rsid w:val="1ACF76E6"/>
    <w:rsid w:val="1ACFE3D4"/>
    <w:rsid w:val="1AD68016"/>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C4340"/>
    <w:rsid w:val="1B583093"/>
    <w:rsid w:val="1B5FC72E"/>
    <w:rsid w:val="1B70660F"/>
    <w:rsid w:val="1B8065D5"/>
    <w:rsid w:val="1B838502"/>
    <w:rsid w:val="1B86C291"/>
    <w:rsid w:val="1B8C7F27"/>
    <w:rsid w:val="1B8D1B85"/>
    <w:rsid w:val="1B8D7363"/>
    <w:rsid w:val="1B963EA0"/>
    <w:rsid w:val="1BA85375"/>
    <w:rsid w:val="1BAFC24C"/>
    <w:rsid w:val="1BB7D116"/>
    <w:rsid w:val="1BB89B1E"/>
    <w:rsid w:val="1BBF655D"/>
    <w:rsid w:val="1BC0DDD9"/>
    <w:rsid w:val="1BD38F1F"/>
    <w:rsid w:val="1BD75313"/>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B6FC"/>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3B63A"/>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3E76AC"/>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0B9874"/>
    <w:rsid w:val="1E1CE0AF"/>
    <w:rsid w:val="1E24C94F"/>
    <w:rsid w:val="1E24F934"/>
    <w:rsid w:val="1E2CB763"/>
    <w:rsid w:val="1E2FAF83"/>
    <w:rsid w:val="1E326C34"/>
    <w:rsid w:val="1E3EE2C8"/>
    <w:rsid w:val="1E416A0B"/>
    <w:rsid w:val="1E54AB6B"/>
    <w:rsid w:val="1E57C7E3"/>
    <w:rsid w:val="1E64C36D"/>
    <w:rsid w:val="1E6ECD2F"/>
    <w:rsid w:val="1E73F746"/>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E2CD1"/>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02D24"/>
    <w:rsid w:val="1FB4E2EC"/>
    <w:rsid w:val="1FB61C2F"/>
    <w:rsid w:val="1FBC9591"/>
    <w:rsid w:val="1FBD766E"/>
    <w:rsid w:val="1FCDBABA"/>
    <w:rsid w:val="1FD2C8C3"/>
    <w:rsid w:val="1FD3CFC8"/>
    <w:rsid w:val="1FD5B8D6"/>
    <w:rsid w:val="1FE37A18"/>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37DA7"/>
    <w:rsid w:val="20B40199"/>
    <w:rsid w:val="20BE0648"/>
    <w:rsid w:val="20C3D6C1"/>
    <w:rsid w:val="20C457C4"/>
    <w:rsid w:val="20D0E163"/>
    <w:rsid w:val="20D23F98"/>
    <w:rsid w:val="20D5627D"/>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0DAEA2"/>
    <w:rsid w:val="22163DFB"/>
    <w:rsid w:val="2216B7E0"/>
    <w:rsid w:val="22170DB0"/>
    <w:rsid w:val="22182FA7"/>
    <w:rsid w:val="221AA5B4"/>
    <w:rsid w:val="221D59E8"/>
    <w:rsid w:val="2222EF76"/>
    <w:rsid w:val="2229AAB2"/>
    <w:rsid w:val="222AB66B"/>
    <w:rsid w:val="222ADEEF"/>
    <w:rsid w:val="22358513"/>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B98F97"/>
    <w:rsid w:val="23C1B056"/>
    <w:rsid w:val="23C3DF8B"/>
    <w:rsid w:val="23CA3E03"/>
    <w:rsid w:val="23E3787B"/>
    <w:rsid w:val="23E8005B"/>
    <w:rsid w:val="23E98A0D"/>
    <w:rsid w:val="23EA7806"/>
    <w:rsid w:val="23ED0B63"/>
    <w:rsid w:val="23F683FA"/>
    <w:rsid w:val="24055E3C"/>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AB4CD"/>
    <w:rsid w:val="246AE940"/>
    <w:rsid w:val="24730AC4"/>
    <w:rsid w:val="247FECF8"/>
    <w:rsid w:val="24863EB6"/>
    <w:rsid w:val="24888996"/>
    <w:rsid w:val="248AF05C"/>
    <w:rsid w:val="248BC2B5"/>
    <w:rsid w:val="24903100"/>
    <w:rsid w:val="2498C42D"/>
    <w:rsid w:val="249ED4DF"/>
    <w:rsid w:val="249EFB6A"/>
    <w:rsid w:val="249F3A05"/>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2D66CE"/>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DE63D"/>
    <w:rsid w:val="26060FC7"/>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5F7C50"/>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74818"/>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BF48F0"/>
    <w:rsid w:val="27C7ABBF"/>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9016AD9"/>
    <w:rsid w:val="2901D73A"/>
    <w:rsid w:val="2909281B"/>
    <w:rsid w:val="291C9E74"/>
    <w:rsid w:val="291DEBD3"/>
    <w:rsid w:val="292C5553"/>
    <w:rsid w:val="2930C778"/>
    <w:rsid w:val="29345669"/>
    <w:rsid w:val="29380C6B"/>
    <w:rsid w:val="293BF1EF"/>
    <w:rsid w:val="293BFCE3"/>
    <w:rsid w:val="293D7384"/>
    <w:rsid w:val="29425220"/>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5BB7EA"/>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7B9D9"/>
    <w:rsid w:val="2BFFA65B"/>
    <w:rsid w:val="2C0B86C9"/>
    <w:rsid w:val="2C10E7A7"/>
    <w:rsid w:val="2C16DB0E"/>
    <w:rsid w:val="2C1E812E"/>
    <w:rsid w:val="2C21338A"/>
    <w:rsid w:val="2C265D2F"/>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3CEDDF"/>
    <w:rsid w:val="2D47AA21"/>
    <w:rsid w:val="2D482C07"/>
    <w:rsid w:val="2D53F319"/>
    <w:rsid w:val="2D54E474"/>
    <w:rsid w:val="2D5A22AD"/>
    <w:rsid w:val="2D6237E5"/>
    <w:rsid w:val="2D69C27B"/>
    <w:rsid w:val="2D6BC90B"/>
    <w:rsid w:val="2D6F1FE0"/>
    <w:rsid w:val="2D729CF8"/>
    <w:rsid w:val="2D7779C4"/>
    <w:rsid w:val="2D7DA3C3"/>
    <w:rsid w:val="2D7FFBC9"/>
    <w:rsid w:val="2D927EEF"/>
    <w:rsid w:val="2D939402"/>
    <w:rsid w:val="2D94C547"/>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7B7D4"/>
    <w:rsid w:val="2E087693"/>
    <w:rsid w:val="2E08788E"/>
    <w:rsid w:val="2E0AF886"/>
    <w:rsid w:val="2E0ECE64"/>
    <w:rsid w:val="2E166610"/>
    <w:rsid w:val="2E191835"/>
    <w:rsid w:val="2E1A399A"/>
    <w:rsid w:val="2E1A8246"/>
    <w:rsid w:val="2E1D52D9"/>
    <w:rsid w:val="2E21AE9B"/>
    <w:rsid w:val="2E257A43"/>
    <w:rsid w:val="2E369FCE"/>
    <w:rsid w:val="2E3823EF"/>
    <w:rsid w:val="2E3EBA22"/>
    <w:rsid w:val="2E40D095"/>
    <w:rsid w:val="2E46D52A"/>
    <w:rsid w:val="2E51129A"/>
    <w:rsid w:val="2E51DB7E"/>
    <w:rsid w:val="2E5A5F5D"/>
    <w:rsid w:val="2E5DF966"/>
    <w:rsid w:val="2E61FD44"/>
    <w:rsid w:val="2E63FFBC"/>
    <w:rsid w:val="2E754877"/>
    <w:rsid w:val="2E7FA433"/>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CCA95"/>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34A49"/>
    <w:rsid w:val="2FD4F6E4"/>
    <w:rsid w:val="2FDF0DD4"/>
    <w:rsid w:val="2FE58780"/>
    <w:rsid w:val="2FE9317F"/>
    <w:rsid w:val="2FEE1C27"/>
    <w:rsid w:val="2FF89843"/>
    <w:rsid w:val="2FFDA6C6"/>
    <w:rsid w:val="3000F5D4"/>
    <w:rsid w:val="300370AE"/>
    <w:rsid w:val="300528CE"/>
    <w:rsid w:val="3010AB77"/>
    <w:rsid w:val="30125552"/>
    <w:rsid w:val="30193FFC"/>
    <w:rsid w:val="3022B0DE"/>
    <w:rsid w:val="3024C6BD"/>
    <w:rsid w:val="302FB27A"/>
    <w:rsid w:val="304298ED"/>
    <w:rsid w:val="30481856"/>
    <w:rsid w:val="3048785C"/>
    <w:rsid w:val="304FA73D"/>
    <w:rsid w:val="3055AB67"/>
    <w:rsid w:val="30588C59"/>
    <w:rsid w:val="305A9C06"/>
    <w:rsid w:val="305DDF7D"/>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EFBDC1"/>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1DE09"/>
    <w:rsid w:val="3382B4F7"/>
    <w:rsid w:val="3388548E"/>
    <w:rsid w:val="33992290"/>
    <w:rsid w:val="339BD968"/>
    <w:rsid w:val="339BE283"/>
    <w:rsid w:val="33A24F02"/>
    <w:rsid w:val="33AE867E"/>
    <w:rsid w:val="33AF86C9"/>
    <w:rsid w:val="33BB1C8A"/>
    <w:rsid w:val="33C4BFDE"/>
    <w:rsid w:val="33D96B92"/>
    <w:rsid w:val="33DF6208"/>
    <w:rsid w:val="33E04C41"/>
    <w:rsid w:val="33ECF6D9"/>
    <w:rsid w:val="33F0FA20"/>
    <w:rsid w:val="33F103A1"/>
    <w:rsid w:val="33FA544D"/>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3EA486"/>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E749A2"/>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01F2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A9EDB"/>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DC7CE"/>
    <w:rsid w:val="36BEDE67"/>
    <w:rsid w:val="36BFD0CF"/>
    <w:rsid w:val="36C03507"/>
    <w:rsid w:val="36D24A74"/>
    <w:rsid w:val="36D3BDF8"/>
    <w:rsid w:val="36E076C0"/>
    <w:rsid w:val="36E7B394"/>
    <w:rsid w:val="36EDFC0F"/>
    <w:rsid w:val="36F82296"/>
    <w:rsid w:val="37040894"/>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09820"/>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3B6B9"/>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77DCC5"/>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188DF"/>
    <w:rsid w:val="3907C883"/>
    <w:rsid w:val="390944EC"/>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27E1B"/>
    <w:rsid w:val="3A276ACE"/>
    <w:rsid w:val="3A288594"/>
    <w:rsid w:val="3A2D0741"/>
    <w:rsid w:val="3A30B11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8DFD3"/>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6F0D8"/>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CEA3CF"/>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0D6A0"/>
    <w:rsid w:val="3E86649D"/>
    <w:rsid w:val="3E8EE34D"/>
    <w:rsid w:val="3E8F7B12"/>
    <w:rsid w:val="3E92B2B9"/>
    <w:rsid w:val="3E979442"/>
    <w:rsid w:val="3E9AB3A2"/>
    <w:rsid w:val="3E9B116F"/>
    <w:rsid w:val="3EA0FBDC"/>
    <w:rsid w:val="3EA45855"/>
    <w:rsid w:val="3EA8088A"/>
    <w:rsid w:val="3EAAB91F"/>
    <w:rsid w:val="3EAC871D"/>
    <w:rsid w:val="3EB4B6CA"/>
    <w:rsid w:val="3EB702B4"/>
    <w:rsid w:val="3EB918FA"/>
    <w:rsid w:val="3ECA83C5"/>
    <w:rsid w:val="3ECB3957"/>
    <w:rsid w:val="3ED6F7D2"/>
    <w:rsid w:val="3EDDFCBC"/>
    <w:rsid w:val="3EE61A2B"/>
    <w:rsid w:val="3EE9946A"/>
    <w:rsid w:val="3EEBD439"/>
    <w:rsid w:val="3EF0DA50"/>
    <w:rsid w:val="3EF381B5"/>
    <w:rsid w:val="3EF39D26"/>
    <w:rsid w:val="3EF4DB2F"/>
    <w:rsid w:val="3EF6BD0C"/>
    <w:rsid w:val="3EF81214"/>
    <w:rsid w:val="3F0146F9"/>
    <w:rsid w:val="3F05C555"/>
    <w:rsid w:val="3F113B00"/>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5CEF1"/>
    <w:rsid w:val="41085938"/>
    <w:rsid w:val="410AAC61"/>
    <w:rsid w:val="410BC2BE"/>
    <w:rsid w:val="410D920F"/>
    <w:rsid w:val="41144A0A"/>
    <w:rsid w:val="412B547C"/>
    <w:rsid w:val="412DA491"/>
    <w:rsid w:val="412FA9F8"/>
    <w:rsid w:val="41452241"/>
    <w:rsid w:val="4150F364"/>
    <w:rsid w:val="4161B8DB"/>
    <w:rsid w:val="4164B17E"/>
    <w:rsid w:val="416B9C36"/>
    <w:rsid w:val="416D8725"/>
    <w:rsid w:val="41739CFB"/>
    <w:rsid w:val="41825E47"/>
    <w:rsid w:val="418A3156"/>
    <w:rsid w:val="418B8FF2"/>
    <w:rsid w:val="418F9277"/>
    <w:rsid w:val="419013D2"/>
    <w:rsid w:val="419A40DD"/>
    <w:rsid w:val="419AD539"/>
    <w:rsid w:val="41A300BF"/>
    <w:rsid w:val="41A33388"/>
    <w:rsid w:val="41A6711D"/>
    <w:rsid w:val="41AA326C"/>
    <w:rsid w:val="41AB9D76"/>
    <w:rsid w:val="41AC1C54"/>
    <w:rsid w:val="41B0F365"/>
    <w:rsid w:val="41B30E58"/>
    <w:rsid w:val="41B3AACD"/>
    <w:rsid w:val="41B85E38"/>
    <w:rsid w:val="41C02480"/>
    <w:rsid w:val="41CF1145"/>
    <w:rsid w:val="41CF54B9"/>
    <w:rsid w:val="41DC0402"/>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9099C"/>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1FFC"/>
    <w:rsid w:val="42F2F17F"/>
    <w:rsid w:val="42F3B46C"/>
    <w:rsid w:val="42F5B1EF"/>
    <w:rsid w:val="42F68C14"/>
    <w:rsid w:val="4300CA1C"/>
    <w:rsid w:val="430323C3"/>
    <w:rsid w:val="43073173"/>
    <w:rsid w:val="4307F512"/>
    <w:rsid w:val="430851EC"/>
    <w:rsid w:val="43098B02"/>
    <w:rsid w:val="430A965E"/>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AFCA2E"/>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AA444"/>
    <w:rsid w:val="44FC855A"/>
    <w:rsid w:val="4501B228"/>
    <w:rsid w:val="45054FC9"/>
    <w:rsid w:val="4509583B"/>
    <w:rsid w:val="450B6662"/>
    <w:rsid w:val="450D0E67"/>
    <w:rsid w:val="450D9679"/>
    <w:rsid w:val="451071ED"/>
    <w:rsid w:val="451242D2"/>
    <w:rsid w:val="451617A3"/>
    <w:rsid w:val="45185124"/>
    <w:rsid w:val="451A3D41"/>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BBC93"/>
    <w:rsid w:val="469D3D53"/>
    <w:rsid w:val="46A02E7C"/>
    <w:rsid w:val="46A6D8FC"/>
    <w:rsid w:val="46A81493"/>
    <w:rsid w:val="46B3531F"/>
    <w:rsid w:val="46BEB621"/>
    <w:rsid w:val="46BFD3B9"/>
    <w:rsid w:val="46CA4691"/>
    <w:rsid w:val="46CA6A68"/>
    <w:rsid w:val="46D52147"/>
    <w:rsid w:val="46D89B3C"/>
    <w:rsid w:val="46E2E394"/>
    <w:rsid w:val="46E581DA"/>
    <w:rsid w:val="46E77B7F"/>
    <w:rsid w:val="46E8731A"/>
    <w:rsid w:val="46E9D3AD"/>
    <w:rsid w:val="46EF778F"/>
    <w:rsid w:val="46F0C45F"/>
    <w:rsid w:val="46F11280"/>
    <w:rsid w:val="46F18236"/>
    <w:rsid w:val="46F2E4A6"/>
    <w:rsid w:val="46F40B95"/>
    <w:rsid w:val="46F54B37"/>
    <w:rsid w:val="46FEEE7E"/>
    <w:rsid w:val="4709D196"/>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C9530"/>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2A45B"/>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1515B"/>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C2B4"/>
    <w:rsid w:val="49DFEB5C"/>
    <w:rsid w:val="49E8E56B"/>
    <w:rsid w:val="49F6C01F"/>
    <w:rsid w:val="4A074D77"/>
    <w:rsid w:val="4A107C97"/>
    <w:rsid w:val="4A12BB36"/>
    <w:rsid w:val="4A12C40A"/>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B0E374"/>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B299B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7C2A19"/>
    <w:rsid w:val="4D873ECF"/>
    <w:rsid w:val="4D89AACA"/>
    <w:rsid w:val="4D8ACBCC"/>
    <w:rsid w:val="4D8B8152"/>
    <w:rsid w:val="4D8F1EED"/>
    <w:rsid w:val="4D9069A7"/>
    <w:rsid w:val="4D98B487"/>
    <w:rsid w:val="4DA11CF0"/>
    <w:rsid w:val="4DA8B223"/>
    <w:rsid w:val="4DBA078D"/>
    <w:rsid w:val="4DBC4AF4"/>
    <w:rsid w:val="4DBD1437"/>
    <w:rsid w:val="4DBD53AF"/>
    <w:rsid w:val="4DBD5960"/>
    <w:rsid w:val="4DC83AD7"/>
    <w:rsid w:val="4DCB2659"/>
    <w:rsid w:val="4DCD28A9"/>
    <w:rsid w:val="4DCF11E0"/>
    <w:rsid w:val="4DCFE9DE"/>
    <w:rsid w:val="4DD2F8D7"/>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ADAB6"/>
    <w:rsid w:val="4E3C7198"/>
    <w:rsid w:val="4E3CD179"/>
    <w:rsid w:val="4E3FDB94"/>
    <w:rsid w:val="4E483425"/>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6F44"/>
    <w:rsid w:val="4EDEAFB9"/>
    <w:rsid w:val="4EE1F88F"/>
    <w:rsid w:val="4EE3AA76"/>
    <w:rsid w:val="4EE8DD60"/>
    <w:rsid w:val="4EE9B3B0"/>
    <w:rsid w:val="4EE9D7DE"/>
    <w:rsid w:val="4EEFAC4D"/>
    <w:rsid w:val="4EF1C58E"/>
    <w:rsid w:val="4EF33610"/>
    <w:rsid w:val="4F00C134"/>
    <w:rsid w:val="4F02B824"/>
    <w:rsid w:val="4F034F3D"/>
    <w:rsid w:val="4F0A9DAD"/>
    <w:rsid w:val="4F1484B6"/>
    <w:rsid w:val="4F23BC76"/>
    <w:rsid w:val="4F249FA0"/>
    <w:rsid w:val="4F2AF559"/>
    <w:rsid w:val="4F393C53"/>
    <w:rsid w:val="4F470DBB"/>
    <w:rsid w:val="4F496C67"/>
    <w:rsid w:val="4F4B9389"/>
    <w:rsid w:val="4F56BEDB"/>
    <w:rsid w:val="4F593299"/>
    <w:rsid w:val="4F5A2104"/>
    <w:rsid w:val="4F5B68CE"/>
    <w:rsid w:val="4F5FB1E4"/>
    <w:rsid w:val="4F63B913"/>
    <w:rsid w:val="4F68945C"/>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079A6"/>
    <w:rsid w:val="502837F1"/>
    <w:rsid w:val="50387954"/>
    <w:rsid w:val="5039FA3D"/>
    <w:rsid w:val="503B7D64"/>
    <w:rsid w:val="5046B806"/>
    <w:rsid w:val="504FE9EA"/>
    <w:rsid w:val="505080B3"/>
    <w:rsid w:val="50546492"/>
    <w:rsid w:val="50553537"/>
    <w:rsid w:val="50584E39"/>
    <w:rsid w:val="505FE223"/>
    <w:rsid w:val="506146C1"/>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1BC31"/>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153AE"/>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28F43"/>
    <w:rsid w:val="53EB3213"/>
    <w:rsid w:val="53EC2ACC"/>
    <w:rsid w:val="53F002AA"/>
    <w:rsid w:val="53F8C46C"/>
    <w:rsid w:val="54000A42"/>
    <w:rsid w:val="5406781E"/>
    <w:rsid w:val="54071834"/>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5A72D"/>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A526B"/>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4CCC8"/>
    <w:rsid w:val="5619DD86"/>
    <w:rsid w:val="5628E761"/>
    <w:rsid w:val="562B3B9D"/>
    <w:rsid w:val="56304688"/>
    <w:rsid w:val="563F0093"/>
    <w:rsid w:val="5643AE88"/>
    <w:rsid w:val="5646EBEA"/>
    <w:rsid w:val="56484F6E"/>
    <w:rsid w:val="564985CB"/>
    <w:rsid w:val="564B5BED"/>
    <w:rsid w:val="564DCD13"/>
    <w:rsid w:val="5655F9C1"/>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8695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3F52F8"/>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BE1B5C"/>
    <w:rsid w:val="57C78784"/>
    <w:rsid w:val="57C79BB8"/>
    <w:rsid w:val="57CAE6B2"/>
    <w:rsid w:val="57CFD6B7"/>
    <w:rsid w:val="57DC99CE"/>
    <w:rsid w:val="57EB344E"/>
    <w:rsid w:val="57ECEC93"/>
    <w:rsid w:val="57F63D48"/>
    <w:rsid w:val="57FC8E9A"/>
    <w:rsid w:val="58000401"/>
    <w:rsid w:val="58001F7D"/>
    <w:rsid w:val="580C5A28"/>
    <w:rsid w:val="580FAD1C"/>
    <w:rsid w:val="58115F94"/>
    <w:rsid w:val="5814CDA6"/>
    <w:rsid w:val="581507BA"/>
    <w:rsid w:val="5818FC50"/>
    <w:rsid w:val="5824B8E2"/>
    <w:rsid w:val="58269D2F"/>
    <w:rsid w:val="58272BDA"/>
    <w:rsid w:val="582CBD4D"/>
    <w:rsid w:val="582E8A7E"/>
    <w:rsid w:val="5831FFBE"/>
    <w:rsid w:val="5833F7AC"/>
    <w:rsid w:val="58390473"/>
    <w:rsid w:val="5846E8BF"/>
    <w:rsid w:val="5850040D"/>
    <w:rsid w:val="5857B5DA"/>
    <w:rsid w:val="586142A5"/>
    <w:rsid w:val="58637A17"/>
    <w:rsid w:val="586EBC28"/>
    <w:rsid w:val="58714743"/>
    <w:rsid w:val="587340EF"/>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2BE5"/>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174F69"/>
    <w:rsid w:val="59234895"/>
    <w:rsid w:val="592634F0"/>
    <w:rsid w:val="592BB726"/>
    <w:rsid w:val="592BB84A"/>
    <w:rsid w:val="592CC765"/>
    <w:rsid w:val="5931A968"/>
    <w:rsid w:val="5934EEFF"/>
    <w:rsid w:val="5937218B"/>
    <w:rsid w:val="5938EFB5"/>
    <w:rsid w:val="593AB22B"/>
    <w:rsid w:val="593BC64C"/>
    <w:rsid w:val="59424DC7"/>
    <w:rsid w:val="5945FEA9"/>
    <w:rsid w:val="594B1FBA"/>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30E3C"/>
    <w:rsid w:val="5B3462AA"/>
    <w:rsid w:val="5B3F9728"/>
    <w:rsid w:val="5B4222C6"/>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0257C"/>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927A8"/>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DF5584"/>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3AB480"/>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C831F"/>
    <w:rsid w:val="5DADE133"/>
    <w:rsid w:val="5DB62CE7"/>
    <w:rsid w:val="5DB79B76"/>
    <w:rsid w:val="5DB7FE15"/>
    <w:rsid w:val="5DB9D853"/>
    <w:rsid w:val="5DBAA8D2"/>
    <w:rsid w:val="5DBC7F00"/>
    <w:rsid w:val="5DC339E9"/>
    <w:rsid w:val="5DCCFC5D"/>
    <w:rsid w:val="5DE0EA94"/>
    <w:rsid w:val="5DE18CE3"/>
    <w:rsid w:val="5DE43FA4"/>
    <w:rsid w:val="5DE4F4E8"/>
    <w:rsid w:val="5DE5392C"/>
    <w:rsid w:val="5DE72010"/>
    <w:rsid w:val="5DE8E31C"/>
    <w:rsid w:val="5DEE1218"/>
    <w:rsid w:val="5DF5FF1E"/>
    <w:rsid w:val="5DF7384D"/>
    <w:rsid w:val="5DFCCF76"/>
    <w:rsid w:val="5E33E21D"/>
    <w:rsid w:val="5E34EFBD"/>
    <w:rsid w:val="5E39F51F"/>
    <w:rsid w:val="5E52D29B"/>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6BFD4"/>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1D182"/>
    <w:rsid w:val="5F69CFF4"/>
    <w:rsid w:val="5F6D5EBB"/>
    <w:rsid w:val="5F70B5C8"/>
    <w:rsid w:val="5F8168DE"/>
    <w:rsid w:val="5F82A745"/>
    <w:rsid w:val="5F8BD80F"/>
    <w:rsid w:val="5F93ADFA"/>
    <w:rsid w:val="5F9A6075"/>
    <w:rsid w:val="5F9E22D1"/>
    <w:rsid w:val="5FA55335"/>
    <w:rsid w:val="5FA8AF1A"/>
    <w:rsid w:val="5FB3BBE8"/>
    <w:rsid w:val="5FB3EBEF"/>
    <w:rsid w:val="5FBD2F72"/>
    <w:rsid w:val="5FC207BE"/>
    <w:rsid w:val="5FC50EAB"/>
    <w:rsid w:val="5FC79A17"/>
    <w:rsid w:val="5FCAA7AD"/>
    <w:rsid w:val="5FCB4B31"/>
    <w:rsid w:val="5FD2E2A7"/>
    <w:rsid w:val="5FD4B4F2"/>
    <w:rsid w:val="5FD9412A"/>
    <w:rsid w:val="5FDA5903"/>
    <w:rsid w:val="5FDD0818"/>
    <w:rsid w:val="5FE4E6B9"/>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5D7ECD"/>
    <w:rsid w:val="606BE565"/>
    <w:rsid w:val="60732D2E"/>
    <w:rsid w:val="607484A2"/>
    <w:rsid w:val="607CE968"/>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51E90"/>
    <w:rsid w:val="61EF75EE"/>
    <w:rsid w:val="61EFD8D8"/>
    <w:rsid w:val="61F5518E"/>
    <w:rsid w:val="61F597F4"/>
    <w:rsid w:val="61FEEC2F"/>
    <w:rsid w:val="62005B05"/>
    <w:rsid w:val="6205EB82"/>
    <w:rsid w:val="6208C03D"/>
    <w:rsid w:val="62106BE8"/>
    <w:rsid w:val="62128021"/>
    <w:rsid w:val="621C5103"/>
    <w:rsid w:val="6224E7FB"/>
    <w:rsid w:val="62290DD9"/>
    <w:rsid w:val="622DE142"/>
    <w:rsid w:val="62319F71"/>
    <w:rsid w:val="6232306F"/>
    <w:rsid w:val="62387AAD"/>
    <w:rsid w:val="623C7682"/>
    <w:rsid w:val="623D72C8"/>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2BF81"/>
    <w:rsid w:val="63CD0AD4"/>
    <w:rsid w:val="63CDE87A"/>
    <w:rsid w:val="63D3F995"/>
    <w:rsid w:val="63D7A50D"/>
    <w:rsid w:val="63DB4628"/>
    <w:rsid w:val="63DBFBE9"/>
    <w:rsid w:val="63E2961E"/>
    <w:rsid w:val="63EB1E21"/>
    <w:rsid w:val="63EF0347"/>
    <w:rsid w:val="63F89B18"/>
    <w:rsid w:val="63F9F8A2"/>
    <w:rsid w:val="6400ACE7"/>
    <w:rsid w:val="6402E4BD"/>
    <w:rsid w:val="64065810"/>
    <w:rsid w:val="6408BF69"/>
    <w:rsid w:val="64099968"/>
    <w:rsid w:val="640B61B3"/>
    <w:rsid w:val="640CA409"/>
    <w:rsid w:val="640F548A"/>
    <w:rsid w:val="64109648"/>
    <w:rsid w:val="64112A91"/>
    <w:rsid w:val="64181DBB"/>
    <w:rsid w:val="642830D5"/>
    <w:rsid w:val="642AACA4"/>
    <w:rsid w:val="642AE9B2"/>
    <w:rsid w:val="642C05CC"/>
    <w:rsid w:val="642FE23F"/>
    <w:rsid w:val="6433B854"/>
    <w:rsid w:val="64428FE7"/>
    <w:rsid w:val="64499261"/>
    <w:rsid w:val="6451D88F"/>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2B947"/>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31952"/>
    <w:rsid w:val="65F89486"/>
    <w:rsid w:val="65FF0378"/>
    <w:rsid w:val="66053034"/>
    <w:rsid w:val="66079661"/>
    <w:rsid w:val="660D54D4"/>
    <w:rsid w:val="6610A74E"/>
    <w:rsid w:val="661468FB"/>
    <w:rsid w:val="661777A0"/>
    <w:rsid w:val="6619ACAD"/>
    <w:rsid w:val="662BAE4A"/>
    <w:rsid w:val="663567E3"/>
    <w:rsid w:val="6637C4CF"/>
    <w:rsid w:val="663B5FC9"/>
    <w:rsid w:val="663D4C03"/>
    <w:rsid w:val="66421FB3"/>
    <w:rsid w:val="664434E1"/>
    <w:rsid w:val="664A2723"/>
    <w:rsid w:val="6656F31D"/>
    <w:rsid w:val="66598A6C"/>
    <w:rsid w:val="6659DEC8"/>
    <w:rsid w:val="665E63BF"/>
    <w:rsid w:val="66612E29"/>
    <w:rsid w:val="66680709"/>
    <w:rsid w:val="666CF814"/>
    <w:rsid w:val="667094A8"/>
    <w:rsid w:val="6673D55C"/>
    <w:rsid w:val="667B2289"/>
    <w:rsid w:val="6681C078"/>
    <w:rsid w:val="6682858D"/>
    <w:rsid w:val="6686E09C"/>
    <w:rsid w:val="6688E614"/>
    <w:rsid w:val="668ABFC8"/>
    <w:rsid w:val="66924ADF"/>
    <w:rsid w:val="669B15A9"/>
    <w:rsid w:val="66A8597F"/>
    <w:rsid w:val="66AC12DC"/>
    <w:rsid w:val="66CBF074"/>
    <w:rsid w:val="66CD89E5"/>
    <w:rsid w:val="66CE9298"/>
    <w:rsid w:val="66D4D47D"/>
    <w:rsid w:val="66D70F58"/>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A986A"/>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9E406"/>
    <w:rsid w:val="680BB5CE"/>
    <w:rsid w:val="680C059E"/>
    <w:rsid w:val="681023C0"/>
    <w:rsid w:val="6813FC05"/>
    <w:rsid w:val="6817F003"/>
    <w:rsid w:val="68187A14"/>
    <w:rsid w:val="681BEBF9"/>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5D22D0"/>
    <w:rsid w:val="68619652"/>
    <w:rsid w:val="68688BD5"/>
    <w:rsid w:val="686AE1BA"/>
    <w:rsid w:val="68759122"/>
    <w:rsid w:val="68949B4B"/>
    <w:rsid w:val="6895BC69"/>
    <w:rsid w:val="689943E1"/>
    <w:rsid w:val="689C618E"/>
    <w:rsid w:val="689CC7DC"/>
    <w:rsid w:val="68A61B7C"/>
    <w:rsid w:val="68A7D944"/>
    <w:rsid w:val="68AC550A"/>
    <w:rsid w:val="68AD2499"/>
    <w:rsid w:val="68AE501C"/>
    <w:rsid w:val="68B4872D"/>
    <w:rsid w:val="68BC6E89"/>
    <w:rsid w:val="68C193EA"/>
    <w:rsid w:val="68C478A2"/>
    <w:rsid w:val="68CCADFE"/>
    <w:rsid w:val="68D82BC3"/>
    <w:rsid w:val="68E010CD"/>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46779"/>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8CB2F"/>
    <w:rsid w:val="6B7A2558"/>
    <w:rsid w:val="6B7A8D85"/>
    <w:rsid w:val="6B8481F6"/>
    <w:rsid w:val="6B868D97"/>
    <w:rsid w:val="6B8CD429"/>
    <w:rsid w:val="6B902967"/>
    <w:rsid w:val="6B960118"/>
    <w:rsid w:val="6B96DEC8"/>
    <w:rsid w:val="6B979FF2"/>
    <w:rsid w:val="6B9B848E"/>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CB1E9"/>
    <w:rsid w:val="6C5D3340"/>
    <w:rsid w:val="6C5F6D77"/>
    <w:rsid w:val="6C69F4E2"/>
    <w:rsid w:val="6C72AE20"/>
    <w:rsid w:val="6C73B24F"/>
    <w:rsid w:val="6C7A045B"/>
    <w:rsid w:val="6C822DA6"/>
    <w:rsid w:val="6C82ED05"/>
    <w:rsid w:val="6C84893E"/>
    <w:rsid w:val="6C869A50"/>
    <w:rsid w:val="6C8913F6"/>
    <w:rsid w:val="6C8F7A6B"/>
    <w:rsid w:val="6C94D1F7"/>
    <w:rsid w:val="6C9B52FC"/>
    <w:rsid w:val="6CA76E67"/>
    <w:rsid w:val="6CBB358C"/>
    <w:rsid w:val="6CC009F0"/>
    <w:rsid w:val="6CC553FB"/>
    <w:rsid w:val="6CC56644"/>
    <w:rsid w:val="6CCAE711"/>
    <w:rsid w:val="6CD0C21C"/>
    <w:rsid w:val="6CD3B75E"/>
    <w:rsid w:val="6CD5C874"/>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2F3ED"/>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8AA73"/>
    <w:rsid w:val="6E1A1FB9"/>
    <w:rsid w:val="6E201E42"/>
    <w:rsid w:val="6E206F98"/>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3F703"/>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2B9094"/>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CF6A0B"/>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C55DAD"/>
    <w:rsid w:val="70D37E57"/>
    <w:rsid w:val="70DCFF27"/>
    <w:rsid w:val="70DEE7A3"/>
    <w:rsid w:val="70DF4F7D"/>
    <w:rsid w:val="70E2FBEC"/>
    <w:rsid w:val="70E60531"/>
    <w:rsid w:val="70EA9FE0"/>
    <w:rsid w:val="70F12AF8"/>
    <w:rsid w:val="70F60C95"/>
    <w:rsid w:val="70F9CABC"/>
    <w:rsid w:val="7103E6C9"/>
    <w:rsid w:val="71093164"/>
    <w:rsid w:val="710F5892"/>
    <w:rsid w:val="7110FD42"/>
    <w:rsid w:val="711199DD"/>
    <w:rsid w:val="71148A70"/>
    <w:rsid w:val="7119184D"/>
    <w:rsid w:val="71261078"/>
    <w:rsid w:val="7129125C"/>
    <w:rsid w:val="712CD66F"/>
    <w:rsid w:val="71313F2C"/>
    <w:rsid w:val="713229B1"/>
    <w:rsid w:val="7140C158"/>
    <w:rsid w:val="71441D59"/>
    <w:rsid w:val="7148B6E4"/>
    <w:rsid w:val="714FF9D9"/>
    <w:rsid w:val="71541BD2"/>
    <w:rsid w:val="7155140B"/>
    <w:rsid w:val="7157FBFA"/>
    <w:rsid w:val="715F14CD"/>
    <w:rsid w:val="71645D79"/>
    <w:rsid w:val="716E8A66"/>
    <w:rsid w:val="71755E85"/>
    <w:rsid w:val="7175F3D2"/>
    <w:rsid w:val="717AFDCA"/>
    <w:rsid w:val="717D6955"/>
    <w:rsid w:val="71800B52"/>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0B74D"/>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52AF4"/>
    <w:rsid w:val="72BBA894"/>
    <w:rsid w:val="72BED5DC"/>
    <w:rsid w:val="72C09B7E"/>
    <w:rsid w:val="72C97B1E"/>
    <w:rsid w:val="72CA4855"/>
    <w:rsid w:val="72D44403"/>
    <w:rsid w:val="72DBC8B2"/>
    <w:rsid w:val="72DE61FA"/>
    <w:rsid w:val="72E3795B"/>
    <w:rsid w:val="72EBCA02"/>
    <w:rsid w:val="72EF2401"/>
    <w:rsid w:val="72F40A3C"/>
    <w:rsid w:val="72F4F3CF"/>
    <w:rsid w:val="72F5858B"/>
    <w:rsid w:val="72F9CCE3"/>
    <w:rsid w:val="72FCA61A"/>
    <w:rsid w:val="7302DAE0"/>
    <w:rsid w:val="730380DA"/>
    <w:rsid w:val="7304F662"/>
    <w:rsid w:val="7305A819"/>
    <w:rsid w:val="7305FC5E"/>
    <w:rsid w:val="73081050"/>
    <w:rsid w:val="730B5F7C"/>
    <w:rsid w:val="73181B25"/>
    <w:rsid w:val="7318A462"/>
    <w:rsid w:val="731A4382"/>
    <w:rsid w:val="731FA281"/>
    <w:rsid w:val="732059BF"/>
    <w:rsid w:val="73286992"/>
    <w:rsid w:val="7328AD28"/>
    <w:rsid w:val="732C742B"/>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6F00E"/>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7E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CBA23B"/>
    <w:rsid w:val="75D0760C"/>
    <w:rsid w:val="75D13D75"/>
    <w:rsid w:val="75E743F6"/>
    <w:rsid w:val="75F390D8"/>
    <w:rsid w:val="75F443FA"/>
    <w:rsid w:val="76010B70"/>
    <w:rsid w:val="7604C6EA"/>
    <w:rsid w:val="76060187"/>
    <w:rsid w:val="7606F10D"/>
    <w:rsid w:val="7616F389"/>
    <w:rsid w:val="761C3783"/>
    <w:rsid w:val="761D90D1"/>
    <w:rsid w:val="761DDA9C"/>
    <w:rsid w:val="762022A6"/>
    <w:rsid w:val="7626010B"/>
    <w:rsid w:val="76269A88"/>
    <w:rsid w:val="762B4E7D"/>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78109C"/>
    <w:rsid w:val="768137AD"/>
    <w:rsid w:val="76854FE6"/>
    <w:rsid w:val="7685D53C"/>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8AAD"/>
    <w:rsid w:val="7783D775"/>
    <w:rsid w:val="77846724"/>
    <w:rsid w:val="77862C8F"/>
    <w:rsid w:val="7795ACE8"/>
    <w:rsid w:val="7797F5FF"/>
    <w:rsid w:val="779D0BD8"/>
    <w:rsid w:val="779E2C48"/>
    <w:rsid w:val="77A36EA8"/>
    <w:rsid w:val="77A57BDF"/>
    <w:rsid w:val="77AF9173"/>
    <w:rsid w:val="77B11D6F"/>
    <w:rsid w:val="77B32563"/>
    <w:rsid w:val="77B52996"/>
    <w:rsid w:val="77B8D782"/>
    <w:rsid w:val="77C2640D"/>
    <w:rsid w:val="77C670D8"/>
    <w:rsid w:val="77C87672"/>
    <w:rsid w:val="77CD2346"/>
    <w:rsid w:val="77CFC99A"/>
    <w:rsid w:val="77D0FECD"/>
    <w:rsid w:val="77D27BDF"/>
    <w:rsid w:val="77DC8F6B"/>
    <w:rsid w:val="77F1C446"/>
    <w:rsid w:val="77F353FE"/>
    <w:rsid w:val="78082DBC"/>
    <w:rsid w:val="7810D4DD"/>
    <w:rsid w:val="7815F771"/>
    <w:rsid w:val="7817DBDF"/>
    <w:rsid w:val="781EDA46"/>
    <w:rsid w:val="7821BCC3"/>
    <w:rsid w:val="78244181"/>
    <w:rsid w:val="782D15A5"/>
    <w:rsid w:val="7833D534"/>
    <w:rsid w:val="78361331"/>
    <w:rsid w:val="783D2720"/>
    <w:rsid w:val="783ED19D"/>
    <w:rsid w:val="78410815"/>
    <w:rsid w:val="78446627"/>
    <w:rsid w:val="784B2BEF"/>
    <w:rsid w:val="78551A4C"/>
    <w:rsid w:val="785F0ED0"/>
    <w:rsid w:val="78627768"/>
    <w:rsid w:val="7866A49A"/>
    <w:rsid w:val="786CEC62"/>
    <w:rsid w:val="786F63A5"/>
    <w:rsid w:val="78717E3B"/>
    <w:rsid w:val="788546C9"/>
    <w:rsid w:val="78870928"/>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1BB77"/>
    <w:rsid w:val="79266075"/>
    <w:rsid w:val="792ABEB0"/>
    <w:rsid w:val="792E9464"/>
    <w:rsid w:val="7936D5D8"/>
    <w:rsid w:val="7937D61C"/>
    <w:rsid w:val="793AC97D"/>
    <w:rsid w:val="793CC14B"/>
    <w:rsid w:val="793DCC5A"/>
    <w:rsid w:val="793DD342"/>
    <w:rsid w:val="7942E043"/>
    <w:rsid w:val="794FED35"/>
    <w:rsid w:val="7957CC69"/>
    <w:rsid w:val="7961D2B2"/>
    <w:rsid w:val="79643E63"/>
    <w:rsid w:val="79718F1D"/>
    <w:rsid w:val="79746902"/>
    <w:rsid w:val="7975DE23"/>
    <w:rsid w:val="7975F609"/>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49BB1"/>
    <w:rsid w:val="7A285A16"/>
    <w:rsid w:val="7A3D9804"/>
    <w:rsid w:val="7A3DBBB1"/>
    <w:rsid w:val="7A40B64D"/>
    <w:rsid w:val="7A45872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362FC"/>
    <w:rsid w:val="7AA66E4D"/>
    <w:rsid w:val="7AB12EE0"/>
    <w:rsid w:val="7AB20330"/>
    <w:rsid w:val="7AB98BD1"/>
    <w:rsid w:val="7ABEB04D"/>
    <w:rsid w:val="7AC69247"/>
    <w:rsid w:val="7AC99F60"/>
    <w:rsid w:val="7AD62D6C"/>
    <w:rsid w:val="7ADACE8B"/>
    <w:rsid w:val="7ADDF4B4"/>
    <w:rsid w:val="7AE715FF"/>
    <w:rsid w:val="7AE8DAD7"/>
    <w:rsid w:val="7AEC3FC3"/>
    <w:rsid w:val="7AEC91FF"/>
    <w:rsid w:val="7AEFFE7B"/>
    <w:rsid w:val="7AF57463"/>
    <w:rsid w:val="7AF7758E"/>
    <w:rsid w:val="7AFFF52D"/>
    <w:rsid w:val="7B02F3C2"/>
    <w:rsid w:val="7B081EA2"/>
    <w:rsid w:val="7B0A1481"/>
    <w:rsid w:val="7B1609B6"/>
    <w:rsid w:val="7B21ECBE"/>
    <w:rsid w:val="7B23D929"/>
    <w:rsid w:val="7B266F5A"/>
    <w:rsid w:val="7B29A4A5"/>
    <w:rsid w:val="7B2C1208"/>
    <w:rsid w:val="7B31C04C"/>
    <w:rsid w:val="7B33ECAC"/>
    <w:rsid w:val="7B3F562D"/>
    <w:rsid w:val="7B42FC16"/>
    <w:rsid w:val="7B45C01F"/>
    <w:rsid w:val="7B46039D"/>
    <w:rsid w:val="7B47CE5D"/>
    <w:rsid w:val="7B4AB074"/>
    <w:rsid w:val="7B55B4A1"/>
    <w:rsid w:val="7B5C42E2"/>
    <w:rsid w:val="7B5EE4A6"/>
    <w:rsid w:val="7B5FC7F4"/>
    <w:rsid w:val="7B64B667"/>
    <w:rsid w:val="7B6835D4"/>
    <w:rsid w:val="7B717F3A"/>
    <w:rsid w:val="7B7443AD"/>
    <w:rsid w:val="7B75905F"/>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BF966A"/>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5E14"/>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75D7E"/>
    <w:rsid w:val="7E5B9A86"/>
    <w:rsid w:val="7E5CDDE1"/>
    <w:rsid w:val="7E659246"/>
    <w:rsid w:val="7E71CB32"/>
    <w:rsid w:val="7E7E0E77"/>
    <w:rsid w:val="7E853398"/>
    <w:rsid w:val="7E8AA9D1"/>
    <w:rsid w:val="7E8C0B8B"/>
    <w:rsid w:val="7E8EBCD1"/>
    <w:rsid w:val="7E945060"/>
    <w:rsid w:val="7E9772C5"/>
    <w:rsid w:val="7E979B9E"/>
    <w:rsid w:val="7EA0FAF1"/>
    <w:rsid w:val="7EA1B9ED"/>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2AC6D2"/>
    <w:rsid w:val="7F3106A7"/>
    <w:rsid w:val="7F3137E6"/>
    <w:rsid w:val="7F3360F3"/>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962D6215-4EEB-4778-9921-D9CF0905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D35D58"/>
    <w:pPr>
      <w:tabs>
        <w:tab w:val="right" w:leader="dot" w:pos="9350"/>
      </w:tabs>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996A44"/>
    <w:pPr>
      <w:shd w:val="clear" w:color="auto" w:fill="FFFFFF" w:themeFill="background1"/>
      <w:spacing w:before="240" w:after="120"/>
      <w:ind w:left="720" w:right="720"/>
    </w:pPr>
    <w:rPr>
      <w:rFonts w:eastAsiaTheme="minorEastAsia"/>
      <w:lang w:eastAsia="ja-JP"/>
    </w:rPr>
  </w:style>
  <w:style w:type="character" w:customStyle="1" w:styleId="BodyTextIndentChar">
    <w:name w:val="Body Text Indent Char"/>
    <w:basedOn w:val="DefaultParagraphFont"/>
    <w:link w:val="BodyTextIndent"/>
    <w:rsid w:val="00996A44"/>
    <w:rPr>
      <w:rFonts w:asciiTheme="minorHAnsi" w:eastAsiaTheme="minorEastAsia" w:hAnsiTheme="minorHAnsi" w:cstheme="minorBidi"/>
      <w:sz w:val="22"/>
      <w:szCs w:val="22"/>
      <w:shd w:val="clear" w:color="auto" w:fill="FFFFFF" w:themeFill="background1"/>
      <w:lang w:eastAsia="ja-JP"/>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numbering" w:customStyle="1" w:styleId="TableBulletList">
    <w:name w:val="Table Bullet List"/>
    <w:uiPriority w:val="99"/>
    <w:rsid w:val="00405424"/>
  </w:style>
  <w:style w:type="character" w:styleId="Strong">
    <w:name w:val="Strong"/>
    <w:basedOn w:val="DefaultParagraphFont"/>
    <w:uiPriority w:val="22"/>
    <w:qFormat/>
    <w:rsid w:val="00B6382C"/>
    <w:rPr>
      <w:b/>
      <w:bCs/>
    </w:rPr>
  </w:style>
  <w:style w:type="paragraph" w:customStyle="1" w:styleId="CoverTopLogo">
    <w:name w:val="Cover Top Logo"/>
    <w:basedOn w:val="CoverSubtitle"/>
    <w:qFormat/>
    <w:rsid w:val="00405424"/>
    <w:pPr>
      <w:spacing w:before="480"/>
      <w:ind w:left="-86"/>
    </w:pPr>
    <w:rPr>
      <w:i w:val="0"/>
      <w:iCs/>
    </w:rPr>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4663AC"/>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vAlign w:val="bottom"/>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E64858"/>
    <w:pPr>
      <w:spacing w:before="960"/>
      <w:ind w:left="4032"/>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6C2407"/>
    <w:pPr>
      <w:tabs>
        <w:tab w:val="right" w:pos="10170"/>
      </w:tabs>
      <w:spacing w:before="5880" w:line="300" w:lineRule="auto"/>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qFormat/>
    <w:rsid w:val="007D69BA"/>
    <w:pPr>
      <w:numPr>
        <w:numId w:val="10"/>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8B745C"/>
    <w:pPr>
      <w:spacing w:before="120"/>
      <w:ind w:left="4032"/>
    </w:pPr>
    <w:rPr>
      <w:i w:val="0"/>
      <w:color w:val="000000" w:themeColor="text1"/>
      <w:sz w:val="28"/>
    </w:rPr>
  </w:style>
  <w:style w:type="paragraph" w:customStyle="1" w:styleId="CoverSubtitle2-SIOR">
    <w:name w:val="Cover Subtitle 2-SIOR"/>
    <w:basedOn w:val="CoverSubtitle2"/>
    <w:qFormat/>
    <w:rsid w:val="003B4D21"/>
    <w:pPr>
      <w:spacing w:before="1200"/>
      <w:ind w:left="4032"/>
    </w:pPr>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24417"/>
    <w:pPr>
      <w:contextualSpacing/>
    </w:pPr>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24417"/>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CoverDistrictName">
    <w:name w:val="Cover District Name"/>
    <w:basedOn w:val="CoverSubtitle"/>
    <w:qFormat/>
    <w:rsid w:val="008B745C"/>
    <w:pPr>
      <w:spacing w:before="1680"/>
      <w:ind w:left="4032"/>
    </w:p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verBottomLogo">
    <w:name w:val="Cover Bottom Logo"/>
    <w:basedOn w:val="CoverDate"/>
    <w:qFormat/>
    <w:rsid w:val="00405424"/>
  </w:style>
  <w:style w:type="paragraph" w:styleId="TableofFigures">
    <w:name w:val="table of figures"/>
    <w:basedOn w:val="Normal"/>
    <w:next w:val="Normal"/>
    <w:uiPriority w:val="99"/>
    <w:unhideWhenUsed/>
    <w:rsid w:val="00332F08"/>
  </w:style>
  <w:style w:type="paragraph" w:customStyle="1" w:styleId="xxmsonormal">
    <w:name w:val="x_xmsonormal"/>
    <w:basedOn w:val="Normal"/>
    <w:rsid w:val="00332F08"/>
    <w:pPr>
      <w:spacing w:line="240" w:lineRule="auto"/>
    </w:pPr>
    <w:rPr>
      <w:rFonts w:ascii="Aptos" w:hAnsi="Aptos" w:cs="Aptos"/>
      <w:sz w:val="24"/>
      <w:szCs w:val="24"/>
    </w:rPr>
  </w:style>
  <w:style w:type="paragraph" w:customStyle="1" w:styleId="TableETitle">
    <w:name w:val="Table E Title"/>
    <w:basedOn w:val="TableTitle0"/>
    <w:qFormat/>
    <w:rsid w:val="00332F08"/>
  </w:style>
  <w:style w:type="paragraph" w:customStyle="1" w:styleId="DIORDimensions">
    <w:name w:val="DIOR Dimensions"/>
    <w:basedOn w:val="Heading3"/>
    <w:link w:val="DIORDimensionsChar"/>
    <w:qFormat/>
    <w:rsid w:val="00C66574"/>
    <w:pPr>
      <w:pBdr>
        <w:bottom w:val="single" w:sz="12" w:space="1" w:color="ED7D31" w:themeColor="accent2"/>
      </w:pBdr>
    </w:pPr>
    <w:rPr>
      <w:sz w:val="32"/>
    </w:rPr>
  </w:style>
  <w:style w:type="character" w:customStyle="1" w:styleId="DIORDimensionsChar">
    <w:name w:val="DIOR Dimensions Char"/>
    <w:basedOn w:val="Heading3Char"/>
    <w:link w:val="DIORDimensions"/>
    <w:rsid w:val="00C66574"/>
    <w:rPr>
      <w:rFonts w:asciiTheme="majorHAnsi" w:eastAsiaTheme="minorHAnsi" w:hAnsiTheme="majorHAnsi" w:cstheme="minorBidi"/>
      <w:color w:val="2F5496" w:themeColor="accent5" w:themeShade="BF"/>
      <w:sz w:val="32"/>
      <w:szCs w:val="22"/>
    </w:rPr>
  </w:style>
  <w:style w:type="table" w:customStyle="1" w:styleId="MSVTable13">
    <w:name w:val="MSV Table 13"/>
    <w:basedOn w:val="TableNormal"/>
    <w:uiPriority w:val="99"/>
    <w:rsid w:val="00D00B7C"/>
    <w:pPr>
      <w:spacing w:before="40" w:after="40" w:line="259" w:lineRule="auto"/>
    </w:pPr>
    <w:rPr>
      <w:rFonts w:ascii="Aptos" w:eastAsia="Aptos" w:hAnsi="Aptos"/>
      <w:szCs w:val="22"/>
    </w:rPr>
    <w:tblPr>
      <w:tblStyleRowBandSize w:val="1"/>
      <w:tblBorders>
        <w:top w:val="single" w:sz="6" w:space="0" w:color="77206D"/>
        <w:left w:val="single" w:sz="6" w:space="0" w:color="77206D"/>
        <w:bottom w:val="single" w:sz="6" w:space="0" w:color="77206D"/>
        <w:right w:val="single" w:sz="6" w:space="0" w:color="77206D"/>
        <w:insideH w:val="single" w:sz="6" w:space="0" w:color="77206D"/>
        <w:insideV w:val="single" w:sz="6" w:space="0" w:color="77206D"/>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77206D"/>
      </w:tcPr>
    </w:tblStylePr>
    <w:tblStylePr w:type="band1Horz">
      <w:tblPr/>
      <w:tcPr>
        <w:shd w:val="clear" w:color="auto" w:fill="F2CE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chart" Target="charts/chart5.xml"/><Relationship Id="rId39" Type="http://schemas.openxmlformats.org/officeDocument/2006/relationships/footer" Target="footer8.xml"/><Relationship Id="rId21" Type="http://schemas.openxmlformats.org/officeDocument/2006/relationships/hyperlink" Target="https://www.census.gov/quickfacts/fact/table/nortontownbristolcountymassachusetts,MA/POP715224" TargetMode="External"/><Relationship Id="rId34" Type="http://schemas.openxmlformats.org/officeDocument/2006/relationships/footer" Target="footer7.xml"/><Relationship Id="rId42" Type="http://schemas.openxmlformats.org/officeDocument/2006/relationships/hyperlink" Target="https://www.doe.mass.edu/ele/prof-learning/wida/default.html" TargetMode="External"/><Relationship Id="rId47" Type="http://schemas.openxmlformats.org/officeDocument/2006/relationships/footer" Target="footer9.xml"/><Relationship Id="rId50" Type="http://schemas.openxmlformats.org/officeDocument/2006/relationships/hyperlink" Target="https://www.doe.mass.edu/research/radar/default.html"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hyperlink" Target="http://www.teachstone.com/wp-content/uploads/2011/05/class-mtp-pk-12-brief.pdf" TargetMode="External"/><Relationship Id="rId40" Type="http://schemas.openxmlformats.org/officeDocument/2006/relationships/hyperlink" Target="https://www.doe.mass.edu/csdp/guidebook/coherence-guidebook.pdf" TargetMode="External"/><Relationship Id="rId45" Type="http://schemas.openxmlformats.org/officeDocument/2006/relationships/hyperlink" Target="https://www.doe.mass.edu/sfss/mts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hyperlink" Target="https://www.doe.mass.edu/sfs/?section=family" TargetMode="Externa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7.png"/><Relationship Id="rId43" Type="http://schemas.openxmlformats.org/officeDocument/2006/relationships/hyperlink" Target="https://www.doe.mass.edu/edeval/implementation/default.html" TargetMode="External"/><Relationship Id="rId48" Type="http://schemas.openxmlformats.org/officeDocument/2006/relationships/hyperlink" Target="https://www.doe.mass.edu/research/radar/default.html" TargetMode="Externa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footer" Target="footer6.xml"/><Relationship Id="rId38" Type="http://schemas.openxmlformats.org/officeDocument/2006/relationships/hyperlink" Target="http://metproject.org/resources/CLASS_10_29_10.pdf" TargetMode="External"/><Relationship Id="rId46" Type="http://schemas.openxmlformats.org/officeDocument/2006/relationships/hyperlink" Target="https://matoolsforschools.com/" TargetMode="External"/><Relationship Id="rId20" Type="http://schemas.openxmlformats.org/officeDocument/2006/relationships/footer" Target="footer2.xml"/><Relationship Id="rId41" Type="http://schemas.openxmlformats.org/officeDocument/2006/relationships/hyperlink" Target="https://view.officeapps.live.com/op/view.aspx?src=https%3A%2F%2Fwww.doe.mass.edu%2Fcsdp%2Fguidebook%2Fappendix-ilt-framework.docx&amp;wdOrigin=BROWSELIN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hyperlink" Target="http://www.air.org" TargetMode="External"/><Relationship Id="rId49" Type="http://schemas.openxmlformats.org/officeDocument/2006/relationships/hyperlink" Target="https://www.doe.mass.edu/finance/chapter70/defaul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teachstone.com/class/" TargetMode="External"/><Relationship Id="rId1" Type="http://schemas.openxmlformats.org/officeDocument/2006/relationships/hyperlink" Target="https://www.doe.mass.edu/accountability/district-review/district-standards-indicators.doc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Norton/Norton%20DR%20Profile%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Norton/Norton%20DR%20Profile%20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Norton/Norton%20DR%20Profile%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Norton/Norton%20DR%20Profile%20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Norton/Norton%20DR%20Profile%20Figur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AA2-4B45-B398-C870836A41F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AA2-4B45-B398-C870836A41F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AA2-4B45-B398-C870836A41F3}"/>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5AA2-4B45-B398-C870836A41F3}"/>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5AA2-4B45-B398-C870836A41F3}"/>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5AA2-4B45-B398-C870836A41F3}"/>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5AA2-4B45-B398-C870836A41F3}"/>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5AA2-4B45-B398-C870836A4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5.0999999999999997E-2</c:v>
                </c:pt>
                <c:pt idx="1">
                  <c:v>0.06</c:v>
                </c:pt>
                <c:pt idx="2">
                  <c:v>0.82299999999999995</c:v>
                </c:pt>
                <c:pt idx="3">
                  <c:v>2.1000000000000001E-2</c:v>
                </c:pt>
                <c:pt idx="4">
                  <c:v>4.3999999999999997E-2</c:v>
                </c:pt>
              </c:numCache>
            </c:numRef>
          </c:val>
          <c:extLst>
            <c:ext xmlns:c16="http://schemas.microsoft.com/office/drawing/2014/chart" uri="{C3380CC4-5D6E-409C-BE32-E72D297353CC}">
              <c16:uniqueId val="{0000000A-5AA2-4B45-B398-C870836A41F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(new)'!$B$1</c:f>
              <c:strCache>
                <c:ptCount val="1"/>
                <c:pt idx="0">
                  <c:v>Norton</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0.41899999999999998</c:v>
                </c:pt>
                <c:pt idx="1">
                  <c:v>2.4E-2</c:v>
                </c:pt>
                <c:pt idx="2">
                  <c:v>3.1E-2</c:v>
                </c:pt>
                <c:pt idx="3">
                  <c:v>0.25600000000000001</c:v>
                </c:pt>
                <c:pt idx="4">
                  <c:v>0.23699999999999999</c:v>
                </c:pt>
              </c:numCache>
            </c:numRef>
          </c:val>
          <c:extLst>
            <c:ext xmlns:c16="http://schemas.microsoft.com/office/drawing/2014/chart" uri="{C3380CC4-5D6E-409C-BE32-E72D297353CC}">
              <c16:uniqueId val="{00000000-5C27-489C-B2D5-270EC6A73AC3}"/>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5C27-489C-B2D5-270EC6A73AC3}"/>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Norton</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0.38</c:v>
                </c:pt>
                <c:pt idx="1">
                  <c:v>0.34</c:v>
                </c:pt>
                <c:pt idx="2">
                  <c:v>0.34</c:v>
                </c:pt>
                <c:pt idx="3">
                  <c:v>0.51</c:v>
                </c:pt>
                <c:pt idx="4">
                  <c:v>0.34</c:v>
                </c:pt>
                <c:pt idx="5">
                  <c:v>0.44</c:v>
                </c:pt>
              </c:numCache>
            </c:numRef>
          </c:val>
          <c:extLst>
            <c:ext xmlns:c16="http://schemas.microsoft.com/office/drawing/2014/chart" uri="{C3380CC4-5D6E-409C-BE32-E72D297353CC}">
              <c16:uniqueId val="{00000000-8DDD-4417-A3D2-4D279D320AA7}"/>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8DDD-4417-A3D2-4D279D320AA7}"/>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Norton</c:v>
                </c:pt>
              </c:strCache>
            </c:strRef>
          </c:tx>
          <c:spPr>
            <a:solidFill>
              <a:srgbClr val="00B0F0"/>
            </a:solidFill>
            <a:ln>
              <a:solidFill>
                <a:srgbClr val="00B0F0"/>
              </a:solidFill>
              <a:prstDash val="solid"/>
            </a:ln>
            <a:effectLst/>
          </c:spPr>
          <c:invertIfNegative val="0"/>
          <c:dLbls>
            <c:dLbl>
              <c:idx val="1"/>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9E2-42CA-8088-050612AD97C4}"/>
                </c:ext>
              </c:extLst>
            </c:dLbl>
            <c:dLbl>
              <c:idx val="4"/>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9E2-42CA-8088-050612AD97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0.22</c:v>
                </c:pt>
                <c:pt idx="1">
                  <c:v>0.18</c:v>
                </c:pt>
                <c:pt idx="2">
                  <c:v>0.2</c:v>
                </c:pt>
                <c:pt idx="3">
                  <c:v>0.26</c:v>
                </c:pt>
                <c:pt idx="4">
                  <c:v>0.08</c:v>
                </c:pt>
                <c:pt idx="5">
                  <c:v>0.14000000000000001</c:v>
                </c:pt>
              </c:numCache>
            </c:numRef>
          </c:val>
          <c:extLst>
            <c:ext xmlns:c16="http://schemas.microsoft.com/office/drawing/2014/chart" uri="{C3380CC4-5D6E-409C-BE32-E72D297353CC}">
              <c16:uniqueId val="{00000000-5E30-405C-B885-E4C8E2442972}"/>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5E30-405C-B885-E4C8E2442972}"/>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5'!$B$1</c:f>
              <c:strCache>
                <c:ptCount val="1"/>
                <c:pt idx="0">
                  <c:v>PK-5 Average </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5.4</c:v>
                </c:pt>
                <c:pt idx="1">
                  <c:v>6.1</c:v>
                </c:pt>
                <c:pt idx="2">
                  <c:v>3.6</c:v>
                </c:pt>
                <c:pt idx="3">
                  <c:v>5.4</c:v>
                </c:pt>
              </c:numCache>
            </c:numRef>
          </c:val>
          <c:extLst>
            <c:ext xmlns:c16="http://schemas.microsoft.com/office/drawing/2014/chart" uri="{C3380CC4-5D6E-409C-BE32-E72D297353CC}">
              <c16:uniqueId val="{00000000-FB6C-45F0-B6B3-2E6D7849E526}"/>
            </c:ext>
          </c:extLst>
        </c:ser>
        <c:ser>
          <c:idx val="1"/>
          <c:order val="1"/>
          <c:tx>
            <c:strRef>
              <c:f>'Figure 5'!$C$1</c:f>
              <c:strCache>
                <c:ptCount val="1"/>
                <c:pt idx="0">
                  <c:v>6-8 Average</c:v>
                </c:pt>
              </c:strCache>
            </c:strRef>
          </c:tx>
          <c:spPr>
            <a:solidFill>
              <a:schemeClr val="accent2"/>
            </a:solidFill>
            <a:ln>
              <a:noFill/>
            </a:ln>
            <a:effectLst/>
          </c:spPr>
          <c:invertIfNegative val="0"/>
          <c:dLbls>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B6C-45F0-B6B3-2E6D7849E5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4.3</c:v>
                </c:pt>
                <c:pt idx="1">
                  <c:v>6.8</c:v>
                </c:pt>
                <c:pt idx="2">
                  <c:v>3.1</c:v>
                </c:pt>
                <c:pt idx="3">
                  <c:v>5</c:v>
                </c:pt>
              </c:numCache>
            </c:numRef>
          </c:val>
          <c:extLst>
            <c:ext xmlns:c16="http://schemas.microsoft.com/office/drawing/2014/chart" uri="{C3380CC4-5D6E-409C-BE32-E72D297353CC}">
              <c16:uniqueId val="{00000002-FB6C-45F0-B6B3-2E6D7849E526}"/>
            </c:ext>
          </c:extLst>
        </c:ser>
        <c:ser>
          <c:idx val="2"/>
          <c:order val="2"/>
          <c:tx>
            <c:strRef>
              <c:f>'Figure 5'!$D$1</c:f>
              <c:strCache>
                <c:ptCount val="1"/>
                <c:pt idx="0">
                  <c:v>9-12 Average </c:v>
                </c:pt>
              </c:strCache>
            </c:strRef>
          </c:tx>
          <c:spPr>
            <a:solidFill>
              <a:srgbClr val="ADADAD"/>
            </a:solidFill>
            <a:ln>
              <a:noFill/>
            </a:ln>
            <a:effectLst/>
          </c:spPr>
          <c:invertIfNegative val="0"/>
          <c:dLbls>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B6C-45F0-B6B3-2E6D7849E5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4.5999999999999996</c:v>
                </c:pt>
                <c:pt idx="1">
                  <c:v>6.6</c:v>
                </c:pt>
                <c:pt idx="2">
                  <c:v>3.2</c:v>
                </c:pt>
                <c:pt idx="3">
                  <c:v>5</c:v>
                </c:pt>
              </c:numCache>
            </c:numRef>
          </c:val>
          <c:extLst>
            <c:ext xmlns:c16="http://schemas.microsoft.com/office/drawing/2014/chart" uri="{C3380CC4-5D6E-409C-BE32-E72D297353CC}">
              <c16:uniqueId val="{00000004-FB6C-45F0-B6B3-2E6D7849E526}"/>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95432-4F46-478E-943A-BEFCA543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customXml/itemProps3.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101</Pages>
  <Words>36854</Words>
  <Characters>210072</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Norton Public Schools</vt:lpstr>
    </vt:vector>
  </TitlesOfParts>
  <Company/>
  <LinksUpToDate>false</LinksUpToDate>
  <CharactersWithSpaces>246434</CharactersWithSpaces>
  <SharedDoc>false</SharedDoc>
  <HLinks>
    <vt:vector size="582" baseType="variant">
      <vt:variant>
        <vt:i4>1179709</vt:i4>
      </vt:variant>
      <vt:variant>
        <vt:i4>434</vt:i4>
      </vt:variant>
      <vt:variant>
        <vt:i4>0</vt:i4>
      </vt:variant>
      <vt:variant>
        <vt:i4>5</vt:i4>
      </vt:variant>
      <vt:variant>
        <vt:lpwstr/>
      </vt:variant>
      <vt:variant>
        <vt:lpwstr>_Toc227587053</vt:lpwstr>
      </vt:variant>
      <vt:variant>
        <vt:i4>1179709</vt:i4>
      </vt:variant>
      <vt:variant>
        <vt:i4>428</vt:i4>
      </vt:variant>
      <vt:variant>
        <vt:i4>0</vt:i4>
      </vt:variant>
      <vt:variant>
        <vt:i4>5</vt:i4>
      </vt:variant>
      <vt:variant>
        <vt:lpwstr/>
      </vt:variant>
      <vt:variant>
        <vt:lpwstr>_Toc227587052</vt:lpwstr>
      </vt:variant>
      <vt:variant>
        <vt:i4>1179709</vt:i4>
      </vt:variant>
      <vt:variant>
        <vt:i4>422</vt:i4>
      </vt:variant>
      <vt:variant>
        <vt:i4>0</vt:i4>
      </vt:variant>
      <vt:variant>
        <vt:i4>5</vt:i4>
      </vt:variant>
      <vt:variant>
        <vt:lpwstr/>
      </vt:variant>
      <vt:variant>
        <vt:lpwstr>_Toc227587051</vt:lpwstr>
      </vt:variant>
      <vt:variant>
        <vt:i4>1179709</vt:i4>
      </vt:variant>
      <vt:variant>
        <vt:i4>416</vt:i4>
      </vt:variant>
      <vt:variant>
        <vt:i4>0</vt:i4>
      </vt:variant>
      <vt:variant>
        <vt:i4>5</vt:i4>
      </vt:variant>
      <vt:variant>
        <vt:lpwstr/>
      </vt:variant>
      <vt:variant>
        <vt:lpwstr>_Toc227587050</vt:lpwstr>
      </vt:variant>
      <vt:variant>
        <vt:i4>1245245</vt:i4>
      </vt:variant>
      <vt:variant>
        <vt:i4>410</vt:i4>
      </vt:variant>
      <vt:variant>
        <vt:i4>0</vt:i4>
      </vt:variant>
      <vt:variant>
        <vt:i4>5</vt:i4>
      </vt:variant>
      <vt:variant>
        <vt:lpwstr/>
      </vt:variant>
      <vt:variant>
        <vt:lpwstr>_Toc227587049</vt:lpwstr>
      </vt:variant>
      <vt:variant>
        <vt:i4>1245245</vt:i4>
      </vt:variant>
      <vt:variant>
        <vt:i4>404</vt:i4>
      </vt:variant>
      <vt:variant>
        <vt:i4>0</vt:i4>
      </vt:variant>
      <vt:variant>
        <vt:i4>5</vt:i4>
      </vt:variant>
      <vt:variant>
        <vt:lpwstr/>
      </vt:variant>
      <vt:variant>
        <vt:lpwstr>_Toc227587048</vt:lpwstr>
      </vt:variant>
      <vt:variant>
        <vt:i4>1245245</vt:i4>
      </vt:variant>
      <vt:variant>
        <vt:i4>398</vt:i4>
      </vt:variant>
      <vt:variant>
        <vt:i4>0</vt:i4>
      </vt:variant>
      <vt:variant>
        <vt:i4>5</vt:i4>
      </vt:variant>
      <vt:variant>
        <vt:lpwstr/>
      </vt:variant>
      <vt:variant>
        <vt:lpwstr>_Toc227587047</vt:lpwstr>
      </vt:variant>
      <vt:variant>
        <vt:i4>1245245</vt:i4>
      </vt:variant>
      <vt:variant>
        <vt:i4>392</vt:i4>
      </vt:variant>
      <vt:variant>
        <vt:i4>0</vt:i4>
      </vt:variant>
      <vt:variant>
        <vt:i4>5</vt:i4>
      </vt:variant>
      <vt:variant>
        <vt:lpwstr/>
      </vt:variant>
      <vt:variant>
        <vt:lpwstr>_Toc227587046</vt:lpwstr>
      </vt:variant>
      <vt:variant>
        <vt:i4>1245245</vt:i4>
      </vt:variant>
      <vt:variant>
        <vt:i4>386</vt:i4>
      </vt:variant>
      <vt:variant>
        <vt:i4>0</vt:i4>
      </vt:variant>
      <vt:variant>
        <vt:i4>5</vt:i4>
      </vt:variant>
      <vt:variant>
        <vt:lpwstr/>
      </vt:variant>
      <vt:variant>
        <vt:lpwstr>_Toc227587045</vt:lpwstr>
      </vt:variant>
      <vt:variant>
        <vt:i4>1245245</vt:i4>
      </vt:variant>
      <vt:variant>
        <vt:i4>380</vt:i4>
      </vt:variant>
      <vt:variant>
        <vt:i4>0</vt:i4>
      </vt:variant>
      <vt:variant>
        <vt:i4>5</vt:i4>
      </vt:variant>
      <vt:variant>
        <vt:lpwstr/>
      </vt:variant>
      <vt:variant>
        <vt:lpwstr>_Toc227587044</vt:lpwstr>
      </vt:variant>
      <vt:variant>
        <vt:i4>1245245</vt:i4>
      </vt:variant>
      <vt:variant>
        <vt:i4>374</vt:i4>
      </vt:variant>
      <vt:variant>
        <vt:i4>0</vt:i4>
      </vt:variant>
      <vt:variant>
        <vt:i4>5</vt:i4>
      </vt:variant>
      <vt:variant>
        <vt:lpwstr/>
      </vt:variant>
      <vt:variant>
        <vt:lpwstr>_Toc227587043</vt:lpwstr>
      </vt:variant>
      <vt:variant>
        <vt:i4>1245245</vt:i4>
      </vt:variant>
      <vt:variant>
        <vt:i4>368</vt:i4>
      </vt:variant>
      <vt:variant>
        <vt:i4>0</vt:i4>
      </vt:variant>
      <vt:variant>
        <vt:i4>5</vt:i4>
      </vt:variant>
      <vt:variant>
        <vt:lpwstr/>
      </vt:variant>
      <vt:variant>
        <vt:lpwstr>_Toc227587042</vt:lpwstr>
      </vt:variant>
      <vt:variant>
        <vt:i4>1245245</vt:i4>
      </vt:variant>
      <vt:variant>
        <vt:i4>362</vt:i4>
      </vt:variant>
      <vt:variant>
        <vt:i4>0</vt:i4>
      </vt:variant>
      <vt:variant>
        <vt:i4>5</vt:i4>
      </vt:variant>
      <vt:variant>
        <vt:lpwstr/>
      </vt:variant>
      <vt:variant>
        <vt:lpwstr>_Toc227587041</vt:lpwstr>
      </vt:variant>
      <vt:variant>
        <vt:i4>1245245</vt:i4>
      </vt:variant>
      <vt:variant>
        <vt:i4>356</vt:i4>
      </vt:variant>
      <vt:variant>
        <vt:i4>0</vt:i4>
      </vt:variant>
      <vt:variant>
        <vt:i4>5</vt:i4>
      </vt:variant>
      <vt:variant>
        <vt:lpwstr/>
      </vt:variant>
      <vt:variant>
        <vt:lpwstr>_Toc227587040</vt:lpwstr>
      </vt:variant>
      <vt:variant>
        <vt:i4>1310781</vt:i4>
      </vt:variant>
      <vt:variant>
        <vt:i4>350</vt:i4>
      </vt:variant>
      <vt:variant>
        <vt:i4>0</vt:i4>
      </vt:variant>
      <vt:variant>
        <vt:i4>5</vt:i4>
      </vt:variant>
      <vt:variant>
        <vt:lpwstr/>
      </vt:variant>
      <vt:variant>
        <vt:lpwstr>_Toc227587039</vt:lpwstr>
      </vt:variant>
      <vt:variant>
        <vt:i4>1310781</vt:i4>
      </vt:variant>
      <vt:variant>
        <vt:i4>344</vt:i4>
      </vt:variant>
      <vt:variant>
        <vt:i4>0</vt:i4>
      </vt:variant>
      <vt:variant>
        <vt:i4>5</vt:i4>
      </vt:variant>
      <vt:variant>
        <vt:lpwstr/>
      </vt:variant>
      <vt:variant>
        <vt:lpwstr>_Toc227587038</vt:lpwstr>
      </vt:variant>
      <vt:variant>
        <vt:i4>1310781</vt:i4>
      </vt:variant>
      <vt:variant>
        <vt:i4>338</vt:i4>
      </vt:variant>
      <vt:variant>
        <vt:i4>0</vt:i4>
      </vt:variant>
      <vt:variant>
        <vt:i4>5</vt:i4>
      </vt:variant>
      <vt:variant>
        <vt:lpwstr/>
      </vt:variant>
      <vt:variant>
        <vt:lpwstr>_Toc227587037</vt:lpwstr>
      </vt:variant>
      <vt:variant>
        <vt:i4>1310781</vt:i4>
      </vt:variant>
      <vt:variant>
        <vt:i4>332</vt:i4>
      </vt:variant>
      <vt:variant>
        <vt:i4>0</vt:i4>
      </vt:variant>
      <vt:variant>
        <vt:i4>5</vt:i4>
      </vt:variant>
      <vt:variant>
        <vt:lpwstr/>
      </vt:variant>
      <vt:variant>
        <vt:lpwstr>_Toc227587036</vt:lpwstr>
      </vt:variant>
      <vt:variant>
        <vt:i4>5636162</vt:i4>
      </vt:variant>
      <vt:variant>
        <vt:i4>327</vt:i4>
      </vt:variant>
      <vt:variant>
        <vt:i4>0</vt:i4>
      </vt:variant>
      <vt:variant>
        <vt:i4>5</vt:i4>
      </vt:variant>
      <vt:variant>
        <vt:lpwstr>https://www.doe.mass.edu/research/radar/default.html</vt:lpwstr>
      </vt:variant>
      <vt:variant>
        <vt:lpwstr/>
      </vt:variant>
      <vt:variant>
        <vt:i4>3801129</vt:i4>
      </vt:variant>
      <vt:variant>
        <vt:i4>324</vt:i4>
      </vt:variant>
      <vt:variant>
        <vt:i4>0</vt:i4>
      </vt:variant>
      <vt:variant>
        <vt:i4>5</vt:i4>
      </vt:variant>
      <vt:variant>
        <vt:lpwstr>https://www.doe.mass.edu/finance/chapter70/default.html</vt:lpwstr>
      </vt:variant>
      <vt:variant>
        <vt:lpwstr/>
      </vt:variant>
      <vt:variant>
        <vt:i4>5636162</vt:i4>
      </vt:variant>
      <vt:variant>
        <vt:i4>321</vt:i4>
      </vt:variant>
      <vt:variant>
        <vt:i4>0</vt:i4>
      </vt:variant>
      <vt:variant>
        <vt:i4>5</vt:i4>
      </vt:variant>
      <vt:variant>
        <vt:lpwstr>https://www.doe.mass.edu/research/radar/default.html</vt:lpwstr>
      </vt:variant>
      <vt:variant>
        <vt:lpwstr/>
      </vt:variant>
      <vt:variant>
        <vt:i4>6881315</vt:i4>
      </vt:variant>
      <vt:variant>
        <vt:i4>318</vt:i4>
      </vt:variant>
      <vt:variant>
        <vt:i4>0</vt:i4>
      </vt:variant>
      <vt:variant>
        <vt:i4>5</vt:i4>
      </vt:variant>
      <vt:variant>
        <vt:lpwstr>https://matoolsforschools.com/</vt:lpwstr>
      </vt:variant>
      <vt:variant>
        <vt:lpwstr/>
      </vt:variant>
      <vt:variant>
        <vt:i4>2293809</vt:i4>
      </vt:variant>
      <vt:variant>
        <vt:i4>315</vt:i4>
      </vt:variant>
      <vt:variant>
        <vt:i4>0</vt:i4>
      </vt:variant>
      <vt:variant>
        <vt:i4>5</vt:i4>
      </vt:variant>
      <vt:variant>
        <vt:lpwstr>https://www.doe.mass.edu/sfss/mtss/</vt:lpwstr>
      </vt:variant>
      <vt:variant>
        <vt:lpwstr/>
      </vt:variant>
      <vt:variant>
        <vt:i4>393219</vt:i4>
      </vt:variant>
      <vt:variant>
        <vt:i4>312</vt:i4>
      </vt:variant>
      <vt:variant>
        <vt:i4>0</vt:i4>
      </vt:variant>
      <vt:variant>
        <vt:i4>5</vt:i4>
      </vt:variant>
      <vt:variant>
        <vt:lpwstr>https://www.doe.mass.edu/sfs/?section=family</vt:lpwstr>
      </vt:variant>
      <vt:variant>
        <vt:lpwstr/>
      </vt:variant>
      <vt:variant>
        <vt:i4>2555951</vt:i4>
      </vt:variant>
      <vt:variant>
        <vt:i4>309</vt:i4>
      </vt:variant>
      <vt:variant>
        <vt:i4>0</vt:i4>
      </vt:variant>
      <vt:variant>
        <vt:i4>5</vt:i4>
      </vt:variant>
      <vt:variant>
        <vt:lpwstr>https://www.doe.mass.edu/edeval/implementation/default.html</vt:lpwstr>
      </vt:variant>
      <vt:variant>
        <vt:lpwstr/>
      </vt:variant>
      <vt:variant>
        <vt:i4>4325441</vt:i4>
      </vt:variant>
      <vt:variant>
        <vt:i4>306</vt:i4>
      </vt:variant>
      <vt:variant>
        <vt:i4>0</vt:i4>
      </vt:variant>
      <vt:variant>
        <vt:i4>5</vt:i4>
      </vt:variant>
      <vt:variant>
        <vt:lpwstr>https://www.doe.mass.edu/ele/prof-learning/wida/default.html</vt:lpwstr>
      </vt:variant>
      <vt:variant>
        <vt:lpwstr/>
      </vt:variant>
      <vt:variant>
        <vt:i4>5570580</vt:i4>
      </vt:variant>
      <vt:variant>
        <vt:i4>303</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1048632</vt:i4>
      </vt:variant>
      <vt:variant>
        <vt:i4>287</vt:i4>
      </vt:variant>
      <vt:variant>
        <vt:i4>0</vt:i4>
      </vt:variant>
      <vt:variant>
        <vt:i4>5</vt:i4>
      </vt:variant>
      <vt:variant>
        <vt:lpwstr/>
      </vt:variant>
      <vt:variant>
        <vt:lpwstr>_Toc227587579</vt:lpwstr>
      </vt:variant>
      <vt:variant>
        <vt:i4>1048632</vt:i4>
      </vt:variant>
      <vt:variant>
        <vt:i4>281</vt:i4>
      </vt:variant>
      <vt:variant>
        <vt:i4>0</vt:i4>
      </vt:variant>
      <vt:variant>
        <vt:i4>5</vt:i4>
      </vt:variant>
      <vt:variant>
        <vt:lpwstr/>
      </vt:variant>
      <vt:variant>
        <vt:lpwstr>_Toc227587578</vt:lpwstr>
      </vt:variant>
      <vt:variant>
        <vt:i4>1048632</vt:i4>
      </vt:variant>
      <vt:variant>
        <vt:i4>275</vt:i4>
      </vt:variant>
      <vt:variant>
        <vt:i4>0</vt:i4>
      </vt:variant>
      <vt:variant>
        <vt:i4>5</vt:i4>
      </vt:variant>
      <vt:variant>
        <vt:lpwstr/>
      </vt:variant>
      <vt:variant>
        <vt:lpwstr>_Toc227587577</vt:lpwstr>
      </vt:variant>
      <vt:variant>
        <vt:i4>1048632</vt:i4>
      </vt:variant>
      <vt:variant>
        <vt:i4>269</vt:i4>
      </vt:variant>
      <vt:variant>
        <vt:i4>0</vt:i4>
      </vt:variant>
      <vt:variant>
        <vt:i4>5</vt:i4>
      </vt:variant>
      <vt:variant>
        <vt:lpwstr/>
      </vt:variant>
      <vt:variant>
        <vt:lpwstr>_Toc227587576</vt:lpwstr>
      </vt:variant>
      <vt:variant>
        <vt:i4>1048632</vt:i4>
      </vt:variant>
      <vt:variant>
        <vt:i4>263</vt:i4>
      </vt:variant>
      <vt:variant>
        <vt:i4>0</vt:i4>
      </vt:variant>
      <vt:variant>
        <vt:i4>5</vt:i4>
      </vt:variant>
      <vt:variant>
        <vt:lpwstr/>
      </vt:variant>
      <vt:variant>
        <vt:lpwstr>_Toc227587575</vt:lpwstr>
      </vt:variant>
      <vt:variant>
        <vt:i4>1048632</vt:i4>
      </vt:variant>
      <vt:variant>
        <vt:i4>257</vt:i4>
      </vt:variant>
      <vt:variant>
        <vt:i4>0</vt:i4>
      </vt:variant>
      <vt:variant>
        <vt:i4>5</vt:i4>
      </vt:variant>
      <vt:variant>
        <vt:lpwstr/>
      </vt:variant>
      <vt:variant>
        <vt:lpwstr>_Toc227587574</vt:lpwstr>
      </vt:variant>
      <vt:variant>
        <vt:i4>1048632</vt:i4>
      </vt:variant>
      <vt:variant>
        <vt:i4>251</vt:i4>
      </vt:variant>
      <vt:variant>
        <vt:i4>0</vt:i4>
      </vt:variant>
      <vt:variant>
        <vt:i4>5</vt:i4>
      </vt:variant>
      <vt:variant>
        <vt:lpwstr/>
      </vt:variant>
      <vt:variant>
        <vt:lpwstr>_Toc227587573</vt:lpwstr>
      </vt:variant>
      <vt:variant>
        <vt:i4>1048632</vt:i4>
      </vt:variant>
      <vt:variant>
        <vt:i4>245</vt:i4>
      </vt:variant>
      <vt:variant>
        <vt:i4>0</vt:i4>
      </vt:variant>
      <vt:variant>
        <vt:i4>5</vt:i4>
      </vt:variant>
      <vt:variant>
        <vt:lpwstr/>
      </vt:variant>
      <vt:variant>
        <vt:lpwstr>_Toc227587572</vt:lpwstr>
      </vt:variant>
      <vt:variant>
        <vt:i4>1048632</vt:i4>
      </vt:variant>
      <vt:variant>
        <vt:i4>239</vt:i4>
      </vt:variant>
      <vt:variant>
        <vt:i4>0</vt:i4>
      </vt:variant>
      <vt:variant>
        <vt:i4>5</vt:i4>
      </vt:variant>
      <vt:variant>
        <vt:lpwstr/>
      </vt:variant>
      <vt:variant>
        <vt:lpwstr>_Toc227587571</vt:lpwstr>
      </vt:variant>
      <vt:variant>
        <vt:i4>1048632</vt:i4>
      </vt:variant>
      <vt:variant>
        <vt:i4>233</vt:i4>
      </vt:variant>
      <vt:variant>
        <vt:i4>0</vt:i4>
      </vt:variant>
      <vt:variant>
        <vt:i4>5</vt:i4>
      </vt:variant>
      <vt:variant>
        <vt:lpwstr/>
      </vt:variant>
      <vt:variant>
        <vt:lpwstr>_Toc227587570</vt:lpwstr>
      </vt:variant>
      <vt:variant>
        <vt:i4>1114168</vt:i4>
      </vt:variant>
      <vt:variant>
        <vt:i4>227</vt:i4>
      </vt:variant>
      <vt:variant>
        <vt:i4>0</vt:i4>
      </vt:variant>
      <vt:variant>
        <vt:i4>5</vt:i4>
      </vt:variant>
      <vt:variant>
        <vt:lpwstr/>
      </vt:variant>
      <vt:variant>
        <vt:lpwstr>_Toc227587569</vt:lpwstr>
      </vt:variant>
      <vt:variant>
        <vt:i4>1114168</vt:i4>
      </vt:variant>
      <vt:variant>
        <vt:i4>221</vt:i4>
      </vt:variant>
      <vt:variant>
        <vt:i4>0</vt:i4>
      </vt:variant>
      <vt:variant>
        <vt:i4>5</vt:i4>
      </vt:variant>
      <vt:variant>
        <vt:lpwstr/>
      </vt:variant>
      <vt:variant>
        <vt:lpwstr>_Toc227587568</vt:lpwstr>
      </vt:variant>
      <vt:variant>
        <vt:i4>1114168</vt:i4>
      </vt:variant>
      <vt:variant>
        <vt:i4>215</vt:i4>
      </vt:variant>
      <vt:variant>
        <vt:i4>0</vt:i4>
      </vt:variant>
      <vt:variant>
        <vt:i4>5</vt:i4>
      </vt:variant>
      <vt:variant>
        <vt:lpwstr/>
      </vt:variant>
      <vt:variant>
        <vt:lpwstr>_Toc227587567</vt:lpwstr>
      </vt:variant>
      <vt:variant>
        <vt:i4>1114168</vt:i4>
      </vt:variant>
      <vt:variant>
        <vt:i4>209</vt:i4>
      </vt:variant>
      <vt:variant>
        <vt:i4>0</vt:i4>
      </vt:variant>
      <vt:variant>
        <vt:i4>5</vt:i4>
      </vt:variant>
      <vt:variant>
        <vt:lpwstr/>
      </vt:variant>
      <vt:variant>
        <vt:lpwstr>_Toc227587566</vt:lpwstr>
      </vt:variant>
      <vt:variant>
        <vt:i4>1114168</vt:i4>
      </vt:variant>
      <vt:variant>
        <vt:i4>203</vt:i4>
      </vt:variant>
      <vt:variant>
        <vt:i4>0</vt:i4>
      </vt:variant>
      <vt:variant>
        <vt:i4>5</vt:i4>
      </vt:variant>
      <vt:variant>
        <vt:lpwstr/>
      </vt:variant>
      <vt:variant>
        <vt:lpwstr>_Toc227587565</vt:lpwstr>
      </vt:variant>
      <vt:variant>
        <vt:i4>1114168</vt:i4>
      </vt:variant>
      <vt:variant>
        <vt:i4>197</vt:i4>
      </vt:variant>
      <vt:variant>
        <vt:i4>0</vt:i4>
      </vt:variant>
      <vt:variant>
        <vt:i4>5</vt:i4>
      </vt:variant>
      <vt:variant>
        <vt:lpwstr/>
      </vt:variant>
      <vt:variant>
        <vt:lpwstr>_Toc227587564</vt:lpwstr>
      </vt:variant>
      <vt:variant>
        <vt:i4>1114168</vt:i4>
      </vt:variant>
      <vt:variant>
        <vt:i4>191</vt:i4>
      </vt:variant>
      <vt:variant>
        <vt:i4>0</vt:i4>
      </vt:variant>
      <vt:variant>
        <vt:i4>5</vt:i4>
      </vt:variant>
      <vt:variant>
        <vt:lpwstr/>
      </vt:variant>
      <vt:variant>
        <vt:lpwstr>_Toc227587563</vt:lpwstr>
      </vt:variant>
      <vt:variant>
        <vt:i4>1114168</vt:i4>
      </vt:variant>
      <vt:variant>
        <vt:i4>185</vt:i4>
      </vt:variant>
      <vt:variant>
        <vt:i4>0</vt:i4>
      </vt:variant>
      <vt:variant>
        <vt:i4>5</vt:i4>
      </vt:variant>
      <vt:variant>
        <vt:lpwstr/>
      </vt:variant>
      <vt:variant>
        <vt:lpwstr>_Toc227587562</vt:lpwstr>
      </vt:variant>
      <vt:variant>
        <vt:i4>1114168</vt:i4>
      </vt:variant>
      <vt:variant>
        <vt:i4>179</vt:i4>
      </vt:variant>
      <vt:variant>
        <vt:i4>0</vt:i4>
      </vt:variant>
      <vt:variant>
        <vt:i4>5</vt:i4>
      </vt:variant>
      <vt:variant>
        <vt:lpwstr/>
      </vt:variant>
      <vt:variant>
        <vt:lpwstr>_Toc227587561</vt:lpwstr>
      </vt:variant>
      <vt:variant>
        <vt:i4>3145829</vt:i4>
      </vt:variant>
      <vt:variant>
        <vt:i4>174</vt:i4>
      </vt:variant>
      <vt:variant>
        <vt:i4>0</vt:i4>
      </vt:variant>
      <vt:variant>
        <vt:i4>5</vt:i4>
      </vt:variant>
      <vt:variant>
        <vt:lpwstr>http://www.air.org/</vt:lpwstr>
      </vt:variant>
      <vt:variant>
        <vt:lpwstr/>
      </vt:variant>
      <vt:variant>
        <vt:i4>393276</vt:i4>
      </vt:variant>
      <vt:variant>
        <vt:i4>171</vt:i4>
      </vt:variant>
      <vt:variant>
        <vt:i4>0</vt:i4>
      </vt:variant>
      <vt:variant>
        <vt:i4>5</vt:i4>
      </vt:variant>
      <vt:variant>
        <vt:lpwstr/>
      </vt:variant>
      <vt:variant>
        <vt:lpwstr>_Managing_Capital_Assets</vt:lpwstr>
      </vt:variant>
      <vt:variant>
        <vt:i4>7077958</vt:i4>
      </vt:variant>
      <vt:variant>
        <vt:i4>168</vt:i4>
      </vt:variant>
      <vt:variant>
        <vt:i4>0</vt:i4>
      </vt:variant>
      <vt:variant>
        <vt:i4>5</vt:i4>
      </vt:variant>
      <vt:variant>
        <vt:lpwstr/>
      </vt:variant>
      <vt:variant>
        <vt:lpwstr>_Operations</vt:lpwstr>
      </vt:variant>
      <vt:variant>
        <vt:i4>720939</vt:i4>
      </vt:variant>
      <vt:variant>
        <vt:i4>165</vt:i4>
      </vt:variant>
      <vt:variant>
        <vt:i4>0</vt:i4>
      </vt:variant>
      <vt:variant>
        <vt:i4>5</vt:i4>
      </vt:variant>
      <vt:variant>
        <vt:lpwstr/>
      </vt:variant>
      <vt:variant>
        <vt:lpwstr>_Budgeting_and_Budget</vt:lpwstr>
      </vt:variant>
      <vt:variant>
        <vt:i4>2293787</vt:i4>
      </vt:variant>
      <vt:variant>
        <vt:i4>162</vt:i4>
      </vt:variant>
      <vt:variant>
        <vt:i4>0</vt:i4>
      </vt:variant>
      <vt:variant>
        <vt:i4>5</vt:i4>
      </vt:variant>
      <vt:variant>
        <vt:lpwstr/>
      </vt:variant>
      <vt:variant>
        <vt:lpwstr>_Business_Office_Staffing</vt:lpwstr>
      </vt:variant>
      <vt:variant>
        <vt:i4>1704053</vt:i4>
      </vt:variant>
      <vt:variant>
        <vt:i4>159</vt:i4>
      </vt:variant>
      <vt:variant>
        <vt:i4>0</vt:i4>
      </vt:variant>
      <vt:variant>
        <vt:i4>5</vt:i4>
      </vt:variant>
      <vt:variant>
        <vt:lpwstr/>
      </vt:variant>
      <vt:variant>
        <vt:lpwstr>_Multi-Tiered_Systems_of</vt:lpwstr>
      </vt:variant>
      <vt:variant>
        <vt:i4>1114169</vt:i4>
      </vt:variant>
      <vt:variant>
        <vt:i4>156</vt:i4>
      </vt:variant>
      <vt:variant>
        <vt:i4>0</vt:i4>
      </vt:variant>
      <vt:variant>
        <vt:i4>5</vt:i4>
      </vt:variant>
      <vt:variant>
        <vt:lpwstr/>
      </vt:variant>
      <vt:variant>
        <vt:lpwstr>_Family_and_Community</vt:lpwstr>
      </vt:variant>
      <vt:variant>
        <vt:i4>7471193</vt:i4>
      </vt:variant>
      <vt:variant>
        <vt:i4>153</vt:i4>
      </vt:variant>
      <vt:variant>
        <vt:i4>0</vt:i4>
      </vt:variant>
      <vt:variant>
        <vt:i4>5</vt:i4>
      </vt:variant>
      <vt:variant>
        <vt:lpwstr/>
      </vt:variant>
      <vt:variant>
        <vt:lpwstr>_Tiered_Systems_of</vt:lpwstr>
      </vt:variant>
      <vt:variant>
        <vt:i4>48</vt:i4>
      </vt:variant>
      <vt:variant>
        <vt:i4>150</vt:i4>
      </vt:variant>
      <vt:variant>
        <vt:i4>0</vt:i4>
      </vt:variant>
      <vt:variant>
        <vt:i4>5</vt:i4>
      </vt:variant>
      <vt:variant>
        <vt:lpwstr/>
      </vt:variant>
      <vt:variant>
        <vt:lpwstr>_Safe_and_Supportive</vt:lpwstr>
      </vt:variant>
      <vt:variant>
        <vt:i4>4259934</vt:i4>
      </vt:variant>
      <vt:variant>
        <vt:i4>147</vt:i4>
      </vt:variant>
      <vt:variant>
        <vt:i4>0</vt:i4>
      </vt:variant>
      <vt:variant>
        <vt:i4>5</vt:i4>
      </vt:variant>
      <vt:variant>
        <vt:lpwstr/>
      </vt:variant>
      <vt:variant>
        <vt:lpwstr>_Professional_Learning</vt:lpwstr>
      </vt:variant>
      <vt:variant>
        <vt:i4>1703972</vt:i4>
      </vt:variant>
      <vt:variant>
        <vt:i4>144</vt:i4>
      </vt:variant>
      <vt:variant>
        <vt:i4>0</vt:i4>
      </vt:variant>
      <vt:variant>
        <vt:i4>5</vt:i4>
      </vt:variant>
      <vt:variant>
        <vt:lpwstr/>
      </vt:variant>
      <vt:variant>
        <vt:lpwstr>_Staffing</vt:lpwstr>
      </vt:variant>
      <vt:variant>
        <vt:i4>4849720</vt:i4>
      </vt:variant>
      <vt:variant>
        <vt:i4>141</vt:i4>
      </vt:variant>
      <vt:variant>
        <vt:i4>0</vt:i4>
      </vt:variant>
      <vt:variant>
        <vt:i4>5</vt:i4>
      </vt:variant>
      <vt:variant>
        <vt:lpwstr/>
      </vt:variant>
      <vt:variant>
        <vt:lpwstr>_Human_Resources_Infrastructure,</vt:lpwstr>
      </vt:variant>
      <vt:variant>
        <vt:i4>786453</vt:i4>
      </vt:variant>
      <vt:variant>
        <vt:i4>138</vt:i4>
      </vt:variant>
      <vt:variant>
        <vt:i4>0</vt:i4>
      </vt:variant>
      <vt:variant>
        <vt:i4>5</vt:i4>
      </vt:variant>
      <vt:variant>
        <vt:lpwstr/>
      </vt:variant>
      <vt:variant>
        <vt:lpwstr>_Sharing_Data</vt:lpwstr>
      </vt:variant>
      <vt:variant>
        <vt:i4>852014</vt:i4>
      </vt:variant>
      <vt:variant>
        <vt:i4>135</vt:i4>
      </vt:variant>
      <vt:variant>
        <vt:i4>0</vt:i4>
      </vt:variant>
      <vt:variant>
        <vt:i4>5</vt:i4>
      </vt:variant>
      <vt:variant>
        <vt:lpwstr/>
      </vt:variant>
      <vt:variant>
        <vt:lpwstr>_Data_Use_and</vt:lpwstr>
      </vt:variant>
      <vt:variant>
        <vt:i4>2621486</vt:i4>
      </vt:variant>
      <vt:variant>
        <vt:i4>132</vt:i4>
      </vt:variant>
      <vt:variant>
        <vt:i4>0</vt:i4>
      </vt:variant>
      <vt:variant>
        <vt:i4>5</vt:i4>
      </vt:variant>
      <vt:variant>
        <vt:lpwstr/>
      </vt:variant>
      <vt:variant>
        <vt:lpwstr>_Data_Collection</vt:lpwstr>
      </vt:variant>
      <vt:variant>
        <vt:i4>6619204</vt:i4>
      </vt:variant>
      <vt:variant>
        <vt:i4>129</vt:i4>
      </vt:variant>
      <vt:variant>
        <vt:i4>0</vt:i4>
      </vt:variant>
      <vt:variant>
        <vt:i4>5</vt:i4>
      </vt:variant>
      <vt:variant>
        <vt:lpwstr/>
      </vt:variant>
      <vt:variant>
        <vt:lpwstr>_Effective_Instruction_and</vt:lpwstr>
      </vt:variant>
      <vt:variant>
        <vt:i4>1245241</vt:i4>
      </vt:variant>
      <vt:variant>
        <vt:i4>126</vt:i4>
      </vt:variant>
      <vt:variant>
        <vt:i4>0</vt:i4>
      </vt:variant>
      <vt:variant>
        <vt:i4>5</vt:i4>
      </vt:variant>
      <vt:variant>
        <vt:lpwstr/>
      </vt:variant>
      <vt:variant>
        <vt:lpwstr>_Equitable_Practices_and</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2752549</vt:i4>
      </vt:variant>
      <vt:variant>
        <vt:i4>117</vt:i4>
      </vt:variant>
      <vt:variant>
        <vt:i4>0</vt:i4>
      </vt:variant>
      <vt:variant>
        <vt:i4>5</vt:i4>
      </vt:variant>
      <vt:variant>
        <vt:lpwstr/>
      </vt:variant>
      <vt:variant>
        <vt:lpwstr>_District_Culture</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6750264</vt:i4>
      </vt:variant>
      <vt:variant>
        <vt:i4>108</vt:i4>
      </vt:variant>
      <vt:variant>
        <vt:i4>0</vt:i4>
      </vt:variant>
      <vt:variant>
        <vt:i4>5</vt:i4>
      </vt:variant>
      <vt:variant>
        <vt:lpwstr>https://www.census.gov/quickfacts/fact/table/nortontownbristolcountymassachusetts,MA/POP715224</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1638452</vt:i4>
      </vt:variant>
      <vt:variant>
        <vt:i4>80</vt:i4>
      </vt:variant>
      <vt:variant>
        <vt:i4>0</vt:i4>
      </vt:variant>
      <vt:variant>
        <vt:i4>5</vt:i4>
      </vt:variant>
      <vt:variant>
        <vt:lpwstr/>
      </vt:variant>
      <vt:variant>
        <vt:lpwstr>_Toc227589902</vt:lpwstr>
      </vt:variant>
      <vt:variant>
        <vt:i4>1638452</vt:i4>
      </vt:variant>
      <vt:variant>
        <vt:i4>74</vt:i4>
      </vt:variant>
      <vt:variant>
        <vt:i4>0</vt:i4>
      </vt:variant>
      <vt:variant>
        <vt:i4>5</vt:i4>
      </vt:variant>
      <vt:variant>
        <vt:lpwstr/>
      </vt:variant>
      <vt:variant>
        <vt:lpwstr>_Toc227589901</vt:lpwstr>
      </vt:variant>
      <vt:variant>
        <vt:i4>1638452</vt:i4>
      </vt:variant>
      <vt:variant>
        <vt:i4>68</vt:i4>
      </vt:variant>
      <vt:variant>
        <vt:i4>0</vt:i4>
      </vt:variant>
      <vt:variant>
        <vt:i4>5</vt:i4>
      </vt:variant>
      <vt:variant>
        <vt:lpwstr/>
      </vt:variant>
      <vt:variant>
        <vt:lpwstr>_Toc227589900</vt:lpwstr>
      </vt:variant>
      <vt:variant>
        <vt:i4>1048629</vt:i4>
      </vt:variant>
      <vt:variant>
        <vt:i4>62</vt:i4>
      </vt:variant>
      <vt:variant>
        <vt:i4>0</vt:i4>
      </vt:variant>
      <vt:variant>
        <vt:i4>5</vt:i4>
      </vt:variant>
      <vt:variant>
        <vt:lpwstr/>
      </vt:variant>
      <vt:variant>
        <vt:lpwstr>_Toc227589899</vt:lpwstr>
      </vt:variant>
      <vt:variant>
        <vt:i4>1048629</vt:i4>
      </vt:variant>
      <vt:variant>
        <vt:i4>56</vt:i4>
      </vt:variant>
      <vt:variant>
        <vt:i4>0</vt:i4>
      </vt:variant>
      <vt:variant>
        <vt:i4>5</vt:i4>
      </vt:variant>
      <vt:variant>
        <vt:lpwstr/>
      </vt:variant>
      <vt:variant>
        <vt:lpwstr>_Toc227589898</vt:lpwstr>
      </vt:variant>
      <vt:variant>
        <vt:i4>1048629</vt:i4>
      </vt:variant>
      <vt:variant>
        <vt:i4>50</vt:i4>
      </vt:variant>
      <vt:variant>
        <vt:i4>0</vt:i4>
      </vt:variant>
      <vt:variant>
        <vt:i4>5</vt:i4>
      </vt:variant>
      <vt:variant>
        <vt:lpwstr/>
      </vt:variant>
      <vt:variant>
        <vt:lpwstr>_Toc227589897</vt:lpwstr>
      </vt:variant>
      <vt:variant>
        <vt:i4>1048629</vt:i4>
      </vt:variant>
      <vt:variant>
        <vt:i4>44</vt:i4>
      </vt:variant>
      <vt:variant>
        <vt:i4>0</vt:i4>
      </vt:variant>
      <vt:variant>
        <vt:i4>5</vt:i4>
      </vt:variant>
      <vt:variant>
        <vt:lpwstr/>
      </vt:variant>
      <vt:variant>
        <vt:lpwstr>_Toc227589896</vt:lpwstr>
      </vt:variant>
      <vt:variant>
        <vt:i4>1048629</vt:i4>
      </vt:variant>
      <vt:variant>
        <vt:i4>38</vt:i4>
      </vt:variant>
      <vt:variant>
        <vt:i4>0</vt:i4>
      </vt:variant>
      <vt:variant>
        <vt:i4>5</vt:i4>
      </vt:variant>
      <vt:variant>
        <vt:lpwstr/>
      </vt:variant>
      <vt:variant>
        <vt:lpwstr>_Toc227589895</vt:lpwstr>
      </vt:variant>
      <vt:variant>
        <vt:i4>1048629</vt:i4>
      </vt:variant>
      <vt:variant>
        <vt:i4>32</vt:i4>
      </vt:variant>
      <vt:variant>
        <vt:i4>0</vt:i4>
      </vt:variant>
      <vt:variant>
        <vt:i4>5</vt:i4>
      </vt:variant>
      <vt:variant>
        <vt:lpwstr/>
      </vt:variant>
      <vt:variant>
        <vt:lpwstr>_Toc227589894</vt:lpwstr>
      </vt:variant>
      <vt:variant>
        <vt:i4>1048629</vt:i4>
      </vt:variant>
      <vt:variant>
        <vt:i4>26</vt:i4>
      </vt:variant>
      <vt:variant>
        <vt:i4>0</vt:i4>
      </vt:variant>
      <vt:variant>
        <vt:i4>5</vt:i4>
      </vt:variant>
      <vt:variant>
        <vt:lpwstr/>
      </vt:variant>
      <vt:variant>
        <vt:lpwstr>_Toc227589893</vt:lpwstr>
      </vt:variant>
      <vt:variant>
        <vt:i4>1048629</vt:i4>
      </vt:variant>
      <vt:variant>
        <vt:i4>20</vt:i4>
      </vt:variant>
      <vt:variant>
        <vt:i4>0</vt:i4>
      </vt:variant>
      <vt:variant>
        <vt:i4>5</vt:i4>
      </vt:variant>
      <vt:variant>
        <vt:lpwstr/>
      </vt:variant>
      <vt:variant>
        <vt:lpwstr>_Toc227589892</vt:lpwstr>
      </vt:variant>
      <vt:variant>
        <vt:i4>1048629</vt:i4>
      </vt:variant>
      <vt:variant>
        <vt:i4>14</vt:i4>
      </vt:variant>
      <vt:variant>
        <vt:i4>0</vt:i4>
      </vt:variant>
      <vt:variant>
        <vt:i4>5</vt:i4>
      </vt:variant>
      <vt:variant>
        <vt:lpwstr/>
      </vt:variant>
      <vt:variant>
        <vt:lpwstr>_Toc227589891</vt:lpwstr>
      </vt:variant>
      <vt:variant>
        <vt:i4>1048629</vt:i4>
      </vt:variant>
      <vt:variant>
        <vt:i4>8</vt:i4>
      </vt:variant>
      <vt:variant>
        <vt:i4>0</vt:i4>
      </vt:variant>
      <vt:variant>
        <vt:i4>5</vt:i4>
      </vt:variant>
      <vt:variant>
        <vt:lpwstr/>
      </vt:variant>
      <vt:variant>
        <vt:lpwstr>_Toc227589890</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524356</vt:i4>
      </vt:variant>
      <vt:variant>
        <vt:i4>6</vt:i4>
      </vt:variant>
      <vt:variant>
        <vt:i4>0</vt:i4>
      </vt:variant>
      <vt:variant>
        <vt:i4>5</vt:i4>
      </vt:variant>
      <vt:variant>
        <vt:lpwstr>https://www.doe.mass.edu/research/radar/</vt:lpwstr>
      </vt:variant>
      <vt:variant>
        <vt:lpwstr/>
      </vt:variant>
      <vt:variant>
        <vt:i4>1114198</vt:i4>
      </vt:variant>
      <vt:variant>
        <vt:i4>3</vt:i4>
      </vt:variant>
      <vt:variant>
        <vt:i4>0</vt:i4>
      </vt:variant>
      <vt:variant>
        <vt:i4>5</vt:i4>
      </vt:variant>
      <vt:variant>
        <vt:lpwstr>https://teachstone.com/class/</vt:lpwstr>
      </vt:variant>
      <vt:variant>
        <vt:lpwstr/>
      </vt:variant>
      <vt:variant>
        <vt:i4>3473524</vt:i4>
      </vt:variant>
      <vt:variant>
        <vt:i4>0</vt:i4>
      </vt:variant>
      <vt:variant>
        <vt:i4>0</vt:i4>
      </vt:variant>
      <vt:variant>
        <vt:i4>5</vt:i4>
      </vt:variant>
      <vt:variant>
        <vt:lpwstr>https://www.doe.mass.edu/accountability/district-review/district-standards-indicators.docx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Norton Public Schools</dc:title>
  <dc:subject>Comprehensive District Review Report</dc:subject>
  <dc:creator>American Institutes for Research</dc:creator>
  <cp:keywords/>
  <cp:lastModifiedBy>Zou, Dong (EOE)</cp:lastModifiedBy>
  <cp:revision>4</cp:revision>
  <cp:lastPrinted>2026-05-01T02:29:00Z</cp:lastPrinted>
  <dcterms:created xsi:type="dcterms:W3CDTF">2026-07-08T16:27:00Z</dcterms:created>
  <dcterms:modified xsi:type="dcterms:W3CDTF">2026-07-08T18:06:00Z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19 2020</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0x0101003866D5547EFD1A4DBC9DB48B0354D5FD</vt:lpwstr>
  </property>
  <property fmtid="{D5CDD505-2E9C-101B-9397-08002B2CF9AE}" pid="13" name="GrammarlyDocumentId">
    <vt:lpwstr>21f9810e-cbea-4538-92ed-e15b6112a1e2</vt:lpwstr>
  </property>
</Properties>
</file>